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imes New Roman"/>
          <w:color w:val="auto"/>
          <w:sz w:val="20"/>
          <w:szCs w:val="20"/>
          <w:lang w:eastAsia="en-US"/>
        </w:rPr>
        <w:id w:val="-744263839"/>
        <w:docPartObj>
          <w:docPartGallery w:val="Table of Contents"/>
          <w:docPartUnique/>
        </w:docPartObj>
      </w:sdtPr>
      <w:sdtEndPr>
        <w:rPr>
          <w:b/>
          <w:bCs/>
          <w:sz w:val="23"/>
          <w:szCs w:val="23"/>
        </w:rPr>
      </w:sdtEndPr>
      <w:sdtContent>
        <w:p w14:paraId="7E7F9E85" w14:textId="43F9B2DC" w:rsidR="008A0537" w:rsidRPr="00D715AF" w:rsidRDefault="008A0537" w:rsidP="003B450C">
          <w:pPr>
            <w:pStyle w:val="Hlavikaobsahu"/>
            <w:spacing w:before="0" w:line="240" w:lineRule="auto"/>
            <w:jc w:val="center"/>
            <w:rPr>
              <w:rFonts w:ascii="Times New Roman" w:hAnsi="Times New Roman" w:cs="Times New Roman"/>
              <w:b/>
              <w:color w:val="5B9BD5" w:themeColor="accent1"/>
              <w:sz w:val="26"/>
              <w:szCs w:val="26"/>
            </w:rPr>
          </w:pPr>
          <w:r w:rsidRPr="00D715AF">
            <w:rPr>
              <w:rFonts w:ascii="Times New Roman" w:hAnsi="Times New Roman" w:cs="Times New Roman"/>
              <w:b/>
              <w:color w:val="5B9BD5" w:themeColor="accent1"/>
              <w:sz w:val="26"/>
              <w:szCs w:val="26"/>
            </w:rPr>
            <w:t>Obsah</w:t>
          </w:r>
        </w:p>
        <w:p w14:paraId="56C37E63" w14:textId="77777777" w:rsidR="000B5651" w:rsidRPr="007F2028" w:rsidRDefault="00C27205">
          <w:pPr>
            <w:pStyle w:val="Obsah1"/>
            <w:rPr>
              <w:rFonts w:eastAsiaTheme="minorEastAsia" w:cs="Times New Roman"/>
              <w:b w:val="0"/>
              <w:bCs w:val="0"/>
              <w:sz w:val="23"/>
              <w:szCs w:val="23"/>
              <w:lang w:eastAsia="sk-SK"/>
            </w:rPr>
          </w:pPr>
          <w:r w:rsidRPr="007F2028">
            <w:rPr>
              <w:rFonts w:cs="Times New Roman"/>
              <w:sz w:val="23"/>
              <w:szCs w:val="23"/>
            </w:rPr>
            <w:fldChar w:fldCharType="begin"/>
          </w:r>
          <w:r w:rsidRPr="007F2028">
            <w:rPr>
              <w:rFonts w:cs="Times New Roman"/>
              <w:sz w:val="23"/>
              <w:szCs w:val="23"/>
            </w:rPr>
            <w:instrText xml:space="preserve"> TOC \o "1-5" \h \z \u </w:instrText>
          </w:r>
          <w:r w:rsidRPr="007F2028">
            <w:rPr>
              <w:rFonts w:cs="Times New Roman"/>
              <w:sz w:val="23"/>
              <w:szCs w:val="23"/>
            </w:rPr>
            <w:fldChar w:fldCharType="separate"/>
          </w:r>
          <w:hyperlink w:anchor="_Toc70026074" w:history="1">
            <w:r w:rsidR="000B5651" w:rsidRPr="007F2028">
              <w:rPr>
                <w:rStyle w:val="Hypertextovprepojenie"/>
                <w:rFonts w:cs="Times New Roman"/>
                <w:sz w:val="23"/>
                <w:szCs w:val="23"/>
              </w:rPr>
              <w:t>Zhrnutie</w:t>
            </w:r>
            <w:r w:rsidR="000B5651" w:rsidRPr="007F2028">
              <w:rPr>
                <w:rFonts w:cs="Times New Roman"/>
                <w:webHidden/>
                <w:sz w:val="23"/>
                <w:szCs w:val="23"/>
              </w:rPr>
              <w:tab/>
            </w:r>
            <w:r w:rsidR="000B5651" w:rsidRPr="007F2028">
              <w:rPr>
                <w:rFonts w:cs="Times New Roman"/>
                <w:webHidden/>
                <w:sz w:val="23"/>
                <w:szCs w:val="23"/>
              </w:rPr>
              <w:fldChar w:fldCharType="begin"/>
            </w:r>
            <w:r w:rsidR="000B5651" w:rsidRPr="007F2028">
              <w:rPr>
                <w:rFonts w:cs="Times New Roman"/>
                <w:webHidden/>
                <w:sz w:val="23"/>
                <w:szCs w:val="23"/>
              </w:rPr>
              <w:instrText xml:space="preserve"> PAGEREF _Toc70026074 \h </w:instrText>
            </w:r>
            <w:r w:rsidR="000B5651" w:rsidRPr="007F2028">
              <w:rPr>
                <w:rFonts w:cs="Times New Roman"/>
                <w:webHidden/>
                <w:sz w:val="23"/>
                <w:szCs w:val="23"/>
              </w:rPr>
            </w:r>
            <w:r w:rsidR="000B5651" w:rsidRPr="007F2028">
              <w:rPr>
                <w:rFonts w:cs="Times New Roman"/>
                <w:webHidden/>
                <w:sz w:val="23"/>
                <w:szCs w:val="23"/>
              </w:rPr>
              <w:fldChar w:fldCharType="separate"/>
            </w:r>
            <w:r w:rsidR="00EF18BD">
              <w:rPr>
                <w:rFonts w:cs="Times New Roman"/>
                <w:webHidden/>
                <w:sz w:val="23"/>
                <w:szCs w:val="23"/>
              </w:rPr>
              <w:t>2</w:t>
            </w:r>
            <w:r w:rsidR="000B5651" w:rsidRPr="007F2028">
              <w:rPr>
                <w:rFonts w:cs="Times New Roman"/>
                <w:webHidden/>
                <w:sz w:val="23"/>
                <w:szCs w:val="23"/>
              </w:rPr>
              <w:fldChar w:fldCharType="end"/>
            </w:r>
          </w:hyperlink>
        </w:p>
        <w:p w14:paraId="24D483BE" w14:textId="77777777" w:rsidR="000B5651" w:rsidRPr="007F2028" w:rsidRDefault="00EF18BD">
          <w:pPr>
            <w:pStyle w:val="Obsah1"/>
            <w:rPr>
              <w:rFonts w:eastAsiaTheme="minorEastAsia" w:cs="Times New Roman"/>
              <w:b w:val="0"/>
              <w:bCs w:val="0"/>
              <w:sz w:val="23"/>
              <w:szCs w:val="23"/>
              <w:lang w:eastAsia="sk-SK"/>
            </w:rPr>
          </w:pPr>
          <w:hyperlink w:anchor="_Toc70026075" w:history="1">
            <w:r w:rsidR="000B5651" w:rsidRPr="007F2028">
              <w:rPr>
                <w:rStyle w:val="Hypertextovprepojenie"/>
                <w:rFonts w:cs="Times New Roman"/>
                <w:sz w:val="23"/>
                <w:szCs w:val="23"/>
              </w:rPr>
              <w:t>1</w:t>
            </w:r>
            <w:r w:rsidR="000B5651" w:rsidRPr="007F2028">
              <w:rPr>
                <w:rFonts w:eastAsiaTheme="minorEastAsia" w:cs="Times New Roman"/>
                <w:b w:val="0"/>
                <w:bCs w:val="0"/>
                <w:sz w:val="23"/>
                <w:szCs w:val="23"/>
                <w:lang w:eastAsia="sk-SK"/>
              </w:rPr>
              <w:tab/>
            </w:r>
            <w:r w:rsidR="000B5651" w:rsidRPr="007F2028">
              <w:rPr>
                <w:rStyle w:val="Hypertextovprepojenie"/>
                <w:rFonts w:cs="Times New Roman"/>
                <w:sz w:val="23"/>
                <w:szCs w:val="23"/>
              </w:rPr>
              <w:t>Ekonomický rámec rozpočtového hospodárenia Slovenskej republiky</w:t>
            </w:r>
            <w:r w:rsidR="000B5651" w:rsidRPr="007F2028">
              <w:rPr>
                <w:rFonts w:cs="Times New Roman"/>
                <w:webHidden/>
                <w:sz w:val="23"/>
                <w:szCs w:val="23"/>
              </w:rPr>
              <w:tab/>
            </w:r>
            <w:r w:rsidR="000B5651" w:rsidRPr="007F2028">
              <w:rPr>
                <w:rFonts w:cs="Times New Roman"/>
                <w:webHidden/>
                <w:sz w:val="23"/>
                <w:szCs w:val="23"/>
              </w:rPr>
              <w:fldChar w:fldCharType="begin"/>
            </w:r>
            <w:r w:rsidR="000B5651" w:rsidRPr="007F2028">
              <w:rPr>
                <w:rFonts w:cs="Times New Roman"/>
                <w:webHidden/>
                <w:sz w:val="23"/>
                <w:szCs w:val="23"/>
              </w:rPr>
              <w:instrText xml:space="preserve"> PAGEREF _Toc70026075 \h </w:instrText>
            </w:r>
            <w:r w:rsidR="000B5651" w:rsidRPr="007F2028">
              <w:rPr>
                <w:rFonts w:cs="Times New Roman"/>
                <w:webHidden/>
                <w:sz w:val="23"/>
                <w:szCs w:val="23"/>
              </w:rPr>
            </w:r>
            <w:r w:rsidR="000B5651" w:rsidRPr="007F2028">
              <w:rPr>
                <w:rFonts w:cs="Times New Roman"/>
                <w:webHidden/>
                <w:sz w:val="23"/>
                <w:szCs w:val="23"/>
              </w:rPr>
              <w:fldChar w:fldCharType="separate"/>
            </w:r>
            <w:r>
              <w:rPr>
                <w:rFonts w:cs="Times New Roman"/>
                <w:webHidden/>
                <w:sz w:val="23"/>
                <w:szCs w:val="23"/>
              </w:rPr>
              <w:t>3</w:t>
            </w:r>
            <w:r w:rsidR="000B5651" w:rsidRPr="007F2028">
              <w:rPr>
                <w:rFonts w:cs="Times New Roman"/>
                <w:webHidden/>
                <w:sz w:val="23"/>
                <w:szCs w:val="23"/>
              </w:rPr>
              <w:fldChar w:fldCharType="end"/>
            </w:r>
          </w:hyperlink>
        </w:p>
        <w:p w14:paraId="07CED975" w14:textId="77777777" w:rsidR="000B5651" w:rsidRPr="007F2028" w:rsidRDefault="00EF18BD">
          <w:pPr>
            <w:pStyle w:val="Obsah2"/>
            <w:rPr>
              <w:rFonts w:eastAsiaTheme="minorEastAsia" w:cs="Times New Roman"/>
              <w:b w:val="0"/>
              <w:bCs w:val="0"/>
              <w:sz w:val="23"/>
              <w:szCs w:val="23"/>
              <w:lang w:eastAsia="sk-SK"/>
            </w:rPr>
          </w:pPr>
          <w:hyperlink w:anchor="_Toc70026076" w:history="1">
            <w:r w:rsidR="000B5651" w:rsidRPr="007F2028">
              <w:rPr>
                <w:rStyle w:val="Hypertextovprepojenie"/>
                <w:rFonts w:cs="Times New Roman"/>
                <w:sz w:val="23"/>
                <w:szCs w:val="23"/>
              </w:rPr>
              <w:t>1.1</w:t>
            </w:r>
            <w:r w:rsidR="000B5651" w:rsidRPr="007F2028">
              <w:rPr>
                <w:rFonts w:eastAsiaTheme="minorEastAsia" w:cs="Times New Roman"/>
                <w:b w:val="0"/>
                <w:bCs w:val="0"/>
                <w:sz w:val="23"/>
                <w:szCs w:val="23"/>
                <w:lang w:eastAsia="sk-SK"/>
              </w:rPr>
              <w:tab/>
            </w:r>
            <w:r w:rsidR="000B5651" w:rsidRPr="007F2028">
              <w:rPr>
                <w:rStyle w:val="Hypertextovprepojenie"/>
                <w:rFonts w:cs="Times New Roman"/>
                <w:sz w:val="23"/>
                <w:szCs w:val="23"/>
              </w:rPr>
              <w:t>Vonkajšie ekonomické prostredie</w:t>
            </w:r>
            <w:r w:rsidR="000B5651" w:rsidRPr="007F2028">
              <w:rPr>
                <w:rFonts w:cs="Times New Roman"/>
                <w:webHidden/>
                <w:sz w:val="23"/>
                <w:szCs w:val="23"/>
              </w:rPr>
              <w:tab/>
            </w:r>
            <w:r w:rsidR="000B5651" w:rsidRPr="007F2028">
              <w:rPr>
                <w:rFonts w:cs="Times New Roman"/>
                <w:webHidden/>
                <w:sz w:val="23"/>
                <w:szCs w:val="23"/>
              </w:rPr>
              <w:fldChar w:fldCharType="begin"/>
            </w:r>
            <w:r w:rsidR="000B5651" w:rsidRPr="007F2028">
              <w:rPr>
                <w:rFonts w:cs="Times New Roman"/>
                <w:webHidden/>
                <w:sz w:val="23"/>
                <w:szCs w:val="23"/>
              </w:rPr>
              <w:instrText xml:space="preserve"> PAGEREF _Toc70026076 \h </w:instrText>
            </w:r>
            <w:r w:rsidR="000B5651" w:rsidRPr="007F2028">
              <w:rPr>
                <w:rFonts w:cs="Times New Roman"/>
                <w:webHidden/>
                <w:sz w:val="23"/>
                <w:szCs w:val="23"/>
              </w:rPr>
            </w:r>
            <w:r w:rsidR="000B5651" w:rsidRPr="007F2028">
              <w:rPr>
                <w:rFonts w:cs="Times New Roman"/>
                <w:webHidden/>
                <w:sz w:val="23"/>
                <w:szCs w:val="23"/>
              </w:rPr>
              <w:fldChar w:fldCharType="separate"/>
            </w:r>
            <w:r>
              <w:rPr>
                <w:rFonts w:cs="Times New Roman"/>
                <w:webHidden/>
                <w:sz w:val="23"/>
                <w:szCs w:val="23"/>
              </w:rPr>
              <w:t>3</w:t>
            </w:r>
            <w:r w:rsidR="000B5651" w:rsidRPr="007F2028">
              <w:rPr>
                <w:rFonts w:cs="Times New Roman"/>
                <w:webHidden/>
                <w:sz w:val="23"/>
                <w:szCs w:val="23"/>
              </w:rPr>
              <w:fldChar w:fldCharType="end"/>
            </w:r>
          </w:hyperlink>
        </w:p>
        <w:p w14:paraId="25791148" w14:textId="77777777" w:rsidR="000B5651" w:rsidRPr="007F2028" w:rsidRDefault="00EF18BD">
          <w:pPr>
            <w:pStyle w:val="Obsah2"/>
            <w:rPr>
              <w:rFonts w:eastAsiaTheme="minorEastAsia" w:cs="Times New Roman"/>
              <w:b w:val="0"/>
              <w:bCs w:val="0"/>
              <w:sz w:val="23"/>
              <w:szCs w:val="23"/>
              <w:lang w:eastAsia="sk-SK"/>
            </w:rPr>
          </w:pPr>
          <w:hyperlink w:anchor="_Toc70026077" w:history="1">
            <w:r w:rsidR="000B5651" w:rsidRPr="007F2028">
              <w:rPr>
                <w:rStyle w:val="Hypertextovprepojenie"/>
                <w:rFonts w:cs="Times New Roman"/>
                <w:sz w:val="23"/>
                <w:szCs w:val="23"/>
              </w:rPr>
              <w:t>1.2</w:t>
            </w:r>
            <w:r w:rsidR="000B5651" w:rsidRPr="007F2028">
              <w:rPr>
                <w:rFonts w:eastAsiaTheme="minorEastAsia" w:cs="Times New Roman"/>
                <w:b w:val="0"/>
                <w:bCs w:val="0"/>
                <w:sz w:val="23"/>
                <w:szCs w:val="23"/>
                <w:lang w:eastAsia="sk-SK"/>
              </w:rPr>
              <w:tab/>
            </w:r>
            <w:r w:rsidR="000B5651" w:rsidRPr="007F2028">
              <w:rPr>
                <w:rStyle w:val="Hypertextovprepojenie"/>
                <w:rFonts w:cs="Times New Roman"/>
                <w:sz w:val="23"/>
                <w:szCs w:val="23"/>
              </w:rPr>
              <w:t>Makroekonomický vývoj SR</w:t>
            </w:r>
            <w:r w:rsidR="000B5651" w:rsidRPr="007F2028">
              <w:rPr>
                <w:rFonts w:cs="Times New Roman"/>
                <w:webHidden/>
                <w:sz w:val="23"/>
                <w:szCs w:val="23"/>
              </w:rPr>
              <w:tab/>
            </w:r>
            <w:r w:rsidR="000B5651" w:rsidRPr="007F2028">
              <w:rPr>
                <w:rFonts w:cs="Times New Roman"/>
                <w:webHidden/>
                <w:sz w:val="23"/>
                <w:szCs w:val="23"/>
              </w:rPr>
              <w:fldChar w:fldCharType="begin"/>
            </w:r>
            <w:r w:rsidR="000B5651" w:rsidRPr="007F2028">
              <w:rPr>
                <w:rFonts w:cs="Times New Roman"/>
                <w:webHidden/>
                <w:sz w:val="23"/>
                <w:szCs w:val="23"/>
              </w:rPr>
              <w:instrText xml:space="preserve"> PAGEREF _Toc70026077 \h </w:instrText>
            </w:r>
            <w:r w:rsidR="000B5651" w:rsidRPr="007F2028">
              <w:rPr>
                <w:rFonts w:cs="Times New Roman"/>
                <w:webHidden/>
                <w:sz w:val="23"/>
                <w:szCs w:val="23"/>
              </w:rPr>
            </w:r>
            <w:r w:rsidR="000B5651" w:rsidRPr="007F2028">
              <w:rPr>
                <w:rFonts w:cs="Times New Roman"/>
                <w:webHidden/>
                <w:sz w:val="23"/>
                <w:szCs w:val="23"/>
              </w:rPr>
              <w:fldChar w:fldCharType="separate"/>
            </w:r>
            <w:r>
              <w:rPr>
                <w:rFonts w:cs="Times New Roman"/>
                <w:webHidden/>
                <w:sz w:val="23"/>
                <w:szCs w:val="23"/>
              </w:rPr>
              <w:t>4</w:t>
            </w:r>
            <w:r w:rsidR="000B5651" w:rsidRPr="007F2028">
              <w:rPr>
                <w:rFonts w:cs="Times New Roman"/>
                <w:webHidden/>
                <w:sz w:val="23"/>
                <w:szCs w:val="23"/>
              </w:rPr>
              <w:fldChar w:fldCharType="end"/>
            </w:r>
          </w:hyperlink>
        </w:p>
        <w:p w14:paraId="3098BE57" w14:textId="77777777" w:rsidR="000B5651" w:rsidRPr="007F2028" w:rsidRDefault="00EF18BD">
          <w:pPr>
            <w:pStyle w:val="Obsah3"/>
            <w:rPr>
              <w:rFonts w:ascii="Times New Roman" w:eastAsiaTheme="minorEastAsia" w:hAnsi="Times New Roman" w:cs="Times New Roman"/>
              <w:smallCaps w:val="0"/>
              <w:noProof/>
              <w:sz w:val="23"/>
              <w:szCs w:val="23"/>
              <w:lang w:eastAsia="sk-SK"/>
            </w:rPr>
          </w:pPr>
          <w:hyperlink w:anchor="_Toc70026078" w:history="1">
            <w:r w:rsidR="000B5651" w:rsidRPr="007F2028">
              <w:rPr>
                <w:rStyle w:val="Hypertextovprepojenie"/>
                <w:rFonts w:ascii="Times New Roman" w:hAnsi="Times New Roman" w:cs="Times New Roman"/>
                <w:smallCaps w:val="0"/>
                <w:noProof/>
                <w:sz w:val="23"/>
                <w:szCs w:val="23"/>
              </w:rPr>
              <w:t>1.2.1</w:t>
            </w:r>
            <w:r w:rsidR="000B5651" w:rsidRPr="007F2028">
              <w:rPr>
                <w:rFonts w:ascii="Times New Roman" w:eastAsiaTheme="minorEastAsia" w:hAnsi="Times New Roman" w:cs="Times New Roman"/>
                <w:smallCaps w:val="0"/>
                <w:noProof/>
                <w:sz w:val="23"/>
                <w:szCs w:val="23"/>
                <w:lang w:eastAsia="sk-SK"/>
              </w:rPr>
              <w:tab/>
            </w:r>
            <w:r w:rsidR="000B5651" w:rsidRPr="007F2028">
              <w:rPr>
                <w:rStyle w:val="Hypertextovprepojenie"/>
                <w:rFonts w:ascii="Times New Roman" w:hAnsi="Times New Roman" w:cs="Times New Roman"/>
                <w:smallCaps w:val="0"/>
                <w:noProof/>
                <w:sz w:val="23"/>
                <w:szCs w:val="23"/>
              </w:rPr>
              <w:t>Hrubý domáci produkt</w:t>
            </w:r>
            <w:r w:rsidR="000B5651" w:rsidRPr="007F2028">
              <w:rPr>
                <w:rFonts w:ascii="Times New Roman" w:hAnsi="Times New Roman" w:cs="Times New Roman"/>
                <w:smallCaps w:val="0"/>
                <w:noProof/>
                <w:webHidden/>
                <w:sz w:val="23"/>
                <w:szCs w:val="23"/>
              </w:rPr>
              <w:tab/>
            </w:r>
            <w:r w:rsidR="000B5651" w:rsidRPr="007F2028">
              <w:rPr>
                <w:rFonts w:ascii="Times New Roman" w:hAnsi="Times New Roman" w:cs="Times New Roman"/>
                <w:smallCaps w:val="0"/>
                <w:noProof/>
                <w:webHidden/>
                <w:sz w:val="23"/>
                <w:szCs w:val="23"/>
              </w:rPr>
              <w:fldChar w:fldCharType="begin"/>
            </w:r>
            <w:r w:rsidR="000B5651" w:rsidRPr="007F2028">
              <w:rPr>
                <w:rFonts w:ascii="Times New Roman" w:hAnsi="Times New Roman" w:cs="Times New Roman"/>
                <w:smallCaps w:val="0"/>
                <w:noProof/>
                <w:webHidden/>
                <w:sz w:val="23"/>
                <w:szCs w:val="23"/>
              </w:rPr>
              <w:instrText xml:space="preserve"> PAGEREF _Toc70026078 \h </w:instrText>
            </w:r>
            <w:r w:rsidR="000B5651" w:rsidRPr="007F2028">
              <w:rPr>
                <w:rFonts w:ascii="Times New Roman" w:hAnsi="Times New Roman" w:cs="Times New Roman"/>
                <w:smallCaps w:val="0"/>
                <w:noProof/>
                <w:webHidden/>
                <w:sz w:val="23"/>
                <w:szCs w:val="23"/>
              </w:rPr>
            </w:r>
            <w:r w:rsidR="000B5651" w:rsidRPr="007F2028">
              <w:rPr>
                <w:rFonts w:ascii="Times New Roman" w:hAnsi="Times New Roman" w:cs="Times New Roman"/>
                <w:smallCaps w:val="0"/>
                <w:noProof/>
                <w:webHidden/>
                <w:sz w:val="23"/>
                <w:szCs w:val="23"/>
              </w:rPr>
              <w:fldChar w:fldCharType="separate"/>
            </w:r>
            <w:r>
              <w:rPr>
                <w:rFonts w:ascii="Times New Roman" w:hAnsi="Times New Roman" w:cs="Times New Roman"/>
                <w:smallCaps w:val="0"/>
                <w:noProof/>
                <w:webHidden/>
                <w:sz w:val="23"/>
                <w:szCs w:val="23"/>
              </w:rPr>
              <w:t>4</w:t>
            </w:r>
            <w:r w:rsidR="000B5651" w:rsidRPr="007F2028">
              <w:rPr>
                <w:rFonts w:ascii="Times New Roman" w:hAnsi="Times New Roman" w:cs="Times New Roman"/>
                <w:smallCaps w:val="0"/>
                <w:noProof/>
                <w:webHidden/>
                <w:sz w:val="23"/>
                <w:szCs w:val="23"/>
              </w:rPr>
              <w:fldChar w:fldCharType="end"/>
            </w:r>
          </w:hyperlink>
        </w:p>
        <w:p w14:paraId="6ECAD882" w14:textId="77777777" w:rsidR="000B5651" w:rsidRPr="007F2028" w:rsidRDefault="00EF18BD">
          <w:pPr>
            <w:pStyle w:val="Obsah3"/>
            <w:rPr>
              <w:rFonts w:ascii="Times New Roman" w:eastAsiaTheme="minorEastAsia" w:hAnsi="Times New Roman" w:cs="Times New Roman"/>
              <w:smallCaps w:val="0"/>
              <w:noProof/>
              <w:sz w:val="23"/>
              <w:szCs w:val="23"/>
              <w:lang w:eastAsia="sk-SK"/>
            </w:rPr>
          </w:pPr>
          <w:hyperlink w:anchor="_Toc70026079" w:history="1">
            <w:r w:rsidR="000B5651" w:rsidRPr="007F2028">
              <w:rPr>
                <w:rStyle w:val="Hypertextovprepojenie"/>
                <w:rFonts w:ascii="Times New Roman" w:hAnsi="Times New Roman" w:cs="Times New Roman"/>
                <w:smallCaps w:val="0"/>
                <w:noProof/>
                <w:sz w:val="23"/>
                <w:szCs w:val="23"/>
              </w:rPr>
              <w:t>1.2.2</w:t>
            </w:r>
            <w:r w:rsidR="000B5651" w:rsidRPr="007F2028">
              <w:rPr>
                <w:rFonts w:ascii="Times New Roman" w:eastAsiaTheme="minorEastAsia" w:hAnsi="Times New Roman" w:cs="Times New Roman"/>
                <w:smallCaps w:val="0"/>
                <w:noProof/>
                <w:sz w:val="23"/>
                <w:szCs w:val="23"/>
                <w:lang w:eastAsia="sk-SK"/>
              </w:rPr>
              <w:tab/>
            </w:r>
            <w:r w:rsidR="000B5651" w:rsidRPr="007F2028">
              <w:rPr>
                <w:rStyle w:val="Hypertextovprepojenie"/>
                <w:rFonts w:ascii="Times New Roman" w:hAnsi="Times New Roman" w:cs="Times New Roman"/>
                <w:smallCaps w:val="0"/>
                <w:noProof/>
                <w:sz w:val="23"/>
                <w:szCs w:val="23"/>
              </w:rPr>
              <w:t>Trh práce</w:t>
            </w:r>
            <w:r w:rsidR="000B5651" w:rsidRPr="007F2028">
              <w:rPr>
                <w:rFonts w:ascii="Times New Roman" w:hAnsi="Times New Roman" w:cs="Times New Roman"/>
                <w:smallCaps w:val="0"/>
                <w:noProof/>
                <w:webHidden/>
                <w:sz w:val="23"/>
                <w:szCs w:val="23"/>
              </w:rPr>
              <w:tab/>
            </w:r>
            <w:r w:rsidR="000B5651" w:rsidRPr="007F2028">
              <w:rPr>
                <w:rFonts w:ascii="Times New Roman" w:hAnsi="Times New Roman" w:cs="Times New Roman"/>
                <w:smallCaps w:val="0"/>
                <w:noProof/>
                <w:webHidden/>
                <w:sz w:val="23"/>
                <w:szCs w:val="23"/>
              </w:rPr>
              <w:fldChar w:fldCharType="begin"/>
            </w:r>
            <w:r w:rsidR="000B5651" w:rsidRPr="007F2028">
              <w:rPr>
                <w:rFonts w:ascii="Times New Roman" w:hAnsi="Times New Roman" w:cs="Times New Roman"/>
                <w:smallCaps w:val="0"/>
                <w:noProof/>
                <w:webHidden/>
                <w:sz w:val="23"/>
                <w:szCs w:val="23"/>
              </w:rPr>
              <w:instrText xml:space="preserve"> PAGEREF _Toc70026079 \h </w:instrText>
            </w:r>
            <w:r w:rsidR="000B5651" w:rsidRPr="007F2028">
              <w:rPr>
                <w:rFonts w:ascii="Times New Roman" w:hAnsi="Times New Roman" w:cs="Times New Roman"/>
                <w:smallCaps w:val="0"/>
                <w:noProof/>
                <w:webHidden/>
                <w:sz w:val="23"/>
                <w:szCs w:val="23"/>
              </w:rPr>
            </w:r>
            <w:r w:rsidR="000B5651" w:rsidRPr="007F2028">
              <w:rPr>
                <w:rFonts w:ascii="Times New Roman" w:hAnsi="Times New Roman" w:cs="Times New Roman"/>
                <w:smallCaps w:val="0"/>
                <w:noProof/>
                <w:webHidden/>
                <w:sz w:val="23"/>
                <w:szCs w:val="23"/>
              </w:rPr>
              <w:fldChar w:fldCharType="separate"/>
            </w:r>
            <w:r>
              <w:rPr>
                <w:rFonts w:ascii="Times New Roman" w:hAnsi="Times New Roman" w:cs="Times New Roman"/>
                <w:smallCaps w:val="0"/>
                <w:noProof/>
                <w:webHidden/>
                <w:sz w:val="23"/>
                <w:szCs w:val="23"/>
              </w:rPr>
              <w:t>5</w:t>
            </w:r>
            <w:r w:rsidR="000B5651" w:rsidRPr="007F2028">
              <w:rPr>
                <w:rFonts w:ascii="Times New Roman" w:hAnsi="Times New Roman" w:cs="Times New Roman"/>
                <w:smallCaps w:val="0"/>
                <w:noProof/>
                <w:webHidden/>
                <w:sz w:val="23"/>
                <w:szCs w:val="23"/>
              </w:rPr>
              <w:fldChar w:fldCharType="end"/>
            </w:r>
          </w:hyperlink>
        </w:p>
        <w:p w14:paraId="76E0E94F" w14:textId="77777777" w:rsidR="000B5651" w:rsidRPr="007F2028" w:rsidRDefault="00EF18BD">
          <w:pPr>
            <w:pStyle w:val="Obsah3"/>
            <w:rPr>
              <w:rFonts w:ascii="Times New Roman" w:eastAsiaTheme="minorEastAsia" w:hAnsi="Times New Roman" w:cs="Times New Roman"/>
              <w:smallCaps w:val="0"/>
              <w:noProof/>
              <w:sz w:val="23"/>
              <w:szCs w:val="23"/>
              <w:lang w:eastAsia="sk-SK"/>
            </w:rPr>
          </w:pPr>
          <w:hyperlink w:anchor="_Toc70026080" w:history="1">
            <w:r w:rsidR="000B5651" w:rsidRPr="007F2028">
              <w:rPr>
                <w:rStyle w:val="Hypertextovprepojenie"/>
                <w:rFonts w:ascii="Times New Roman" w:hAnsi="Times New Roman" w:cs="Times New Roman"/>
                <w:smallCaps w:val="0"/>
                <w:noProof/>
                <w:sz w:val="23"/>
                <w:szCs w:val="23"/>
              </w:rPr>
              <w:t>1.2.3</w:t>
            </w:r>
            <w:r w:rsidR="000B5651" w:rsidRPr="007F2028">
              <w:rPr>
                <w:rFonts w:ascii="Times New Roman" w:eastAsiaTheme="minorEastAsia" w:hAnsi="Times New Roman" w:cs="Times New Roman"/>
                <w:smallCaps w:val="0"/>
                <w:noProof/>
                <w:sz w:val="23"/>
                <w:szCs w:val="23"/>
                <w:lang w:eastAsia="sk-SK"/>
              </w:rPr>
              <w:tab/>
            </w:r>
            <w:r w:rsidR="000B5651" w:rsidRPr="007F2028">
              <w:rPr>
                <w:rStyle w:val="Hypertextovprepojenie"/>
                <w:rFonts w:ascii="Times New Roman" w:hAnsi="Times New Roman" w:cs="Times New Roman"/>
                <w:smallCaps w:val="0"/>
                <w:noProof/>
                <w:sz w:val="23"/>
                <w:szCs w:val="23"/>
              </w:rPr>
              <w:t>Vývoj cien</w:t>
            </w:r>
            <w:r w:rsidR="000B5651" w:rsidRPr="007F2028">
              <w:rPr>
                <w:rFonts w:ascii="Times New Roman" w:hAnsi="Times New Roman" w:cs="Times New Roman"/>
                <w:smallCaps w:val="0"/>
                <w:noProof/>
                <w:webHidden/>
                <w:sz w:val="23"/>
                <w:szCs w:val="23"/>
              </w:rPr>
              <w:tab/>
            </w:r>
            <w:r w:rsidR="000B5651" w:rsidRPr="007F2028">
              <w:rPr>
                <w:rFonts w:ascii="Times New Roman" w:hAnsi="Times New Roman" w:cs="Times New Roman"/>
                <w:smallCaps w:val="0"/>
                <w:noProof/>
                <w:webHidden/>
                <w:sz w:val="23"/>
                <w:szCs w:val="23"/>
              </w:rPr>
              <w:fldChar w:fldCharType="begin"/>
            </w:r>
            <w:r w:rsidR="000B5651" w:rsidRPr="007F2028">
              <w:rPr>
                <w:rFonts w:ascii="Times New Roman" w:hAnsi="Times New Roman" w:cs="Times New Roman"/>
                <w:smallCaps w:val="0"/>
                <w:noProof/>
                <w:webHidden/>
                <w:sz w:val="23"/>
                <w:szCs w:val="23"/>
              </w:rPr>
              <w:instrText xml:space="preserve"> PAGEREF _Toc70026080 \h </w:instrText>
            </w:r>
            <w:r w:rsidR="000B5651" w:rsidRPr="007F2028">
              <w:rPr>
                <w:rFonts w:ascii="Times New Roman" w:hAnsi="Times New Roman" w:cs="Times New Roman"/>
                <w:smallCaps w:val="0"/>
                <w:noProof/>
                <w:webHidden/>
                <w:sz w:val="23"/>
                <w:szCs w:val="23"/>
              </w:rPr>
            </w:r>
            <w:r w:rsidR="000B5651" w:rsidRPr="007F2028">
              <w:rPr>
                <w:rFonts w:ascii="Times New Roman" w:hAnsi="Times New Roman" w:cs="Times New Roman"/>
                <w:smallCaps w:val="0"/>
                <w:noProof/>
                <w:webHidden/>
                <w:sz w:val="23"/>
                <w:szCs w:val="23"/>
              </w:rPr>
              <w:fldChar w:fldCharType="separate"/>
            </w:r>
            <w:r>
              <w:rPr>
                <w:rFonts w:ascii="Times New Roman" w:hAnsi="Times New Roman" w:cs="Times New Roman"/>
                <w:smallCaps w:val="0"/>
                <w:noProof/>
                <w:webHidden/>
                <w:sz w:val="23"/>
                <w:szCs w:val="23"/>
              </w:rPr>
              <w:t>5</w:t>
            </w:r>
            <w:r w:rsidR="000B5651" w:rsidRPr="007F2028">
              <w:rPr>
                <w:rFonts w:ascii="Times New Roman" w:hAnsi="Times New Roman" w:cs="Times New Roman"/>
                <w:smallCaps w:val="0"/>
                <w:noProof/>
                <w:webHidden/>
                <w:sz w:val="23"/>
                <w:szCs w:val="23"/>
              </w:rPr>
              <w:fldChar w:fldCharType="end"/>
            </w:r>
          </w:hyperlink>
        </w:p>
        <w:p w14:paraId="2D638618" w14:textId="77777777" w:rsidR="000B5651" w:rsidRPr="007F2028" w:rsidRDefault="00EF18BD">
          <w:pPr>
            <w:pStyle w:val="Obsah3"/>
            <w:rPr>
              <w:rFonts w:ascii="Times New Roman" w:eastAsiaTheme="minorEastAsia" w:hAnsi="Times New Roman" w:cs="Times New Roman"/>
              <w:smallCaps w:val="0"/>
              <w:noProof/>
              <w:sz w:val="23"/>
              <w:szCs w:val="23"/>
              <w:lang w:eastAsia="sk-SK"/>
            </w:rPr>
          </w:pPr>
          <w:hyperlink w:anchor="_Toc70026081" w:history="1">
            <w:r w:rsidR="000B5651" w:rsidRPr="007F2028">
              <w:rPr>
                <w:rStyle w:val="Hypertextovprepojenie"/>
                <w:rFonts w:ascii="Times New Roman" w:hAnsi="Times New Roman" w:cs="Times New Roman"/>
                <w:smallCaps w:val="0"/>
                <w:noProof/>
                <w:sz w:val="23"/>
                <w:szCs w:val="23"/>
              </w:rPr>
              <w:t>1.2.4</w:t>
            </w:r>
            <w:r w:rsidR="000B5651" w:rsidRPr="007F2028">
              <w:rPr>
                <w:rFonts w:ascii="Times New Roman" w:eastAsiaTheme="minorEastAsia" w:hAnsi="Times New Roman" w:cs="Times New Roman"/>
                <w:smallCaps w:val="0"/>
                <w:noProof/>
                <w:sz w:val="23"/>
                <w:szCs w:val="23"/>
                <w:lang w:eastAsia="sk-SK"/>
              </w:rPr>
              <w:tab/>
            </w:r>
            <w:r w:rsidR="000B5651" w:rsidRPr="007F2028">
              <w:rPr>
                <w:rStyle w:val="Hypertextovprepojenie"/>
                <w:rFonts w:ascii="Times New Roman" w:hAnsi="Times New Roman" w:cs="Times New Roman"/>
                <w:smallCaps w:val="0"/>
                <w:noProof/>
                <w:sz w:val="23"/>
                <w:szCs w:val="23"/>
              </w:rPr>
              <w:t>Platobná bilancia</w:t>
            </w:r>
            <w:r w:rsidR="000B5651" w:rsidRPr="007F2028">
              <w:rPr>
                <w:rFonts w:ascii="Times New Roman" w:hAnsi="Times New Roman" w:cs="Times New Roman"/>
                <w:smallCaps w:val="0"/>
                <w:noProof/>
                <w:webHidden/>
                <w:sz w:val="23"/>
                <w:szCs w:val="23"/>
              </w:rPr>
              <w:tab/>
            </w:r>
            <w:r w:rsidR="000B5651" w:rsidRPr="007F2028">
              <w:rPr>
                <w:rFonts w:ascii="Times New Roman" w:hAnsi="Times New Roman" w:cs="Times New Roman"/>
                <w:smallCaps w:val="0"/>
                <w:noProof/>
                <w:webHidden/>
                <w:sz w:val="23"/>
                <w:szCs w:val="23"/>
              </w:rPr>
              <w:fldChar w:fldCharType="begin"/>
            </w:r>
            <w:r w:rsidR="000B5651" w:rsidRPr="007F2028">
              <w:rPr>
                <w:rFonts w:ascii="Times New Roman" w:hAnsi="Times New Roman" w:cs="Times New Roman"/>
                <w:smallCaps w:val="0"/>
                <w:noProof/>
                <w:webHidden/>
                <w:sz w:val="23"/>
                <w:szCs w:val="23"/>
              </w:rPr>
              <w:instrText xml:space="preserve"> PAGEREF _Toc70026081 \h </w:instrText>
            </w:r>
            <w:r w:rsidR="000B5651" w:rsidRPr="007F2028">
              <w:rPr>
                <w:rFonts w:ascii="Times New Roman" w:hAnsi="Times New Roman" w:cs="Times New Roman"/>
                <w:smallCaps w:val="0"/>
                <w:noProof/>
                <w:webHidden/>
                <w:sz w:val="23"/>
                <w:szCs w:val="23"/>
              </w:rPr>
            </w:r>
            <w:r w:rsidR="000B5651" w:rsidRPr="007F2028">
              <w:rPr>
                <w:rFonts w:ascii="Times New Roman" w:hAnsi="Times New Roman" w:cs="Times New Roman"/>
                <w:smallCaps w:val="0"/>
                <w:noProof/>
                <w:webHidden/>
                <w:sz w:val="23"/>
                <w:szCs w:val="23"/>
              </w:rPr>
              <w:fldChar w:fldCharType="separate"/>
            </w:r>
            <w:r>
              <w:rPr>
                <w:rFonts w:ascii="Times New Roman" w:hAnsi="Times New Roman" w:cs="Times New Roman"/>
                <w:smallCaps w:val="0"/>
                <w:noProof/>
                <w:webHidden/>
                <w:sz w:val="23"/>
                <w:szCs w:val="23"/>
              </w:rPr>
              <w:t>6</w:t>
            </w:r>
            <w:r w:rsidR="000B5651" w:rsidRPr="007F2028">
              <w:rPr>
                <w:rFonts w:ascii="Times New Roman" w:hAnsi="Times New Roman" w:cs="Times New Roman"/>
                <w:smallCaps w:val="0"/>
                <w:noProof/>
                <w:webHidden/>
                <w:sz w:val="23"/>
                <w:szCs w:val="23"/>
              </w:rPr>
              <w:fldChar w:fldCharType="end"/>
            </w:r>
          </w:hyperlink>
        </w:p>
        <w:p w14:paraId="5E1C0D13" w14:textId="77777777" w:rsidR="000B5651" w:rsidRPr="007F2028" w:rsidRDefault="00EF18BD">
          <w:pPr>
            <w:pStyle w:val="Obsah3"/>
            <w:rPr>
              <w:rFonts w:ascii="Times New Roman" w:eastAsiaTheme="minorEastAsia" w:hAnsi="Times New Roman" w:cs="Times New Roman"/>
              <w:smallCaps w:val="0"/>
              <w:noProof/>
              <w:sz w:val="23"/>
              <w:szCs w:val="23"/>
              <w:lang w:eastAsia="sk-SK"/>
            </w:rPr>
          </w:pPr>
          <w:hyperlink w:anchor="_Toc70026082" w:history="1">
            <w:r w:rsidR="000B5651" w:rsidRPr="007F2028">
              <w:rPr>
                <w:rStyle w:val="Hypertextovprepojenie"/>
                <w:rFonts w:ascii="Times New Roman" w:hAnsi="Times New Roman" w:cs="Times New Roman"/>
                <w:smallCaps w:val="0"/>
                <w:noProof/>
                <w:sz w:val="23"/>
                <w:szCs w:val="23"/>
              </w:rPr>
              <w:t>1.2.5</w:t>
            </w:r>
            <w:r w:rsidR="000B5651" w:rsidRPr="007F2028">
              <w:rPr>
                <w:rFonts w:ascii="Times New Roman" w:eastAsiaTheme="minorEastAsia" w:hAnsi="Times New Roman" w:cs="Times New Roman"/>
                <w:smallCaps w:val="0"/>
                <w:noProof/>
                <w:sz w:val="23"/>
                <w:szCs w:val="23"/>
                <w:lang w:eastAsia="sk-SK"/>
              </w:rPr>
              <w:tab/>
            </w:r>
            <w:r w:rsidR="000B5651" w:rsidRPr="007F2028">
              <w:rPr>
                <w:rStyle w:val="Hypertextovprepojenie"/>
                <w:rFonts w:ascii="Times New Roman" w:hAnsi="Times New Roman" w:cs="Times New Roman"/>
                <w:smallCaps w:val="0"/>
                <w:noProof/>
                <w:sz w:val="23"/>
                <w:szCs w:val="23"/>
              </w:rPr>
              <w:t>Porovnanie makroekonomických predpokladov rozpočtu a skutočnosti</w:t>
            </w:r>
            <w:r w:rsidR="000B5651" w:rsidRPr="007F2028">
              <w:rPr>
                <w:rFonts w:ascii="Times New Roman" w:hAnsi="Times New Roman" w:cs="Times New Roman"/>
                <w:smallCaps w:val="0"/>
                <w:noProof/>
                <w:webHidden/>
                <w:sz w:val="23"/>
                <w:szCs w:val="23"/>
              </w:rPr>
              <w:tab/>
            </w:r>
            <w:r w:rsidR="000B5651" w:rsidRPr="007F2028">
              <w:rPr>
                <w:rFonts w:ascii="Times New Roman" w:hAnsi="Times New Roman" w:cs="Times New Roman"/>
                <w:smallCaps w:val="0"/>
                <w:noProof/>
                <w:webHidden/>
                <w:sz w:val="23"/>
                <w:szCs w:val="23"/>
              </w:rPr>
              <w:fldChar w:fldCharType="begin"/>
            </w:r>
            <w:r w:rsidR="000B5651" w:rsidRPr="007F2028">
              <w:rPr>
                <w:rFonts w:ascii="Times New Roman" w:hAnsi="Times New Roman" w:cs="Times New Roman"/>
                <w:smallCaps w:val="0"/>
                <w:noProof/>
                <w:webHidden/>
                <w:sz w:val="23"/>
                <w:szCs w:val="23"/>
              </w:rPr>
              <w:instrText xml:space="preserve"> PAGEREF _Toc70026082 \h </w:instrText>
            </w:r>
            <w:r w:rsidR="000B5651" w:rsidRPr="007F2028">
              <w:rPr>
                <w:rFonts w:ascii="Times New Roman" w:hAnsi="Times New Roman" w:cs="Times New Roman"/>
                <w:smallCaps w:val="0"/>
                <w:noProof/>
                <w:webHidden/>
                <w:sz w:val="23"/>
                <w:szCs w:val="23"/>
              </w:rPr>
            </w:r>
            <w:r w:rsidR="000B5651" w:rsidRPr="007F2028">
              <w:rPr>
                <w:rFonts w:ascii="Times New Roman" w:hAnsi="Times New Roman" w:cs="Times New Roman"/>
                <w:smallCaps w:val="0"/>
                <w:noProof/>
                <w:webHidden/>
                <w:sz w:val="23"/>
                <w:szCs w:val="23"/>
              </w:rPr>
              <w:fldChar w:fldCharType="separate"/>
            </w:r>
            <w:r>
              <w:rPr>
                <w:rFonts w:ascii="Times New Roman" w:hAnsi="Times New Roman" w:cs="Times New Roman"/>
                <w:smallCaps w:val="0"/>
                <w:noProof/>
                <w:webHidden/>
                <w:sz w:val="23"/>
                <w:szCs w:val="23"/>
              </w:rPr>
              <w:t>6</w:t>
            </w:r>
            <w:r w:rsidR="000B5651" w:rsidRPr="007F2028">
              <w:rPr>
                <w:rFonts w:ascii="Times New Roman" w:hAnsi="Times New Roman" w:cs="Times New Roman"/>
                <w:smallCaps w:val="0"/>
                <w:noProof/>
                <w:webHidden/>
                <w:sz w:val="23"/>
                <w:szCs w:val="23"/>
              </w:rPr>
              <w:fldChar w:fldCharType="end"/>
            </w:r>
          </w:hyperlink>
        </w:p>
        <w:p w14:paraId="752E813E" w14:textId="77777777" w:rsidR="000B5651" w:rsidRPr="007F2028" w:rsidRDefault="00EF18BD">
          <w:pPr>
            <w:pStyle w:val="Obsah1"/>
            <w:rPr>
              <w:rFonts w:eastAsiaTheme="minorEastAsia" w:cs="Times New Roman"/>
              <w:b w:val="0"/>
              <w:bCs w:val="0"/>
              <w:sz w:val="23"/>
              <w:szCs w:val="23"/>
              <w:lang w:eastAsia="sk-SK"/>
            </w:rPr>
          </w:pPr>
          <w:hyperlink w:anchor="_Toc70026083" w:history="1">
            <w:r w:rsidR="000B5651" w:rsidRPr="007F2028">
              <w:rPr>
                <w:rStyle w:val="Hypertextovprepojenie"/>
                <w:rFonts w:cs="Times New Roman"/>
                <w:sz w:val="23"/>
                <w:szCs w:val="23"/>
              </w:rPr>
              <w:t>2</w:t>
            </w:r>
            <w:r w:rsidR="000B5651" w:rsidRPr="007F2028">
              <w:rPr>
                <w:rFonts w:eastAsiaTheme="minorEastAsia" w:cs="Times New Roman"/>
                <w:b w:val="0"/>
                <w:bCs w:val="0"/>
                <w:sz w:val="23"/>
                <w:szCs w:val="23"/>
                <w:lang w:eastAsia="sk-SK"/>
              </w:rPr>
              <w:tab/>
            </w:r>
            <w:r w:rsidR="000B5651" w:rsidRPr="007F2028">
              <w:rPr>
                <w:rStyle w:val="Hypertextovprepojenie"/>
                <w:rFonts w:cs="Times New Roman"/>
                <w:sz w:val="23"/>
                <w:szCs w:val="23"/>
              </w:rPr>
              <w:t>Hospodárenie verejnej správy v metodike ESA 2010</w:t>
            </w:r>
            <w:r w:rsidR="000B5651" w:rsidRPr="007F2028">
              <w:rPr>
                <w:rFonts w:cs="Times New Roman"/>
                <w:webHidden/>
                <w:sz w:val="23"/>
                <w:szCs w:val="23"/>
              </w:rPr>
              <w:tab/>
            </w:r>
            <w:r w:rsidR="000B5651" w:rsidRPr="007F2028">
              <w:rPr>
                <w:rFonts w:cs="Times New Roman"/>
                <w:webHidden/>
                <w:sz w:val="23"/>
                <w:szCs w:val="23"/>
              </w:rPr>
              <w:fldChar w:fldCharType="begin"/>
            </w:r>
            <w:r w:rsidR="000B5651" w:rsidRPr="007F2028">
              <w:rPr>
                <w:rFonts w:cs="Times New Roman"/>
                <w:webHidden/>
                <w:sz w:val="23"/>
                <w:szCs w:val="23"/>
              </w:rPr>
              <w:instrText xml:space="preserve"> PAGEREF _Toc70026083 \h </w:instrText>
            </w:r>
            <w:r w:rsidR="000B5651" w:rsidRPr="007F2028">
              <w:rPr>
                <w:rFonts w:cs="Times New Roman"/>
                <w:webHidden/>
                <w:sz w:val="23"/>
                <w:szCs w:val="23"/>
              </w:rPr>
            </w:r>
            <w:r w:rsidR="000B5651" w:rsidRPr="007F2028">
              <w:rPr>
                <w:rFonts w:cs="Times New Roman"/>
                <w:webHidden/>
                <w:sz w:val="23"/>
                <w:szCs w:val="23"/>
              </w:rPr>
              <w:fldChar w:fldCharType="separate"/>
            </w:r>
            <w:r>
              <w:rPr>
                <w:rFonts w:cs="Times New Roman"/>
                <w:webHidden/>
                <w:sz w:val="23"/>
                <w:szCs w:val="23"/>
              </w:rPr>
              <w:t>7</w:t>
            </w:r>
            <w:r w:rsidR="000B5651" w:rsidRPr="007F2028">
              <w:rPr>
                <w:rFonts w:cs="Times New Roman"/>
                <w:webHidden/>
                <w:sz w:val="23"/>
                <w:szCs w:val="23"/>
              </w:rPr>
              <w:fldChar w:fldCharType="end"/>
            </w:r>
          </w:hyperlink>
        </w:p>
        <w:p w14:paraId="14212495" w14:textId="77777777" w:rsidR="000B5651" w:rsidRPr="007F2028" w:rsidRDefault="00EF18BD">
          <w:pPr>
            <w:pStyle w:val="Obsah2"/>
            <w:rPr>
              <w:rFonts w:eastAsiaTheme="minorEastAsia" w:cs="Times New Roman"/>
              <w:b w:val="0"/>
              <w:bCs w:val="0"/>
              <w:sz w:val="23"/>
              <w:szCs w:val="23"/>
              <w:lang w:eastAsia="sk-SK"/>
            </w:rPr>
          </w:pPr>
          <w:hyperlink w:anchor="_Toc70026084" w:history="1">
            <w:r w:rsidR="000B5651" w:rsidRPr="007F2028">
              <w:rPr>
                <w:rStyle w:val="Hypertextovprepojenie"/>
                <w:rFonts w:cs="Times New Roman"/>
                <w:sz w:val="23"/>
                <w:szCs w:val="23"/>
              </w:rPr>
              <w:t>2.1</w:t>
            </w:r>
            <w:r w:rsidR="000B5651" w:rsidRPr="007F2028">
              <w:rPr>
                <w:rFonts w:eastAsiaTheme="minorEastAsia" w:cs="Times New Roman"/>
                <w:b w:val="0"/>
                <w:bCs w:val="0"/>
                <w:sz w:val="23"/>
                <w:szCs w:val="23"/>
                <w:lang w:eastAsia="sk-SK"/>
              </w:rPr>
              <w:tab/>
            </w:r>
            <w:r w:rsidR="000B5651" w:rsidRPr="007F2028">
              <w:rPr>
                <w:rStyle w:val="Hypertextovprepojenie"/>
                <w:rFonts w:cs="Times New Roman"/>
                <w:sz w:val="23"/>
                <w:szCs w:val="23"/>
              </w:rPr>
              <w:t>Zámery, ciele a opatrenia rozpočtovej politiky v roku 2020</w:t>
            </w:r>
            <w:r w:rsidR="000B5651" w:rsidRPr="007F2028">
              <w:rPr>
                <w:rFonts w:cs="Times New Roman"/>
                <w:webHidden/>
                <w:sz w:val="23"/>
                <w:szCs w:val="23"/>
              </w:rPr>
              <w:tab/>
            </w:r>
            <w:r w:rsidR="000B5651" w:rsidRPr="007F2028">
              <w:rPr>
                <w:rFonts w:cs="Times New Roman"/>
                <w:webHidden/>
                <w:sz w:val="23"/>
                <w:szCs w:val="23"/>
              </w:rPr>
              <w:fldChar w:fldCharType="begin"/>
            </w:r>
            <w:r w:rsidR="000B5651" w:rsidRPr="007F2028">
              <w:rPr>
                <w:rFonts w:cs="Times New Roman"/>
                <w:webHidden/>
                <w:sz w:val="23"/>
                <w:szCs w:val="23"/>
              </w:rPr>
              <w:instrText xml:space="preserve"> PAGEREF _Toc70026084 \h </w:instrText>
            </w:r>
            <w:r w:rsidR="000B5651" w:rsidRPr="007F2028">
              <w:rPr>
                <w:rFonts w:cs="Times New Roman"/>
                <w:webHidden/>
                <w:sz w:val="23"/>
                <w:szCs w:val="23"/>
              </w:rPr>
            </w:r>
            <w:r w:rsidR="000B5651" w:rsidRPr="007F2028">
              <w:rPr>
                <w:rFonts w:cs="Times New Roman"/>
                <w:webHidden/>
                <w:sz w:val="23"/>
                <w:szCs w:val="23"/>
              </w:rPr>
              <w:fldChar w:fldCharType="separate"/>
            </w:r>
            <w:r>
              <w:rPr>
                <w:rFonts w:cs="Times New Roman"/>
                <w:webHidden/>
                <w:sz w:val="23"/>
                <w:szCs w:val="23"/>
              </w:rPr>
              <w:t>7</w:t>
            </w:r>
            <w:r w:rsidR="000B5651" w:rsidRPr="007F2028">
              <w:rPr>
                <w:rFonts w:cs="Times New Roman"/>
                <w:webHidden/>
                <w:sz w:val="23"/>
                <w:szCs w:val="23"/>
              </w:rPr>
              <w:fldChar w:fldCharType="end"/>
            </w:r>
          </w:hyperlink>
        </w:p>
        <w:p w14:paraId="568521BF" w14:textId="77777777" w:rsidR="000B5651" w:rsidRPr="007F2028" w:rsidRDefault="00EF18BD">
          <w:pPr>
            <w:pStyle w:val="Obsah2"/>
            <w:rPr>
              <w:rFonts w:eastAsiaTheme="minorEastAsia" w:cs="Times New Roman"/>
              <w:b w:val="0"/>
              <w:bCs w:val="0"/>
              <w:sz w:val="23"/>
              <w:szCs w:val="23"/>
              <w:lang w:eastAsia="sk-SK"/>
            </w:rPr>
          </w:pPr>
          <w:hyperlink w:anchor="_Toc70026085" w:history="1">
            <w:r w:rsidR="000B5651" w:rsidRPr="007F2028">
              <w:rPr>
                <w:rStyle w:val="Hypertextovprepojenie"/>
                <w:rFonts w:cs="Times New Roman"/>
                <w:sz w:val="23"/>
                <w:szCs w:val="23"/>
              </w:rPr>
              <w:t>2.2</w:t>
            </w:r>
            <w:r w:rsidR="000B5651" w:rsidRPr="007F2028">
              <w:rPr>
                <w:rFonts w:eastAsiaTheme="minorEastAsia" w:cs="Times New Roman"/>
                <w:b w:val="0"/>
                <w:bCs w:val="0"/>
                <w:sz w:val="23"/>
                <w:szCs w:val="23"/>
                <w:lang w:eastAsia="sk-SK"/>
              </w:rPr>
              <w:tab/>
            </w:r>
            <w:r w:rsidR="000B5651" w:rsidRPr="007F2028">
              <w:rPr>
                <w:rStyle w:val="Hypertextovprepojenie"/>
                <w:rFonts w:cs="Times New Roman"/>
                <w:sz w:val="23"/>
                <w:szCs w:val="23"/>
              </w:rPr>
              <w:t>Saldo verejnej správy</w:t>
            </w:r>
            <w:r w:rsidR="000B5651" w:rsidRPr="007F2028">
              <w:rPr>
                <w:rFonts w:cs="Times New Roman"/>
                <w:webHidden/>
                <w:sz w:val="23"/>
                <w:szCs w:val="23"/>
              </w:rPr>
              <w:tab/>
            </w:r>
            <w:r w:rsidR="000B5651" w:rsidRPr="007F2028">
              <w:rPr>
                <w:rFonts w:cs="Times New Roman"/>
                <w:webHidden/>
                <w:sz w:val="23"/>
                <w:szCs w:val="23"/>
              </w:rPr>
              <w:fldChar w:fldCharType="begin"/>
            </w:r>
            <w:r w:rsidR="000B5651" w:rsidRPr="007F2028">
              <w:rPr>
                <w:rFonts w:cs="Times New Roman"/>
                <w:webHidden/>
                <w:sz w:val="23"/>
                <w:szCs w:val="23"/>
              </w:rPr>
              <w:instrText xml:space="preserve"> PAGEREF _Toc70026085 \h </w:instrText>
            </w:r>
            <w:r w:rsidR="000B5651" w:rsidRPr="007F2028">
              <w:rPr>
                <w:rFonts w:cs="Times New Roman"/>
                <w:webHidden/>
                <w:sz w:val="23"/>
                <w:szCs w:val="23"/>
              </w:rPr>
            </w:r>
            <w:r w:rsidR="000B5651" w:rsidRPr="007F2028">
              <w:rPr>
                <w:rFonts w:cs="Times New Roman"/>
                <w:webHidden/>
                <w:sz w:val="23"/>
                <w:szCs w:val="23"/>
              </w:rPr>
              <w:fldChar w:fldCharType="separate"/>
            </w:r>
            <w:r>
              <w:rPr>
                <w:rFonts w:cs="Times New Roman"/>
                <w:webHidden/>
                <w:sz w:val="23"/>
                <w:szCs w:val="23"/>
              </w:rPr>
              <w:t>10</w:t>
            </w:r>
            <w:r w:rsidR="000B5651" w:rsidRPr="007F2028">
              <w:rPr>
                <w:rFonts w:cs="Times New Roman"/>
                <w:webHidden/>
                <w:sz w:val="23"/>
                <w:szCs w:val="23"/>
              </w:rPr>
              <w:fldChar w:fldCharType="end"/>
            </w:r>
          </w:hyperlink>
        </w:p>
        <w:p w14:paraId="4C6C9060" w14:textId="77777777" w:rsidR="000B5651" w:rsidRPr="007F2028" w:rsidRDefault="00EF18BD">
          <w:pPr>
            <w:pStyle w:val="Obsah2"/>
            <w:rPr>
              <w:rFonts w:eastAsiaTheme="minorEastAsia" w:cs="Times New Roman"/>
              <w:b w:val="0"/>
              <w:bCs w:val="0"/>
              <w:sz w:val="23"/>
              <w:szCs w:val="23"/>
              <w:lang w:eastAsia="sk-SK"/>
            </w:rPr>
          </w:pPr>
          <w:hyperlink w:anchor="_Toc70026086" w:history="1">
            <w:r w:rsidR="000B5651" w:rsidRPr="007F2028">
              <w:rPr>
                <w:rStyle w:val="Hypertextovprepojenie"/>
                <w:rFonts w:cs="Times New Roman"/>
                <w:sz w:val="23"/>
                <w:szCs w:val="23"/>
              </w:rPr>
              <w:t>2.3</w:t>
            </w:r>
            <w:r w:rsidR="000B5651" w:rsidRPr="007F2028">
              <w:rPr>
                <w:rFonts w:eastAsiaTheme="minorEastAsia" w:cs="Times New Roman"/>
                <w:b w:val="0"/>
                <w:bCs w:val="0"/>
                <w:sz w:val="23"/>
                <w:szCs w:val="23"/>
                <w:lang w:eastAsia="sk-SK"/>
              </w:rPr>
              <w:tab/>
            </w:r>
            <w:r w:rsidR="000B5651" w:rsidRPr="007F2028">
              <w:rPr>
                <w:rStyle w:val="Hypertextovprepojenie"/>
                <w:rFonts w:cs="Times New Roman"/>
                <w:sz w:val="23"/>
                <w:szCs w:val="23"/>
              </w:rPr>
              <w:t>Vplyv COVID-19 na saldo verejnej správy</w:t>
            </w:r>
            <w:r w:rsidR="000B5651" w:rsidRPr="007F2028">
              <w:rPr>
                <w:rFonts w:cs="Times New Roman"/>
                <w:webHidden/>
                <w:sz w:val="23"/>
                <w:szCs w:val="23"/>
              </w:rPr>
              <w:tab/>
            </w:r>
            <w:r w:rsidR="000B5651" w:rsidRPr="007F2028">
              <w:rPr>
                <w:rFonts w:cs="Times New Roman"/>
                <w:webHidden/>
                <w:sz w:val="23"/>
                <w:szCs w:val="23"/>
              </w:rPr>
              <w:fldChar w:fldCharType="begin"/>
            </w:r>
            <w:r w:rsidR="000B5651" w:rsidRPr="007F2028">
              <w:rPr>
                <w:rFonts w:cs="Times New Roman"/>
                <w:webHidden/>
                <w:sz w:val="23"/>
                <w:szCs w:val="23"/>
              </w:rPr>
              <w:instrText xml:space="preserve"> PAGEREF _Toc70026086 \h </w:instrText>
            </w:r>
            <w:r w:rsidR="000B5651" w:rsidRPr="007F2028">
              <w:rPr>
                <w:rFonts w:cs="Times New Roman"/>
                <w:webHidden/>
                <w:sz w:val="23"/>
                <w:szCs w:val="23"/>
              </w:rPr>
            </w:r>
            <w:r w:rsidR="000B5651" w:rsidRPr="007F2028">
              <w:rPr>
                <w:rFonts w:cs="Times New Roman"/>
                <w:webHidden/>
                <w:sz w:val="23"/>
                <w:szCs w:val="23"/>
              </w:rPr>
              <w:fldChar w:fldCharType="separate"/>
            </w:r>
            <w:r>
              <w:rPr>
                <w:rFonts w:cs="Times New Roman"/>
                <w:webHidden/>
                <w:sz w:val="23"/>
                <w:szCs w:val="23"/>
              </w:rPr>
              <w:t>29</w:t>
            </w:r>
            <w:r w:rsidR="000B5651" w:rsidRPr="007F2028">
              <w:rPr>
                <w:rFonts w:cs="Times New Roman"/>
                <w:webHidden/>
                <w:sz w:val="23"/>
                <w:szCs w:val="23"/>
              </w:rPr>
              <w:fldChar w:fldCharType="end"/>
            </w:r>
          </w:hyperlink>
        </w:p>
        <w:p w14:paraId="7BEB939B" w14:textId="77777777" w:rsidR="000B5651" w:rsidRPr="007F2028" w:rsidRDefault="00EF18BD">
          <w:pPr>
            <w:pStyle w:val="Obsah2"/>
            <w:rPr>
              <w:rFonts w:eastAsiaTheme="minorEastAsia" w:cs="Times New Roman"/>
              <w:b w:val="0"/>
              <w:bCs w:val="0"/>
              <w:sz w:val="23"/>
              <w:szCs w:val="23"/>
              <w:lang w:eastAsia="sk-SK"/>
            </w:rPr>
          </w:pPr>
          <w:hyperlink w:anchor="_Toc70026087" w:history="1">
            <w:r w:rsidR="000B5651" w:rsidRPr="007F2028">
              <w:rPr>
                <w:rStyle w:val="Hypertextovprepojenie"/>
                <w:rFonts w:cs="Times New Roman"/>
                <w:sz w:val="23"/>
                <w:szCs w:val="23"/>
              </w:rPr>
              <w:t>2.4</w:t>
            </w:r>
            <w:r w:rsidR="000B5651" w:rsidRPr="007F2028">
              <w:rPr>
                <w:rFonts w:eastAsiaTheme="minorEastAsia" w:cs="Times New Roman"/>
                <w:b w:val="0"/>
                <w:bCs w:val="0"/>
                <w:sz w:val="23"/>
                <w:szCs w:val="23"/>
                <w:lang w:eastAsia="sk-SK"/>
              </w:rPr>
              <w:tab/>
            </w:r>
            <w:r w:rsidR="000B5651" w:rsidRPr="007F2028">
              <w:rPr>
                <w:rStyle w:val="Hypertextovprepojenie"/>
                <w:rFonts w:cs="Times New Roman"/>
                <w:sz w:val="23"/>
                <w:szCs w:val="23"/>
              </w:rPr>
              <w:t>Dlh verejnej správy</w:t>
            </w:r>
            <w:r w:rsidR="000B5651" w:rsidRPr="007F2028">
              <w:rPr>
                <w:rFonts w:cs="Times New Roman"/>
                <w:webHidden/>
                <w:sz w:val="23"/>
                <w:szCs w:val="23"/>
              </w:rPr>
              <w:tab/>
            </w:r>
            <w:r w:rsidR="000B5651" w:rsidRPr="007F2028">
              <w:rPr>
                <w:rFonts w:cs="Times New Roman"/>
                <w:webHidden/>
                <w:sz w:val="23"/>
                <w:szCs w:val="23"/>
              </w:rPr>
              <w:fldChar w:fldCharType="begin"/>
            </w:r>
            <w:r w:rsidR="000B5651" w:rsidRPr="007F2028">
              <w:rPr>
                <w:rFonts w:cs="Times New Roman"/>
                <w:webHidden/>
                <w:sz w:val="23"/>
                <w:szCs w:val="23"/>
              </w:rPr>
              <w:instrText xml:space="preserve"> PAGEREF _Toc70026087 \h </w:instrText>
            </w:r>
            <w:r w:rsidR="000B5651" w:rsidRPr="007F2028">
              <w:rPr>
                <w:rFonts w:cs="Times New Roman"/>
                <w:webHidden/>
                <w:sz w:val="23"/>
                <w:szCs w:val="23"/>
              </w:rPr>
            </w:r>
            <w:r w:rsidR="000B5651" w:rsidRPr="007F2028">
              <w:rPr>
                <w:rFonts w:cs="Times New Roman"/>
                <w:webHidden/>
                <w:sz w:val="23"/>
                <w:szCs w:val="23"/>
              </w:rPr>
              <w:fldChar w:fldCharType="separate"/>
            </w:r>
            <w:r>
              <w:rPr>
                <w:rFonts w:cs="Times New Roman"/>
                <w:webHidden/>
                <w:sz w:val="23"/>
                <w:szCs w:val="23"/>
              </w:rPr>
              <w:t>31</w:t>
            </w:r>
            <w:r w:rsidR="000B5651" w:rsidRPr="007F2028">
              <w:rPr>
                <w:rFonts w:cs="Times New Roman"/>
                <w:webHidden/>
                <w:sz w:val="23"/>
                <w:szCs w:val="23"/>
              </w:rPr>
              <w:fldChar w:fldCharType="end"/>
            </w:r>
          </w:hyperlink>
        </w:p>
        <w:p w14:paraId="178A8E42" w14:textId="77777777" w:rsidR="000B5651" w:rsidRPr="007F2028" w:rsidRDefault="00EF18BD">
          <w:pPr>
            <w:pStyle w:val="Obsah3"/>
            <w:rPr>
              <w:rFonts w:ascii="Times New Roman" w:eastAsiaTheme="minorEastAsia" w:hAnsi="Times New Roman" w:cs="Times New Roman"/>
              <w:smallCaps w:val="0"/>
              <w:noProof/>
              <w:sz w:val="23"/>
              <w:szCs w:val="23"/>
              <w:lang w:eastAsia="sk-SK"/>
            </w:rPr>
          </w:pPr>
          <w:hyperlink w:anchor="_Toc70026088" w:history="1">
            <w:r w:rsidR="000B5651" w:rsidRPr="007F2028">
              <w:rPr>
                <w:rStyle w:val="Hypertextovprepojenie"/>
                <w:rFonts w:ascii="Times New Roman" w:hAnsi="Times New Roman" w:cs="Times New Roman"/>
                <w:smallCaps w:val="0"/>
                <w:noProof/>
                <w:sz w:val="23"/>
                <w:szCs w:val="23"/>
              </w:rPr>
              <w:t>2.4.1</w:t>
            </w:r>
            <w:r w:rsidR="000B5651" w:rsidRPr="007F2028">
              <w:rPr>
                <w:rFonts w:ascii="Times New Roman" w:eastAsiaTheme="minorEastAsia" w:hAnsi="Times New Roman" w:cs="Times New Roman"/>
                <w:smallCaps w:val="0"/>
                <w:noProof/>
                <w:sz w:val="23"/>
                <w:szCs w:val="23"/>
                <w:lang w:eastAsia="sk-SK"/>
              </w:rPr>
              <w:tab/>
            </w:r>
            <w:r w:rsidR="000B5651" w:rsidRPr="007F2028">
              <w:rPr>
                <w:rStyle w:val="Hypertextovprepojenie"/>
                <w:rFonts w:ascii="Times New Roman" w:hAnsi="Times New Roman" w:cs="Times New Roman"/>
                <w:smallCaps w:val="0"/>
                <w:noProof/>
                <w:sz w:val="23"/>
                <w:szCs w:val="23"/>
              </w:rPr>
              <w:t>Maastrichtský dlh štátnych rozpočtových organizácií</w:t>
            </w:r>
            <w:r w:rsidR="000B5651" w:rsidRPr="007F2028">
              <w:rPr>
                <w:rFonts w:ascii="Times New Roman" w:hAnsi="Times New Roman" w:cs="Times New Roman"/>
                <w:smallCaps w:val="0"/>
                <w:noProof/>
                <w:webHidden/>
                <w:sz w:val="23"/>
                <w:szCs w:val="23"/>
              </w:rPr>
              <w:tab/>
            </w:r>
            <w:r w:rsidR="000B5651" w:rsidRPr="007F2028">
              <w:rPr>
                <w:rFonts w:ascii="Times New Roman" w:hAnsi="Times New Roman" w:cs="Times New Roman"/>
                <w:smallCaps w:val="0"/>
                <w:noProof/>
                <w:webHidden/>
                <w:sz w:val="23"/>
                <w:szCs w:val="23"/>
              </w:rPr>
              <w:fldChar w:fldCharType="begin"/>
            </w:r>
            <w:r w:rsidR="000B5651" w:rsidRPr="007F2028">
              <w:rPr>
                <w:rFonts w:ascii="Times New Roman" w:hAnsi="Times New Roman" w:cs="Times New Roman"/>
                <w:smallCaps w:val="0"/>
                <w:noProof/>
                <w:webHidden/>
                <w:sz w:val="23"/>
                <w:szCs w:val="23"/>
              </w:rPr>
              <w:instrText xml:space="preserve"> PAGEREF _Toc70026088 \h </w:instrText>
            </w:r>
            <w:r w:rsidR="000B5651" w:rsidRPr="007F2028">
              <w:rPr>
                <w:rFonts w:ascii="Times New Roman" w:hAnsi="Times New Roman" w:cs="Times New Roman"/>
                <w:smallCaps w:val="0"/>
                <w:noProof/>
                <w:webHidden/>
                <w:sz w:val="23"/>
                <w:szCs w:val="23"/>
              </w:rPr>
            </w:r>
            <w:r w:rsidR="000B5651" w:rsidRPr="007F2028">
              <w:rPr>
                <w:rFonts w:ascii="Times New Roman" w:hAnsi="Times New Roman" w:cs="Times New Roman"/>
                <w:smallCaps w:val="0"/>
                <w:noProof/>
                <w:webHidden/>
                <w:sz w:val="23"/>
                <w:szCs w:val="23"/>
              </w:rPr>
              <w:fldChar w:fldCharType="separate"/>
            </w:r>
            <w:r>
              <w:rPr>
                <w:rFonts w:ascii="Times New Roman" w:hAnsi="Times New Roman" w:cs="Times New Roman"/>
                <w:smallCaps w:val="0"/>
                <w:noProof/>
                <w:webHidden/>
                <w:sz w:val="23"/>
                <w:szCs w:val="23"/>
              </w:rPr>
              <w:t>34</w:t>
            </w:r>
            <w:r w:rsidR="000B5651" w:rsidRPr="007F2028">
              <w:rPr>
                <w:rFonts w:ascii="Times New Roman" w:hAnsi="Times New Roman" w:cs="Times New Roman"/>
                <w:smallCaps w:val="0"/>
                <w:noProof/>
                <w:webHidden/>
                <w:sz w:val="23"/>
                <w:szCs w:val="23"/>
              </w:rPr>
              <w:fldChar w:fldCharType="end"/>
            </w:r>
          </w:hyperlink>
        </w:p>
        <w:p w14:paraId="398031A6" w14:textId="77777777" w:rsidR="000B5651" w:rsidRPr="007F2028" w:rsidRDefault="00EF18BD">
          <w:pPr>
            <w:pStyle w:val="Obsah3"/>
            <w:rPr>
              <w:rFonts w:ascii="Times New Roman" w:eastAsiaTheme="minorEastAsia" w:hAnsi="Times New Roman" w:cs="Times New Roman"/>
              <w:smallCaps w:val="0"/>
              <w:noProof/>
              <w:sz w:val="23"/>
              <w:szCs w:val="23"/>
              <w:lang w:eastAsia="sk-SK"/>
            </w:rPr>
          </w:pPr>
          <w:hyperlink w:anchor="_Toc70026089" w:history="1">
            <w:r w:rsidR="000B5651" w:rsidRPr="007F2028">
              <w:rPr>
                <w:rStyle w:val="Hypertextovprepojenie"/>
                <w:rFonts w:ascii="Times New Roman" w:hAnsi="Times New Roman" w:cs="Times New Roman"/>
                <w:smallCaps w:val="0"/>
                <w:noProof/>
                <w:sz w:val="23"/>
                <w:szCs w:val="23"/>
              </w:rPr>
              <w:t>2.4.2</w:t>
            </w:r>
            <w:r w:rsidR="000B5651" w:rsidRPr="007F2028">
              <w:rPr>
                <w:rFonts w:ascii="Times New Roman" w:eastAsiaTheme="minorEastAsia" w:hAnsi="Times New Roman" w:cs="Times New Roman"/>
                <w:smallCaps w:val="0"/>
                <w:noProof/>
                <w:sz w:val="23"/>
                <w:szCs w:val="23"/>
                <w:lang w:eastAsia="sk-SK"/>
              </w:rPr>
              <w:tab/>
            </w:r>
            <w:r w:rsidR="000B5651" w:rsidRPr="007F2028">
              <w:rPr>
                <w:rStyle w:val="Hypertextovprepojenie"/>
                <w:rFonts w:ascii="Times New Roman" w:hAnsi="Times New Roman" w:cs="Times New Roman"/>
                <w:smallCaps w:val="0"/>
                <w:noProof/>
                <w:sz w:val="23"/>
                <w:szCs w:val="23"/>
              </w:rPr>
              <w:t>Maastrichtský dlh ostatných subjektov verejnej správy</w:t>
            </w:r>
            <w:r w:rsidR="000B5651" w:rsidRPr="007F2028">
              <w:rPr>
                <w:rFonts w:ascii="Times New Roman" w:hAnsi="Times New Roman" w:cs="Times New Roman"/>
                <w:smallCaps w:val="0"/>
                <w:noProof/>
                <w:webHidden/>
                <w:sz w:val="23"/>
                <w:szCs w:val="23"/>
              </w:rPr>
              <w:tab/>
            </w:r>
            <w:r w:rsidR="000B5651" w:rsidRPr="007F2028">
              <w:rPr>
                <w:rFonts w:ascii="Times New Roman" w:hAnsi="Times New Roman" w:cs="Times New Roman"/>
                <w:smallCaps w:val="0"/>
                <w:noProof/>
                <w:webHidden/>
                <w:sz w:val="23"/>
                <w:szCs w:val="23"/>
              </w:rPr>
              <w:fldChar w:fldCharType="begin"/>
            </w:r>
            <w:r w:rsidR="000B5651" w:rsidRPr="007F2028">
              <w:rPr>
                <w:rFonts w:ascii="Times New Roman" w:hAnsi="Times New Roman" w:cs="Times New Roman"/>
                <w:smallCaps w:val="0"/>
                <w:noProof/>
                <w:webHidden/>
                <w:sz w:val="23"/>
                <w:szCs w:val="23"/>
              </w:rPr>
              <w:instrText xml:space="preserve"> PAGEREF _Toc70026089 \h </w:instrText>
            </w:r>
            <w:r w:rsidR="000B5651" w:rsidRPr="007F2028">
              <w:rPr>
                <w:rFonts w:ascii="Times New Roman" w:hAnsi="Times New Roman" w:cs="Times New Roman"/>
                <w:smallCaps w:val="0"/>
                <w:noProof/>
                <w:webHidden/>
                <w:sz w:val="23"/>
                <w:szCs w:val="23"/>
              </w:rPr>
            </w:r>
            <w:r w:rsidR="000B5651" w:rsidRPr="007F2028">
              <w:rPr>
                <w:rFonts w:ascii="Times New Roman" w:hAnsi="Times New Roman" w:cs="Times New Roman"/>
                <w:smallCaps w:val="0"/>
                <w:noProof/>
                <w:webHidden/>
                <w:sz w:val="23"/>
                <w:szCs w:val="23"/>
              </w:rPr>
              <w:fldChar w:fldCharType="separate"/>
            </w:r>
            <w:r>
              <w:rPr>
                <w:rFonts w:ascii="Times New Roman" w:hAnsi="Times New Roman" w:cs="Times New Roman"/>
                <w:smallCaps w:val="0"/>
                <w:noProof/>
                <w:webHidden/>
                <w:sz w:val="23"/>
                <w:szCs w:val="23"/>
              </w:rPr>
              <w:t>36</w:t>
            </w:r>
            <w:r w:rsidR="000B5651" w:rsidRPr="007F2028">
              <w:rPr>
                <w:rFonts w:ascii="Times New Roman" w:hAnsi="Times New Roman" w:cs="Times New Roman"/>
                <w:smallCaps w:val="0"/>
                <w:noProof/>
                <w:webHidden/>
                <w:sz w:val="23"/>
                <w:szCs w:val="23"/>
              </w:rPr>
              <w:fldChar w:fldCharType="end"/>
            </w:r>
          </w:hyperlink>
        </w:p>
        <w:p w14:paraId="05FD8593" w14:textId="77777777" w:rsidR="000B5651" w:rsidRPr="007F2028" w:rsidRDefault="00EF18BD">
          <w:pPr>
            <w:pStyle w:val="Obsah2"/>
            <w:rPr>
              <w:rFonts w:eastAsiaTheme="minorEastAsia" w:cs="Times New Roman"/>
              <w:b w:val="0"/>
              <w:bCs w:val="0"/>
              <w:sz w:val="23"/>
              <w:szCs w:val="23"/>
              <w:lang w:eastAsia="sk-SK"/>
            </w:rPr>
          </w:pPr>
          <w:hyperlink w:anchor="_Toc70026090" w:history="1">
            <w:r w:rsidR="000B5651" w:rsidRPr="007F2028">
              <w:rPr>
                <w:rStyle w:val="Hypertextovprepojenie"/>
                <w:rFonts w:cs="Times New Roman"/>
                <w:sz w:val="23"/>
                <w:szCs w:val="23"/>
              </w:rPr>
              <w:t>2.5</w:t>
            </w:r>
            <w:r w:rsidR="000B5651" w:rsidRPr="007F2028">
              <w:rPr>
                <w:rFonts w:eastAsiaTheme="minorEastAsia" w:cs="Times New Roman"/>
                <w:b w:val="0"/>
                <w:bCs w:val="0"/>
                <w:sz w:val="23"/>
                <w:szCs w:val="23"/>
                <w:lang w:eastAsia="sk-SK"/>
              </w:rPr>
              <w:tab/>
            </w:r>
            <w:r w:rsidR="000B5651" w:rsidRPr="007F2028">
              <w:rPr>
                <w:rStyle w:val="Hypertextovprepojenie"/>
                <w:rFonts w:cs="Times New Roman"/>
                <w:sz w:val="23"/>
                <w:szCs w:val="23"/>
              </w:rPr>
              <w:t>Porovnanie salda a dlhu verejnej správy v Európskej únii</w:t>
            </w:r>
            <w:r w:rsidR="000B5651" w:rsidRPr="007F2028">
              <w:rPr>
                <w:rFonts w:cs="Times New Roman"/>
                <w:webHidden/>
                <w:sz w:val="23"/>
                <w:szCs w:val="23"/>
              </w:rPr>
              <w:tab/>
            </w:r>
            <w:r w:rsidR="000B5651" w:rsidRPr="007F2028">
              <w:rPr>
                <w:rFonts w:cs="Times New Roman"/>
                <w:webHidden/>
                <w:sz w:val="23"/>
                <w:szCs w:val="23"/>
              </w:rPr>
              <w:fldChar w:fldCharType="begin"/>
            </w:r>
            <w:r w:rsidR="000B5651" w:rsidRPr="007F2028">
              <w:rPr>
                <w:rFonts w:cs="Times New Roman"/>
                <w:webHidden/>
                <w:sz w:val="23"/>
                <w:szCs w:val="23"/>
              </w:rPr>
              <w:instrText xml:space="preserve"> PAGEREF _Toc70026090 \h </w:instrText>
            </w:r>
            <w:r w:rsidR="000B5651" w:rsidRPr="007F2028">
              <w:rPr>
                <w:rFonts w:cs="Times New Roman"/>
                <w:webHidden/>
                <w:sz w:val="23"/>
                <w:szCs w:val="23"/>
              </w:rPr>
            </w:r>
            <w:r w:rsidR="000B5651" w:rsidRPr="007F2028">
              <w:rPr>
                <w:rFonts w:cs="Times New Roman"/>
                <w:webHidden/>
                <w:sz w:val="23"/>
                <w:szCs w:val="23"/>
              </w:rPr>
              <w:fldChar w:fldCharType="separate"/>
            </w:r>
            <w:r>
              <w:rPr>
                <w:rFonts w:cs="Times New Roman"/>
                <w:webHidden/>
                <w:sz w:val="23"/>
                <w:szCs w:val="23"/>
              </w:rPr>
              <w:t>40</w:t>
            </w:r>
            <w:r w:rsidR="000B5651" w:rsidRPr="007F2028">
              <w:rPr>
                <w:rFonts w:cs="Times New Roman"/>
                <w:webHidden/>
                <w:sz w:val="23"/>
                <w:szCs w:val="23"/>
              </w:rPr>
              <w:fldChar w:fldCharType="end"/>
            </w:r>
          </w:hyperlink>
        </w:p>
        <w:p w14:paraId="69FA0AD4" w14:textId="77777777" w:rsidR="000B5651" w:rsidRPr="007F2028" w:rsidRDefault="00EF18BD">
          <w:pPr>
            <w:pStyle w:val="Obsah1"/>
            <w:rPr>
              <w:rFonts w:eastAsiaTheme="minorEastAsia" w:cs="Times New Roman"/>
              <w:b w:val="0"/>
              <w:bCs w:val="0"/>
              <w:sz w:val="23"/>
              <w:szCs w:val="23"/>
              <w:lang w:eastAsia="sk-SK"/>
            </w:rPr>
          </w:pPr>
          <w:hyperlink w:anchor="_Toc70026091" w:history="1">
            <w:r w:rsidR="000B5651" w:rsidRPr="007F2028">
              <w:rPr>
                <w:rStyle w:val="Hypertextovprepojenie"/>
                <w:rFonts w:cs="Times New Roman"/>
                <w:sz w:val="23"/>
                <w:szCs w:val="23"/>
              </w:rPr>
              <w:t>3</w:t>
            </w:r>
            <w:r w:rsidR="000B5651" w:rsidRPr="007F2028">
              <w:rPr>
                <w:rFonts w:eastAsiaTheme="minorEastAsia" w:cs="Times New Roman"/>
                <w:b w:val="0"/>
                <w:bCs w:val="0"/>
                <w:sz w:val="23"/>
                <w:szCs w:val="23"/>
                <w:lang w:eastAsia="sk-SK"/>
              </w:rPr>
              <w:tab/>
            </w:r>
            <w:r w:rsidR="000B5651" w:rsidRPr="007F2028">
              <w:rPr>
                <w:rStyle w:val="Hypertextovprepojenie"/>
                <w:rFonts w:cs="Times New Roman"/>
                <w:sz w:val="23"/>
                <w:szCs w:val="23"/>
              </w:rPr>
              <w:t>Hospodárenie štátneho rozpočtu na hotovostnom princípe</w:t>
            </w:r>
            <w:r w:rsidR="000B5651" w:rsidRPr="007F2028">
              <w:rPr>
                <w:rFonts w:cs="Times New Roman"/>
                <w:webHidden/>
                <w:sz w:val="23"/>
                <w:szCs w:val="23"/>
              </w:rPr>
              <w:tab/>
            </w:r>
            <w:r w:rsidR="000B5651" w:rsidRPr="007F2028">
              <w:rPr>
                <w:rFonts w:cs="Times New Roman"/>
                <w:webHidden/>
                <w:sz w:val="23"/>
                <w:szCs w:val="23"/>
              </w:rPr>
              <w:fldChar w:fldCharType="begin"/>
            </w:r>
            <w:r w:rsidR="000B5651" w:rsidRPr="007F2028">
              <w:rPr>
                <w:rFonts w:cs="Times New Roman"/>
                <w:webHidden/>
                <w:sz w:val="23"/>
                <w:szCs w:val="23"/>
              </w:rPr>
              <w:instrText xml:space="preserve"> PAGEREF _Toc70026091 \h </w:instrText>
            </w:r>
            <w:r w:rsidR="000B5651" w:rsidRPr="007F2028">
              <w:rPr>
                <w:rFonts w:cs="Times New Roman"/>
                <w:webHidden/>
                <w:sz w:val="23"/>
                <w:szCs w:val="23"/>
              </w:rPr>
            </w:r>
            <w:r w:rsidR="000B5651" w:rsidRPr="007F2028">
              <w:rPr>
                <w:rFonts w:cs="Times New Roman"/>
                <w:webHidden/>
                <w:sz w:val="23"/>
                <w:szCs w:val="23"/>
              </w:rPr>
              <w:fldChar w:fldCharType="separate"/>
            </w:r>
            <w:r>
              <w:rPr>
                <w:rFonts w:cs="Times New Roman"/>
                <w:webHidden/>
                <w:sz w:val="23"/>
                <w:szCs w:val="23"/>
              </w:rPr>
              <w:t>42</w:t>
            </w:r>
            <w:r w:rsidR="000B5651" w:rsidRPr="007F2028">
              <w:rPr>
                <w:rFonts w:cs="Times New Roman"/>
                <w:webHidden/>
                <w:sz w:val="23"/>
                <w:szCs w:val="23"/>
              </w:rPr>
              <w:fldChar w:fldCharType="end"/>
            </w:r>
          </w:hyperlink>
        </w:p>
        <w:p w14:paraId="387E4A39" w14:textId="77777777" w:rsidR="000B5651" w:rsidRPr="007F2028" w:rsidRDefault="00EF18BD">
          <w:pPr>
            <w:pStyle w:val="Obsah2"/>
            <w:rPr>
              <w:rFonts w:eastAsiaTheme="minorEastAsia" w:cs="Times New Roman"/>
              <w:b w:val="0"/>
              <w:bCs w:val="0"/>
              <w:sz w:val="23"/>
              <w:szCs w:val="23"/>
              <w:lang w:eastAsia="sk-SK"/>
            </w:rPr>
          </w:pPr>
          <w:hyperlink w:anchor="_Toc70026092" w:history="1">
            <w:r w:rsidR="000B5651" w:rsidRPr="007F2028">
              <w:rPr>
                <w:rStyle w:val="Hypertextovprepojenie"/>
                <w:rFonts w:cs="Times New Roman"/>
                <w:sz w:val="23"/>
                <w:szCs w:val="23"/>
              </w:rPr>
              <w:t>3.1</w:t>
            </w:r>
            <w:r w:rsidR="000B5651" w:rsidRPr="007F2028">
              <w:rPr>
                <w:rFonts w:eastAsiaTheme="minorEastAsia" w:cs="Times New Roman"/>
                <w:b w:val="0"/>
                <w:bCs w:val="0"/>
                <w:sz w:val="23"/>
                <w:szCs w:val="23"/>
                <w:lang w:eastAsia="sk-SK"/>
              </w:rPr>
              <w:tab/>
            </w:r>
            <w:r w:rsidR="000B5651" w:rsidRPr="007F2028">
              <w:rPr>
                <w:rStyle w:val="Hypertextovprepojenie"/>
                <w:rFonts w:cs="Times New Roman"/>
                <w:sz w:val="23"/>
                <w:szCs w:val="23"/>
              </w:rPr>
              <w:t>Príjmy štátneho rozpočtu</w:t>
            </w:r>
            <w:r w:rsidR="000B5651" w:rsidRPr="007F2028">
              <w:rPr>
                <w:rFonts w:cs="Times New Roman"/>
                <w:webHidden/>
                <w:sz w:val="23"/>
                <w:szCs w:val="23"/>
              </w:rPr>
              <w:tab/>
            </w:r>
            <w:r w:rsidR="000B5651" w:rsidRPr="007F2028">
              <w:rPr>
                <w:rFonts w:cs="Times New Roman"/>
                <w:webHidden/>
                <w:sz w:val="23"/>
                <w:szCs w:val="23"/>
              </w:rPr>
              <w:fldChar w:fldCharType="begin"/>
            </w:r>
            <w:r w:rsidR="000B5651" w:rsidRPr="007F2028">
              <w:rPr>
                <w:rFonts w:cs="Times New Roman"/>
                <w:webHidden/>
                <w:sz w:val="23"/>
                <w:szCs w:val="23"/>
              </w:rPr>
              <w:instrText xml:space="preserve"> PAGEREF _Toc70026092 \h </w:instrText>
            </w:r>
            <w:r w:rsidR="000B5651" w:rsidRPr="007F2028">
              <w:rPr>
                <w:rFonts w:cs="Times New Roman"/>
                <w:webHidden/>
                <w:sz w:val="23"/>
                <w:szCs w:val="23"/>
              </w:rPr>
            </w:r>
            <w:r w:rsidR="000B5651" w:rsidRPr="007F2028">
              <w:rPr>
                <w:rFonts w:cs="Times New Roman"/>
                <w:webHidden/>
                <w:sz w:val="23"/>
                <w:szCs w:val="23"/>
              </w:rPr>
              <w:fldChar w:fldCharType="separate"/>
            </w:r>
            <w:r>
              <w:rPr>
                <w:rFonts w:cs="Times New Roman"/>
                <w:webHidden/>
                <w:sz w:val="23"/>
                <w:szCs w:val="23"/>
              </w:rPr>
              <w:t>45</w:t>
            </w:r>
            <w:r w:rsidR="000B5651" w:rsidRPr="007F2028">
              <w:rPr>
                <w:rFonts w:cs="Times New Roman"/>
                <w:webHidden/>
                <w:sz w:val="23"/>
                <w:szCs w:val="23"/>
              </w:rPr>
              <w:fldChar w:fldCharType="end"/>
            </w:r>
          </w:hyperlink>
        </w:p>
        <w:p w14:paraId="5FF23310" w14:textId="77777777" w:rsidR="000B5651" w:rsidRPr="007F2028" w:rsidRDefault="00EF18BD">
          <w:pPr>
            <w:pStyle w:val="Obsah3"/>
            <w:rPr>
              <w:rFonts w:ascii="Times New Roman" w:eastAsiaTheme="minorEastAsia" w:hAnsi="Times New Roman" w:cs="Times New Roman"/>
              <w:smallCaps w:val="0"/>
              <w:noProof/>
              <w:sz w:val="23"/>
              <w:szCs w:val="23"/>
              <w:lang w:eastAsia="sk-SK"/>
            </w:rPr>
          </w:pPr>
          <w:hyperlink w:anchor="_Toc70026093" w:history="1">
            <w:r w:rsidR="000B5651" w:rsidRPr="007F2028">
              <w:rPr>
                <w:rStyle w:val="Hypertextovprepojenie"/>
                <w:rFonts w:ascii="Times New Roman" w:hAnsi="Times New Roman" w:cs="Times New Roman"/>
                <w:smallCaps w:val="0"/>
                <w:noProof/>
                <w:sz w:val="23"/>
                <w:szCs w:val="23"/>
              </w:rPr>
              <w:t>3.1.1</w:t>
            </w:r>
            <w:r w:rsidR="000B5651" w:rsidRPr="007F2028">
              <w:rPr>
                <w:rFonts w:ascii="Times New Roman" w:eastAsiaTheme="minorEastAsia" w:hAnsi="Times New Roman" w:cs="Times New Roman"/>
                <w:smallCaps w:val="0"/>
                <w:noProof/>
                <w:sz w:val="23"/>
                <w:szCs w:val="23"/>
                <w:lang w:eastAsia="sk-SK"/>
              </w:rPr>
              <w:tab/>
            </w:r>
            <w:r w:rsidR="000B5651" w:rsidRPr="007F2028">
              <w:rPr>
                <w:rStyle w:val="Hypertextovprepojenie"/>
                <w:rFonts w:ascii="Times New Roman" w:hAnsi="Times New Roman" w:cs="Times New Roman"/>
                <w:smallCaps w:val="0"/>
                <w:noProof/>
                <w:sz w:val="23"/>
                <w:szCs w:val="23"/>
              </w:rPr>
              <w:t>Daňové príjmy</w:t>
            </w:r>
            <w:r w:rsidR="000B5651" w:rsidRPr="007F2028">
              <w:rPr>
                <w:rFonts w:ascii="Times New Roman" w:hAnsi="Times New Roman" w:cs="Times New Roman"/>
                <w:smallCaps w:val="0"/>
                <w:noProof/>
                <w:webHidden/>
                <w:sz w:val="23"/>
                <w:szCs w:val="23"/>
              </w:rPr>
              <w:tab/>
            </w:r>
            <w:r w:rsidR="000B5651" w:rsidRPr="007F2028">
              <w:rPr>
                <w:rFonts w:ascii="Times New Roman" w:hAnsi="Times New Roman" w:cs="Times New Roman"/>
                <w:smallCaps w:val="0"/>
                <w:noProof/>
                <w:webHidden/>
                <w:sz w:val="23"/>
                <w:szCs w:val="23"/>
              </w:rPr>
              <w:fldChar w:fldCharType="begin"/>
            </w:r>
            <w:r w:rsidR="000B5651" w:rsidRPr="007F2028">
              <w:rPr>
                <w:rFonts w:ascii="Times New Roman" w:hAnsi="Times New Roman" w:cs="Times New Roman"/>
                <w:smallCaps w:val="0"/>
                <w:noProof/>
                <w:webHidden/>
                <w:sz w:val="23"/>
                <w:szCs w:val="23"/>
              </w:rPr>
              <w:instrText xml:space="preserve"> PAGEREF _Toc70026093 \h </w:instrText>
            </w:r>
            <w:r w:rsidR="000B5651" w:rsidRPr="007F2028">
              <w:rPr>
                <w:rFonts w:ascii="Times New Roman" w:hAnsi="Times New Roman" w:cs="Times New Roman"/>
                <w:smallCaps w:val="0"/>
                <w:noProof/>
                <w:webHidden/>
                <w:sz w:val="23"/>
                <w:szCs w:val="23"/>
              </w:rPr>
            </w:r>
            <w:r w:rsidR="000B5651" w:rsidRPr="007F2028">
              <w:rPr>
                <w:rFonts w:ascii="Times New Roman" w:hAnsi="Times New Roman" w:cs="Times New Roman"/>
                <w:smallCaps w:val="0"/>
                <w:noProof/>
                <w:webHidden/>
                <w:sz w:val="23"/>
                <w:szCs w:val="23"/>
              </w:rPr>
              <w:fldChar w:fldCharType="separate"/>
            </w:r>
            <w:r>
              <w:rPr>
                <w:rFonts w:ascii="Times New Roman" w:hAnsi="Times New Roman" w:cs="Times New Roman"/>
                <w:smallCaps w:val="0"/>
                <w:noProof/>
                <w:webHidden/>
                <w:sz w:val="23"/>
                <w:szCs w:val="23"/>
              </w:rPr>
              <w:t>45</w:t>
            </w:r>
            <w:r w:rsidR="000B5651" w:rsidRPr="007F2028">
              <w:rPr>
                <w:rFonts w:ascii="Times New Roman" w:hAnsi="Times New Roman" w:cs="Times New Roman"/>
                <w:smallCaps w:val="0"/>
                <w:noProof/>
                <w:webHidden/>
                <w:sz w:val="23"/>
                <w:szCs w:val="23"/>
              </w:rPr>
              <w:fldChar w:fldCharType="end"/>
            </w:r>
          </w:hyperlink>
        </w:p>
        <w:p w14:paraId="699DDC27" w14:textId="77777777" w:rsidR="000B5651" w:rsidRPr="007F2028" w:rsidRDefault="00EF18BD">
          <w:pPr>
            <w:pStyle w:val="Obsah3"/>
            <w:rPr>
              <w:rFonts w:ascii="Times New Roman" w:eastAsiaTheme="minorEastAsia" w:hAnsi="Times New Roman" w:cs="Times New Roman"/>
              <w:smallCaps w:val="0"/>
              <w:noProof/>
              <w:sz w:val="23"/>
              <w:szCs w:val="23"/>
              <w:lang w:eastAsia="sk-SK"/>
            </w:rPr>
          </w:pPr>
          <w:hyperlink w:anchor="_Toc70026094" w:history="1">
            <w:r w:rsidR="000B5651" w:rsidRPr="007F2028">
              <w:rPr>
                <w:rStyle w:val="Hypertextovprepojenie"/>
                <w:rFonts w:ascii="Times New Roman" w:hAnsi="Times New Roman" w:cs="Times New Roman"/>
                <w:smallCaps w:val="0"/>
                <w:noProof/>
                <w:sz w:val="23"/>
                <w:szCs w:val="23"/>
              </w:rPr>
              <w:t>3.1.2</w:t>
            </w:r>
            <w:r w:rsidR="000B5651" w:rsidRPr="007F2028">
              <w:rPr>
                <w:rFonts w:ascii="Times New Roman" w:eastAsiaTheme="minorEastAsia" w:hAnsi="Times New Roman" w:cs="Times New Roman"/>
                <w:smallCaps w:val="0"/>
                <w:noProof/>
                <w:sz w:val="23"/>
                <w:szCs w:val="23"/>
                <w:lang w:eastAsia="sk-SK"/>
              </w:rPr>
              <w:tab/>
            </w:r>
            <w:r w:rsidR="000B5651" w:rsidRPr="007F2028">
              <w:rPr>
                <w:rStyle w:val="Hypertextovprepojenie"/>
                <w:rFonts w:ascii="Times New Roman" w:hAnsi="Times New Roman" w:cs="Times New Roman"/>
                <w:smallCaps w:val="0"/>
                <w:noProof/>
                <w:sz w:val="23"/>
                <w:szCs w:val="23"/>
              </w:rPr>
              <w:t>Nedaňové príjmy</w:t>
            </w:r>
            <w:r w:rsidR="000B5651" w:rsidRPr="007F2028">
              <w:rPr>
                <w:rFonts w:ascii="Times New Roman" w:hAnsi="Times New Roman" w:cs="Times New Roman"/>
                <w:smallCaps w:val="0"/>
                <w:noProof/>
                <w:webHidden/>
                <w:sz w:val="23"/>
                <w:szCs w:val="23"/>
              </w:rPr>
              <w:tab/>
            </w:r>
            <w:r w:rsidR="000B5651" w:rsidRPr="007F2028">
              <w:rPr>
                <w:rFonts w:ascii="Times New Roman" w:hAnsi="Times New Roman" w:cs="Times New Roman"/>
                <w:smallCaps w:val="0"/>
                <w:noProof/>
                <w:webHidden/>
                <w:sz w:val="23"/>
                <w:szCs w:val="23"/>
              </w:rPr>
              <w:fldChar w:fldCharType="begin"/>
            </w:r>
            <w:r w:rsidR="000B5651" w:rsidRPr="007F2028">
              <w:rPr>
                <w:rFonts w:ascii="Times New Roman" w:hAnsi="Times New Roman" w:cs="Times New Roman"/>
                <w:smallCaps w:val="0"/>
                <w:noProof/>
                <w:webHidden/>
                <w:sz w:val="23"/>
                <w:szCs w:val="23"/>
              </w:rPr>
              <w:instrText xml:space="preserve"> PAGEREF _Toc70026094 \h </w:instrText>
            </w:r>
            <w:r w:rsidR="000B5651" w:rsidRPr="007F2028">
              <w:rPr>
                <w:rFonts w:ascii="Times New Roman" w:hAnsi="Times New Roman" w:cs="Times New Roman"/>
                <w:smallCaps w:val="0"/>
                <w:noProof/>
                <w:webHidden/>
                <w:sz w:val="23"/>
                <w:szCs w:val="23"/>
              </w:rPr>
            </w:r>
            <w:r w:rsidR="000B5651" w:rsidRPr="007F2028">
              <w:rPr>
                <w:rFonts w:ascii="Times New Roman" w:hAnsi="Times New Roman" w:cs="Times New Roman"/>
                <w:smallCaps w:val="0"/>
                <w:noProof/>
                <w:webHidden/>
                <w:sz w:val="23"/>
                <w:szCs w:val="23"/>
              </w:rPr>
              <w:fldChar w:fldCharType="separate"/>
            </w:r>
            <w:r>
              <w:rPr>
                <w:rFonts w:ascii="Times New Roman" w:hAnsi="Times New Roman" w:cs="Times New Roman"/>
                <w:smallCaps w:val="0"/>
                <w:noProof/>
                <w:webHidden/>
                <w:sz w:val="23"/>
                <w:szCs w:val="23"/>
              </w:rPr>
              <w:t>49</w:t>
            </w:r>
            <w:r w:rsidR="000B5651" w:rsidRPr="007F2028">
              <w:rPr>
                <w:rFonts w:ascii="Times New Roman" w:hAnsi="Times New Roman" w:cs="Times New Roman"/>
                <w:smallCaps w:val="0"/>
                <w:noProof/>
                <w:webHidden/>
                <w:sz w:val="23"/>
                <w:szCs w:val="23"/>
              </w:rPr>
              <w:fldChar w:fldCharType="end"/>
            </w:r>
          </w:hyperlink>
        </w:p>
        <w:p w14:paraId="6813C139" w14:textId="77777777" w:rsidR="000B5651" w:rsidRPr="007F2028" w:rsidRDefault="00EF18BD">
          <w:pPr>
            <w:pStyle w:val="Obsah3"/>
            <w:rPr>
              <w:rFonts w:ascii="Times New Roman" w:eastAsiaTheme="minorEastAsia" w:hAnsi="Times New Roman" w:cs="Times New Roman"/>
              <w:smallCaps w:val="0"/>
              <w:noProof/>
              <w:sz w:val="23"/>
              <w:szCs w:val="23"/>
              <w:lang w:eastAsia="sk-SK"/>
            </w:rPr>
          </w:pPr>
          <w:hyperlink w:anchor="_Toc70026095" w:history="1">
            <w:r w:rsidR="000B5651" w:rsidRPr="007F2028">
              <w:rPr>
                <w:rStyle w:val="Hypertextovprepojenie"/>
                <w:rFonts w:ascii="Times New Roman" w:hAnsi="Times New Roman" w:cs="Times New Roman"/>
                <w:smallCaps w:val="0"/>
                <w:noProof/>
                <w:sz w:val="23"/>
                <w:szCs w:val="23"/>
              </w:rPr>
              <w:t>3.1.3</w:t>
            </w:r>
            <w:r w:rsidR="000B5651" w:rsidRPr="007F2028">
              <w:rPr>
                <w:rFonts w:ascii="Times New Roman" w:eastAsiaTheme="minorEastAsia" w:hAnsi="Times New Roman" w:cs="Times New Roman"/>
                <w:smallCaps w:val="0"/>
                <w:noProof/>
                <w:sz w:val="23"/>
                <w:szCs w:val="23"/>
                <w:lang w:eastAsia="sk-SK"/>
              </w:rPr>
              <w:tab/>
            </w:r>
            <w:r w:rsidR="000B5651" w:rsidRPr="007F2028">
              <w:rPr>
                <w:rStyle w:val="Hypertextovprepojenie"/>
                <w:rFonts w:ascii="Times New Roman" w:hAnsi="Times New Roman" w:cs="Times New Roman"/>
                <w:smallCaps w:val="0"/>
                <w:noProof/>
                <w:sz w:val="23"/>
                <w:szCs w:val="23"/>
              </w:rPr>
              <w:t>Granty a transfery</w:t>
            </w:r>
            <w:r w:rsidR="000B5651" w:rsidRPr="007F2028">
              <w:rPr>
                <w:rFonts w:ascii="Times New Roman" w:hAnsi="Times New Roman" w:cs="Times New Roman"/>
                <w:smallCaps w:val="0"/>
                <w:noProof/>
                <w:webHidden/>
                <w:sz w:val="23"/>
                <w:szCs w:val="23"/>
              </w:rPr>
              <w:tab/>
            </w:r>
            <w:r w:rsidR="000B5651" w:rsidRPr="007F2028">
              <w:rPr>
                <w:rFonts w:ascii="Times New Roman" w:hAnsi="Times New Roman" w:cs="Times New Roman"/>
                <w:smallCaps w:val="0"/>
                <w:noProof/>
                <w:webHidden/>
                <w:sz w:val="23"/>
                <w:szCs w:val="23"/>
              </w:rPr>
              <w:fldChar w:fldCharType="begin"/>
            </w:r>
            <w:r w:rsidR="000B5651" w:rsidRPr="007F2028">
              <w:rPr>
                <w:rFonts w:ascii="Times New Roman" w:hAnsi="Times New Roman" w:cs="Times New Roman"/>
                <w:smallCaps w:val="0"/>
                <w:noProof/>
                <w:webHidden/>
                <w:sz w:val="23"/>
                <w:szCs w:val="23"/>
              </w:rPr>
              <w:instrText xml:space="preserve"> PAGEREF _Toc70026095 \h </w:instrText>
            </w:r>
            <w:r w:rsidR="000B5651" w:rsidRPr="007F2028">
              <w:rPr>
                <w:rFonts w:ascii="Times New Roman" w:hAnsi="Times New Roman" w:cs="Times New Roman"/>
                <w:smallCaps w:val="0"/>
                <w:noProof/>
                <w:webHidden/>
                <w:sz w:val="23"/>
                <w:szCs w:val="23"/>
              </w:rPr>
            </w:r>
            <w:r w:rsidR="000B5651" w:rsidRPr="007F2028">
              <w:rPr>
                <w:rFonts w:ascii="Times New Roman" w:hAnsi="Times New Roman" w:cs="Times New Roman"/>
                <w:smallCaps w:val="0"/>
                <w:noProof/>
                <w:webHidden/>
                <w:sz w:val="23"/>
                <w:szCs w:val="23"/>
              </w:rPr>
              <w:fldChar w:fldCharType="separate"/>
            </w:r>
            <w:r>
              <w:rPr>
                <w:rFonts w:ascii="Times New Roman" w:hAnsi="Times New Roman" w:cs="Times New Roman"/>
                <w:smallCaps w:val="0"/>
                <w:noProof/>
                <w:webHidden/>
                <w:sz w:val="23"/>
                <w:szCs w:val="23"/>
              </w:rPr>
              <w:t>55</w:t>
            </w:r>
            <w:r w:rsidR="000B5651" w:rsidRPr="007F2028">
              <w:rPr>
                <w:rFonts w:ascii="Times New Roman" w:hAnsi="Times New Roman" w:cs="Times New Roman"/>
                <w:smallCaps w:val="0"/>
                <w:noProof/>
                <w:webHidden/>
                <w:sz w:val="23"/>
                <w:szCs w:val="23"/>
              </w:rPr>
              <w:fldChar w:fldCharType="end"/>
            </w:r>
          </w:hyperlink>
        </w:p>
        <w:p w14:paraId="58E8879D" w14:textId="77777777" w:rsidR="000B5651" w:rsidRPr="007F2028" w:rsidRDefault="00EF18BD">
          <w:pPr>
            <w:pStyle w:val="Obsah2"/>
            <w:rPr>
              <w:rFonts w:eastAsiaTheme="minorEastAsia" w:cs="Times New Roman"/>
              <w:b w:val="0"/>
              <w:bCs w:val="0"/>
              <w:sz w:val="23"/>
              <w:szCs w:val="23"/>
              <w:lang w:eastAsia="sk-SK"/>
            </w:rPr>
          </w:pPr>
          <w:hyperlink w:anchor="_Toc70026096" w:history="1">
            <w:r w:rsidR="000B5651" w:rsidRPr="007F2028">
              <w:rPr>
                <w:rStyle w:val="Hypertextovprepojenie"/>
                <w:rFonts w:cs="Times New Roman"/>
                <w:sz w:val="23"/>
                <w:szCs w:val="23"/>
              </w:rPr>
              <w:t>3.2</w:t>
            </w:r>
            <w:r w:rsidR="000B5651" w:rsidRPr="007F2028">
              <w:rPr>
                <w:rFonts w:eastAsiaTheme="minorEastAsia" w:cs="Times New Roman"/>
                <w:b w:val="0"/>
                <w:bCs w:val="0"/>
                <w:sz w:val="23"/>
                <w:szCs w:val="23"/>
                <w:lang w:eastAsia="sk-SK"/>
              </w:rPr>
              <w:tab/>
            </w:r>
            <w:r w:rsidR="000B5651" w:rsidRPr="007F2028">
              <w:rPr>
                <w:rStyle w:val="Hypertextovprepojenie"/>
                <w:rFonts w:cs="Times New Roman"/>
                <w:sz w:val="23"/>
                <w:szCs w:val="23"/>
              </w:rPr>
              <w:t>Výdavky štátneho rozpočtu</w:t>
            </w:r>
            <w:r w:rsidR="000B5651" w:rsidRPr="007F2028">
              <w:rPr>
                <w:rFonts w:cs="Times New Roman"/>
                <w:webHidden/>
                <w:sz w:val="23"/>
                <w:szCs w:val="23"/>
              </w:rPr>
              <w:tab/>
            </w:r>
            <w:r w:rsidR="000B5651" w:rsidRPr="007F2028">
              <w:rPr>
                <w:rFonts w:cs="Times New Roman"/>
                <w:webHidden/>
                <w:sz w:val="23"/>
                <w:szCs w:val="23"/>
              </w:rPr>
              <w:fldChar w:fldCharType="begin"/>
            </w:r>
            <w:r w:rsidR="000B5651" w:rsidRPr="007F2028">
              <w:rPr>
                <w:rFonts w:cs="Times New Roman"/>
                <w:webHidden/>
                <w:sz w:val="23"/>
                <w:szCs w:val="23"/>
              </w:rPr>
              <w:instrText xml:space="preserve"> PAGEREF _Toc70026096 \h </w:instrText>
            </w:r>
            <w:r w:rsidR="000B5651" w:rsidRPr="007F2028">
              <w:rPr>
                <w:rFonts w:cs="Times New Roman"/>
                <w:webHidden/>
                <w:sz w:val="23"/>
                <w:szCs w:val="23"/>
              </w:rPr>
            </w:r>
            <w:r w:rsidR="000B5651" w:rsidRPr="007F2028">
              <w:rPr>
                <w:rFonts w:cs="Times New Roman"/>
                <w:webHidden/>
                <w:sz w:val="23"/>
                <w:szCs w:val="23"/>
              </w:rPr>
              <w:fldChar w:fldCharType="separate"/>
            </w:r>
            <w:r>
              <w:rPr>
                <w:rFonts w:cs="Times New Roman"/>
                <w:webHidden/>
                <w:sz w:val="23"/>
                <w:szCs w:val="23"/>
              </w:rPr>
              <w:t>58</w:t>
            </w:r>
            <w:r w:rsidR="000B5651" w:rsidRPr="007F2028">
              <w:rPr>
                <w:rFonts w:cs="Times New Roman"/>
                <w:webHidden/>
                <w:sz w:val="23"/>
                <w:szCs w:val="23"/>
              </w:rPr>
              <w:fldChar w:fldCharType="end"/>
            </w:r>
          </w:hyperlink>
        </w:p>
        <w:p w14:paraId="6BA77F0E" w14:textId="77777777" w:rsidR="000B5651" w:rsidRPr="007F2028" w:rsidRDefault="00EF18BD">
          <w:pPr>
            <w:pStyle w:val="Obsah3"/>
            <w:rPr>
              <w:rFonts w:ascii="Times New Roman" w:eastAsiaTheme="minorEastAsia" w:hAnsi="Times New Roman" w:cs="Times New Roman"/>
              <w:smallCaps w:val="0"/>
              <w:noProof/>
              <w:sz w:val="23"/>
              <w:szCs w:val="23"/>
              <w:lang w:eastAsia="sk-SK"/>
            </w:rPr>
          </w:pPr>
          <w:hyperlink w:anchor="_Toc70026097" w:history="1">
            <w:r w:rsidR="000B5651" w:rsidRPr="007F2028">
              <w:rPr>
                <w:rStyle w:val="Hypertextovprepojenie"/>
                <w:rFonts w:ascii="Times New Roman" w:hAnsi="Times New Roman" w:cs="Times New Roman"/>
                <w:smallCaps w:val="0"/>
                <w:noProof/>
                <w:sz w:val="23"/>
                <w:szCs w:val="23"/>
              </w:rPr>
              <w:t>3.2.1</w:t>
            </w:r>
            <w:r w:rsidR="000B5651" w:rsidRPr="007F2028">
              <w:rPr>
                <w:rFonts w:ascii="Times New Roman" w:eastAsiaTheme="minorEastAsia" w:hAnsi="Times New Roman" w:cs="Times New Roman"/>
                <w:smallCaps w:val="0"/>
                <w:noProof/>
                <w:sz w:val="23"/>
                <w:szCs w:val="23"/>
                <w:lang w:eastAsia="sk-SK"/>
              </w:rPr>
              <w:tab/>
            </w:r>
            <w:r w:rsidR="000B5651" w:rsidRPr="007F2028">
              <w:rPr>
                <w:rStyle w:val="Hypertextovprepojenie"/>
                <w:rFonts w:ascii="Times New Roman" w:hAnsi="Times New Roman" w:cs="Times New Roman"/>
                <w:smallCaps w:val="0"/>
                <w:noProof/>
                <w:sz w:val="23"/>
                <w:szCs w:val="23"/>
              </w:rPr>
              <w:t>Výdavky štátneho rozpočtu podľa ekonomickej klasifikácie</w:t>
            </w:r>
            <w:r w:rsidR="000B5651" w:rsidRPr="007F2028">
              <w:rPr>
                <w:rFonts w:ascii="Times New Roman" w:hAnsi="Times New Roman" w:cs="Times New Roman"/>
                <w:smallCaps w:val="0"/>
                <w:noProof/>
                <w:webHidden/>
                <w:sz w:val="23"/>
                <w:szCs w:val="23"/>
              </w:rPr>
              <w:tab/>
            </w:r>
            <w:r w:rsidR="000B5651" w:rsidRPr="007F2028">
              <w:rPr>
                <w:rFonts w:ascii="Times New Roman" w:hAnsi="Times New Roman" w:cs="Times New Roman"/>
                <w:smallCaps w:val="0"/>
                <w:noProof/>
                <w:webHidden/>
                <w:sz w:val="23"/>
                <w:szCs w:val="23"/>
              </w:rPr>
              <w:fldChar w:fldCharType="begin"/>
            </w:r>
            <w:r w:rsidR="000B5651" w:rsidRPr="007F2028">
              <w:rPr>
                <w:rFonts w:ascii="Times New Roman" w:hAnsi="Times New Roman" w:cs="Times New Roman"/>
                <w:smallCaps w:val="0"/>
                <w:noProof/>
                <w:webHidden/>
                <w:sz w:val="23"/>
                <w:szCs w:val="23"/>
              </w:rPr>
              <w:instrText xml:space="preserve"> PAGEREF _Toc70026097 \h </w:instrText>
            </w:r>
            <w:r w:rsidR="000B5651" w:rsidRPr="007F2028">
              <w:rPr>
                <w:rFonts w:ascii="Times New Roman" w:hAnsi="Times New Roman" w:cs="Times New Roman"/>
                <w:smallCaps w:val="0"/>
                <w:noProof/>
                <w:webHidden/>
                <w:sz w:val="23"/>
                <w:szCs w:val="23"/>
              </w:rPr>
            </w:r>
            <w:r w:rsidR="000B5651" w:rsidRPr="007F2028">
              <w:rPr>
                <w:rFonts w:ascii="Times New Roman" w:hAnsi="Times New Roman" w:cs="Times New Roman"/>
                <w:smallCaps w:val="0"/>
                <w:noProof/>
                <w:webHidden/>
                <w:sz w:val="23"/>
                <w:szCs w:val="23"/>
              </w:rPr>
              <w:fldChar w:fldCharType="separate"/>
            </w:r>
            <w:r>
              <w:rPr>
                <w:rFonts w:ascii="Times New Roman" w:hAnsi="Times New Roman" w:cs="Times New Roman"/>
                <w:smallCaps w:val="0"/>
                <w:noProof/>
                <w:webHidden/>
                <w:sz w:val="23"/>
                <w:szCs w:val="23"/>
              </w:rPr>
              <w:t>58</w:t>
            </w:r>
            <w:r w:rsidR="000B5651" w:rsidRPr="007F2028">
              <w:rPr>
                <w:rFonts w:ascii="Times New Roman" w:hAnsi="Times New Roman" w:cs="Times New Roman"/>
                <w:smallCaps w:val="0"/>
                <w:noProof/>
                <w:webHidden/>
                <w:sz w:val="23"/>
                <w:szCs w:val="23"/>
              </w:rPr>
              <w:fldChar w:fldCharType="end"/>
            </w:r>
          </w:hyperlink>
        </w:p>
        <w:p w14:paraId="13C220F1" w14:textId="3C770792" w:rsidR="000B5651" w:rsidRPr="007F2028" w:rsidRDefault="00EF18BD" w:rsidP="007F2028">
          <w:pPr>
            <w:pStyle w:val="Obsah3"/>
            <w:rPr>
              <w:rFonts w:ascii="Times New Roman" w:hAnsi="Times New Roman" w:cs="Times New Roman"/>
              <w:smallCaps w:val="0"/>
              <w:noProof/>
              <w:sz w:val="23"/>
              <w:szCs w:val="23"/>
            </w:rPr>
          </w:pPr>
          <w:hyperlink w:anchor="_Toc70026098" w:history="1">
            <w:r w:rsidR="000B5651" w:rsidRPr="007F2028">
              <w:rPr>
                <w:rFonts w:ascii="Times New Roman" w:hAnsi="Times New Roman" w:cs="Times New Roman"/>
                <w:smallCaps w:val="0"/>
                <w:noProof/>
                <w:sz w:val="23"/>
                <w:szCs w:val="23"/>
              </w:rPr>
              <w:t>3.2.1.1</w:t>
            </w:r>
            <w:r w:rsidR="007F2028" w:rsidRPr="007F2028">
              <w:rPr>
                <w:rFonts w:ascii="Times New Roman" w:hAnsi="Times New Roman" w:cs="Times New Roman"/>
                <w:smallCaps w:val="0"/>
                <w:noProof/>
                <w:sz w:val="23"/>
                <w:szCs w:val="23"/>
              </w:rPr>
              <w:tab/>
            </w:r>
            <w:r w:rsidR="000B5651" w:rsidRPr="007F2028">
              <w:rPr>
                <w:rFonts w:ascii="Times New Roman" w:hAnsi="Times New Roman" w:cs="Times New Roman"/>
                <w:smallCaps w:val="0"/>
                <w:noProof/>
                <w:sz w:val="23"/>
                <w:szCs w:val="23"/>
              </w:rPr>
              <w:t>Bežné výdavky</w:t>
            </w:r>
            <w:r w:rsidR="007F2028" w:rsidRPr="007F2028">
              <w:rPr>
                <w:rFonts w:ascii="Times New Roman" w:hAnsi="Times New Roman" w:cs="Times New Roman"/>
                <w:smallCaps w:val="0"/>
                <w:noProof/>
                <w:webHidden/>
                <w:sz w:val="23"/>
                <w:szCs w:val="23"/>
              </w:rPr>
              <w:tab/>
            </w:r>
            <w:r w:rsidR="000B5651" w:rsidRPr="007F2028">
              <w:rPr>
                <w:rFonts w:ascii="Times New Roman" w:hAnsi="Times New Roman" w:cs="Times New Roman"/>
                <w:smallCaps w:val="0"/>
                <w:noProof/>
                <w:webHidden/>
                <w:sz w:val="23"/>
                <w:szCs w:val="23"/>
              </w:rPr>
              <w:fldChar w:fldCharType="begin"/>
            </w:r>
            <w:r w:rsidR="000B5651" w:rsidRPr="007F2028">
              <w:rPr>
                <w:rFonts w:ascii="Times New Roman" w:hAnsi="Times New Roman" w:cs="Times New Roman"/>
                <w:smallCaps w:val="0"/>
                <w:noProof/>
                <w:webHidden/>
                <w:sz w:val="23"/>
                <w:szCs w:val="23"/>
              </w:rPr>
              <w:instrText xml:space="preserve"> PAGEREF _Toc70026098 \h </w:instrText>
            </w:r>
            <w:r w:rsidR="000B5651" w:rsidRPr="007F2028">
              <w:rPr>
                <w:rFonts w:ascii="Times New Roman" w:hAnsi="Times New Roman" w:cs="Times New Roman"/>
                <w:smallCaps w:val="0"/>
                <w:noProof/>
                <w:webHidden/>
                <w:sz w:val="23"/>
                <w:szCs w:val="23"/>
              </w:rPr>
            </w:r>
            <w:r w:rsidR="000B5651" w:rsidRPr="007F2028">
              <w:rPr>
                <w:rFonts w:ascii="Times New Roman" w:hAnsi="Times New Roman" w:cs="Times New Roman"/>
                <w:smallCaps w:val="0"/>
                <w:noProof/>
                <w:webHidden/>
                <w:sz w:val="23"/>
                <w:szCs w:val="23"/>
              </w:rPr>
              <w:fldChar w:fldCharType="separate"/>
            </w:r>
            <w:r>
              <w:rPr>
                <w:rFonts w:ascii="Times New Roman" w:hAnsi="Times New Roman" w:cs="Times New Roman"/>
                <w:smallCaps w:val="0"/>
                <w:noProof/>
                <w:webHidden/>
                <w:sz w:val="23"/>
                <w:szCs w:val="23"/>
              </w:rPr>
              <w:t>58</w:t>
            </w:r>
            <w:r w:rsidR="000B5651" w:rsidRPr="007F2028">
              <w:rPr>
                <w:rFonts w:ascii="Times New Roman" w:hAnsi="Times New Roman" w:cs="Times New Roman"/>
                <w:smallCaps w:val="0"/>
                <w:noProof/>
                <w:webHidden/>
                <w:sz w:val="23"/>
                <w:szCs w:val="23"/>
              </w:rPr>
              <w:fldChar w:fldCharType="end"/>
            </w:r>
          </w:hyperlink>
        </w:p>
        <w:p w14:paraId="197683E9" w14:textId="5AEFB3ED" w:rsidR="000B5651" w:rsidRPr="007F2028" w:rsidRDefault="00EF18BD" w:rsidP="007F2028">
          <w:pPr>
            <w:pStyle w:val="Obsah3"/>
            <w:rPr>
              <w:rStyle w:val="Hypertextovprepojenie"/>
              <w:rFonts w:ascii="Times New Roman" w:hAnsi="Times New Roman" w:cs="Times New Roman"/>
              <w:smallCaps w:val="0"/>
              <w:noProof/>
              <w:sz w:val="23"/>
              <w:szCs w:val="23"/>
            </w:rPr>
          </w:pPr>
          <w:hyperlink w:anchor="_Toc70026099" w:history="1">
            <w:r w:rsidR="000B5651" w:rsidRPr="007F2028">
              <w:rPr>
                <w:rStyle w:val="Hypertextovprepojenie"/>
                <w:rFonts w:ascii="Times New Roman" w:hAnsi="Times New Roman" w:cs="Times New Roman"/>
                <w:smallCaps w:val="0"/>
                <w:noProof/>
                <w:sz w:val="23"/>
                <w:szCs w:val="23"/>
              </w:rPr>
              <w:t>3.2.1.2</w:t>
            </w:r>
            <w:r w:rsidR="007F2028" w:rsidRPr="007F2028">
              <w:rPr>
                <w:rStyle w:val="Hypertextovprepojenie"/>
                <w:rFonts w:ascii="Times New Roman" w:hAnsi="Times New Roman" w:cs="Times New Roman"/>
                <w:smallCaps w:val="0"/>
                <w:noProof/>
                <w:sz w:val="23"/>
                <w:szCs w:val="23"/>
              </w:rPr>
              <w:tab/>
            </w:r>
            <w:r w:rsidR="000B5651" w:rsidRPr="007F2028">
              <w:rPr>
                <w:rStyle w:val="Hypertextovprepojenie"/>
                <w:rFonts w:ascii="Times New Roman" w:hAnsi="Times New Roman" w:cs="Times New Roman"/>
                <w:smallCaps w:val="0"/>
                <w:noProof/>
                <w:sz w:val="23"/>
                <w:szCs w:val="23"/>
              </w:rPr>
              <w:t>Kapitálové výdavky</w:t>
            </w:r>
            <w:r w:rsidR="007F2028" w:rsidRPr="007F2028">
              <w:rPr>
                <w:rStyle w:val="Hypertextovprepojenie"/>
                <w:rFonts w:ascii="Times New Roman" w:hAnsi="Times New Roman" w:cs="Times New Roman"/>
                <w:smallCaps w:val="0"/>
                <w:noProof/>
                <w:sz w:val="23"/>
                <w:szCs w:val="23"/>
              </w:rPr>
              <w:tab/>
            </w:r>
            <w:r w:rsidR="000B5651" w:rsidRPr="007F2028">
              <w:rPr>
                <w:rStyle w:val="Hypertextovprepojenie"/>
                <w:rFonts w:ascii="Times New Roman" w:hAnsi="Times New Roman" w:cs="Times New Roman"/>
                <w:smallCaps w:val="0"/>
                <w:noProof/>
                <w:webHidden/>
                <w:sz w:val="23"/>
                <w:szCs w:val="23"/>
              </w:rPr>
              <w:fldChar w:fldCharType="begin"/>
            </w:r>
            <w:r w:rsidR="000B5651" w:rsidRPr="007F2028">
              <w:rPr>
                <w:rStyle w:val="Hypertextovprepojenie"/>
                <w:rFonts w:ascii="Times New Roman" w:hAnsi="Times New Roman" w:cs="Times New Roman"/>
                <w:smallCaps w:val="0"/>
                <w:noProof/>
                <w:webHidden/>
                <w:sz w:val="23"/>
                <w:szCs w:val="23"/>
              </w:rPr>
              <w:instrText xml:space="preserve"> PAGEREF _Toc70026099 \h </w:instrText>
            </w:r>
            <w:r w:rsidR="000B5651" w:rsidRPr="007F2028">
              <w:rPr>
                <w:rStyle w:val="Hypertextovprepojenie"/>
                <w:rFonts w:ascii="Times New Roman" w:hAnsi="Times New Roman" w:cs="Times New Roman"/>
                <w:smallCaps w:val="0"/>
                <w:noProof/>
                <w:webHidden/>
                <w:sz w:val="23"/>
                <w:szCs w:val="23"/>
              </w:rPr>
            </w:r>
            <w:r w:rsidR="000B5651" w:rsidRPr="007F2028">
              <w:rPr>
                <w:rStyle w:val="Hypertextovprepojenie"/>
                <w:rFonts w:ascii="Times New Roman" w:hAnsi="Times New Roman" w:cs="Times New Roman"/>
                <w:smallCaps w:val="0"/>
                <w:noProof/>
                <w:webHidden/>
                <w:sz w:val="23"/>
                <w:szCs w:val="23"/>
              </w:rPr>
              <w:fldChar w:fldCharType="separate"/>
            </w:r>
            <w:r>
              <w:rPr>
                <w:rStyle w:val="Hypertextovprepojenie"/>
                <w:rFonts w:ascii="Times New Roman" w:hAnsi="Times New Roman" w:cs="Times New Roman"/>
                <w:smallCaps w:val="0"/>
                <w:noProof/>
                <w:webHidden/>
                <w:sz w:val="23"/>
                <w:szCs w:val="23"/>
              </w:rPr>
              <w:t>76</w:t>
            </w:r>
            <w:r w:rsidR="000B5651" w:rsidRPr="007F2028">
              <w:rPr>
                <w:rStyle w:val="Hypertextovprepojenie"/>
                <w:rFonts w:ascii="Times New Roman" w:hAnsi="Times New Roman" w:cs="Times New Roman"/>
                <w:smallCaps w:val="0"/>
                <w:noProof/>
                <w:webHidden/>
                <w:sz w:val="23"/>
                <w:szCs w:val="23"/>
              </w:rPr>
              <w:fldChar w:fldCharType="end"/>
            </w:r>
          </w:hyperlink>
        </w:p>
        <w:p w14:paraId="72AF4A9F" w14:textId="77777777" w:rsidR="000B5651" w:rsidRPr="007F2028" w:rsidRDefault="00EF18BD">
          <w:pPr>
            <w:pStyle w:val="Obsah3"/>
            <w:rPr>
              <w:rFonts w:ascii="Times New Roman" w:eastAsiaTheme="minorEastAsia" w:hAnsi="Times New Roman" w:cs="Times New Roman"/>
              <w:smallCaps w:val="0"/>
              <w:noProof/>
              <w:sz w:val="23"/>
              <w:szCs w:val="23"/>
              <w:lang w:eastAsia="sk-SK"/>
            </w:rPr>
          </w:pPr>
          <w:hyperlink w:anchor="_Toc70026100" w:history="1">
            <w:r w:rsidR="000B5651" w:rsidRPr="007F2028">
              <w:rPr>
                <w:rStyle w:val="Hypertextovprepojenie"/>
                <w:rFonts w:ascii="Times New Roman" w:hAnsi="Times New Roman" w:cs="Times New Roman"/>
                <w:smallCaps w:val="0"/>
                <w:noProof/>
                <w:sz w:val="23"/>
                <w:szCs w:val="23"/>
              </w:rPr>
              <w:t>3.2.2</w:t>
            </w:r>
            <w:r w:rsidR="000B5651" w:rsidRPr="007F2028">
              <w:rPr>
                <w:rFonts w:ascii="Times New Roman" w:eastAsiaTheme="minorEastAsia" w:hAnsi="Times New Roman" w:cs="Times New Roman"/>
                <w:smallCaps w:val="0"/>
                <w:noProof/>
                <w:sz w:val="23"/>
                <w:szCs w:val="23"/>
                <w:lang w:eastAsia="sk-SK"/>
              </w:rPr>
              <w:tab/>
            </w:r>
            <w:r w:rsidR="000B5651" w:rsidRPr="007F2028">
              <w:rPr>
                <w:rStyle w:val="Hypertextovprepojenie"/>
                <w:rFonts w:ascii="Times New Roman" w:hAnsi="Times New Roman" w:cs="Times New Roman"/>
                <w:smallCaps w:val="0"/>
                <w:noProof/>
                <w:sz w:val="23"/>
                <w:szCs w:val="23"/>
              </w:rPr>
              <w:t>Výdavky podľa funkčnej klasifikácie</w:t>
            </w:r>
            <w:r w:rsidR="000B5651" w:rsidRPr="007F2028">
              <w:rPr>
                <w:rFonts w:ascii="Times New Roman" w:hAnsi="Times New Roman" w:cs="Times New Roman"/>
                <w:smallCaps w:val="0"/>
                <w:noProof/>
                <w:webHidden/>
                <w:sz w:val="23"/>
                <w:szCs w:val="23"/>
              </w:rPr>
              <w:tab/>
            </w:r>
            <w:r w:rsidR="000B5651" w:rsidRPr="007F2028">
              <w:rPr>
                <w:rFonts w:ascii="Times New Roman" w:hAnsi="Times New Roman" w:cs="Times New Roman"/>
                <w:smallCaps w:val="0"/>
                <w:noProof/>
                <w:webHidden/>
                <w:sz w:val="23"/>
                <w:szCs w:val="23"/>
              </w:rPr>
              <w:fldChar w:fldCharType="begin"/>
            </w:r>
            <w:r w:rsidR="000B5651" w:rsidRPr="007F2028">
              <w:rPr>
                <w:rFonts w:ascii="Times New Roman" w:hAnsi="Times New Roman" w:cs="Times New Roman"/>
                <w:smallCaps w:val="0"/>
                <w:noProof/>
                <w:webHidden/>
                <w:sz w:val="23"/>
                <w:szCs w:val="23"/>
              </w:rPr>
              <w:instrText xml:space="preserve"> PAGEREF _Toc70026100 \h </w:instrText>
            </w:r>
            <w:r w:rsidR="000B5651" w:rsidRPr="007F2028">
              <w:rPr>
                <w:rFonts w:ascii="Times New Roman" w:hAnsi="Times New Roman" w:cs="Times New Roman"/>
                <w:smallCaps w:val="0"/>
                <w:noProof/>
                <w:webHidden/>
                <w:sz w:val="23"/>
                <w:szCs w:val="23"/>
              </w:rPr>
            </w:r>
            <w:r w:rsidR="000B5651" w:rsidRPr="007F2028">
              <w:rPr>
                <w:rFonts w:ascii="Times New Roman" w:hAnsi="Times New Roman" w:cs="Times New Roman"/>
                <w:smallCaps w:val="0"/>
                <w:noProof/>
                <w:webHidden/>
                <w:sz w:val="23"/>
                <w:szCs w:val="23"/>
              </w:rPr>
              <w:fldChar w:fldCharType="separate"/>
            </w:r>
            <w:r>
              <w:rPr>
                <w:rFonts w:ascii="Times New Roman" w:hAnsi="Times New Roman" w:cs="Times New Roman"/>
                <w:smallCaps w:val="0"/>
                <w:noProof/>
                <w:webHidden/>
                <w:sz w:val="23"/>
                <w:szCs w:val="23"/>
              </w:rPr>
              <w:t>86</w:t>
            </w:r>
            <w:r w:rsidR="000B5651" w:rsidRPr="007F2028">
              <w:rPr>
                <w:rFonts w:ascii="Times New Roman" w:hAnsi="Times New Roman" w:cs="Times New Roman"/>
                <w:smallCaps w:val="0"/>
                <w:noProof/>
                <w:webHidden/>
                <w:sz w:val="23"/>
                <w:szCs w:val="23"/>
              </w:rPr>
              <w:fldChar w:fldCharType="end"/>
            </w:r>
          </w:hyperlink>
        </w:p>
        <w:p w14:paraId="49CEB2D1" w14:textId="77777777" w:rsidR="000B5651" w:rsidRPr="007F2028" w:rsidRDefault="00EF18BD">
          <w:pPr>
            <w:pStyle w:val="Obsah3"/>
            <w:rPr>
              <w:rFonts w:ascii="Times New Roman" w:eastAsiaTheme="minorEastAsia" w:hAnsi="Times New Roman" w:cs="Times New Roman"/>
              <w:smallCaps w:val="0"/>
              <w:noProof/>
              <w:sz w:val="23"/>
              <w:szCs w:val="23"/>
              <w:lang w:eastAsia="sk-SK"/>
            </w:rPr>
          </w:pPr>
          <w:hyperlink w:anchor="_Toc70026101" w:history="1">
            <w:r w:rsidR="000B5651" w:rsidRPr="007F2028">
              <w:rPr>
                <w:rStyle w:val="Hypertextovprepojenie"/>
                <w:rFonts w:ascii="Times New Roman" w:eastAsiaTheme="majorEastAsia" w:hAnsi="Times New Roman" w:cs="Times New Roman"/>
                <w:b/>
                <w:smallCaps w:val="0"/>
                <w:noProof/>
                <w:sz w:val="23"/>
                <w:szCs w:val="23"/>
              </w:rPr>
              <w:t>3.2.3 Vzťahy štátneho rozpočtu k obciam</w:t>
            </w:r>
            <w:r w:rsidR="000B5651" w:rsidRPr="007F2028">
              <w:rPr>
                <w:rFonts w:ascii="Times New Roman" w:hAnsi="Times New Roman" w:cs="Times New Roman"/>
                <w:smallCaps w:val="0"/>
                <w:noProof/>
                <w:webHidden/>
                <w:sz w:val="23"/>
                <w:szCs w:val="23"/>
              </w:rPr>
              <w:tab/>
            </w:r>
            <w:r w:rsidR="000B5651" w:rsidRPr="007F2028">
              <w:rPr>
                <w:rFonts w:ascii="Times New Roman" w:hAnsi="Times New Roman" w:cs="Times New Roman"/>
                <w:smallCaps w:val="0"/>
                <w:noProof/>
                <w:webHidden/>
                <w:sz w:val="23"/>
                <w:szCs w:val="23"/>
              </w:rPr>
              <w:fldChar w:fldCharType="begin"/>
            </w:r>
            <w:r w:rsidR="000B5651" w:rsidRPr="007F2028">
              <w:rPr>
                <w:rFonts w:ascii="Times New Roman" w:hAnsi="Times New Roman" w:cs="Times New Roman"/>
                <w:smallCaps w:val="0"/>
                <w:noProof/>
                <w:webHidden/>
                <w:sz w:val="23"/>
                <w:szCs w:val="23"/>
              </w:rPr>
              <w:instrText xml:space="preserve"> PAGEREF _Toc70026101 \h </w:instrText>
            </w:r>
            <w:r w:rsidR="000B5651" w:rsidRPr="007F2028">
              <w:rPr>
                <w:rFonts w:ascii="Times New Roman" w:hAnsi="Times New Roman" w:cs="Times New Roman"/>
                <w:smallCaps w:val="0"/>
                <w:noProof/>
                <w:webHidden/>
                <w:sz w:val="23"/>
                <w:szCs w:val="23"/>
              </w:rPr>
            </w:r>
            <w:r w:rsidR="000B5651" w:rsidRPr="007F2028">
              <w:rPr>
                <w:rFonts w:ascii="Times New Roman" w:hAnsi="Times New Roman" w:cs="Times New Roman"/>
                <w:smallCaps w:val="0"/>
                <w:noProof/>
                <w:webHidden/>
                <w:sz w:val="23"/>
                <w:szCs w:val="23"/>
              </w:rPr>
              <w:fldChar w:fldCharType="separate"/>
            </w:r>
            <w:r>
              <w:rPr>
                <w:rFonts w:ascii="Times New Roman" w:hAnsi="Times New Roman" w:cs="Times New Roman"/>
                <w:smallCaps w:val="0"/>
                <w:noProof/>
                <w:webHidden/>
                <w:sz w:val="23"/>
                <w:szCs w:val="23"/>
              </w:rPr>
              <w:t>89</w:t>
            </w:r>
            <w:r w:rsidR="000B5651" w:rsidRPr="007F2028">
              <w:rPr>
                <w:rFonts w:ascii="Times New Roman" w:hAnsi="Times New Roman" w:cs="Times New Roman"/>
                <w:smallCaps w:val="0"/>
                <w:noProof/>
                <w:webHidden/>
                <w:sz w:val="23"/>
                <w:szCs w:val="23"/>
              </w:rPr>
              <w:fldChar w:fldCharType="end"/>
            </w:r>
          </w:hyperlink>
        </w:p>
        <w:p w14:paraId="19AEDBE9" w14:textId="77777777" w:rsidR="000B5651" w:rsidRPr="007F2028" w:rsidRDefault="00EF18BD">
          <w:pPr>
            <w:pStyle w:val="Obsah3"/>
            <w:rPr>
              <w:rFonts w:ascii="Times New Roman" w:eastAsiaTheme="minorEastAsia" w:hAnsi="Times New Roman" w:cs="Times New Roman"/>
              <w:smallCaps w:val="0"/>
              <w:noProof/>
              <w:sz w:val="23"/>
              <w:szCs w:val="23"/>
              <w:lang w:eastAsia="sk-SK"/>
            </w:rPr>
          </w:pPr>
          <w:hyperlink w:anchor="_Toc70026102" w:history="1">
            <w:r w:rsidR="000B5651" w:rsidRPr="007F2028">
              <w:rPr>
                <w:rStyle w:val="Hypertextovprepojenie"/>
                <w:rFonts w:ascii="Times New Roman" w:eastAsiaTheme="majorEastAsia" w:hAnsi="Times New Roman" w:cs="Times New Roman"/>
                <w:b/>
                <w:smallCaps w:val="0"/>
                <w:noProof/>
                <w:sz w:val="23"/>
                <w:szCs w:val="23"/>
              </w:rPr>
              <w:t>3.2.4 Vzťahy štátneho rozpočtu k vyšším územným celkom</w:t>
            </w:r>
            <w:r w:rsidR="000B5651" w:rsidRPr="007F2028">
              <w:rPr>
                <w:rFonts w:ascii="Times New Roman" w:hAnsi="Times New Roman" w:cs="Times New Roman"/>
                <w:smallCaps w:val="0"/>
                <w:noProof/>
                <w:webHidden/>
                <w:sz w:val="23"/>
                <w:szCs w:val="23"/>
              </w:rPr>
              <w:tab/>
            </w:r>
            <w:r w:rsidR="000B5651" w:rsidRPr="007F2028">
              <w:rPr>
                <w:rFonts w:ascii="Times New Roman" w:hAnsi="Times New Roman" w:cs="Times New Roman"/>
                <w:smallCaps w:val="0"/>
                <w:noProof/>
                <w:webHidden/>
                <w:sz w:val="23"/>
                <w:szCs w:val="23"/>
              </w:rPr>
              <w:fldChar w:fldCharType="begin"/>
            </w:r>
            <w:r w:rsidR="000B5651" w:rsidRPr="007F2028">
              <w:rPr>
                <w:rFonts w:ascii="Times New Roman" w:hAnsi="Times New Roman" w:cs="Times New Roman"/>
                <w:smallCaps w:val="0"/>
                <w:noProof/>
                <w:webHidden/>
                <w:sz w:val="23"/>
                <w:szCs w:val="23"/>
              </w:rPr>
              <w:instrText xml:space="preserve"> PAGEREF _Toc70026102 \h </w:instrText>
            </w:r>
            <w:r w:rsidR="000B5651" w:rsidRPr="007F2028">
              <w:rPr>
                <w:rFonts w:ascii="Times New Roman" w:hAnsi="Times New Roman" w:cs="Times New Roman"/>
                <w:smallCaps w:val="0"/>
                <w:noProof/>
                <w:webHidden/>
                <w:sz w:val="23"/>
                <w:szCs w:val="23"/>
              </w:rPr>
            </w:r>
            <w:r w:rsidR="000B5651" w:rsidRPr="007F2028">
              <w:rPr>
                <w:rFonts w:ascii="Times New Roman" w:hAnsi="Times New Roman" w:cs="Times New Roman"/>
                <w:smallCaps w:val="0"/>
                <w:noProof/>
                <w:webHidden/>
                <w:sz w:val="23"/>
                <w:szCs w:val="23"/>
              </w:rPr>
              <w:fldChar w:fldCharType="separate"/>
            </w:r>
            <w:r>
              <w:rPr>
                <w:rFonts w:ascii="Times New Roman" w:hAnsi="Times New Roman" w:cs="Times New Roman"/>
                <w:smallCaps w:val="0"/>
                <w:noProof/>
                <w:webHidden/>
                <w:sz w:val="23"/>
                <w:szCs w:val="23"/>
              </w:rPr>
              <w:t>94</w:t>
            </w:r>
            <w:r w:rsidR="000B5651" w:rsidRPr="007F2028">
              <w:rPr>
                <w:rFonts w:ascii="Times New Roman" w:hAnsi="Times New Roman" w:cs="Times New Roman"/>
                <w:smallCaps w:val="0"/>
                <w:noProof/>
                <w:webHidden/>
                <w:sz w:val="23"/>
                <w:szCs w:val="23"/>
              </w:rPr>
              <w:fldChar w:fldCharType="end"/>
            </w:r>
          </w:hyperlink>
        </w:p>
        <w:p w14:paraId="64374745" w14:textId="77777777" w:rsidR="000B5651" w:rsidRPr="007F2028" w:rsidRDefault="00EF18BD">
          <w:pPr>
            <w:pStyle w:val="Obsah3"/>
            <w:rPr>
              <w:rFonts w:ascii="Times New Roman" w:eastAsiaTheme="minorEastAsia" w:hAnsi="Times New Roman" w:cs="Times New Roman"/>
              <w:smallCaps w:val="0"/>
              <w:noProof/>
              <w:sz w:val="23"/>
              <w:szCs w:val="23"/>
              <w:lang w:eastAsia="sk-SK"/>
            </w:rPr>
          </w:pPr>
          <w:hyperlink w:anchor="_Toc70026103" w:history="1">
            <w:r w:rsidR="000B5651" w:rsidRPr="007F2028">
              <w:rPr>
                <w:rStyle w:val="Hypertextovprepojenie"/>
                <w:rFonts w:ascii="Times New Roman" w:hAnsi="Times New Roman" w:cs="Times New Roman"/>
                <w:smallCaps w:val="0"/>
                <w:noProof/>
                <w:sz w:val="23"/>
                <w:szCs w:val="23"/>
              </w:rPr>
              <w:t>3.2.5</w:t>
            </w:r>
            <w:r w:rsidR="000B5651" w:rsidRPr="007F2028">
              <w:rPr>
                <w:rFonts w:ascii="Times New Roman" w:eastAsiaTheme="minorEastAsia" w:hAnsi="Times New Roman" w:cs="Times New Roman"/>
                <w:smallCaps w:val="0"/>
                <w:noProof/>
                <w:sz w:val="23"/>
                <w:szCs w:val="23"/>
                <w:lang w:eastAsia="sk-SK"/>
              </w:rPr>
              <w:tab/>
            </w:r>
            <w:r w:rsidR="000B5651" w:rsidRPr="007F2028">
              <w:rPr>
                <w:rStyle w:val="Hypertextovprepojenie"/>
                <w:rFonts w:ascii="Times New Roman" w:hAnsi="Times New Roman" w:cs="Times New Roman"/>
                <w:smallCaps w:val="0"/>
                <w:noProof/>
                <w:sz w:val="23"/>
                <w:szCs w:val="23"/>
              </w:rPr>
              <w:t>Čerpanie rezerv štátneho rozpočtu</w:t>
            </w:r>
            <w:r w:rsidR="000B5651" w:rsidRPr="007F2028">
              <w:rPr>
                <w:rFonts w:ascii="Times New Roman" w:hAnsi="Times New Roman" w:cs="Times New Roman"/>
                <w:smallCaps w:val="0"/>
                <w:noProof/>
                <w:webHidden/>
                <w:sz w:val="23"/>
                <w:szCs w:val="23"/>
              </w:rPr>
              <w:tab/>
            </w:r>
            <w:r w:rsidR="000B5651" w:rsidRPr="007F2028">
              <w:rPr>
                <w:rFonts w:ascii="Times New Roman" w:hAnsi="Times New Roman" w:cs="Times New Roman"/>
                <w:smallCaps w:val="0"/>
                <w:noProof/>
                <w:webHidden/>
                <w:sz w:val="23"/>
                <w:szCs w:val="23"/>
              </w:rPr>
              <w:fldChar w:fldCharType="begin"/>
            </w:r>
            <w:r w:rsidR="000B5651" w:rsidRPr="007F2028">
              <w:rPr>
                <w:rFonts w:ascii="Times New Roman" w:hAnsi="Times New Roman" w:cs="Times New Roman"/>
                <w:smallCaps w:val="0"/>
                <w:noProof/>
                <w:webHidden/>
                <w:sz w:val="23"/>
                <w:szCs w:val="23"/>
              </w:rPr>
              <w:instrText xml:space="preserve"> PAGEREF _Toc70026103 \h </w:instrText>
            </w:r>
            <w:r w:rsidR="000B5651" w:rsidRPr="007F2028">
              <w:rPr>
                <w:rFonts w:ascii="Times New Roman" w:hAnsi="Times New Roman" w:cs="Times New Roman"/>
                <w:smallCaps w:val="0"/>
                <w:noProof/>
                <w:webHidden/>
                <w:sz w:val="23"/>
                <w:szCs w:val="23"/>
              </w:rPr>
            </w:r>
            <w:r w:rsidR="000B5651" w:rsidRPr="007F2028">
              <w:rPr>
                <w:rFonts w:ascii="Times New Roman" w:hAnsi="Times New Roman" w:cs="Times New Roman"/>
                <w:smallCaps w:val="0"/>
                <w:noProof/>
                <w:webHidden/>
                <w:sz w:val="23"/>
                <w:szCs w:val="23"/>
              </w:rPr>
              <w:fldChar w:fldCharType="separate"/>
            </w:r>
            <w:r>
              <w:rPr>
                <w:rFonts w:ascii="Times New Roman" w:hAnsi="Times New Roman" w:cs="Times New Roman"/>
                <w:smallCaps w:val="0"/>
                <w:noProof/>
                <w:webHidden/>
                <w:sz w:val="23"/>
                <w:szCs w:val="23"/>
              </w:rPr>
              <w:t>98</w:t>
            </w:r>
            <w:r w:rsidR="000B5651" w:rsidRPr="007F2028">
              <w:rPr>
                <w:rFonts w:ascii="Times New Roman" w:hAnsi="Times New Roman" w:cs="Times New Roman"/>
                <w:smallCaps w:val="0"/>
                <w:noProof/>
                <w:webHidden/>
                <w:sz w:val="23"/>
                <w:szCs w:val="23"/>
              </w:rPr>
              <w:fldChar w:fldCharType="end"/>
            </w:r>
          </w:hyperlink>
        </w:p>
        <w:p w14:paraId="37B602CD" w14:textId="77777777" w:rsidR="000B5651" w:rsidRPr="007F2028" w:rsidRDefault="00EF18BD">
          <w:pPr>
            <w:pStyle w:val="Obsah2"/>
            <w:rPr>
              <w:rFonts w:eastAsiaTheme="minorEastAsia" w:cs="Times New Roman"/>
              <w:b w:val="0"/>
              <w:bCs w:val="0"/>
              <w:sz w:val="23"/>
              <w:szCs w:val="23"/>
              <w:lang w:eastAsia="sk-SK"/>
            </w:rPr>
          </w:pPr>
          <w:hyperlink w:anchor="_Toc70026104" w:history="1">
            <w:r w:rsidR="000B5651" w:rsidRPr="007F2028">
              <w:rPr>
                <w:rStyle w:val="Hypertextovprepojenie"/>
                <w:rFonts w:cs="Times New Roman"/>
                <w:sz w:val="23"/>
                <w:szCs w:val="23"/>
              </w:rPr>
              <w:t>3.3</w:t>
            </w:r>
            <w:r w:rsidR="000B5651" w:rsidRPr="007F2028">
              <w:rPr>
                <w:rFonts w:eastAsiaTheme="minorEastAsia" w:cs="Times New Roman"/>
                <w:b w:val="0"/>
                <w:bCs w:val="0"/>
                <w:sz w:val="23"/>
                <w:szCs w:val="23"/>
                <w:lang w:eastAsia="sk-SK"/>
              </w:rPr>
              <w:tab/>
            </w:r>
            <w:r w:rsidR="000B5651" w:rsidRPr="007F2028">
              <w:rPr>
                <w:rStyle w:val="Hypertextovprepojenie"/>
                <w:rFonts w:cs="Times New Roman"/>
                <w:sz w:val="23"/>
                <w:szCs w:val="23"/>
              </w:rPr>
              <w:t>Štátne finančné aktíva</w:t>
            </w:r>
            <w:r w:rsidR="000B5651" w:rsidRPr="007F2028">
              <w:rPr>
                <w:rFonts w:cs="Times New Roman"/>
                <w:webHidden/>
                <w:sz w:val="23"/>
                <w:szCs w:val="23"/>
              </w:rPr>
              <w:tab/>
            </w:r>
            <w:r w:rsidR="000B5651" w:rsidRPr="007F2028">
              <w:rPr>
                <w:rFonts w:cs="Times New Roman"/>
                <w:webHidden/>
                <w:sz w:val="23"/>
                <w:szCs w:val="23"/>
              </w:rPr>
              <w:fldChar w:fldCharType="begin"/>
            </w:r>
            <w:r w:rsidR="000B5651" w:rsidRPr="007F2028">
              <w:rPr>
                <w:rFonts w:cs="Times New Roman"/>
                <w:webHidden/>
                <w:sz w:val="23"/>
                <w:szCs w:val="23"/>
              </w:rPr>
              <w:instrText xml:space="preserve"> PAGEREF _Toc70026104 \h </w:instrText>
            </w:r>
            <w:r w:rsidR="000B5651" w:rsidRPr="007F2028">
              <w:rPr>
                <w:rFonts w:cs="Times New Roman"/>
                <w:webHidden/>
                <w:sz w:val="23"/>
                <w:szCs w:val="23"/>
              </w:rPr>
            </w:r>
            <w:r w:rsidR="000B5651" w:rsidRPr="007F2028">
              <w:rPr>
                <w:rFonts w:cs="Times New Roman"/>
                <w:webHidden/>
                <w:sz w:val="23"/>
                <w:szCs w:val="23"/>
              </w:rPr>
              <w:fldChar w:fldCharType="separate"/>
            </w:r>
            <w:r>
              <w:rPr>
                <w:rFonts w:cs="Times New Roman"/>
                <w:webHidden/>
                <w:sz w:val="23"/>
                <w:szCs w:val="23"/>
              </w:rPr>
              <w:t>99</w:t>
            </w:r>
            <w:r w:rsidR="000B5651" w:rsidRPr="007F2028">
              <w:rPr>
                <w:rFonts w:cs="Times New Roman"/>
                <w:webHidden/>
                <w:sz w:val="23"/>
                <w:szCs w:val="23"/>
              </w:rPr>
              <w:fldChar w:fldCharType="end"/>
            </w:r>
          </w:hyperlink>
        </w:p>
        <w:p w14:paraId="5C96390E" w14:textId="77777777" w:rsidR="000B5651" w:rsidRPr="007F2028" w:rsidRDefault="00EF18BD">
          <w:pPr>
            <w:pStyle w:val="Obsah2"/>
            <w:rPr>
              <w:rFonts w:eastAsiaTheme="minorEastAsia" w:cs="Times New Roman"/>
              <w:b w:val="0"/>
              <w:bCs w:val="0"/>
              <w:sz w:val="23"/>
              <w:szCs w:val="23"/>
              <w:lang w:eastAsia="sk-SK"/>
            </w:rPr>
          </w:pPr>
          <w:hyperlink w:anchor="_Toc70026105" w:history="1">
            <w:r w:rsidR="000B5651" w:rsidRPr="007F2028">
              <w:rPr>
                <w:rStyle w:val="Hypertextovprepojenie"/>
                <w:rFonts w:cs="Times New Roman"/>
                <w:sz w:val="23"/>
                <w:szCs w:val="23"/>
              </w:rPr>
              <w:t>3.4</w:t>
            </w:r>
            <w:r w:rsidR="000B5651" w:rsidRPr="007F2028">
              <w:rPr>
                <w:rFonts w:eastAsiaTheme="minorEastAsia" w:cs="Times New Roman"/>
                <w:b w:val="0"/>
                <w:bCs w:val="0"/>
                <w:sz w:val="23"/>
                <w:szCs w:val="23"/>
                <w:lang w:eastAsia="sk-SK"/>
              </w:rPr>
              <w:tab/>
            </w:r>
            <w:r w:rsidR="000B5651" w:rsidRPr="007F2028">
              <w:rPr>
                <w:rStyle w:val="Hypertextovprepojenie"/>
                <w:rFonts w:cs="Times New Roman"/>
                <w:sz w:val="23"/>
                <w:szCs w:val="23"/>
              </w:rPr>
              <w:t>Vzťahy štátneho rozpočtu k Európskej únii</w:t>
            </w:r>
            <w:r w:rsidR="000B5651" w:rsidRPr="007F2028">
              <w:rPr>
                <w:rFonts w:cs="Times New Roman"/>
                <w:webHidden/>
                <w:sz w:val="23"/>
                <w:szCs w:val="23"/>
              </w:rPr>
              <w:tab/>
            </w:r>
            <w:r w:rsidR="000B5651" w:rsidRPr="007F2028">
              <w:rPr>
                <w:rFonts w:cs="Times New Roman"/>
                <w:webHidden/>
                <w:sz w:val="23"/>
                <w:szCs w:val="23"/>
              </w:rPr>
              <w:fldChar w:fldCharType="begin"/>
            </w:r>
            <w:r w:rsidR="000B5651" w:rsidRPr="007F2028">
              <w:rPr>
                <w:rFonts w:cs="Times New Roman"/>
                <w:webHidden/>
                <w:sz w:val="23"/>
                <w:szCs w:val="23"/>
              </w:rPr>
              <w:instrText xml:space="preserve"> PAGEREF _Toc70026105 \h </w:instrText>
            </w:r>
            <w:r w:rsidR="000B5651" w:rsidRPr="007F2028">
              <w:rPr>
                <w:rFonts w:cs="Times New Roman"/>
                <w:webHidden/>
                <w:sz w:val="23"/>
                <w:szCs w:val="23"/>
              </w:rPr>
            </w:r>
            <w:r w:rsidR="000B5651" w:rsidRPr="007F2028">
              <w:rPr>
                <w:rFonts w:cs="Times New Roman"/>
                <w:webHidden/>
                <w:sz w:val="23"/>
                <w:szCs w:val="23"/>
              </w:rPr>
              <w:fldChar w:fldCharType="separate"/>
            </w:r>
            <w:r>
              <w:rPr>
                <w:rFonts w:cs="Times New Roman"/>
                <w:webHidden/>
                <w:sz w:val="23"/>
                <w:szCs w:val="23"/>
              </w:rPr>
              <w:t>103</w:t>
            </w:r>
            <w:r w:rsidR="000B5651" w:rsidRPr="007F2028">
              <w:rPr>
                <w:rFonts w:cs="Times New Roman"/>
                <w:webHidden/>
                <w:sz w:val="23"/>
                <w:szCs w:val="23"/>
              </w:rPr>
              <w:fldChar w:fldCharType="end"/>
            </w:r>
          </w:hyperlink>
        </w:p>
        <w:p w14:paraId="0A17ABFA" w14:textId="77777777" w:rsidR="000B5651" w:rsidRPr="007F2028" w:rsidRDefault="00EF18BD">
          <w:pPr>
            <w:pStyle w:val="Obsah3"/>
            <w:rPr>
              <w:rFonts w:ascii="Times New Roman" w:eastAsiaTheme="minorEastAsia" w:hAnsi="Times New Roman" w:cs="Times New Roman"/>
              <w:smallCaps w:val="0"/>
              <w:noProof/>
              <w:sz w:val="23"/>
              <w:szCs w:val="23"/>
              <w:lang w:eastAsia="sk-SK"/>
            </w:rPr>
          </w:pPr>
          <w:hyperlink w:anchor="_Toc70026106" w:history="1">
            <w:r w:rsidR="000B5651" w:rsidRPr="007F2028">
              <w:rPr>
                <w:rStyle w:val="Hypertextovprepojenie"/>
                <w:rFonts w:ascii="Times New Roman" w:hAnsi="Times New Roman" w:cs="Times New Roman"/>
                <w:smallCaps w:val="0"/>
                <w:noProof/>
                <w:sz w:val="23"/>
                <w:szCs w:val="23"/>
              </w:rPr>
              <w:t>3.4.1</w:t>
            </w:r>
            <w:r w:rsidR="000B5651" w:rsidRPr="007F2028">
              <w:rPr>
                <w:rFonts w:ascii="Times New Roman" w:eastAsiaTheme="minorEastAsia" w:hAnsi="Times New Roman" w:cs="Times New Roman"/>
                <w:smallCaps w:val="0"/>
                <w:noProof/>
                <w:sz w:val="23"/>
                <w:szCs w:val="23"/>
                <w:lang w:eastAsia="sk-SK"/>
              </w:rPr>
              <w:tab/>
            </w:r>
            <w:r w:rsidR="000B5651" w:rsidRPr="007F2028">
              <w:rPr>
                <w:rStyle w:val="Hypertextovprepojenie"/>
                <w:rFonts w:ascii="Times New Roman" w:hAnsi="Times New Roman" w:cs="Times New Roman"/>
                <w:smallCaps w:val="0"/>
                <w:noProof/>
                <w:sz w:val="23"/>
                <w:szCs w:val="23"/>
              </w:rPr>
              <w:t>Príjmy z rozpočtu Európskej únie</w:t>
            </w:r>
            <w:r w:rsidR="000B5651" w:rsidRPr="007F2028">
              <w:rPr>
                <w:rFonts w:ascii="Times New Roman" w:hAnsi="Times New Roman" w:cs="Times New Roman"/>
                <w:smallCaps w:val="0"/>
                <w:noProof/>
                <w:webHidden/>
                <w:sz w:val="23"/>
                <w:szCs w:val="23"/>
              </w:rPr>
              <w:tab/>
            </w:r>
            <w:r w:rsidR="000B5651" w:rsidRPr="007F2028">
              <w:rPr>
                <w:rFonts w:ascii="Times New Roman" w:hAnsi="Times New Roman" w:cs="Times New Roman"/>
                <w:smallCaps w:val="0"/>
                <w:noProof/>
                <w:webHidden/>
                <w:sz w:val="23"/>
                <w:szCs w:val="23"/>
              </w:rPr>
              <w:fldChar w:fldCharType="begin"/>
            </w:r>
            <w:r w:rsidR="000B5651" w:rsidRPr="007F2028">
              <w:rPr>
                <w:rFonts w:ascii="Times New Roman" w:hAnsi="Times New Roman" w:cs="Times New Roman"/>
                <w:smallCaps w:val="0"/>
                <w:noProof/>
                <w:webHidden/>
                <w:sz w:val="23"/>
                <w:szCs w:val="23"/>
              </w:rPr>
              <w:instrText xml:space="preserve"> PAGEREF _Toc70026106 \h </w:instrText>
            </w:r>
            <w:r w:rsidR="000B5651" w:rsidRPr="007F2028">
              <w:rPr>
                <w:rFonts w:ascii="Times New Roman" w:hAnsi="Times New Roman" w:cs="Times New Roman"/>
                <w:smallCaps w:val="0"/>
                <w:noProof/>
                <w:webHidden/>
                <w:sz w:val="23"/>
                <w:szCs w:val="23"/>
              </w:rPr>
            </w:r>
            <w:r w:rsidR="000B5651" w:rsidRPr="007F2028">
              <w:rPr>
                <w:rFonts w:ascii="Times New Roman" w:hAnsi="Times New Roman" w:cs="Times New Roman"/>
                <w:smallCaps w:val="0"/>
                <w:noProof/>
                <w:webHidden/>
                <w:sz w:val="23"/>
                <w:szCs w:val="23"/>
              </w:rPr>
              <w:fldChar w:fldCharType="separate"/>
            </w:r>
            <w:r>
              <w:rPr>
                <w:rFonts w:ascii="Times New Roman" w:hAnsi="Times New Roman" w:cs="Times New Roman"/>
                <w:smallCaps w:val="0"/>
                <w:noProof/>
                <w:webHidden/>
                <w:sz w:val="23"/>
                <w:szCs w:val="23"/>
              </w:rPr>
              <w:t>105</w:t>
            </w:r>
            <w:r w:rsidR="000B5651" w:rsidRPr="007F2028">
              <w:rPr>
                <w:rFonts w:ascii="Times New Roman" w:hAnsi="Times New Roman" w:cs="Times New Roman"/>
                <w:smallCaps w:val="0"/>
                <w:noProof/>
                <w:webHidden/>
                <w:sz w:val="23"/>
                <w:szCs w:val="23"/>
              </w:rPr>
              <w:fldChar w:fldCharType="end"/>
            </w:r>
          </w:hyperlink>
        </w:p>
        <w:p w14:paraId="492D39C9" w14:textId="4061CDD1" w:rsidR="000B5651" w:rsidRPr="007F2028" w:rsidRDefault="00EF18BD" w:rsidP="00592C72">
          <w:pPr>
            <w:pStyle w:val="Obsah3"/>
            <w:rPr>
              <w:rFonts w:ascii="Times New Roman" w:eastAsiaTheme="minorEastAsia" w:hAnsi="Times New Roman" w:cs="Times New Roman"/>
              <w:smallCaps w:val="0"/>
              <w:noProof/>
              <w:sz w:val="23"/>
              <w:szCs w:val="23"/>
              <w:lang w:eastAsia="sk-SK"/>
            </w:rPr>
          </w:pPr>
          <w:hyperlink w:anchor="_Toc70026107" w:history="1">
            <w:r w:rsidR="000B5651" w:rsidRPr="007F2028">
              <w:rPr>
                <w:rStyle w:val="Hypertextovprepojenie"/>
                <w:rFonts w:ascii="Times New Roman" w:hAnsi="Times New Roman" w:cs="Times New Roman"/>
                <w:smallCaps w:val="0"/>
                <w:noProof/>
                <w:sz w:val="23"/>
                <w:szCs w:val="23"/>
              </w:rPr>
              <w:t>3.4.2</w:t>
            </w:r>
            <w:r w:rsidR="000B5651" w:rsidRPr="007F2028">
              <w:rPr>
                <w:rFonts w:ascii="Times New Roman" w:eastAsiaTheme="minorEastAsia" w:hAnsi="Times New Roman" w:cs="Times New Roman"/>
                <w:smallCaps w:val="0"/>
                <w:noProof/>
                <w:sz w:val="23"/>
                <w:szCs w:val="23"/>
                <w:lang w:eastAsia="sk-SK"/>
              </w:rPr>
              <w:tab/>
            </w:r>
            <w:r w:rsidR="000B5651" w:rsidRPr="007F2028">
              <w:rPr>
                <w:rStyle w:val="Hypertextovprepojenie"/>
                <w:rFonts w:ascii="Times New Roman" w:hAnsi="Times New Roman" w:cs="Times New Roman"/>
                <w:smallCaps w:val="0"/>
                <w:noProof/>
                <w:sz w:val="23"/>
                <w:szCs w:val="23"/>
              </w:rPr>
              <w:t>Výdavky štátneho rozpočtu rozpočtované vo väzbe</w:t>
            </w:r>
            <w:r w:rsidR="00592C72">
              <w:rPr>
                <w:rStyle w:val="Hypertextovprepojenie"/>
                <w:rFonts w:ascii="Times New Roman" w:hAnsi="Times New Roman" w:cs="Times New Roman"/>
                <w:smallCaps w:val="0"/>
                <w:noProof/>
                <w:sz w:val="23"/>
                <w:szCs w:val="23"/>
              </w:rPr>
              <w:t xml:space="preserve"> </w:t>
            </w:r>
            <w:r w:rsidR="000B5651" w:rsidRPr="007F2028">
              <w:rPr>
                <w:rStyle w:val="Hypertextovprepojenie"/>
                <w:rFonts w:ascii="Times New Roman" w:hAnsi="Times New Roman" w:cs="Times New Roman"/>
                <w:smallCaps w:val="0"/>
                <w:noProof/>
                <w:sz w:val="23"/>
                <w:szCs w:val="23"/>
              </w:rPr>
              <w:t>na príjmy z Európskej únie</w:t>
            </w:r>
            <w:r w:rsidR="000B5651" w:rsidRPr="007F2028">
              <w:rPr>
                <w:rFonts w:ascii="Times New Roman" w:hAnsi="Times New Roman" w:cs="Times New Roman"/>
                <w:smallCaps w:val="0"/>
                <w:noProof/>
                <w:webHidden/>
                <w:sz w:val="23"/>
                <w:szCs w:val="23"/>
              </w:rPr>
              <w:tab/>
            </w:r>
            <w:r w:rsidR="000B5651" w:rsidRPr="007F2028">
              <w:rPr>
                <w:rFonts w:ascii="Times New Roman" w:hAnsi="Times New Roman" w:cs="Times New Roman"/>
                <w:smallCaps w:val="0"/>
                <w:noProof/>
                <w:webHidden/>
                <w:sz w:val="23"/>
                <w:szCs w:val="23"/>
              </w:rPr>
              <w:fldChar w:fldCharType="begin"/>
            </w:r>
            <w:r w:rsidR="000B5651" w:rsidRPr="007F2028">
              <w:rPr>
                <w:rFonts w:ascii="Times New Roman" w:hAnsi="Times New Roman" w:cs="Times New Roman"/>
                <w:smallCaps w:val="0"/>
                <w:noProof/>
                <w:webHidden/>
                <w:sz w:val="23"/>
                <w:szCs w:val="23"/>
              </w:rPr>
              <w:instrText xml:space="preserve"> PAGEREF _Toc70026107 \h </w:instrText>
            </w:r>
            <w:r w:rsidR="000B5651" w:rsidRPr="007F2028">
              <w:rPr>
                <w:rFonts w:ascii="Times New Roman" w:hAnsi="Times New Roman" w:cs="Times New Roman"/>
                <w:smallCaps w:val="0"/>
                <w:noProof/>
                <w:webHidden/>
                <w:sz w:val="23"/>
                <w:szCs w:val="23"/>
              </w:rPr>
            </w:r>
            <w:r w:rsidR="000B5651" w:rsidRPr="007F2028">
              <w:rPr>
                <w:rFonts w:ascii="Times New Roman" w:hAnsi="Times New Roman" w:cs="Times New Roman"/>
                <w:smallCaps w:val="0"/>
                <w:noProof/>
                <w:webHidden/>
                <w:sz w:val="23"/>
                <w:szCs w:val="23"/>
              </w:rPr>
              <w:fldChar w:fldCharType="separate"/>
            </w:r>
            <w:r>
              <w:rPr>
                <w:rFonts w:ascii="Times New Roman" w:hAnsi="Times New Roman" w:cs="Times New Roman"/>
                <w:smallCaps w:val="0"/>
                <w:noProof/>
                <w:webHidden/>
                <w:sz w:val="23"/>
                <w:szCs w:val="23"/>
              </w:rPr>
              <w:t>107</w:t>
            </w:r>
            <w:r w:rsidR="000B5651" w:rsidRPr="007F2028">
              <w:rPr>
                <w:rFonts w:ascii="Times New Roman" w:hAnsi="Times New Roman" w:cs="Times New Roman"/>
                <w:smallCaps w:val="0"/>
                <w:noProof/>
                <w:webHidden/>
                <w:sz w:val="23"/>
                <w:szCs w:val="23"/>
              </w:rPr>
              <w:fldChar w:fldCharType="end"/>
            </w:r>
          </w:hyperlink>
        </w:p>
        <w:p w14:paraId="670EB50D" w14:textId="60D49A5B" w:rsidR="000B5651" w:rsidRPr="007F2028" w:rsidRDefault="00EF18BD" w:rsidP="00592C72">
          <w:pPr>
            <w:pStyle w:val="Obsah3"/>
            <w:rPr>
              <w:rFonts w:ascii="Times New Roman" w:eastAsiaTheme="minorEastAsia" w:hAnsi="Times New Roman" w:cs="Times New Roman"/>
              <w:smallCaps w:val="0"/>
              <w:noProof/>
              <w:sz w:val="23"/>
              <w:szCs w:val="23"/>
              <w:lang w:eastAsia="sk-SK"/>
            </w:rPr>
          </w:pPr>
          <w:hyperlink w:anchor="_Toc70026108" w:history="1">
            <w:r w:rsidR="000B5651" w:rsidRPr="007F2028">
              <w:rPr>
                <w:rStyle w:val="Hypertextovprepojenie"/>
                <w:rFonts w:ascii="Times New Roman" w:hAnsi="Times New Roman" w:cs="Times New Roman"/>
                <w:smallCaps w:val="0"/>
                <w:noProof/>
                <w:sz w:val="23"/>
                <w:szCs w:val="23"/>
              </w:rPr>
              <w:t>3.4.3</w:t>
            </w:r>
            <w:r w:rsidR="000B5651" w:rsidRPr="007F2028">
              <w:rPr>
                <w:rFonts w:ascii="Times New Roman" w:eastAsiaTheme="minorEastAsia" w:hAnsi="Times New Roman" w:cs="Times New Roman"/>
                <w:smallCaps w:val="0"/>
                <w:noProof/>
                <w:sz w:val="23"/>
                <w:szCs w:val="23"/>
                <w:lang w:eastAsia="sk-SK"/>
              </w:rPr>
              <w:tab/>
            </w:r>
            <w:r w:rsidR="000B5651" w:rsidRPr="007F2028">
              <w:rPr>
                <w:rStyle w:val="Hypertextovprepojenie"/>
                <w:rFonts w:ascii="Times New Roman" w:hAnsi="Times New Roman" w:cs="Times New Roman"/>
                <w:smallCaps w:val="0"/>
                <w:noProof/>
                <w:sz w:val="23"/>
                <w:szCs w:val="23"/>
              </w:rPr>
              <w:t>Prostriedky poskytnuté SR používané prostredníctvom</w:t>
            </w:r>
            <w:r w:rsidR="00592C72">
              <w:rPr>
                <w:rStyle w:val="Hypertextovprepojenie"/>
                <w:rFonts w:ascii="Times New Roman" w:hAnsi="Times New Roman" w:cs="Times New Roman"/>
                <w:smallCaps w:val="0"/>
                <w:noProof/>
                <w:sz w:val="23"/>
                <w:szCs w:val="23"/>
              </w:rPr>
              <w:t xml:space="preserve"> </w:t>
            </w:r>
            <w:r w:rsidR="000B5651" w:rsidRPr="007F2028">
              <w:rPr>
                <w:rStyle w:val="Hypertextovprepojenie"/>
                <w:rFonts w:ascii="Times New Roman" w:hAnsi="Times New Roman" w:cs="Times New Roman"/>
                <w:smallCaps w:val="0"/>
                <w:noProof/>
                <w:sz w:val="23"/>
                <w:szCs w:val="23"/>
              </w:rPr>
              <w:t>samostatných účtov</w:t>
            </w:r>
            <w:r w:rsidR="000B5651" w:rsidRPr="007F2028">
              <w:rPr>
                <w:rFonts w:ascii="Times New Roman" w:hAnsi="Times New Roman" w:cs="Times New Roman"/>
                <w:smallCaps w:val="0"/>
                <w:noProof/>
                <w:webHidden/>
                <w:sz w:val="23"/>
                <w:szCs w:val="23"/>
              </w:rPr>
              <w:tab/>
            </w:r>
            <w:r w:rsidR="000B5651" w:rsidRPr="007F2028">
              <w:rPr>
                <w:rFonts w:ascii="Times New Roman" w:hAnsi="Times New Roman" w:cs="Times New Roman"/>
                <w:smallCaps w:val="0"/>
                <w:noProof/>
                <w:webHidden/>
                <w:sz w:val="23"/>
                <w:szCs w:val="23"/>
              </w:rPr>
              <w:fldChar w:fldCharType="begin"/>
            </w:r>
            <w:r w:rsidR="000B5651" w:rsidRPr="007F2028">
              <w:rPr>
                <w:rFonts w:ascii="Times New Roman" w:hAnsi="Times New Roman" w:cs="Times New Roman"/>
                <w:smallCaps w:val="0"/>
                <w:noProof/>
                <w:webHidden/>
                <w:sz w:val="23"/>
                <w:szCs w:val="23"/>
              </w:rPr>
              <w:instrText xml:space="preserve"> PAGEREF _Toc70026108 \h </w:instrText>
            </w:r>
            <w:r w:rsidR="000B5651" w:rsidRPr="007F2028">
              <w:rPr>
                <w:rFonts w:ascii="Times New Roman" w:hAnsi="Times New Roman" w:cs="Times New Roman"/>
                <w:smallCaps w:val="0"/>
                <w:noProof/>
                <w:webHidden/>
                <w:sz w:val="23"/>
                <w:szCs w:val="23"/>
              </w:rPr>
            </w:r>
            <w:r w:rsidR="000B5651" w:rsidRPr="007F2028">
              <w:rPr>
                <w:rFonts w:ascii="Times New Roman" w:hAnsi="Times New Roman" w:cs="Times New Roman"/>
                <w:smallCaps w:val="0"/>
                <w:noProof/>
                <w:webHidden/>
                <w:sz w:val="23"/>
                <w:szCs w:val="23"/>
              </w:rPr>
              <w:fldChar w:fldCharType="separate"/>
            </w:r>
            <w:r>
              <w:rPr>
                <w:rFonts w:ascii="Times New Roman" w:hAnsi="Times New Roman" w:cs="Times New Roman"/>
                <w:smallCaps w:val="0"/>
                <w:noProof/>
                <w:webHidden/>
                <w:sz w:val="23"/>
                <w:szCs w:val="23"/>
              </w:rPr>
              <w:t>111</w:t>
            </w:r>
            <w:r w:rsidR="000B5651" w:rsidRPr="007F2028">
              <w:rPr>
                <w:rFonts w:ascii="Times New Roman" w:hAnsi="Times New Roman" w:cs="Times New Roman"/>
                <w:smallCaps w:val="0"/>
                <w:noProof/>
                <w:webHidden/>
                <w:sz w:val="23"/>
                <w:szCs w:val="23"/>
              </w:rPr>
              <w:fldChar w:fldCharType="end"/>
            </w:r>
          </w:hyperlink>
        </w:p>
        <w:p w14:paraId="3A44962E" w14:textId="77777777" w:rsidR="000B5651" w:rsidRPr="007F2028" w:rsidRDefault="00EF18BD">
          <w:pPr>
            <w:pStyle w:val="Obsah3"/>
            <w:rPr>
              <w:rFonts w:ascii="Times New Roman" w:eastAsiaTheme="minorEastAsia" w:hAnsi="Times New Roman" w:cs="Times New Roman"/>
              <w:smallCaps w:val="0"/>
              <w:noProof/>
              <w:sz w:val="23"/>
              <w:szCs w:val="23"/>
              <w:lang w:eastAsia="sk-SK"/>
            </w:rPr>
          </w:pPr>
          <w:hyperlink w:anchor="_Toc70026109" w:history="1">
            <w:r w:rsidR="000B5651" w:rsidRPr="007F2028">
              <w:rPr>
                <w:rStyle w:val="Hypertextovprepojenie"/>
                <w:rFonts w:ascii="Times New Roman" w:hAnsi="Times New Roman" w:cs="Times New Roman"/>
                <w:smallCaps w:val="0"/>
                <w:noProof/>
                <w:sz w:val="23"/>
                <w:szCs w:val="23"/>
              </w:rPr>
              <w:t>3.4.4</w:t>
            </w:r>
            <w:r w:rsidR="000B5651" w:rsidRPr="007F2028">
              <w:rPr>
                <w:rFonts w:ascii="Times New Roman" w:eastAsiaTheme="minorEastAsia" w:hAnsi="Times New Roman" w:cs="Times New Roman"/>
                <w:smallCaps w:val="0"/>
                <w:noProof/>
                <w:sz w:val="23"/>
                <w:szCs w:val="23"/>
                <w:lang w:eastAsia="sk-SK"/>
              </w:rPr>
              <w:tab/>
            </w:r>
            <w:r w:rsidR="000B5651" w:rsidRPr="007F2028">
              <w:rPr>
                <w:rStyle w:val="Hypertextovprepojenie"/>
                <w:rFonts w:ascii="Times New Roman" w:hAnsi="Times New Roman" w:cs="Times New Roman"/>
                <w:smallCaps w:val="0"/>
                <w:noProof/>
                <w:sz w:val="23"/>
                <w:szCs w:val="23"/>
              </w:rPr>
              <w:t>Zhrnutie čerpania záväzkov programových období po vstupe SR do EÚ</w:t>
            </w:r>
            <w:r w:rsidR="000B5651" w:rsidRPr="007F2028">
              <w:rPr>
                <w:rFonts w:ascii="Times New Roman" w:hAnsi="Times New Roman" w:cs="Times New Roman"/>
                <w:smallCaps w:val="0"/>
                <w:noProof/>
                <w:webHidden/>
                <w:sz w:val="23"/>
                <w:szCs w:val="23"/>
              </w:rPr>
              <w:tab/>
            </w:r>
            <w:r w:rsidR="000B5651" w:rsidRPr="007F2028">
              <w:rPr>
                <w:rFonts w:ascii="Times New Roman" w:hAnsi="Times New Roman" w:cs="Times New Roman"/>
                <w:smallCaps w:val="0"/>
                <w:noProof/>
                <w:webHidden/>
                <w:sz w:val="23"/>
                <w:szCs w:val="23"/>
              </w:rPr>
              <w:fldChar w:fldCharType="begin"/>
            </w:r>
            <w:r w:rsidR="000B5651" w:rsidRPr="007F2028">
              <w:rPr>
                <w:rFonts w:ascii="Times New Roman" w:hAnsi="Times New Roman" w:cs="Times New Roman"/>
                <w:smallCaps w:val="0"/>
                <w:noProof/>
                <w:webHidden/>
                <w:sz w:val="23"/>
                <w:szCs w:val="23"/>
              </w:rPr>
              <w:instrText xml:space="preserve"> PAGEREF _Toc70026109 \h </w:instrText>
            </w:r>
            <w:r w:rsidR="000B5651" w:rsidRPr="007F2028">
              <w:rPr>
                <w:rFonts w:ascii="Times New Roman" w:hAnsi="Times New Roman" w:cs="Times New Roman"/>
                <w:smallCaps w:val="0"/>
                <w:noProof/>
                <w:webHidden/>
                <w:sz w:val="23"/>
                <w:szCs w:val="23"/>
              </w:rPr>
            </w:r>
            <w:r w:rsidR="000B5651" w:rsidRPr="007F2028">
              <w:rPr>
                <w:rFonts w:ascii="Times New Roman" w:hAnsi="Times New Roman" w:cs="Times New Roman"/>
                <w:smallCaps w:val="0"/>
                <w:noProof/>
                <w:webHidden/>
                <w:sz w:val="23"/>
                <w:szCs w:val="23"/>
              </w:rPr>
              <w:fldChar w:fldCharType="separate"/>
            </w:r>
            <w:r>
              <w:rPr>
                <w:rFonts w:ascii="Times New Roman" w:hAnsi="Times New Roman" w:cs="Times New Roman"/>
                <w:smallCaps w:val="0"/>
                <w:noProof/>
                <w:webHidden/>
                <w:sz w:val="23"/>
                <w:szCs w:val="23"/>
              </w:rPr>
              <w:t>111</w:t>
            </w:r>
            <w:r w:rsidR="000B5651" w:rsidRPr="007F2028">
              <w:rPr>
                <w:rFonts w:ascii="Times New Roman" w:hAnsi="Times New Roman" w:cs="Times New Roman"/>
                <w:smallCaps w:val="0"/>
                <w:noProof/>
                <w:webHidden/>
                <w:sz w:val="23"/>
                <w:szCs w:val="23"/>
              </w:rPr>
              <w:fldChar w:fldCharType="end"/>
            </w:r>
          </w:hyperlink>
        </w:p>
        <w:p w14:paraId="7442301C" w14:textId="77777777" w:rsidR="000B5651" w:rsidRPr="007F2028" w:rsidRDefault="00EF18BD">
          <w:pPr>
            <w:pStyle w:val="Obsah1"/>
            <w:rPr>
              <w:rFonts w:eastAsiaTheme="minorEastAsia" w:cs="Times New Roman"/>
              <w:b w:val="0"/>
              <w:bCs w:val="0"/>
              <w:sz w:val="23"/>
              <w:szCs w:val="23"/>
              <w:lang w:eastAsia="sk-SK"/>
            </w:rPr>
          </w:pPr>
          <w:hyperlink w:anchor="_Toc70026110" w:history="1">
            <w:r w:rsidR="000B5651" w:rsidRPr="007F2028">
              <w:rPr>
                <w:rStyle w:val="Hypertextovprepojenie"/>
                <w:rFonts w:cs="Times New Roman"/>
                <w:sz w:val="23"/>
                <w:szCs w:val="23"/>
              </w:rPr>
              <w:t>Tabuľková príloha k hotovostnému plneniu ŠR</w:t>
            </w:r>
            <w:r w:rsidR="000B5651" w:rsidRPr="007F2028">
              <w:rPr>
                <w:rFonts w:cs="Times New Roman"/>
                <w:webHidden/>
                <w:sz w:val="23"/>
                <w:szCs w:val="23"/>
              </w:rPr>
              <w:tab/>
            </w:r>
            <w:r w:rsidR="000B5651" w:rsidRPr="007F2028">
              <w:rPr>
                <w:rFonts w:cs="Times New Roman"/>
                <w:webHidden/>
                <w:sz w:val="23"/>
                <w:szCs w:val="23"/>
              </w:rPr>
              <w:fldChar w:fldCharType="begin"/>
            </w:r>
            <w:r w:rsidR="000B5651" w:rsidRPr="007F2028">
              <w:rPr>
                <w:rFonts w:cs="Times New Roman"/>
                <w:webHidden/>
                <w:sz w:val="23"/>
                <w:szCs w:val="23"/>
              </w:rPr>
              <w:instrText xml:space="preserve"> PAGEREF _Toc70026110 \h </w:instrText>
            </w:r>
            <w:r w:rsidR="000B5651" w:rsidRPr="007F2028">
              <w:rPr>
                <w:rFonts w:cs="Times New Roman"/>
                <w:webHidden/>
                <w:sz w:val="23"/>
                <w:szCs w:val="23"/>
              </w:rPr>
            </w:r>
            <w:r w:rsidR="000B5651" w:rsidRPr="007F2028">
              <w:rPr>
                <w:rFonts w:cs="Times New Roman"/>
                <w:webHidden/>
                <w:sz w:val="23"/>
                <w:szCs w:val="23"/>
              </w:rPr>
              <w:fldChar w:fldCharType="separate"/>
            </w:r>
            <w:r>
              <w:rPr>
                <w:rFonts w:cs="Times New Roman"/>
                <w:webHidden/>
                <w:sz w:val="23"/>
                <w:szCs w:val="23"/>
              </w:rPr>
              <w:t>113</w:t>
            </w:r>
            <w:r w:rsidR="000B5651" w:rsidRPr="007F2028">
              <w:rPr>
                <w:rFonts w:cs="Times New Roman"/>
                <w:webHidden/>
                <w:sz w:val="23"/>
                <w:szCs w:val="23"/>
              </w:rPr>
              <w:fldChar w:fldCharType="end"/>
            </w:r>
          </w:hyperlink>
        </w:p>
        <w:p w14:paraId="00AA119E" w14:textId="01C4F08E" w:rsidR="008A0537" w:rsidRPr="007F2028" w:rsidRDefault="00C27205" w:rsidP="003B450C">
          <w:pPr>
            <w:spacing w:after="0" w:line="240" w:lineRule="auto"/>
            <w:rPr>
              <w:rFonts w:cs="Times New Roman"/>
              <w:sz w:val="23"/>
              <w:szCs w:val="23"/>
            </w:rPr>
          </w:pPr>
          <w:r w:rsidRPr="007F2028">
            <w:rPr>
              <w:rFonts w:cs="Times New Roman"/>
              <w:sz w:val="23"/>
              <w:szCs w:val="23"/>
            </w:rPr>
            <w:fldChar w:fldCharType="end"/>
          </w:r>
        </w:p>
      </w:sdtContent>
    </w:sdt>
    <w:p w14:paraId="325150F2" w14:textId="77777777" w:rsidR="008A0537" w:rsidRPr="007F2028" w:rsidRDefault="008A0537" w:rsidP="008A0537">
      <w:pPr>
        <w:rPr>
          <w:rFonts w:cs="Times New Roman"/>
          <w:sz w:val="23"/>
          <w:szCs w:val="23"/>
        </w:rPr>
      </w:pPr>
    </w:p>
    <w:p w14:paraId="01DE0062" w14:textId="77777777" w:rsidR="003B450C" w:rsidRDefault="003B450C">
      <w:pPr>
        <w:spacing w:after="160" w:line="259" w:lineRule="auto"/>
        <w:jc w:val="left"/>
        <w:rPr>
          <w:rFonts w:eastAsiaTheme="majorEastAsia" w:cstheme="majorBidi"/>
          <w:b/>
          <w:sz w:val="26"/>
          <w:szCs w:val="32"/>
        </w:rPr>
      </w:pPr>
      <w:r>
        <w:br w:type="page"/>
      </w:r>
      <w:bookmarkStart w:id="0" w:name="_GoBack"/>
      <w:bookmarkEnd w:id="0"/>
    </w:p>
    <w:p w14:paraId="1F468ACD" w14:textId="01E88DEE" w:rsidR="00B81657" w:rsidRDefault="005E427F" w:rsidP="00397B80">
      <w:pPr>
        <w:pStyle w:val="Nadpis1"/>
        <w:numPr>
          <w:ilvl w:val="0"/>
          <w:numId w:val="0"/>
        </w:numPr>
      </w:pPr>
      <w:bookmarkStart w:id="1" w:name="_Toc70026074"/>
      <w:r w:rsidRPr="00344297">
        <w:lastRenderedPageBreak/>
        <w:t>Zhrnutie</w:t>
      </w:r>
      <w:bookmarkEnd w:id="1"/>
    </w:p>
    <w:p w14:paraId="481AC55C" w14:textId="6B90922B" w:rsidR="00CB3C45" w:rsidRPr="006A4053" w:rsidRDefault="008A5DD4" w:rsidP="00B81657">
      <w:pPr>
        <w:numPr>
          <w:ilvl w:val="0"/>
          <w:numId w:val="28"/>
        </w:numPr>
        <w:spacing w:line="240" w:lineRule="auto"/>
        <w:ind w:left="357" w:right="-284" w:hanging="357"/>
        <w:rPr>
          <w:sz w:val="24"/>
          <w:szCs w:val="24"/>
        </w:rPr>
      </w:pPr>
      <w:r w:rsidRPr="008A5DD4">
        <w:rPr>
          <w:b/>
          <w:sz w:val="24"/>
          <w:szCs w:val="24"/>
        </w:rPr>
        <w:t>V</w:t>
      </w:r>
      <w:r w:rsidR="00CB3C45" w:rsidRPr="008A5DD4">
        <w:rPr>
          <w:b/>
          <w:sz w:val="24"/>
          <w:szCs w:val="24"/>
        </w:rPr>
        <w:t>erejn</w:t>
      </w:r>
      <w:r w:rsidRPr="008A5DD4">
        <w:rPr>
          <w:b/>
          <w:sz w:val="24"/>
          <w:szCs w:val="24"/>
        </w:rPr>
        <w:t>á</w:t>
      </w:r>
      <w:r w:rsidR="00CB3C45" w:rsidRPr="008A5DD4">
        <w:rPr>
          <w:b/>
          <w:sz w:val="24"/>
          <w:szCs w:val="24"/>
        </w:rPr>
        <w:t xml:space="preserve"> správ</w:t>
      </w:r>
      <w:r w:rsidRPr="008A5DD4">
        <w:rPr>
          <w:b/>
          <w:sz w:val="24"/>
          <w:szCs w:val="24"/>
        </w:rPr>
        <w:t>a</w:t>
      </w:r>
      <w:r w:rsidR="00CB3C45" w:rsidRPr="008A5DD4">
        <w:rPr>
          <w:b/>
          <w:sz w:val="24"/>
          <w:szCs w:val="24"/>
        </w:rPr>
        <w:t xml:space="preserve"> v roku 2020 na základe </w:t>
      </w:r>
      <w:r w:rsidR="00CB3C45" w:rsidRPr="006A4053">
        <w:rPr>
          <w:b/>
          <w:sz w:val="24"/>
          <w:szCs w:val="24"/>
        </w:rPr>
        <w:t xml:space="preserve">výsledkov </w:t>
      </w:r>
      <w:r w:rsidR="007A7F4C" w:rsidRPr="006A4053">
        <w:rPr>
          <w:b/>
          <w:sz w:val="24"/>
          <w:szCs w:val="24"/>
        </w:rPr>
        <w:t>predložených k 1.4.</w:t>
      </w:r>
      <w:r w:rsidR="007A7F4C" w:rsidRPr="006A4053">
        <w:rPr>
          <w:rStyle w:val="Odkaznapoznmkupodiarou"/>
          <w:b/>
          <w:sz w:val="24"/>
          <w:szCs w:val="24"/>
        </w:rPr>
        <w:footnoteReference w:id="1"/>
      </w:r>
      <w:r w:rsidR="007A7F4C" w:rsidRPr="006A4053">
        <w:rPr>
          <w:b/>
          <w:sz w:val="24"/>
          <w:szCs w:val="24"/>
        </w:rPr>
        <w:t xml:space="preserve"> notifikovaných </w:t>
      </w:r>
      <w:r w:rsidR="00CB3C45" w:rsidRPr="006A4053">
        <w:rPr>
          <w:b/>
          <w:sz w:val="24"/>
          <w:szCs w:val="24"/>
        </w:rPr>
        <w:t xml:space="preserve">v metodike ESA 2010 </w:t>
      </w:r>
      <w:r w:rsidRPr="006A4053">
        <w:rPr>
          <w:b/>
          <w:sz w:val="24"/>
          <w:szCs w:val="24"/>
        </w:rPr>
        <w:t>hospodárila so schodkom</w:t>
      </w:r>
      <w:r w:rsidR="00CB3C45" w:rsidRPr="006A4053">
        <w:rPr>
          <w:b/>
          <w:sz w:val="24"/>
          <w:szCs w:val="24"/>
        </w:rPr>
        <w:t xml:space="preserve"> 5 608 766 tis. eur</w:t>
      </w:r>
      <w:r w:rsidRPr="006A4053">
        <w:rPr>
          <w:b/>
          <w:sz w:val="24"/>
          <w:szCs w:val="24"/>
        </w:rPr>
        <w:t>, čo predstavuje</w:t>
      </w:r>
      <w:r w:rsidR="00CB3C45" w:rsidRPr="006A4053">
        <w:rPr>
          <w:b/>
          <w:sz w:val="24"/>
          <w:szCs w:val="24"/>
        </w:rPr>
        <w:t xml:space="preserve"> </w:t>
      </w:r>
      <w:r w:rsidRPr="006A4053">
        <w:rPr>
          <w:b/>
          <w:sz w:val="24"/>
          <w:szCs w:val="24"/>
        </w:rPr>
        <w:t>-6,2 %</w:t>
      </w:r>
      <w:r w:rsidR="00CB3C45" w:rsidRPr="006A4053">
        <w:rPr>
          <w:b/>
          <w:sz w:val="24"/>
          <w:szCs w:val="24"/>
        </w:rPr>
        <w:t> HDP</w:t>
      </w:r>
      <w:r w:rsidRPr="006A4053">
        <w:rPr>
          <w:b/>
          <w:sz w:val="24"/>
          <w:szCs w:val="24"/>
        </w:rPr>
        <w:t>.</w:t>
      </w:r>
      <w:r w:rsidR="00CB3C45" w:rsidRPr="006A4053">
        <w:rPr>
          <w:sz w:val="24"/>
          <w:szCs w:val="24"/>
        </w:rPr>
        <w:t xml:space="preserve"> Pôvodný rozpočet verejnej správy z decembra 2019 predpokladal hospodárenie na úrovni </w:t>
      </w:r>
      <w:r w:rsidR="00397B80" w:rsidRPr="006A4053">
        <w:rPr>
          <w:sz w:val="24"/>
          <w:szCs w:val="24"/>
        </w:rPr>
        <w:t>-</w:t>
      </w:r>
      <w:r w:rsidR="00CB3C45" w:rsidRPr="006A4053">
        <w:rPr>
          <w:sz w:val="24"/>
          <w:szCs w:val="24"/>
        </w:rPr>
        <w:t xml:space="preserve">0,49 %. Z dôvodu prepuknutia pandémie COVID-19 vo svete bolo nutné reagovať na </w:t>
      </w:r>
      <w:r w:rsidR="00397B80" w:rsidRPr="006A4053">
        <w:rPr>
          <w:sz w:val="24"/>
          <w:szCs w:val="24"/>
        </w:rPr>
        <w:t xml:space="preserve">nepriaznivý </w:t>
      </w:r>
      <w:r w:rsidR="00CB3C45" w:rsidRPr="006A4053">
        <w:rPr>
          <w:sz w:val="24"/>
          <w:szCs w:val="24"/>
        </w:rPr>
        <w:t>ekonomický vývoj a</w:t>
      </w:r>
      <w:r w:rsidR="005B1EDC" w:rsidRPr="006A4053">
        <w:rPr>
          <w:sz w:val="24"/>
          <w:szCs w:val="24"/>
        </w:rPr>
        <w:t> potrebu zabezpečiť výdavky</w:t>
      </w:r>
      <w:r w:rsidR="00397B80" w:rsidRPr="006A4053">
        <w:rPr>
          <w:sz w:val="24"/>
          <w:szCs w:val="24"/>
        </w:rPr>
        <w:t xml:space="preserve"> na </w:t>
      </w:r>
      <w:r w:rsidR="005B1EDC" w:rsidRPr="006A4053">
        <w:rPr>
          <w:sz w:val="24"/>
          <w:szCs w:val="24"/>
        </w:rPr>
        <w:t xml:space="preserve">proti </w:t>
      </w:r>
      <w:proofErr w:type="spellStart"/>
      <w:r w:rsidR="005B1EDC" w:rsidRPr="006A4053">
        <w:rPr>
          <w:sz w:val="24"/>
          <w:szCs w:val="24"/>
        </w:rPr>
        <w:t>pandemické</w:t>
      </w:r>
      <w:proofErr w:type="spellEnd"/>
      <w:r w:rsidR="005B1EDC" w:rsidRPr="006A4053">
        <w:rPr>
          <w:sz w:val="24"/>
          <w:szCs w:val="24"/>
        </w:rPr>
        <w:t xml:space="preserve"> opatrenia</w:t>
      </w:r>
      <w:r w:rsidR="00CB3C45" w:rsidRPr="006A4053">
        <w:rPr>
          <w:sz w:val="24"/>
          <w:szCs w:val="24"/>
        </w:rPr>
        <w:t>. Novelou zákona o štátnom rozpočt</w:t>
      </w:r>
      <w:r w:rsidR="005B1EDC" w:rsidRPr="006A4053">
        <w:rPr>
          <w:sz w:val="24"/>
          <w:szCs w:val="24"/>
        </w:rPr>
        <w:t>e</w:t>
      </w:r>
      <w:r w:rsidR="00CB3C45" w:rsidRPr="006A4053">
        <w:rPr>
          <w:sz w:val="24"/>
          <w:szCs w:val="24"/>
        </w:rPr>
        <w:t xml:space="preserve"> sa predpokladal schodok </w:t>
      </w:r>
      <w:r w:rsidR="00397B80" w:rsidRPr="006A4053">
        <w:rPr>
          <w:sz w:val="24"/>
          <w:szCs w:val="24"/>
        </w:rPr>
        <w:t xml:space="preserve">verejnej správy </w:t>
      </w:r>
      <w:r w:rsidR="00CB3C45" w:rsidRPr="006A4053">
        <w:rPr>
          <w:sz w:val="24"/>
          <w:szCs w:val="24"/>
        </w:rPr>
        <w:t>na úrovni 11,6 %</w:t>
      </w:r>
      <w:r w:rsidR="00397B80" w:rsidRPr="006A4053">
        <w:rPr>
          <w:sz w:val="24"/>
          <w:szCs w:val="24"/>
        </w:rPr>
        <w:t xml:space="preserve"> HDP</w:t>
      </w:r>
      <w:r w:rsidR="00CB3C45" w:rsidRPr="006A4053">
        <w:rPr>
          <w:sz w:val="24"/>
          <w:szCs w:val="24"/>
        </w:rPr>
        <w:t xml:space="preserve">. </w:t>
      </w:r>
    </w:p>
    <w:p w14:paraId="4612463E" w14:textId="77777777" w:rsidR="00CB3C45" w:rsidRPr="006A4053" w:rsidRDefault="00CB3C45" w:rsidP="00B81657">
      <w:pPr>
        <w:numPr>
          <w:ilvl w:val="0"/>
          <w:numId w:val="28"/>
        </w:numPr>
        <w:spacing w:line="240" w:lineRule="auto"/>
        <w:ind w:left="357" w:right="-284" w:hanging="357"/>
        <w:rPr>
          <w:sz w:val="24"/>
          <w:szCs w:val="24"/>
        </w:rPr>
      </w:pPr>
      <w:r w:rsidRPr="006A4053">
        <w:rPr>
          <w:b/>
          <w:sz w:val="24"/>
          <w:szCs w:val="24"/>
        </w:rPr>
        <w:t>Dlh verejnej správy</w:t>
      </w:r>
      <w:r w:rsidRPr="006A4053">
        <w:rPr>
          <w:sz w:val="24"/>
          <w:szCs w:val="24"/>
        </w:rPr>
        <w:t xml:space="preserve"> </w:t>
      </w:r>
      <w:r w:rsidRPr="006A4053">
        <w:rPr>
          <w:b/>
          <w:sz w:val="24"/>
          <w:szCs w:val="24"/>
        </w:rPr>
        <w:t xml:space="preserve">k 31. 12. 2020 </w:t>
      </w:r>
      <w:r w:rsidRPr="006A4053">
        <w:rPr>
          <w:sz w:val="24"/>
          <w:szCs w:val="24"/>
        </w:rPr>
        <w:t xml:space="preserve">na základe prvej notifikácie výsledkov v metodike ESA 2010 </w:t>
      </w:r>
      <w:r w:rsidRPr="006A4053">
        <w:rPr>
          <w:b/>
          <w:sz w:val="24"/>
          <w:szCs w:val="24"/>
        </w:rPr>
        <w:t>dosiahol výšku 55 180 557 tis. eur a v pomere k predbežne vyčíslenému HDP dosiahol 60,6 %.</w:t>
      </w:r>
      <w:r w:rsidRPr="006A4053">
        <w:rPr>
          <w:sz w:val="24"/>
          <w:szCs w:val="24"/>
        </w:rPr>
        <w:t xml:space="preserve"> Z dôvodu predpokladaných výdavkov na boj proti pandémii a nižších príjmov verejnej správy sa očakával nárast verejného dlhu až na úroveň 62,2 % HDP.  </w:t>
      </w:r>
    </w:p>
    <w:p w14:paraId="461DA0F9" w14:textId="13238496" w:rsidR="00CB3C45" w:rsidRPr="00B81657" w:rsidRDefault="00CB3C45" w:rsidP="00B81657">
      <w:pPr>
        <w:numPr>
          <w:ilvl w:val="0"/>
          <w:numId w:val="28"/>
        </w:numPr>
        <w:spacing w:line="240" w:lineRule="auto"/>
        <w:ind w:left="357" w:right="-284" w:hanging="357"/>
        <w:rPr>
          <w:sz w:val="24"/>
          <w:szCs w:val="24"/>
        </w:rPr>
      </w:pPr>
      <w:r w:rsidRPr="006A4053">
        <w:rPr>
          <w:b/>
          <w:sz w:val="24"/>
          <w:szCs w:val="24"/>
        </w:rPr>
        <w:t xml:space="preserve">Prepad reálnej ekonomiky </w:t>
      </w:r>
      <w:r w:rsidR="007A7F4C" w:rsidRPr="006A4053">
        <w:rPr>
          <w:b/>
          <w:sz w:val="24"/>
          <w:szCs w:val="24"/>
        </w:rPr>
        <w:t xml:space="preserve">podľa jarnej notifikácie (údaje k 1.4.) </w:t>
      </w:r>
      <w:r w:rsidRPr="006A4053">
        <w:rPr>
          <w:b/>
          <w:sz w:val="24"/>
          <w:szCs w:val="24"/>
        </w:rPr>
        <w:t>dosiahol 5,2 %.</w:t>
      </w:r>
      <w:r w:rsidRPr="006A4053">
        <w:rPr>
          <w:sz w:val="24"/>
          <w:szCs w:val="24"/>
        </w:rPr>
        <w:t xml:space="preserve"> Zasiahnuté boli všetky zložky HDP, najviac k poklesu prispel prepad investícií. Predpokladaný scenár ekonomického vývoja z polroku 2020 pri spracovaní novely zákona o štátnom rozpočte, ktorý odhadoval pokles HDP na úrovni 9,8</w:t>
      </w:r>
      <w:r w:rsidR="007B03D6" w:rsidRPr="006A4053">
        <w:rPr>
          <w:sz w:val="24"/>
          <w:szCs w:val="24"/>
        </w:rPr>
        <w:t> </w:t>
      </w:r>
      <w:r w:rsidRPr="006A4053">
        <w:rPr>
          <w:sz w:val="24"/>
          <w:szCs w:val="24"/>
        </w:rPr>
        <w:t xml:space="preserve">%, sa </w:t>
      </w:r>
      <w:r w:rsidR="00BE5055" w:rsidRPr="006A4053">
        <w:rPr>
          <w:sz w:val="24"/>
          <w:szCs w:val="24"/>
        </w:rPr>
        <w:t xml:space="preserve">tak </w:t>
      </w:r>
      <w:r w:rsidRPr="006A4053">
        <w:rPr>
          <w:sz w:val="24"/>
          <w:szCs w:val="24"/>
        </w:rPr>
        <w:t>nenaplnil. Nominálne</w:t>
      </w:r>
      <w:r w:rsidRPr="00B81657">
        <w:rPr>
          <w:sz w:val="24"/>
          <w:szCs w:val="24"/>
        </w:rPr>
        <w:t xml:space="preserve"> HDP dosiahlo 91 104 836 tis. eur, čo je oproti roku 2019 menej o 2 760 341 tis. eur.</w:t>
      </w:r>
    </w:p>
    <w:p w14:paraId="79B5523C" w14:textId="3ED683F6" w:rsidR="00CB3C45" w:rsidRPr="00DB7048" w:rsidRDefault="00CB3C45" w:rsidP="00B81657">
      <w:pPr>
        <w:numPr>
          <w:ilvl w:val="0"/>
          <w:numId w:val="28"/>
        </w:numPr>
        <w:spacing w:line="240" w:lineRule="auto"/>
        <w:ind w:left="357" w:right="-284" w:hanging="357"/>
        <w:rPr>
          <w:sz w:val="24"/>
          <w:szCs w:val="24"/>
        </w:rPr>
      </w:pPr>
      <w:r w:rsidRPr="00B81657">
        <w:rPr>
          <w:sz w:val="24"/>
          <w:szCs w:val="24"/>
        </w:rPr>
        <w:t xml:space="preserve">Plnenie rozpočtu verejnej správy v roku 2020 bolo výrazne zasiahnuté šírením </w:t>
      </w:r>
      <w:proofErr w:type="spellStart"/>
      <w:r w:rsidRPr="00B81657">
        <w:rPr>
          <w:color w:val="000000" w:themeColor="text1"/>
          <w:sz w:val="24"/>
          <w:szCs w:val="24"/>
        </w:rPr>
        <w:t>koronavírusu</w:t>
      </w:r>
      <w:proofErr w:type="spellEnd"/>
      <w:r w:rsidRPr="00B81657">
        <w:rPr>
          <w:color w:val="000000" w:themeColor="text1"/>
          <w:sz w:val="24"/>
          <w:szCs w:val="24"/>
        </w:rPr>
        <w:t xml:space="preserve"> SARS-CoV-2 spôsobujúceho ochorenie COVID-19</w:t>
      </w:r>
      <w:r w:rsidRPr="00B81657">
        <w:rPr>
          <w:sz w:val="24"/>
          <w:szCs w:val="24"/>
        </w:rPr>
        <w:t xml:space="preserve">, ktoré sa začalo šíriť v krajinách Európy začiatkom roku a neskôr po celom svete. Ako reakcia na túto neočakávanú a bezprecedentnú situáciu bolo nutné pripraviť novelu zákona o štátnom rozpočte, do ktorej sa premietli predpokladané negatívne vplyvy na národné hospodárstvo, ekonomickú aktivitu a tým aj verejné financie. </w:t>
      </w:r>
      <w:r w:rsidR="00063B08">
        <w:rPr>
          <w:sz w:val="24"/>
          <w:szCs w:val="24"/>
        </w:rPr>
        <w:t xml:space="preserve">Pokles ekonomiky sa odhadoval na -9,8 %. </w:t>
      </w:r>
      <w:r w:rsidRPr="00B81657">
        <w:rPr>
          <w:sz w:val="24"/>
          <w:szCs w:val="24"/>
        </w:rPr>
        <w:t xml:space="preserve">Okrem výpadku príjmov sa predpokladali výrazne vyššie výdavky na ochranu obyvateľstva a podporu zamestnanosti. </w:t>
      </w:r>
      <w:r w:rsidR="005B1EDC" w:rsidRPr="005B1EDC">
        <w:rPr>
          <w:b/>
          <w:sz w:val="24"/>
          <w:szCs w:val="24"/>
        </w:rPr>
        <w:t xml:space="preserve">Predbežne vyčíslený </w:t>
      </w:r>
      <w:r w:rsidR="0043399E">
        <w:rPr>
          <w:b/>
          <w:sz w:val="24"/>
          <w:szCs w:val="24"/>
        </w:rPr>
        <w:t>objem výdavkov súvisiaci s</w:t>
      </w:r>
      <w:r w:rsidRPr="005B1EDC">
        <w:rPr>
          <w:b/>
          <w:sz w:val="24"/>
          <w:szCs w:val="24"/>
        </w:rPr>
        <w:t> pandémi</w:t>
      </w:r>
      <w:r w:rsidR="0043399E">
        <w:rPr>
          <w:b/>
          <w:sz w:val="24"/>
          <w:szCs w:val="24"/>
        </w:rPr>
        <w:t>ou</w:t>
      </w:r>
      <w:r w:rsidRPr="005B1EDC">
        <w:rPr>
          <w:b/>
          <w:sz w:val="24"/>
          <w:szCs w:val="24"/>
        </w:rPr>
        <w:t xml:space="preserve"> COVID-19</w:t>
      </w:r>
      <w:r w:rsidR="005B1EDC" w:rsidRPr="005B1EDC">
        <w:rPr>
          <w:b/>
          <w:sz w:val="24"/>
          <w:szCs w:val="24"/>
        </w:rPr>
        <w:t xml:space="preserve"> </w:t>
      </w:r>
      <w:r w:rsidR="0043399E">
        <w:rPr>
          <w:b/>
          <w:sz w:val="24"/>
          <w:szCs w:val="24"/>
        </w:rPr>
        <w:t>s negatívnym vplyvom na saldo verejnej správy v metodike ESA 2010 dosiahol 1</w:t>
      </w:r>
      <w:r w:rsidR="000A43B3">
        <w:rPr>
          <w:b/>
          <w:sz w:val="24"/>
          <w:szCs w:val="24"/>
        </w:rPr>
        <w:t> 434 370</w:t>
      </w:r>
      <w:r w:rsidR="0043399E">
        <w:rPr>
          <w:b/>
          <w:sz w:val="24"/>
          <w:szCs w:val="24"/>
        </w:rPr>
        <w:t xml:space="preserve"> tis. eur</w:t>
      </w:r>
      <w:r w:rsidRPr="00DB7048">
        <w:rPr>
          <w:sz w:val="24"/>
          <w:szCs w:val="24"/>
        </w:rPr>
        <w:t xml:space="preserve">.    </w:t>
      </w:r>
    </w:p>
    <w:p w14:paraId="5025A615" w14:textId="03E4FAA0" w:rsidR="007F7C21" w:rsidRDefault="00CB3C45" w:rsidP="00B81657">
      <w:pPr>
        <w:numPr>
          <w:ilvl w:val="0"/>
          <w:numId w:val="28"/>
        </w:numPr>
        <w:spacing w:line="240" w:lineRule="auto"/>
        <w:ind w:left="357" w:right="-284" w:hanging="357"/>
        <w:rPr>
          <w:sz w:val="24"/>
          <w:szCs w:val="24"/>
        </w:rPr>
      </w:pPr>
      <w:r w:rsidRPr="00DB7048">
        <w:rPr>
          <w:sz w:val="24"/>
          <w:szCs w:val="24"/>
        </w:rPr>
        <w:t xml:space="preserve">V rámci Európskej únie (27 krajín) </w:t>
      </w:r>
      <w:r w:rsidR="005B1EDC" w:rsidRPr="00DB7048">
        <w:rPr>
          <w:sz w:val="24"/>
          <w:szCs w:val="24"/>
        </w:rPr>
        <w:t xml:space="preserve">dosiahol </w:t>
      </w:r>
      <w:r w:rsidRPr="00DB7048">
        <w:rPr>
          <w:b/>
          <w:sz w:val="24"/>
          <w:szCs w:val="24"/>
        </w:rPr>
        <w:t xml:space="preserve">priemerný schodok </w:t>
      </w:r>
      <w:r w:rsidR="00E64EDC" w:rsidRPr="00DB7048">
        <w:rPr>
          <w:b/>
          <w:sz w:val="24"/>
          <w:szCs w:val="24"/>
        </w:rPr>
        <w:t>6,9</w:t>
      </w:r>
      <w:r w:rsidRPr="00DB7048">
        <w:rPr>
          <w:b/>
          <w:sz w:val="24"/>
          <w:szCs w:val="24"/>
        </w:rPr>
        <w:t> %</w:t>
      </w:r>
      <w:r w:rsidR="00C1685C" w:rsidRPr="00DB7048">
        <w:rPr>
          <w:b/>
          <w:sz w:val="24"/>
          <w:szCs w:val="24"/>
        </w:rPr>
        <w:t> </w:t>
      </w:r>
      <w:r w:rsidRPr="00DB7048">
        <w:rPr>
          <w:b/>
          <w:sz w:val="24"/>
          <w:szCs w:val="24"/>
        </w:rPr>
        <w:t>HDP</w:t>
      </w:r>
      <w:r w:rsidR="00967BF4" w:rsidRPr="00DB7048">
        <w:rPr>
          <w:b/>
          <w:sz w:val="24"/>
          <w:szCs w:val="24"/>
        </w:rPr>
        <w:t>, čo je medziročne viac o 6,4 p. b.</w:t>
      </w:r>
      <w:r w:rsidR="00B1662E">
        <w:rPr>
          <w:b/>
          <w:sz w:val="24"/>
          <w:szCs w:val="24"/>
        </w:rPr>
        <w:t xml:space="preserve"> </w:t>
      </w:r>
      <w:r w:rsidR="00967BF4" w:rsidRPr="00DB7048">
        <w:rPr>
          <w:sz w:val="24"/>
          <w:szCs w:val="24"/>
        </w:rPr>
        <w:t xml:space="preserve">V rámci </w:t>
      </w:r>
      <w:r w:rsidR="00C1685C" w:rsidRPr="00DB7048">
        <w:rPr>
          <w:sz w:val="24"/>
          <w:szCs w:val="24"/>
        </w:rPr>
        <w:t xml:space="preserve">eurozóny </w:t>
      </w:r>
      <w:r w:rsidR="00967BF4" w:rsidRPr="00DB7048">
        <w:rPr>
          <w:sz w:val="24"/>
          <w:szCs w:val="24"/>
        </w:rPr>
        <w:t xml:space="preserve">dosiahol priemerný deficit </w:t>
      </w:r>
      <w:r w:rsidR="00C1685C" w:rsidRPr="00DB7048">
        <w:rPr>
          <w:sz w:val="24"/>
          <w:szCs w:val="24"/>
        </w:rPr>
        <w:t>7,2 % </w:t>
      </w:r>
      <w:r w:rsidR="00E64EDC" w:rsidRPr="00DB7048">
        <w:rPr>
          <w:sz w:val="24"/>
          <w:szCs w:val="24"/>
        </w:rPr>
        <w:t>HDP</w:t>
      </w:r>
      <w:r w:rsidR="00967BF4" w:rsidRPr="00DB7048">
        <w:rPr>
          <w:sz w:val="24"/>
          <w:szCs w:val="24"/>
        </w:rPr>
        <w:t xml:space="preserve">, a medziročne sa hospodárenia krajín používajúcich menu euro </w:t>
      </w:r>
      <w:r w:rsidR="00DB7048" w:rsidRPr="00DB7048">
        <w:rPr>
          <w:sz w:val="24"/>
          <w:szCs w:val="24"/>
        </w:rPr>
        <w:t xml:space="preserve">zhoršilo </w:t>
      </w:r>
      <w:r w:rsidR="00967BF4" w:rsidRPr="00DB7048">
        <w:rPr>
          <w:sz w:val="24"/>
          <w:szCs w:val="24"/>
        </w:rPr>
        <w:t>o</w:t>
      </w:r>
      <w:r w:rsidR="007B03D6">
        <w:rPr>
          <w:sz w:val="24"/>
          <w:szCs w:val="24"/>
        </w:rPr>
        <w:t> 6,6 p. </w:t>
      </w:r>
      <w:r w:rsidR="00DB7048" w:rsidRPr="00DB7048">
        <w:rPr>
          <w:sz w:val="24"/>
          <w:szCs w:val="24"/>
        </w:rPr>
        <w:t>b.</w:t>
      </w:r>
      <w:r w:rsidRPr="00DB7048">
        <w:rPr>
          <w:sz w:val="24"/>
          <w:szCs w:val="24"/>
        </w:rPr>
        <w:t xml:space="preserve"> </w:t>
      </w:r>
      <w:r w:rsidRPr="00DB7048">
        <w:rPr>
          <w:b/>
          <w:sz w:val="24"/>
          <w:szCs w:val="24"/>
        </w:rPr>
        <w:t xml:space="preserve">Priemerný dlh verejnej správy krajín EÚ dosiahol </w:t>
      </w:r>
      <w:r w:rsidR="00E64EDC" w:rsidRPr="00DB7048">
        <w:rPr>
          <w:b/>
          <w:sz w:val="24"/>
          <w:szCs w:val="24"/>
        </w:rPr>
        <w:t>90,7</w:t>
      </w:r>
      <w:r w:rsidRPr="00DB7048">
        <w:rPr>
          <w:b/>
          <w:sz w:val="24"/>
          <w:szCs w:val="24"/>
        </w:rPr>
        <w:t xml:space="preserve"> % a krajín eurozóny </w:t>
      </w:r>
      <w:r w:rsidR="00E64EDC" w:rsidRPr="00DB7048">
        <w:rPr>
          <w:b/>
          <w:sz w:val="24"/>
          <w:szCs w:val="24"/>
        </w:rPr>
        <w:t>98,0</w:t>
      </w:r>
      <w:r w:rsidR="00C1685C" w:rsidRPr="00DB7048">
        <w:rPr>
          <w:b/>
          <w:sz w:val="24"/>
          <w:szCs w:val="24"/>
        </w:rPr>
        <w:t> </w:t>
      </w:r>
      <w:r w:rsidRPr="00DB7048">
        <w:rPr>
          <w:b/>
          <w:sz w:val="24"/>
          <w:szCs w:val="24"/>
        </w:rPr>
        <w:t>% HDP</w:t>
      </w:r>
      <w:r w:rsidR="0031296D">
        <w:rPr>
          <w:b/>
          <w:sz w:val="24"/>
          <w:szCs w:val="24"/>
        </w:rPr>
        <w:t>.</w:t>
      </w:r>
    </w:p>
    <w:p w14:paraId="3C20C993" w14:textId="50429721" w:rsidR="00CB3C45" w:rsidRPr="00DB7048" w:rsidRDefault="00E64EDC" w:rsidP="007F7C21">
      <w:pPr>
        <w:spacing w:line="240" w:lineRule="auto"/>
        <w:ind w:left="357" w:right="-284"/>
        <w:rPr>
          <w:sz w:val="24"/>
          <w:szCs w:val="24"/>
        </w:rPr>
      </w:pPr>
      <w:r w:rsidRPr="00DB7048">
        <w:rPr>
          <w:sz w:val="24"/>
          <w:szCs w:val="24"/>
        </w:rPr>
        <w:t>V </w:t>
      </w:r>
      <w:r w:rsidRPr="006A4053">
        <w:rPr>
          <w:sz w:val="24"/>
          <w:szCs w:val="24"/>
        </w:rPr>
        <w:t>rámci krajín EÚ 2</w:t>
      </w:r>
      <w:r w:rsidR="00C1685C" w:rsidRPr="006A4053">
        <w:rPr>
          <w:sz w:val="24"/>
          <w:szCs w:val="24"/>
        </w:rPr>
        <w:t>7 došlo k </w:t>
      </w:r>
      <w:r w:rsidR="0030124F" w:rsidRPr="006A4053">
        <w:rPr>
          <w:sz w:val="24"/>
          <w:szCs w:val="24"/>
        </w:rPr>
        <w:t>poklesu</w:t>
      </w:r>
      <w:r w:rsidR="00C1685C" w:rsidRPr="006A4053">
        <w:rPr>
          <w:sz w:val="24"/>
          <w:szCs w:val="24"/>
        </w:rPr>
        <w:t xml:space="preserve"> HDP o</w:t>
      </w:r>
      <w:r w:rsidR="007A7F4C" w:rsidRPr="006A4053">
        <w:rPr>
          <w:sz w:val="24"/>
          <w:szCs w:val="24"/>
        </w:rPr>
        <w:t xml:space="preserve"> 4,7 % </w:t>
      </w:r>
      <w:r w:rsidR="0031296D" w:rsidRPr="006A4053">
        <w:rPr>
          <w:sz w:val="24"/>
          <w:szCs w:val="24"/>
        </w:rPr>
        <w:t xml:space="preserve">(Slovensko pokles </w:t>
      </w:r>
      <w:r w:rsidR="00A62E0F" w:rsidRPr="006A4053">
        <w:rPr>
          <w:sz w:val="24"/>
          <w:szCs w:val="24"/>
        </w:rPr>
        <w:t xml:space="preserve">o </w:t>
      </w:r>
      <w:r w:rsidR="0031296D" w:rsidRPr="006A4053">
        <w:rPr>
          <w:sz w:val="24"/>
          <w:szCs w:val="24"/>
        </w:rPr>
        <w:t>5,</w:t>
      </w:r>
      <w:r w:rsidR="00A62E0F" w:rsidRPr="006A4053">
        <w:rPr>
          <w:sz w:val="24"/>
          <w:szCs w:val="24"/>
        </w:rPr>
        <w:t>2</w:t>
      </w:r>
      <w:r w:rsidR="0031296D" w:rsidRPr="006A4053">
        <w:rPr>
          <w:sz w:val="24"/>
          <w:szCs w:val="24"/>
        </w:rPr>
        <w:t xml:space="preserve"> p. b). </w:t>
      </w:r>
      <w:r w:rsidR="00C1685C" w:rsidRPr="006A4053">
        <w:rPr>
          <w:sz w:val="24"/>
          <w:szCs w:val="24"/>
        </w:rPr>
        <w:t>a nárastu dlhu o</w:t>
      </w:r>
      <w:r w:rsidR="007A7F4C" w:rsidRPr="006A4053">
        <w:rPr>
          <w:sz w:val="24"/>
          <w:szCs w:val="24"/>
        </w:rPr>
        <w:t> 11,44 %</w:t>
      </w:r>
      <w:r w:rsidR="0031296D" w:rsidRPr="006A4053">
        <w:rPr>
          <w:sz w:val="24"/>
          <w:szCs w:val="24"/>
        </w:rPr>
        <w:t xml:space="preserve"> (Slovensko </w:t>
      </w:r>
      <w:r w:rsidR="00A62E0F" w:rsidRPr="006A4053">
        <w:rPr>
          <w:sz w:val="24"/>
          <w:szCs w:val="24"/>
        </w:rPr>
        <w:t xml:space="preserve">o </w:t>
      </w:r>
      <w:r w:rsidR="0031296D" w:rsidRPr="006A4053">
        <w:rPr>
          <w:sz w:val="24"/>
          <w:szCs w:val="24"/>
        </w:rPr>
        <w:t>12,4 p. b</w:t>
      </w:r>
      <w:r w:rsidR="007C3FD6" w:rsidRPr="006A4053">
        <w:rPr>
          <w:sz w:val="24"/>
          <w:szCs w:val="24"/>
        </w:rPr>
        <w:t>.</w:t>
      </w:r>
      <w:r w:rsidR="0031296D" w:rsidRPr="006A4053">
        <w:rPr>
          <w:sz w:val="24"/>
          <w:szCs w:val="24"/>
        </w:rPr>
        <w:t>)</w:t>
      </w:r>
      <w:r w:rsidRPr="006A4053">
        <w:rPr>
          <w:sz w:val="24"/>
          <w:szCs w:val="24"/>
        </w:rPr>
        <w:t>.</w:t>
      </w:r>
      <w:r w:rsidR="007F7C21" w:rsidRPr="006A4053">
        <w:rPr>
          <w:sz w:val="24"/>
          <w:szCs w:val="24"/>
        </w:rPr>
        <w:t xml:space="preserve"> Za rok 2020 vykázali všetky krajiny EÚ deficitné hospodár</w:t>
      </w:r>
      <w:r w:rsidR="00B1662E" w:rsidRPr="006A4053">
        <w:rPr>
          <w:sz w:val="24"/>
          <w:szCs w:val="24"/>
        </w:rPr>
        <w:t xml:space="preserve">enie a s výnimkou Dánska boli deficity </w:t>
      </w:r>
      <w:r w:rsidR="00A62E0F" w:rsidRPr="006A4053">
        <w:rPr>
          <w:sz w:val="24"/>
          <w:szCs w:val="24"/>
        </w:rPr>
        <w:t xml:space="preserve">krajín </w:t>
      </w:r>
      <w:r w:rsidR="00B1662E" w:rsidRPr="006A4053">
        <w:rPr>
          <w:sz w:val="24"/>
          <w:szCs w:val="24"/>
        </w:rPr>
        <w:t>nad hranicu 3,0 % HDP.</w:t>
      </w:r>
      <w:r w:rsidR="007F7C21" w:rsidRPr="006A4053">
        <w:rPr>
          <w:sz w:val="24"/>
          <w:szCs w:val="24"/>
        </w:rPr>
        <w:t xml:space="preserve"> Slovensko</w:t>
      </w:r>
      <w:r w:rsidR="007F7C21">
        <w:rPr>
          <w:sz w:val="24"/>
          <w:szCs w:val="24"/>
        </w:rPr>
        <w:t xml:space="preserve"> s deficitom 6,2 % HDP sa pohybuje</w:t>
      </w:r>
      <w:r w:rsidR="008143CC">
        <w:rPr>
          <w:sz w:val="24"/>
          <w:szCs w:val="24"/>
        </w:rPr>
        <w:t xml:space="preserve"> pod priemerom EÚ 27.</w:t>
      </w:r>
      <w:r w:rsidR="007F7C21">
        <w:rPr>
          <w:sz w:val="24"/>
          <w:szCs w:val="24"/>
        </w:rPr>
        <w:t xml:space="preserve"> </w:t>
      </w:r>
    </w:p>
    <w:p w14:paraId="3185AA9A" w14:textId="665E9622" w:rsidR="00B81657" w:rsidRPr="00B81657" w:rsidRDefault="00CB3C45" w:rsidP="00CD07BA">
      <w:pPr>
        <w:numPr>
          <w:ilvl w:val="0"/>
          <w:numId w:val="28"/>
        </w:numPr>
        <w:spacing w:line="240" w:lineRule="auto"/>
        <w:ind w:left="357" w:right="-284" w:hanging="357"/>
        <w:rPr>
          <w:bCs/>
          <w:sz w:val="24"/>
          <w:szCs w:val="24"/>
        </w:rPr>
      </w:pPr>
      <w:r w:rsidRPr="00B81657">
        <w:rPr>
          <w:b/>
          <w:sz w:val="24"/>
          <w:szCs w:val="24"/>
        </w:rPr>
        <w:t>Hotovostný schodok štátneho rozpočtu dosia</w:t>
      </w:r>
      <w:r w:rsidR="00CD07BA">
        <w:rPr>
          <w:b/>
          <w:sz w:val="24"/>
          <w:szCs w:val="24"/>
        </w:rPr>
        <w:t xml:space="preserve">hol 7 758 422 tis. eur a oproti </w:t>
      </w:r>
      <w:r w:rsidRPr="00B81657">
        <w:rPr>
          <w:b/>
          <w:sz w:val="24"/>
          <w:szCs w:val="24"/>
        </w:rPr>
        <w:t>novelizovanému rozpočtu</w:t>
      </w:r>
      <w:r w:rsidRPr="00B81657">
        <w:rPr>
          <w:sz w:val="24"/>
          <w:szCs w:val="24"/>
        </w:rPr>
        <w:t xml:space="preserve"> bol nižší o 4 194 212</w:t>
      </w:r>
      <w:r w:rsidRPr="00B81657">
        <w:rPr>
          <w:b/>
          <w:sz w:val="24"/>
          <w:szCs w:val="24"/>
        </w:rPr>
        <w:t> </w:t>
      </w:r>
      <w:r w:rsidRPr="00B81657">
        <w:rPr>
          <w:sz w:val="24"/>
          <w:szCs w:val="24"/>
        </w:rPr>
        <w:t xml:space="preserve">tis. eur. </w:t>
      </w:r>
      <w:r w:rsidRPr="00B81657">
        <w:rPr>
          <w:bCs/>
          <w:sz w:val="24"/>
          <w:szCs w:val="24"/>
        </w:rPr>
        <w:t>Hotovostné príjmy štátneho rozpočtu</w:t>
      </w:r>
      <w:r w:rsidRPr="00B81657">
        <w:rPr>
          <w:sz w:val="24"/>
          <w:szCs w:val="24"/>
        </w:rPr>
        <w:t xml:space="preserve"> dosiahli 15</w:t>
      </w:r>
      <w:r w:rsidR="007B03D6">
        <w:rPr>
          <w:sz w:val="24"/>
          <w:szCs w:val="24"/>
        </w:rPr>
        <w:t> </w:t>
      </w:r>
      <w:r w:rsidRPr="00B81657">
        <w:rPr>
          <w:sz w:val="24"/>
          <w:szCs w:val="24"/>
        </w:rPr>
        <w:t>750</w:t>
      </w:r>
      <w:r w:rsidR="007B03D6">
        <w:rPr>
          <w:sz w:val="24"/>
          <w:szCs w:val="24"/>
        </w:rPr>
        <w:t> </w:t>
      </w:r>
      <w:r w:rsidRPr="00B81657">
        <w:rPr>
          <w:sz w:val="24"/>
          <w:szCs w:val="24"/>
        </w:rPr>
        <w:t xml:space="preserve">634 tis. eur (takmer 100 % hodnoty príjmov roku 2019). </w:t>
      </w:r>
      <w:r w:rsidRPr="00B81657">
        <w:rPr>
          <w:bCs/>
          <w:sz w:val="24"/>
          <w:szCs w:val="24"/>
        </w:rPr>
        <w:t>Hotovostné výdavky</w:t>
      </w:r>
      <w:r w:rsidRPr="00B81657">
        <w:rPr>
          <w:sz w:val="24"/>
          <w:szCs w:val="24"/>
        </w:rPr>
        <w:t xml:space="preserve"> boli 23</w:t>
      </w:r>
      <w:r w:rsidR="007B03D6">
        <w:rPr>
          <w:sz w:val="24"/>
          <w:szCs w:val="24"/>
        </w:rPr>
        <w:t> </w:t>
      </w:r>
      <w:r w:rsidRPr="00B81657">
        <w:rPr>
          <w:sz w:val="24"/>
          <w:szCs w:val="24"/>
        </w:rPr>
        <w:t>509</w:t>
      </w:r>
      <w:r w:rsidR="007B03D6">
        <w:rPr>
          <w:sz w:val="24"/>
          <w:szCs w:val="24"/>
        </w:rPr>
        <w:t> </w:t>
      </w:r>
      <w:r w:rsidRPr="00B81657">
        <w:rPr>
          <w:sz w:val="24"/>
          <w:szCs w:val="24"/>
        </w:rPr>
        <w:t>056</w:t>
      </w:r>
      <w:r w:rsidR="007B03D6">
        <w:rPr>
          <w:sz w:val="24"/>
          <w:szCs w:val="24"/>
        </w:rPr>
        <w:t> </w:t>
      </w:r>
      <w:r w:rsidRPr="00B81657">
        <w:rPr>
          <w:sz w:val="24"/>
          <w:szCs w:val="24"/>
        </w:rPr>
        <w:t>tis. eur</w:t>
      </w:r>
      <w:r w:rsidRPr="00B81657">
        <w:rPr>
          <w:bCs/>
          <w:sz w:val="24"/>
          <w:szCs w:val="24"/>
        </w:rPr>
        <w:t xml:space="preserve"> (130 % hodnoty skutočných výdavkov roku 2019).</w:t>
      </w:r>
    </w:p>
    <w:p w14:paraId="05E9FC2B" w14:textId="66EFA4A1" w:rsidR="00CB3C45" w:rsidRPr="00B81657" w:rsidRDefault="00CB3C45" w:rsidP="00D842DA">
      <w:pPr>
        <w:numPr>
          <w:ilvl w:val="0"/>
          <w:numId w:val="28"/>
        </w:numPr>
        <w:spacing w:after="0" w:line="240" w:lineRule="auto"/>
        <w:ind w:left="357" w:right="-284" w:hanging="357"/>
        <w:rPr>
          <w:bCs/>
          <w:sz w:val="24"/>
          <w:szCs w:val="24"/>
        </w:rPr>
      </w:pPr>
      <w:r w:rsidRPr="00B81657">
        <w:rPr>
          <w:b/>
          <w:bCs/>
          <w:sz w:val="24"/>
          <w:szCs w:val="24"/>
        </w:rPr>
        <w:t xml:space="preserve">Hotovostný schodok </w:t>
      </w:r>
      <w:r w:rsidRPr="00B81657">
        <w:rPr>
          <w:bCs/>
          <w:sz w:val="24"/>
          <w:szCs w:val="24"/>
        </w:rPr>
        <w:t xml:space="preserve">bol krytý </w:t>
      </w:r>
      <w:r w:rsidR="007B03D6">
        <w:rPr>
          <w:bCs/>
          <w:sz w:val="24"/>
          <w:szCs w:val="24"/>
        </w:rPr>
        <w:t>štátnymi dlhopismi v sume 6 630 </w:t>
      </w:r>
      <w:r w:rsidRPr="00B81657">
        <w:rPr>
          <w:bCs/>
          <w:sz w:val="24"/>
          <w:szCs w:val="24"/>
        </w:rPr>
        <w:t>451</w:t>
      </w:r>
      <w:r w:rsidR="007B03D6">
        <w:rPr>
          <w:bCs/>
          <w:sz w:val="24"/>
          <w:szCs w:val="24"/>
        </w:rPr>
        <w:t> </w:t>
      </w:r>
      <w:r w:rsidRPr="00B81657">
        <w:rPr>
          <w:bCs/>
          <w:sz w:val="24"/>
          <w:szCs w:val="24"/>
        </w:rPr>
        <w:t>tis.</w:t>
      </w:r>
      <w:r w:rsidR="007B03D6">
        <w:rPr>
          <w:bCs/>
          <w:sz w:val="24"/>
          <w:szCs w:val="24"/>
        </w:rPr>
        <w:t> </w:t>
      </w:r>
      <w:r w:rsidRPr="00B81657">
        <w:rPr>
          <w:bCs/>
          <w:sz w:val="24"/>
          <w:szCs w:val="24"/>
        </w:rPr>
        <w:t>eur a prijatými zahraničnými bankovými úvermi v hodnote 1</w:t>
      </w:r>
      <w:r w:rsidR="007B03D6">
        <w:rPr>
          <w:bCs/>
          <w:sz w:val="24"/>
          <w:szCs w:val="24"/>
        </w:rPr>
        <w:t> </w:t>
      </w:r>
      <w:r w:rsidRPr="00B81657">
        <w:rPr>
          <w:bCs/>
          <w:sz w:val="24"/>
          <w:szCs w:val="24"/>
        </w:rPr>
        <w:t>127</w:t>
      </w:r>
      <w:r w:rsidR="007B03D6">
        <w:rPr>
          <w:bCs/>
          <w:sz w:val="24"/>
          <w:szCs w:val="24"/>
        </w:rPr>
        <w:t> </w:t>
      </w:r>
      <w:r w:rsidRPr="00B81657">
        <w:rPr>
          <w:bCs/>
          <w:sz w:val="24"/>
          <w:szCs w:val="24"/>
        </w:rPr>
        <w:t>970</w:t>
      </w:r>
      <w:r w:rsidR="007B03D6">
        <w:rPr>
          <w:bCs/>
          <w:sz w:val="24"/>
          <w:szCs w:val="24"/>
        </w:rPr>
        <w:t> </w:t>
      </w:r>
      <w:r w:rsidRPr="00B81657">
        <w:rPr>
          <w:bCs/>
          <w:sz w:val="24"/>
          <w:szCs w:val="24"/>
        </w:rPr>
        <w:t>tis.</w:t>
      </w:r>
      <w:r w:rsidR="007B03D6">
        <w:rPr>
          <w:bCs/>
          <w:sz w:val="24"/>
          <w:szCs w:val="24"/>
        </w:rPr>
        <w:t> </w:t>
      </w:r>
      <w:r w:rsidRPr="00B81657">
        <w:rPr>
          <w:bCs/>
          <w:sz w:val="24"/>
          <w:szCs w:val="24"/>
        </w:rPr>
        <w:t>eur.</w:t>
      </w:r>
    </w:p>
    <w:p w14:paraId="4D18810A" w14:textId="77777777" w:rsidR="00CB3C45" w:rsidRDefault="00CB3C45">
      <w:pPr>
        <w:spacing w:after="160" w:line="259" w:lineRule="auto"/>
        <w:jc w:val="left"/>
        <w:rPr>
          <w:bCs/>
        </w:rPr>
      </w:pPr>
      <w:r>
        <w:rPr>
          <w:bCs/>
        </w:rPr>
        <w:br w:type="page"/>
      </w:r>
    </w:p>
    <w:p w14:paraId="2F8BA07E" w14:textId="6CE659BB" w:rsidR="005F5B88" w:rsidRDefault="005F5B88" w:rsidP="00AF7C97">
      <w:pPr>
        <w:pStyle w:val="Nadpis1"/>
        <w:ind w:left="567" w:hanging="567"/>
      </w:pPr>
      <w:bookmarkStart w:id="2" w:name="_Toc6415626"/>
      <w:bookmarkStart w:id="3" w:name="_Toc70026075"/>
      <w:r w:rsidRPr="001A1586">
        <w:lastRenderedPageBreak/>
        <w:t>Ekonomick</w:t>
      </w:r>
      <w:r w:rsidR="0021355F" w:rsidRPr="001A1586">
        <w:t>ý</w:t>
      </w:r>
      <w:r w:rsidRPr="001A1586">
        <w:t xml:space="preserve"> rámec rozpočtového hospodárenia Slovenskej republiky</w:t>
      </w:r>
      <w:bookmarkEnd w:id="2"/>
      <w:bookmarkEnd w:id="3"/>
    </w:p>
    <w:p w14:paraId="6ED4F7FD" w14:textId="7183F2A5" w:rsidR="00562DF6" w:rsidRPr="00B02097" w:rsidRDefault="00562DF6" w:rsidP="001665F3">
      <w:pPr>
        <w:spacing w:line="240" w:lineRule="auto"/>
        <w:rPr>
          <w:sz w:val="24"/>
          <w:szCs w:val="24"/>
        </w:rPr>
      </w:pPr>
      <w:r w:rsidRPr="00B02097">
        <w:rPr>
          <w:b/>
          <w:sz w:val="24"/>
          <w:szCs w:val="24"/>
        </w:rPr>
        <w:t xml:space="preserve">Slovenská ekonomika v roku 2020 klesla v dôsledku pandémie COVID-19 o 5,2 %. </w:t>
      </w:r>
      <w:r w:rsidRPr="00B02097">
        <w:rPr>
          <w:sz w:val="24"/>
          <w:szCs w:val="24"/>
        </w:rPr>
        <w:t>Pandémia ovplyvnila všetky zložky HDP, najvýraznejšie klesli investície, export a import. Vplyv na spotrebu domácností bol tlmený stabilnejším trhom práce a opatreniami na udržanie pracovných miest. Zamestnanosť sa znížila, spomalil sa rast miezd zároveň ale aj rast cenovej hladiny. Z pohľadu makroekonomických základní pre daňové a odvodové príjmy bol makroekonomický vývoj v roku 2020 výrazne negatívny oproti očakávaniam rozpočtovej prognózy MF SR.</w:t>
      </w:r>
    </w:p>
    <w:p w14:paraId="1A98C117" w14:textId="72C678F8" w:rsidR="005F5B88" w:rsidRDefault="005F5B88" w:rsidP="00B02097">
      <w:pPr>
        <w:pStyle w:val="Nadpis2"/>
        <w:spacing w:before="240"/>
      </w:pPr>
      <w:bookmarkStart w:id="4" w:name="_Toc6415627"/>
      <w:bookmarkStart w:id="5" w:name="_Toc70026076"/>
      <w:r w:rsidRPr="0042635A">
        <w:t>Vonkajšie ekonomické prostredie</w:t>
      </w:r>
      <w:bookmarkEnd w:id="4"/>
      <w:bookmarkEnd w:id="5"/>
    </w:p>
    <w:p w14:paraId="303DDADA" w14:textId="1A1A047E" w:rsidR="002E7C17" w:rsidRDefault="00562DF6" w:rsidP="001665F3">
      <w:pPr>
        <w:spacing w:line="240" w:lineRule="auto"/>
        <w:rPr>
          <w:sz w:val="24"/>
          <w:szCs w:val="24"/>
        </w:rPr>
      </w:pPr>
      <w:r w:rsidRPr="00B02097">
        <w:rPr>
          <w:sz w:val="24"/>
          <w:szCs w:val="24"/>
        </w:rPr>
        <w:t xml:space="preserve">Svetový obchod sa v prvom polroku 2020 prepadol z dôvodu prepuknutia pandémie </w:t>
      </w:r>
      <w:proofErr w:type="spellStart"/>
      <w:r w:rsidRPr="00B02097">
        <w:rPr>
          <w:sz w:val="24"/>
          <w:szCs w:val="24"/>
        </w:rPr>
        <w:t>koronavírusu</w:t>
      </w:r>
      <w:proofErr w:type="spellEnd"/>
      <w:r w:rsidRPr="00B02097">
        <w:rPr>
          <w:sz w:val="24"/>
          <w:szCs w:val="24"/>
        </w:rPr>
        <w:t xml:space="preserve">. V druhej polovici roka však došlo k oživeniu v medzinárodnom obchode, čo pomohlo oživiť priemyselnú výrobu v eurozóne. </w:t>
      </w:r>
      <w:r w:rsidRPr="002E7C17">
        <w:rPr>
          <w:b/>
          <w:sz w:val="24"/>
          <w:szCs w:val="24"/>
        </w:rPr>
        <w:t>Ekonomika eurozóny poklesla o</w:t>
      </w:r>
      <w:r w:rsidR="00AF5C05">
        <w:rPr>
          <w:b/>
          <w:sz w:val="24"/>
          <w:szCs w:val="24"/>
        </w:rPr>
        <w:t> </w:t>
      </w:r>
      <w:r w:rsidRPr="002E7C17">
        <w:rPr>
          <w:b/>
          <w:sz w:val="24"/>
          <w:szCs w:val="24"/>
        </w:rPr>
        <w:t>6,6</w:t>
      </w:r>
      <w:r w:rsidR="007B03D6">
        <w:rPr>
          <w:b/>
          <w:sz w:val="24"/>
          <w:szCs w:val="24"/>
        </w:rPr>
        <w:t> </w:t>
      </w:r>
      <w:r w:rsidRPr="002E7C17">
        <w:rPr>
          <w:b/>
          <w:sz w:val="24"/>
          <w:szCs w:val="24"/>
        </w:rPr>
        <w:t>%</w:t>
      </w:r>
      <w:r w:rsidR="007B03D6">
        <w:rPr>
          <w:sz w:val="24"/>
          <w:szCs w:val="24"/>
        </w:rPr>
        <w:t>, k </w:t>
      </w:r>
      <w:r w:rsidRPr="00B02097">
        <w:rPr>
          <w:sz w:val="24"/>
          <w:szCs w:val="24"/>
        </w:rPr>
        <w:t>čomu prispel predovšetkým hlboký prepad v 2. štvrťroku 2020, kedy sa kvôli opatreniam zvyšujúcim sociálny odstup niektoré sektory na určitý čas úplne vypli. Po prudkom prepade sa ekonomika eurozóny svižne odrazila od dna v treťom štvrťroku, keď sa epidemická situácia vo viacerých krajinách zlepšila. Pokračujúce oživenie zastavila druhá vlna pandémie, ktorá zasiahla viaceré európske krajiny na jeseň 2020. Napriek horšej zdravotnej situácii boli ekonomické náklady druhej vlny vďaka cielenejším opatreniam menšie ako na jar. Priemyselnú produkciu v</w:t>
      </w:r>
      <w:r w:rsidR="007B03D6">
        <w:rPr>
          <w:sz w:val="24"/>
          <w:szCs w:val="24"/>
        </w:rPr>
        <w:t> </w:t>
      </w:r>
      <w:r w:rsidRPr="00B02097">
        <w:rPr>
          <w:sz w:val="24"/>
          <w:szCs w:val="24"/>
        </w:rPr>
        <w:t>závere roka podporil svetový obchod s dopytom</w:t>
      </w:r>
      <w:r w:rsidR="002E7C17">
        <w:rPr>
          <w:sz w:val="24"/>
          <w:szCs w:val="24"/>
        </w:rPr>
        <w:t xml:space="preserve"> po automobiloch zo zahraničia.</w:t>
      </w:r>
    </w:p>
    <w:p w14:paraId="3A76684E" w14:textId="5001AB1F" w:rsidR="00562DF6" w:rsidRPr="00B02097" w:rsidRDefault="00562DF6" w:rsidP="001665F3">
      <w:pPr>
        <w:spacing w:line="240" w:lineRule="auto"/>
        <w:rPr>
          <w:sz w:val="24"/>
          <w:szCs w:val="24"/>
          <w:highlight w:val="yellow"/>
        </w:rPr>
      </w:pPr>
      <w:r w:rsidRPr="00B02097">
        <w:rPr>
          <w:sz w:val="24"/>
          <w:szCs w:val="24"/>
        </w:rPr>
        <w:t>Dôsledkami pandémie trpia v oveľa väčšej miere služby, ktoré zasiahli obmedzenia týkajúce sa mobility obyvateľstva. Predovšetkým odvetvia služieb, kde je nevyhnutný fyzický kontakt ako hotelierstvo, turizmus, či reštauračné služby, sa nachádzajú dlhodobo v strate. Kríza sa prejavila aj na pracovnom trhu, no nárast miery nezamestnanosti bol aj vďaka rozsiahlym fiškálnym a monetárnym opatreniam pomerne mierny. K upokojeniu obchodných vzťahov prispela aj pre Európu ústretovejšia americká administratíva a upokojenie vzťahov medzi Čínou a USA.</w:t>
      </w:r>
    </w:p>
    <w:p w14:paraId="6B8C4044" w14:textId="78A3AF72" w:rsidR="00562DF6" w:rsidRPr="00B02097" w:rsidRDefault="00562DF6" w:rsidP="001665F3">
      <w:pPr>
        <w:spacing w:line="240" w:lineRule="auto"/>
        <w:rPr>
          <w:sz w:val="24"/>
          <w:szCs w:val="24"/>
          <w:highlight w:val="yellow"/>
        </w:rPr>
      </w:pPr>
      <w:r w:rsidRPr="002E7C17">
        <w:rPr>
          <w:b/>
          <w:sz w:val="24"/>
          <w:szCs w:val="24"/>
        </w:rPr>
        <w:t xml:space="preserve">Dôsledky pandémie </w:t>
      </w:r>
      <w:proofErr w:type="spellStart"/>
      <w:r w:rsidRPr="002E7C17">
        <w:rPr>
          <w:b/>
          <w:sz w:val="24"/>
          <w:szCs w:val="24"/>
        </w:rPr>
        <w:t>koronavírusu</w:t>
      </w:r>
      <w:proofErr w:type="spellEnd"/>
      <w:r w:rsidRPr="002E7C17">
        <w:rPr>
          <w:b/>
          <w:sz w:val="24"/>
          <w:szCs w:val="24"/>
        </w:rPr>
        <w:t xml:space="preserve"> boli pre krajiny eurozóny nerovnomerné.</w:t>
      </w:r>
      <w:r w:rsidRPr="00B02097">
        <w:rPr>
          <w:sz w:val="24"/>
          <w:szCs w:val="24"/>
        </w:rPr>
        <w:t xml:space="preserve"> Najväčšie ekonomické náklady niesli krajiny ako Španielsko (prepad HDP o 11,0 % v roku 2020) a Taliansko (prepad o 8,9 % v 2020), ktorých ekonomická štruk</w:t>
      </w:r>
      <w:r w:rsidR="000316FB" w:rsidRPr="00B02097">
        <w:rPr>
          <w:sz w:val="24"/>
          <w:szCs w:val="24"/>
        </w:rPr>
        <w:t>túra je vo väčšej miere zameraná</w:t>
      </w:r>
      <w:r w:rsidRPr="00B02097">
        <w:rPr>
          <w:sz w:val="24"/>
          <w:szCs w:val="24"/>
        </w:rPr>
        <w:t xml:space="preserve"> na turizmus a s ním spojené služby. Naopak, najväčšia európsk</w:t>
      </w:r>
      <w:r w:rsidR="001033F9" w:rsidRPr="00B02097">
        <w:rPr>
          <w:sz w:val="24"/>
          <w:szCs w:val="24"/>
        </w:rPr>
        <w:t>a ekonomika, Nemecko, ťažila zo </w:t>
      </w:r>
      <w:r w:rsidRPr="00B02097">
        <w:rPr>
          <w:sz w:val="24"/>
          <w:szCs w:val="24"/>
        </w:rPr>
        <w:t>svojej orientácie na priemysel, čo sa prejavilo v miernejšom prepade v roku 2020 (prepad HDP o 4,9 %). Podporným faktorom pre celú Európu bol svetový obchod ťahaný najmä dopytom z ázijských trhov. Podobne aj obchodní partneri vo V4 dosiahli podstatne lepšie výsledky v porovnaní s pôvodnými očakávaniami. Dlhšie trvajúce uzavretie ekonomiky pravdepodobne posunie oživenie až na záver roka 2021.</w:t>
      </w:r>
    </w:p>
    <w:p w14:paraId="7E8A58ED" w14:textId="63539FEA" w:rsidR="00562DF6" w:rsidRPr="00B02097" w:rsidRDefault="00562DF6" w:rsidP="001665F3">
      <w:pPr>
        <w:spacing w:line="240" w:lineRule="auto"/>
        <w:rPr>
          <w:sz w:val="24"/>
          <w:szCs w:val="24"/>
          <w:highlight w:val="yellow"/>
        </w:rPr>
      </w:pPr>
      <w:r w:rsidRPr="00B02097">
        <w:rPr>
          <w:sz w:val="24"/>
          <w:szCs w:val="24"/>
        </w:rPr>
        <w:t>Globálne finančné trhy zareagovali na globálnu pandémiu historickými prepadmi na jar 2020. Prudké výpredaje na akciových trhoch však ustali vďaka rýchlym opatreniam monetárnych a fiškálnych autorít, ktoré trhom dodali potrebnú likviditu a tým upokojili situáciu. Vďaka opatreniam viaceré akciové indexy stihli v závere roka prekonať svoje historické maximá. Na dlhopisových trhoch sa uvoľnená menová politika prejavila ďalším poklesom dlhopisových výnosov. Dôsledky pandémie sa premietli aj na trhu s ropou, ktorej cena poklesla zo 68 USD za barel na konci roka 2019 k 20 USD za barel v apríli 2020. Zlepšujúca sa situácia vo svetovom priemysle prispela k prekročeniu 50 USD za barel koncom roka, no prekonať predkrízovú úroveň sa nepodarilo. Nižšie ceny energií tlmili rast cien vo svete a aj v krajinách eurozóny. Kurz eura voči americkému doláru posilnil a prekonal v závere roka 1,22 EUR/USD.</w:t>
      </w:r>
    </w:p>
    <w:p w14:paraId="6061E572" w14:textId="77777777" w:rsidR="0083391C" w:rsidRDefault="0083391C">
      <w:pPr>
        <w:spacing w:after="160" w:line="259" w:lineRule="auto"/>
        <w:jc w:val="left"/>
        <w:rPr>
          <w:sz w:val="24"/>
          <w:szCs w:val="24"/>
        </w:rPr>
      </w:pPr>
      <w:r>
        <w:rPr>
          <w:sz w:val="24"/>
          <w:szCs w:val="24"/>
        </w:rPr>
        <w:br w:type="page"/>
      </w:r>
    </w:p>
    <w:p w14:paraId="1C826F6A" w14:textId="322213E4" w:rsidR="00562DF6" w:rsidRDefault="00562DF6" w:rsidP="001665F3">
      <w:pPr>
        <w:spacing w:line="240" w:lineRule="auto"/>
      </w:pPr>
      <w:r w:rsidRPr="00B02097">
        <w:rPr>
          <w:sz w:val="24"/>
          <w:szCs w:val="24"/>
        </w:rPr>
        <w:lastRenderedPageBreak/>
        <w:t xml:space="preserve">Negatívne dôsledky pandémie tlmili pohotové reakcie centrálnych bánk aj svetových vlád. Americký </w:t>
      </w:r>
      <w:proofErr w:type="spellStart"/>
      <w:r w:rsidRPr="00B02097">
        <w:rPr>
          <w:sz w:val="24"/>
          <w:szCs w:val="24"/>
        </w:rPr>
        <w:t>Fed</w:t>
      </w:r>
      <w:proofErr w:type="spellEnd"/>
      <w:r w:rsidRPr="00B02097">
        <w:rPr>
          <w:sz w:val="24"/>
          <w:szCs w:val="24"/>
        </w:rPr>
        <w:t xml:space="preserve"> znížil svoju kľúčovú úrokovú sadzbu na úroveň 0 – 0,25% a predstavil rozsiahly balík opatrení na podporu finančného sektora v boji s pandémiou. Rovnako aj Európska centrálna banka obnovila svoj program nákupu dlhopisov a predstavila niekoľko podporných opatrní, čím zabezpečila dostatok voľnej likvidity na finančných trhoch.</w:t>
      </w:r>
    </w:p>
    <w:tbl>
      <w:tblPr>
        <w:tblW w:w="8703" w:type="dxa"/>
        <w:jc w:val="center"/>
        <w:tblCellMar>
          <w:left w:w="70" w:type="dxa"/>
          <w:right w:w="70" w:type="dxa"/>
        </w:tblCellMar>
        <w:tblLook w:val="04A0" w:firstRow="1" w:lastRow="0" w:firstColumn="1" w:lastColumn="0" w:noHBand="0" w:noVBand="1"/>
      </w:tblPr>
      <w:tblGrid>
        <w:gridCol w:w="5712"/>
        <w:gridCol w:w="904"/>
        <w:gridCol w:w="997"/>
        <w:gridCol w:w="1090"/>
      </w:tblGrid>
      <w:tr w:rsidR="00562DF6" w:rsidRPr="0052153F" w14:paraId="635EBEA5" w14:textId="77777777" w:rsidTr="00E15228">
        <w:trPr>
          <w:trHeight w:val="300"/>
          <w:jc w:val="center"/>
        </w:trPr>
        <w:tc>
          <w:tcPr>
            <w:tcW w:w="8703" w:type="dxa"/>
            <w:gridSpan w:val="4"/>
            <w:tcBorders>
              <w:top w:val="nil"/>
              <w:left w:val="nil"/>
              <w:bottom w:val="nil"/>
              <w:right w:val="nil"/>
            </w:tcBorders>
            <w:shd w:val="clear" w:color="000000" w:fill="000000"/>
            <w:noWrap/>
            <w:vAlign w:val="center"/>
            <w:hideMark/>
          </w:tcPr>
          <w:p w14:paraId="54C34C9B" w14:textId="77777777" w:rsidR="00562DF6" w:rsidRPr="0052153F" w:rsidRDefault="00562DF6" w:rsidP="00562DF6">
            <w:pPr>
              <w:spacing w:after="0" w:line="240" w:lineRule="auto"/>
              <w:jc w:val="left"/>
              <w:rPr>
                <w:rFonts w:eastAsia="Times New Roman" w:cs="Times New Roman"/>
                <w:b/>
                <w:bCs/>
                <w:color w:val="FFFFFF"/>
                <w:sz w:val="18"/>
                <w:szCs w:val="18"/>
                <w:lang w:eastAsia="sk-SK"/>
              </w:rPr>
            </w:pPr>
            <w:r w:rsidRPr="0052153F">
              <w:rPr>
                <w:rFonts w:eastAsia="Times New Roman" w:cs="Times New Roman"/>
                <w:b/>
                <w:bCs/>
                <w:color w:val="FFFFFF"/>
                <w:sz w:val="18"/>
                <w:szCs w:val="18"/>
                <w:lang w:eastAsia="sk-SK"/>
              </w:rPr>
              <w:t>Vývoj vybraných ukazovateľov eurozóny</w:t>
            </w:r>
          </w:p>
        </w:tc>
      </w:tr>
      <w:tr w:rsidR="00562DF6" w:rsidRPr="0052153F" w14:paraId="01D0EE45" w14:textId="77777777" w:rsidTr="00E15228">
        <w:trPr>
          <w:trHeight w:val="300"/>
          <w:jc w:val="center"/>
        </w:trPr>
        <w:tc>
          <w:tcPr>
            <w:tcW w:w="5712" w:type="dxa"/>
            <w:tcBorders>
              <w:top w:val="nil"/>
              <w:left w:val="nil"/>
              <w:bottom w:val="single" w:sz="4" w:space="0" w:color="auto"/>
              <w:right w:val="nil"/>
            </w:tcBorders>
            <w:shd w:val="clear" w:color="000000" w:fill="C0C0C0"/>
            <w:noWrap/>
            <w:vAlign w:val="center"/>
            <w:hideMark/>
          </w:tcPr>
          <w:p w14:paraId="44C4AA7D" w14:textId="77777777" w:rsidR="00562DF6" w:rsidRPr="0052153F" w:rsidRDefault="00562DF6" w:rsidP="00562DF6">
            <w:pPr>
              <w:spacing w:after="0" w:line="240" w:lineRule="auto"/>
              <w:jc w:val="center"/>
              <w:rPr>
                <w:rFonts w:eastAsia="Times New Roman" w:cs="Times New Roman"/>
                <w:color w:val="000000"/>
                <w:sz w:val="18"/>
                <w:szCs w:val="18"/>
                <w:lang w:eastAsia="sk-SK"/>
              </w:rPr>
            </w:pPr>
          </w:p>
        </w:tc>
        <w:tc>
          <w:tcPr>
            <w:tcW w:w="904" w:type="dxa"/>
            <w:tcBorders>
              <w:top w:val="nil"/>
              <w:left w:val="nil"/>
              <w:bottom w:val="single" w:sz="4" w:space="0" w:color="auto"/>
              <w:right w:val="nil"/>
            </w:tcBorders>
            <w:shd w:val="clear" w:color="000000" w:fill="C0C0C0"/>
            <w:noWrap/>
            <w:vAlign w:val="center"/>
            <w:hideMark/>
          </w:tcPr>
          <w:p w14:paraId="47CD627D" w14:textId="77777777" w:rsidR="00562DF6" w:rsidRPr="0052153F" w:rsidRDefault="00562DF6" w:rsidP="00562DF6">
            <w:pPr>
              <w:spacing w:after="0" w:line="240" w:lineRule="auto"/>
              <w:jc w:val="center"/>
              <w:rPr>
                <w:rFonts w:eastAsia="Times New Roman" w:cs="Times New Roman"/>
                <w:b/>
                <w:bCs/>
                <w:color w:val="000000"/>
                <w:sz w:val="18"/>
                <w:szCs w:val="18"/>
                <w:lang w:eastAsia="sk-SK"/>
              </w:rPr>
            </w:pPr>
            <w:r w:rsidRPr="0052153F">
              <w:rPr>
                <w:rFonts w:eastAsia="Times New Roman" w:cs="Times New Roman"/>
                <w:b/>
                <w:bCs/>
                <w:color w:val="000000"/>
                <w:sz w:val="18"/>
                <w:szCs w:val="18"/>
                <w:lang w:eastAsia="sk-SK"/>
              </w:rPr>
              <w:t>2018</w:t>
            </w:r>
          </w:p>
        </w:tc>
        <w:tc>
          <w:tcPr>
            <w:tcW w:w="997" w:type="dxa"/>
            <w:tcBorders>
              <w:top w:val="nil"/>
              <w:left w:val="nil"/>
              <w:bottom w:val="single" w:sz="4" w:space="0" w:color="auto"/>
              <w:right w:val="nil"/>
            </w:tcBorders>
            <w:shd w:val="clear" w:color="000000" w:fill="C0C0C0"/>
            <w:noWrap/>
            <w:vAlign w:val="center"/>
            <w:hideMark/>
          </w:tcPr>
          <w:p w14:paraId="2D483086" w14:textId="77777777" w:rsidR="00562DF6" w:rsidRPr="0052153F" w:rsidRDefault="00562DF6" w:rsidP="00562DF6">
            <w:pPr>
              <w:spacing w:after="0" w:line="240" w:lineRule="auto"/>
              <w:jc w:val="center"/>
              <w:rPr>
                <w:rFonts w:eastAsia="Times New Roman" w:cs="Times New Roman"/>
                <w:b/>
                <w:bCs/>
                <w:color w:val="000000"/>
                <w:sz w:val="18"/>
                <w:szCs w:val="18"/>
                <w:lang w:eastAsia="sk-SK"/>
              </w:rPr>
            </w:pPr>
            <w:r w:rsidRPr="0052153F">
              <w:rPr>
                <w:rFonts w:eastAsia="Times New Roman" w:cs="Times New Roman"/>
                <w:b/>
                <w:bCs/>
                <w:color w:val="000000"/>
                <w:sz w:val="18"/>
                <w:szCs w:val="18"/>
                <w:lang w:eastAsia="sk-SK"/>
              </w:rPr>
              <w:t>2019</w:t>
            </w:r>
          </w:p>
        </w:tc>
        <w:tc>
          <w:tcPr>
            <w:tcW w:w="1090" w:type="dxa"/>
            <w:tcBorders>
              <w:top w:val="nil"/>
              <w:left w:val="nil"/>
              <w:bottom w:val="single" w:sz="4" w:space="0" w:color="auto"/>
              <w:right w:val="nil"/>
            </w:tcBorders>
            <w:shd w:val="clear" w:color="000000" w:fill="C0C0C0"/>
            <w:noWrap/>
            <w:vAlign w:val="center"/>
            <w:hideMark/>
          </w:tcPr>
          <w:p w14:paraId="457A59B9" w14:textId="77777777" w:rsidR="00562DF6" w:rsidRPr="0052153F" w:rsidRDefault="00562DF6" w:rsidP="00562DF6">
            <w:pPr>
              <w:spacing w:after="0" w:line="240" w:lineRule="auto"/>
              <w:jc w:val="center"/>
              <w:rPr>
                <w:rFonts w:eastAsia="Times New Roman" w:cs="Times New Roman"/>
                <w:b/>
                <w:bCs/>
                <w:color w:val="000000"/>
                <w:sz w:val="18"/>
                <w:szCs w:val="18"/>
                <w:lang w:eastAsia="sk-SK"/>
              </w:rPr>
            </w:pPr>
            <w:r w:rsidRPr="0052153F">
              <w:rPr>
                <w:rFonts w:eastAsia="Times New Roman" w:cs="Times New Roman"/>
                <w:b/>
                <w:bCs/>
                <w:color w:val="000000"/>
                <w:sz w:val="18"/>
                <w:szCs w:val="18"/>
                <w:lang w:eastAsia="sk-SK"/>
              </w:rPr>
              <w:t>2020</w:t>
            </w:r>
          </w:p>
        </w:tc>
      </w:tr>
      <w:tr w:rsidR="00562DF6" w:rsidRPr="0052153F" w14:paraId="71EC45DB" w14:textId="77777777" w:rsidTr="00E15228">
        <w:trPr>
          <w:trHeight w:val="300"/>
          <w:jc w:val="center"/>
        </w:trPr>
        <w:tc>
          <w:tcPr>
            <w:tcW w:w="5712" w:type="dxa"/>
            <w:tcBorders>
              <w:top w:val="single" w:sz="4" w:space="0" w:color="auto"/>
              <w:left w:val="nil"/>
              <w:bottom w:val="nil"/>
              <w:right w:val="nil"/>
            </w:tcBorders>
            <w:noWrap/>
            <w:vAlign w:val="center"/>
            <w:hideMark/>
          </w:tcPr>
          <w:p w14:paraId="47517B4C" w14:textId="77777777" w:rsidR="00562DF6" w:rsidRPr="0052153F" w:rsidRDefault="00562DF6" w:rsidP="00562DF6">
            <w:pPr>
              <w:spacing w:after="0" w:line="240" w:lineRule="auto"/>
              <w:jc w:val="left"/>
              <w:rPr>
                <w:rFonts w:eastAsia="Times New Roman" w:cs="Times New Roman"/>
                <w:color w:val="000000"/>
                <w:sz w:val="18"/>
                <w:szCs w:val="18"/>
                <w:lang w:eastAsia="sk-SK"/>
              </w:rPr>
            </w:pPr>
            <w:r w:rsidRPr="0052153F">
              <w:rPr>
                <w:rFonts w:eastAsia="Times New Roman" w:cs="Times New Roman"/>
                <w:color w:val="000000"/>
                <w:sz w:val="18"/>
                <w:szCs w:val="18"/>
                <w:lang w:eastAsia="sk-SK"/>
              </w:rPr>
              <w:t>Hrubý domáci produkt (% rast)</w:t>
            </w:r>
          </w:p>
        </w:tc>
        <w:tc>
          <w:tcPr>
            <w:tcW w:w="904" w:type="dxa"/>
            <w:tcBorders>
              <w:top w:val="single" w:sz="4" w:space="0" w:color="auto"/>
              <w:left w:val="nil"/>
              <w:bottom w:val="nil"/>
              <w:right w:val="nil"/>
            </w:tcBorders>
            <w:noWrap/>
            <w:vAlign w:val="center"/>
            <w:hideMark/>
          </w:tcPr>
          <w:p w14:paraId="1BF3EF3A" w14:textId="77777777" w:rsidR="00562DF6" w:rsidRPr="0052153F" w:rsidRDefault="00562DF6" w:rsidP="00562DF6">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1,9</w:t>
            </w:r>
          </w:p>
        </w:tc>
        <w:tc>
          <w:tcPr>
            <w:tcW w:w="997" w:type="dxa"/>
            <w:tcBorders>
              <w:top w:val="single" w:sz="4" w:space="0" w:color="auto"/>
              <w:left w:val="nil"/>
              <w:bottom w:val="nil"/>
              <w:right w:val="nil"/>
            </w:tcBorders>
            <w:noWrap/>
            <w:vAlign w:val="center"/>
            <w:hideMark/>
          </w:tcPr>
          <w:p w14:paraId="782D3BAA" w14:textId="77777777" w:rsidR="00562DF6" w:rsidRPr="0052153F" w:rsidRDefault="00562DF6" w:rsidP="00562DF6">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1,3</w:t>
            </w:r>
          </w:p>
        </w:tc>
        <w:tc>
          <w:tcPr>
            <w:tcW w:w="1090" w:type="dxa"/>
            <w:tcBorders>
              <w:top w:val="single" w:sz="4" w:space="0" w:color="auto"/>
              <w:left w:val="nil"/>
              <w:bottom w:val="nil"/>
              <w:right w:val="nil"/>
            </w:tcBorders>
            <w:shd w:val="clear" w:color="auto" w:fill="BFBFBF"/>
            <w:noWrap/>
            <w:vAlign w:val="center"/>
          </w:tcPr>
          <w:p w14:paraId="7A56E06A" w14:textId="77777777" w:rsidR="00562DF6" w:rsidRPr="0052153F" w:rsidRDefault="00562DF6" w:rsidP="00562DF6">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-6,6</w:t>
            </w:r>
          </w:p>
        </w:tc>
      </w:tr>
      <w:tr w:rsidR="00562DF6" w:rsidRPr="0052153F" w14:paraId="4E7B8123" w14:textId="77777777" w:rsidTr="00E15228">
        <w:trPr>
          <w:trHeight w:val="300"/>
          <w:jc w:val="center"/>
        </w:trPr>
        <w:tc>
          <w:tcPr>
            <w:tcW w:w="5712" w:type="dxa"/>
            <w:tcBorders>
              <w:top w:val="nil"/>
              <w:left w:val="nil"/>
              <w:bottom w:val="nil"/>
              <w:right w:val="nil"/>
            </w:tcBorders>
            <w:noWrap/>
            <w:vAlign w:val="center"/>
            <w:hideMark/>
          </w:tcPr>
          <w:p w14:paraId="1040CC6F" w14:textId="77777777" w:rsidR="00562DF6" w:rsidRPr="0052153F" w:rsidRDefault="00562DF6" w:rsidP="00562DF6">
            <w:pPr>
              <w:spacing w:after="0" w:line="240" w:lineRule="auto"/>
              <w:jc w:val="left"/>
              <w:rPr>
                <w:rFonts w:eastAsia="Times New Roman" w:cs="Times New Roman"/>
                <w:color w:val="000000"/>
                <w:sz w:val="18"/>
                <w:szCs w:val="18"/>
                <w:lang w:eastAsia="sk-SK"/>
              </w:rPr>
            </w:pPr>
            <w:r w:rsidRPr="0052153F">
              <w:rPr>
                <w:rFonts w:eastAsia="Times New Roman" w:cs="Times New Roman"/>
                <w:color w:val="000000"/>
                <w:sz w:val="18"/>
                <w:szCs w:val="18"/>
                <w:lang w:eastAsia="sk-SK"/>
              </w:rPr>
              <w:t>Zamestnanosť (ESA, % rast)</w:t>
            </w:r>
          </w:p>
        </w:tc>
        <w:tc>
          <w:tcPr>
            <w:tcW w:w="904" w:type="dxa"/>
            <w:tcBorders>
              <w:top w:val="nil"/>
              <w:left w:val="nil"/>
              <w:bottom w:val="nil"/>
              <w:right w:val="nil"/>
            </w:tcBorders>
            <w:noWrap/>
            <w:vAlign w:val="center"/>
            <w:hideMark/>
          </w:tcPr>
          <w:p w14:paraId="20EF8B21" w14:textId="77777777" w:rsidR="00562DF6" w:rsidRPr="0052153F" w:rsidRDefault="00562DF6" w:rsidP="00562DF6">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1,6</w:t>
            </w:r>
          </w:p>
        </w:tc>
        <w:tc>
          <w:tcPr>
            <w:tcW w:w="997" w:type="dxa"/>
            <w:tcBorders>
              <w:top w:val="nil"/>
              <w:left w:val="nil"/>
              <w:bottom w:val="nil"/>
              <w:right w:val="nil"/>
            </w:tcBorders>
            <w:noWrap/>
            <w:vAlign w:val="center"/>
            <w:hideMark/>
          </w:tcPr>
          <w:p w14:paraId="20B92B6F" w14:textId="77777777" w:rsidR="00562DF6" w:rsidRPr="0052153F" w:rsidRDefault="00562DF6" w:rsidP="00562DF6">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1,2</w:t>
            </w:r>
          </w:p>
        </w:tc>
        <w:tc>
          <w:tcPr>
            <w:tcW w:w="1090" w:type="dxa"/>
            <w:tcBorders>
              <w:top w:val="nil"/>
              <w:left w:val="nil"/>
              <w:bottom w:val="nil"/>
              <w:right w:val="nil"/>
            </w:tcBorders>
            <w:shd w:val="clear" w:color="auto" w:fill="BFBFBF"/>
            <w:noWrap/>
            <w:vAlign w:val="center"/>
          </w:tcPr>
          <w:p w14:paraId="7AC40EDF" w14:textId="77777777" w:rsidR="00562DF6" w:rsidRPr="0052153F" w:rsidRDefault="00562DF6" w:rsidP="00562DF6">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-1,6</w:t>
            </w:r>
          </w:p>
        </w:tc>
      </w:tr>
      <w:tr w:rsidR="00562DF6" w:rsidRPr="0052153F" w14:paraId="2461388A" w14:textId="77777777" w:rsidTr="00E15228">
        <w:trPr>
          <w:trHeight w:val="300"/>
          <w:jc w:val="center"/>
        </w:trPr>
        <w:tc>
          <w:tcPr>
            <w:tcW w:w="5712" w:type="dxa"/>
            <w:tcBorders>
              <w:top w:val="nil"/>
              <w:left w:val="nil"/>
              <w:bottom w:val="nil"/>
              <w:right w:val="nil"/>
            </w:tcBorders>
            <w:noWrap/>
            <w:vAlign w:val="center"/>
            <w:hideMark/>
          </w:tcPr>
          <w:p w14:paraId="73160CEE" w14:textId="77777777" w:rsidR="00562DF6" w:rsidRPr="0052153F" w:rsidRDefault="00562DF6" w:rsidP="00562DF6">
            <w:pPr>
              <w:spacing w:after="0" w:line="240" w:lineRule="auto"/>
              <w:jc w:val="left"/>
              <w:rPr>
                <w:rFonts w:eastAsia="Times New Roman" w:cs="Times New Roman"/>
                <w:color w:val="000000"/>
                <w:sz w:val="18"/>
                <w:szCs w:val="18"/>
                <w:lang w:eastAsia="sk-SK"/>
              </w:rPr>
            </w:pPr>
            <w:r w:rsidRPr="0052153F">
              <w:rPr>
                <w:rFonts w:eastAsia="Times New Roman" w:cs="Times New Roman"/>
                <w:color w:val="000000"/>
                <w:sz w:val="18"/>
                <w:szCs w:val="18"/>
                <w:lang w:eastAsia="sk-SK"/>
              </w:rPr>
              <w:t>Miera nezamestnanosti (VZPS, %)</w:t>
            </w:r>
          </w:p>
        </w:tc>
        <w:tc>
          <w:tcPr>
            <w:tcW w:w="904" w:type="dxa"/>
            <w:tcBorders>
              <w:top w:val="nil"/>
              <w:left w:val="nil"/>
              <w:bottom w:val="nil"/>
              <w:right w:val="nil"/>
            </w:tcBorders>
            <w:noWrap/>
            <w:vAlign w:val="center"/>
            <w:hideMark/>
          </w:tcPr>
          <w:p w14:paraId="2FFAF1E9" w14:textId="77777777" w:rsidR="00562DF6" w:rsidRPr="0052153F" w:rsidRDefault="00562DF6" w:rsidP="00562DF6">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8,1</w:t>
            </w:r>
          </w:p>
        </w:tc>
        <w:tc>
          <w:tcPr>
            <w:tcW w:w="997" w:type="dxa"/>
            <w:tcBorders>
              <w:top w:val="nil"/>
              <w:left w:val="nil"/>
              <w:bottom w:val="nil"/>
              <w:right w:val="nil"/>
            </w:tcBorders>
            <w:noWrap/>
            <w:vAlign w:val="center"/>
            <w:hideMark/>
          </w:tcPr>
          <w:p w14:paraId="491F3D67" w14:textId="77777777" w:rsidR="00562DF6" w:rsidRPr="0052153F" w:rsidRDefault="00562DF6" w:rsidP="00562DF6">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7,5</w:t>
            </w:r>
          </w:p>
        </w:tc>
        <w:tc>
          <w:tcPr>
            <w:tcW w:w="1090" w:type="dxa"/>
            <w:tcBorders>
              <w:top w:val="nil"/>
              <w:left w:val="nil"/>
              <w:bottom w:val="nil"/>
              <w:right w:val="nil"/>
            </w:tcBorders>
            <w:shd w:val="clear" w:color="auto" w:fill="BFBFBF"/>
            <w:noWrap/>
            <w:vAlign w:val="center"/>
          </w:tcPr>
          <w:p w14:paraId="4E837661" w14:textId="77777777" w:rsidR="00562DF6" w:rsidRPr="0052153F" w:rsidRDefault="00562DF6" w:rsidP="00562DF6">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w:t>
            </w:r>
          </w:p>
        </w:tc>
      </w:tr>
      <w:tr w:rsidR="00562DF6" w:rsidRPr="0052153F" w14:paraId="093E1931" w14:textId="77777777" w:rsidTr="00E15228">
        <w:trPr>
          <w:trHeight w:val="300"/>
          <w:jc w:val="center"/>
        </w:trPr>
        <w:tc>
          <w:tcPr>
            <w:tcW w:w="5712" w:type="dxa"/>
            <w:tcBorders>
              <w:top w:val="nil"/>
              <w:left w:val="nil"/>
              <w:bottom w:val="nil"/>
              <w:right w:val="nil"/>
            </w:tcBorders>
            <w:noWrap/>
            <w:vAlign w:val="center"/>
            <w:hideMark/>
          </w:tcPr>
          <w:p w14:paraId="40C2BCAE" w14:textId="77777777" w:rsidR="00562DF6" w:rsidRPr="0052153F" w:rsidRDefault="00562DF6" w:rsidP="00562DF6">
            <w:pPr>
              <w:spacing w:after="0" w:line="240" w:lineRule="auto"/>
              <w:jc w:val="left"/>
              <w:rPr>
                <w:rFonts w:eastAsia="Times New Roman" w:cs="Times New Roman"/>
                <w:color w:val="000000"/>
                <w:sz w:val="18"/>
                <w:szCs w:val="18"/>
                <w:lang w:eastAsia="sk-SK"/>
              </w:rPr>
            </w:pPr>
            <w:r w:rsidRPr="0052153F">
              <w:rPr>
                <w:rFonts w:eastAsia="Times New Roman" w:cs="Times New Roman"/>
                <w:color w:val="000000"/>
                <w:sz w:val="18"/>
                <w:szCs w:val="18"/>
                <w:lang w:eastAsia="sk-SK"/>
              </w:rPr>
              <w:t>Kompenzácie na zamestnanca</w:t>
            </w:r>
            <w:r w:rsidRPr="0052153F">
              <w:rPr>
                <w:rFonts w:eastAsia="Times New Roman" w:cs="Times New Roman"/>
                <w:color w:val="000000"/>
                <w:sz w:val="18"/>
                <w:szCs w:val="18"/>
                <w:vertAlign w:val="superscript"/>
                <w:lang w:eastAsia="sk-SK"/>
              </w:rPr>
              <w:t>*</w:t>
            </w:r>
            <w:r w:rsidRPr="0052153F">
              <w:rPr>
                <w:rFonts w:eastAsia="Times New Roman" w:cs="Times New Roman"/>
                <w:color w:val="000000"/>
                <w:sz w:val="18"/>
                <w:szCs w:val="18"/>
                <w:lang w:eastAsia="sk-SK"/>
              </w:rPr>
              <w:t xml:space="preserve"> (% rast)</w:t>
            </w:r>
          </w:p>
        </w:tc>
        <w:tc>
          <w:tcPr>
            <w:tcW w:w="904" w:type="dxa"/>
            <w:tcBorders>
              <w:top w:val="nil"/>
              <w:left w:val="nil"/>
              <w:bottom w:val="nil"/>
              <w:right w:val="nil"/>
            </w:tcBorders>
            <w:noWrap/>
            <w:vAlign w:val="center"/>
            <w:hideMark/>
          </w:tcPr>
          <w:p w14:paraId="09CD420C" w14:textId="77777777" w:rsidR="00562DF6" w:rsidRPr="0052153F" w:rsidRDefault="00562DF6" w:rsidP="00562DF6">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2,2</w:t>
            </w:r>
          </w:p>
        </w:tc>
        <w:tc>
          <w:tcPr>
            <w:tcW w:w="997" w:type="dxa"/>
            <w:tcBorders>
              <w:top w:val="nil"/>
              <w:left w:val="nil"/>
              <w:bottom w:val="nil"/>
              <w:right w:val="nil"/>
            </w:tcBorders>
            <w:noWrap/>
            <w:vAlign w:val="center"/>
            <w:hideMark/>
          </w:tcPr>
          <w:p w14:paraId="226B69E1" w14:textId="77777777" w:rsidR="00562DF6" w:rsidRPr="0052153F" w:rsidRDefault="00562DF6" w:rsidP="00562DF6">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1,9</w:t>
            </w:r>
          </w:p>
        </w:tc>
        <w:tc>
          <w:tcPr>
            <w:tcW w:w="1090" w:type="dxa"/>
            <w:tcBorders>
              <w:top w:val="nil"/>
              <w:left w:val="nil"/>
              <w:bottom w:val="nil"/>
              <w:right w:val="nil"/>
            </w:tcBorders>
            <w:shd w:val="clear" w:color="auto" w:fill="BFBFBF"/>
            <w:noWrap/>
            <w:vAlign w:val="center"/>
          </w:tcPr>
          <w:p w14:paraId="0DC993F7" w14:textId="77777777" w:rsidR="00562DF6" w:rsidRPr="0052153F" w:rsidRDefault="00562DF6" w:rsidP="00562DF6">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-0,6</w:t>
            </w:r>
          </w:p>
        </w:tc>
      </w:tr>
      <w:tr w:rsidR="00562DF6" w:rsidRPr="0052153F" w14:paraId="144F5558" w14:textId="77777777" w:rsidTr="00E15228">
        <w:trPr>
          <w:trHeight w:val="300"/>
          <w:jc w:val="center"/>
        </w:trPr>
        <w:tc>
          <w:tcPr>
            <w:tcW w:w="5712" w:type="dxa"/>
            <w:tcBorders>
              <w:top w:val="nil"/>
              <w:left w:val="nil"/>
              <w:bottom w:val="nil"/>
              <w:right w:val="nil"/>
            </w:tcBorders>
            <w:noWrap/>
            <w:vAlign w:val="center"/>
            <w:hideMark/>
          </w:tcPr>
          <w:p w14:paraId="2E591198" w14:textId="77777777" w:rsidR="00562DF6" w:rsidRPr="0052153F" w:rsidRDefault="00562DF6" w:rsidP="00562DF6">
            <w:pPr>
              <w:spacing w:after="0" w:line="240" w:lineRule="auto"/>
              <w:jc w:val="left"/>
              <w:rPr>
                <w:rFonts w:eastAsia="Times New Roman" w:cs="Times New Roman"/>
                <w:color w:val="000000"/>
                <w:sz w:val="18"/>
                <w:szCs w:val="18"/>
                <w:lang w:eastAsia="sk-SK"/>
              </w:rPr>
            </w:pPr>
            <w:r w:rsidRPr="0052153F">
              <w:rPr>
                <w:rFonts w:eastAsia="Times New Roman" w:cs="Times New Roman"/>
                <w:color w:val="000000"/>
                <w:sz w:val="18"/>
                <w:szCs w:val="18"/>
                <w:lang w:eastAsia="sk-SK"/>
              </w:rPr>
              <w:t>Miera inflácie (HICP, %)</w:t>
            </w:r>
          </w:p>
        </w:tc>
        <w:tc>
          <w:tcPr>
            <w:tcW w:w="904" w:type="dxa"/>
            <w:tcBorders>
              <w:top w:val="nil"/>
              <w:left w:val="nil"/>
              <w:bottom w:val="nil"/>
              <w:right w:val="nil"/>
            </w:tcBorders>
            <w:noWrap/>
            <w:vAlign w:val="center"/>
            <w:hideMark/>
          </w:tcPr>
          <w:p w14:paraId="2A04AED0" w14:textId="77777777" w:rsidR="00562DF6" w:rsidRPr="0052153F" w:rsidRDefault="00562DF6" w:rsidP="00562DF6">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1,8</w:t>
            </w:r>
          </w:p>
        </w:tc>
        <w:tc>
          <w:tcPr>
            <w:tcW w:w="997" w:type="dxa"/>
            <w:tcBorders>
              <w:top w:val="nil"/>
              <w:left w:val="nil"/>
              <w:bottom w:val="nil"/>
              <w:right w:val="nil"/>
            </w:tcBorders>
            <w:noWrap/>
            <w:vAlign w:val="center"/>
            <w:hideMark/>
          </w:tcPr>
          <w:p w14:paraId="10B33D0E" w14:textId="77777777" w:rsidR="00562DF6" w:rsidRPr="0052153F" w:rsidRDefault="00562DF6" w:rsidP="00562DF6">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1,2</w:t>
            </w:r>
          </w:p>
        </w:tc>
        <w:tc>
          <w:tcPr>
            <w:tcW w:w="1090" w:type="dxa"/>
            <w:tcBorders>
              <w:top w:val="nil"/>
              <w:left w:val="nil"/>
              <w:bottom w:val="nil"/>
              <w:right w:val="nil"/>
            </w:tcBorders>
            <w:shd w:val="clear" w:color="auto" w:fill="BFBFBF"/>
            <w:noWrap/>
            <w:vAlign w:val="center"/>
          </w:tcPr>
          <w:p w14:paraId="4739ED3F" w14:textId="77777777" w:rsidR="00562DF6" w:rsidRPr="0052153F" w:rsidRDefault="00562DF6" w:rsidP="00562DF6">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0,3</w:t>
            </w:r>
          </w:p>
        </w:tc>
      </w:tr>
      <w:tr w:rsidR="00562DF6" w:rsidRPr="0052153F" w14:paraId="2DD1B22A" w14:textId="77777777" w:rsidTr="00E15228">
        <w:trPr>
          <w:trHeight w:val="300"/>
          <w:jc w:val="center"/>
        </w:trPr>
        <w:tc>
          <w:tcPr>
            <w:tcW w:w="5712" w:type="dxa"/>
            <w:tcBorders>
              <w:top w:val="nil"/>
              <w:left w:val="nil"/>
              <w:bottom w:val="nil"/>
              <w:right w:val="nil"/>
            </w:tcBorders>
            <w:noWrap/>
            <w:vAlign w:val="center"/>
            <w:hideMark/>
          </w:tcPr>
          <w:p w14:paraId="4289C113" w14:textId="77777777" w:rsidR="00562DF6" w:rsidRPr="0052153F" w:rsidRDefault="00562DF6" w:rsidP="00562DF6">
            <w:pPr>
              <w:spacing w:after="0" w:line="240" w:lineRule="auto"/>
              <w:jc w:val="left"/>
              <w:rPr>
                <w:rFonts w:eastAsia="Times New Roman" w:cs="Times New Roman"/>
                <w:color w:val="000000"/>
                <w:sz w:val="18"/>
                <w:szCs w:val="18"/>
                <w:lang w:eastAsia="sk-SK"/>
              </w:rPr>
            </w:pPr>
            <w:r w:rsidRPr="0052153F">
              <w:rPr>
                <w:rFonts w:eastAsia="Times New Roman" w:cs="Times New Roman"/>
                <w:color w:val="000000"/>
                <w:sz w:val="18"/>
                <w:szCs w:val="18"/>
                <w:lang w:eastAsia="sk-SK"/>
              </w:rPr>
              <w:t>10-ročný nemecký dlhopis (% výnos)</w:t>
            </w:r>
          </w:p>
        </w:tc>
        <w:tc>
          <w:tcPr>
            <w:tcW w:w="904" w:type="dxa"/>
            <w:tcBorders>
              <w:top w:val="nil"/>
              <w:left w:val="nil"/>
              <w:bottom w:val="nil"/>
              <w:right w:val="nil"/>
            </w:tcBorders>
            <w:noWrap/>
            <w:vAlign w:val="center"/>
            <w:hideMark/>
          </w:tcPr>
          <w:p w14:paraId="39C0C0E8" w14:textId="77777777" w:rsidR="00562DF6" w:rsidRPr="0052153F" w:rsidRDefault="00562DF6" w:rsidP="00562DF6">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0,48</w:t>
            </w:r>
          </w:p>
        </w:tc>
        <w:tc>
          <w:tcPr>
            <w:tcW w:w="997" w:type="dxa"/>
            <w:tcBorders>
              <w:top w:val="nil"/>
              <w:left w:val="nil"/>
              <w:bottom w:val="nil"/>
              <w:right w:val="nil"/>
            </w:tcBorders>
            <w:noWrap/>
            <w:vAlign w:val="center"/>
            <w:hideMark/>
          </w:tcPr>
          <w:p w14:paraId="32B5574E" w14:textId="77777777" w:rsidR="00562DF6" w:rsidRPr="0052153F" w:rsidRDefault="00562DF6" w:rsidP="00562DF6">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-0,22</w:t>
            </w:r>
          </w:p>
        </w:tc>
        <w:tc>
          <w:tcPr>
            <w:tcW w:w="1090" w:type="dxa"/>
            <w:tcBorders>
              <w:top w:val="nil"/>
              <w:left w:val="nil"/>
              <w:bottom w:val="nil"/>
              <w:right w:val="nil"/>
            </w:tcBorders>
            <w:shd w:val="clear" w:color="auto" w:fill="BFBFBF"/>
            <w:noWrap/>
            <w:vAlign w:val="center"/>
          </w:tcPr>
          <w:p w14:paraId="71E308B3" w14:textId="77777777" w:rsidR="00562DF6" w:rsidRPr="0052153F" w:rsidRDefault="00562DF6" w:rsidP="00562DF6">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-0,48</w:t>
            </w:r>
          </w:p>
        </w:tc>
      </w:tr>
      <w:tr w:rsidR="00562DF6" w:rsidRPr="0052153F" w14:paraId="600BADAF" w14:textId="77777777" w:rsidTr="00E15228">
        <w:trPr>
          <w:trHeight w:val="300"/>
          <w:jc w:val="center"/>
        </w:trPr>
        <w:tc>
          <w:tcPr>
            <w:tcW w:w="5712" w:type="dxa"/>
            <w:tcBorders>
              <w:top w:val="nil"/>
              <w:left w:val="nil"/>
              <w:bottom w:val="nil"/>
              <w:right w:val="nil"/>
            </w:tcBorders>
            <w:noWrap/>
            <w:vAlign w:val="center"/>
            <w:hideMark/>
          </w:tcPr>
          <w:p w14:paraId="60ACC7E7" w14:textId="77777777" w:rsidR="00562DF6" w:rsidRPr="0052153F" w:rsidRDefault="00562DF6" w:rsidP="00562DF6">
            <w:pPr>
              <w:spacing w:after="0" w:line="240" w:lineRule="auto"/>
              <w:jc w:val="left"/>
              <w:rPr>
                <w:rFonts w:eastAsia="Times New Roman" w:cs="Times New Roman"/>
                <w:color w:val="000000"/>
                <w:sz w:val="18"/>
                <w:szCs w:val="18"/>
                <w:lang w:eastAsia="sk-SK"/>
              </w:rPr>
            </w:pPr>
            <w:r w:rsidRPr="0052153F">
              <w:rPr>
                <w:rFonts w:eastAsia="Times New Roman" w:cs="Times New Roman"/>
                <w:color w:val="000000"/>
                <w:sz w:val="18"/>
                <w:szCs w:val="18"/>
                <w:lang w:eastAsia="sk-SK"/>
              </w:rPr>
              <w:t>Kurz USD/EUR (priemer roka)</w:t>
            </w:r>
          </w:p>
        </w:tc>
        <w:tc>
          <w:tcPr>
            <w:tcW w:w="904" w:type="dxa"/>
            <w:tcBorders>
              <w:top w:val="nil"/>
              <w:left w:val="nil"/>
              <w:bottom w:val="nil"/>
              <w:right w:val="nil"/>
            </w:tcBorders>
            <w:noWrap/>
            <w:vAlign w:val="center"/>
            <w:hideMark/>
          </w:tcPr>
          <w:p w14:paraId="5F7DD02B" w14:textId="77777777" w:rsidR="00562DF6" w:rsidRPr="0052153F" w:rsidRDefault="00562DF6" w:rsidP="00562DF6">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1,18</w:t>
            </w:r>
          </w:p>
        </w:tc>
        <w:tc>
          <w:tcPr>
            <w:tcW w:w="997" w:type="dxa"/>
            <w:tcBorders>
              <w:top w:val="nil"/>
              <w:left w:val="nil"/>
              <w:bottom w:val="nil"/>
              <w:right w:val="nil"/>
            </w:tcBorders>
            <w:noWrap/>
            <w:vAlign w:val="center"/>
            <w:hideMark/>
          </w:tcPr>
          <w:p w14:paraId="78A7E6FF" w14:textId="77777777" w:rsidR="00562DF6" w:rsidRPr="0052153F" w:rsidRDefault="00562DF6" w:rsidP="00562DF6">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1,12</w:t>
            </w:r>
          </w:p>
        </w:tc>
        <w:tc>
          <w:tcPr>
            <w:tcW w:w="1090" w:type="dxa"/>
            <w:tcBorders>
              <w:top w:val="nil"/>
              <w:left w:val="nil"/>
              <w:bottom w:val="nil"/>
              <w:right w:val="nil"/>
            </w:tcBorders>
            <w:shd w:val="clear" w:color="auto" w:fill="BFBFBF"/>
            <w:noWrap/>
            <w:vAlign w:val="center"/>
          </w:tcPr>
          <w:p w14:paraId="5C55BB9F" w14:textId="77777777" w:rsidR="00562DF6" w:rsidRPr="0052153F" w:rsidRDefault="00562DF6" w:rsidP="00562DF6">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1,14</w:t>
            </w:r>
          </w:p>
        </w:tc>
      </w:tr>
      <w:tr w:rsidR="00562DF6" w:rsidRPr="0052153F" w14:paraId="54DC9E3E" w14:textId="77777777" w:rsidTr="00E15228">
        <w:trPr>
          <w:trHeight w:val="315"/>
          <w:jc w:val="center"/>
        </w:trPr>
        <w:tc>
          <w:tcPr>
            <w:tcW w:w="5712" w:type="dxa"/>
            <w:tcBorders>
              <w:top w:val="nil"/>
              <w:left w:val="nil"/>
              <w:bottom w:val="single" w:sz="8" w:space="0" w:color="auto"/>
              <w:right w:val="nil"/>
            </w:tcBorders>
            <w:noWrap/>
            <w:vAlign w:val="center"/>
            <w:hideMark/>
          </w:tcPr>
          <w:p w14:paraId="3B12F422" w14:textId="77777777" w:rsidR="00562DF6" w:rsidRPr="0052153F" w:rsidRDefault="00562DF6" w:rsidP="00562DF6">
            <w:pPr>
              <w:spacing w:after="0" w:line="240" w:lineRule="auto"/>
              <w:jc w:val="left"/>
              <w:rPr>
                <w:rFonts w:eastAsia="Times New Roman" w:cs="Times New Roman"/>
                <w:color w:val="000000"/>
                <w:sz w:val="18"/>
                <w:szCs w:val="18"/>
                <w:lang w:eastAsia="sk-SK"/>
              </w:rPr>
            </w:pPr>
            <w:r w:rsidRPr="0052153F">
              <w:rPr>
                <w:rFonts w:eastAsia="Times New Roman" w:cs="Times New Roman"/>
                <w:color w:val="000000"/>
                <w:sz w:val="18"/>
                <w:szCs w:val="18"/>
                <w:lang w:eastAsia="sk-SK"/>
              </w:rPr>
              <w:t xml:space="preserve">Cena ropy </w:t>
            </w:r>
            <w:proofErr w:type="spellStart"/>
            <w:r w:rsidRPr="0052153F">
              <w:rPr>
                <w:rFonts w:eastAsia="Times New Roman" w:cs="Times New Roman"/>
                <w:color w:val="000000"/>
                <w:sz w:val="18"/>
                <w:szCs w:val="18"/>
                <w:lang w:eastAsia="sk-SK"/>
              </w:rPr>
              <w:t>Brent</w:t>
            </w:r>
            <w:proofErr w:type="spellEnd"/>
            <w:r w:rsidRPr="0052153F">
              <w:rPr>
                <w:rFonts w:eastAsia="Times New Roman" w:cs="Times New Roman"/>
                <w:color w:val="000000"/>
                <w:sz w:val="18"/>
                <w:szCs w:val="18"/>
                <w:lang w:eastAsia="sk-SK"/>
              </w:rPr>
              <w:t xml:space="preserve"> (USD/</w:t>
            </w:r>
            <w:proofErr w:type="spellStart"/>
            <w:r w:rsidRPr="0052153F">
              <w:rPr>
                <w:rFonts w:eastAsia="Times New Roman" w:cs="Times New Roman"/>
                <w:color w:val="000000"/>
                <w:sz w:val="18"/>
                <w:szCs w:val="18"/>
                <w:lang w:eastAsia="sk-SK"/>
              </w:rPr>
              <w:t>bl</w:t>
            </w:r>
            <w:proofErr w:type="spellEnd"/>
            <w:r w:rsidRPr="0052153F">
              <w:rPr>
                <w:rFonts w:eastAsia="Times New Roman" w:cs="Times New Roman"/>
                <w:color w:val="000000"/>
                <w:sz w:val="18"/>
                <w:szCs w:val="18"/>
                <w:lang w:eastAsia="sk-SK"/>
              </w:rPr>
              <w:t>)</w:t>
            </w:r>
          </w:p>
        </w:tc>
        <w:tc>
          <w:tcPr>
            <w:tcW w:w="904" w:type="dxa"/>
            <w:tcBorders>
              <w:top w:val="nil"/>
              <w:left w:val="nil"/>
              <w:bottom w:val="single" w:sz="8" w:space="0" w:color="auto"/>
              <w:right w:val="nil"/>
            </w:tcBorders>
            <w:noWrap/>
            <w:vAlign w:val="center"/>
            <w:hideMark/>
          </w:tcPr>
          <w:p w14:paraId="612C82DB" w14:textId="77777777" w:rsidR="00562DF6" w:rsidRPr="0052153F" w:rsidRDefault="00562DF6" w:rsidP="00562DF6">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71,5</w:t>
            </w:r>
          </w:p>
        </w:tc>
        <w:tc>
          <w:tcPr>
            <w:tcW w:w="997" w:type="dxa"/>
            <w:tcBorders>
              <w:top w:val="nil"/>
              <w:left w:val="nil"/>
              <w:bottom w:val="single" w:sz="8" w:space="0" w:color="auto"/>
              <w:right w:val="nil"/>
            </w:tcBorders>
            <w:noWrap/>
            <w:vAlign w:val="center"/>
            <w:hideMark/>
          </w:tcPr>
          <w:p w14:paraId="03A508D8" w14:textId="77777777" w:rsidR="00562DF6" w:rsidRPr="0052153F" w:rsidRDefault="00562DF6" w:rsidP="00562DF6">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64,2</w:t>
            </w:r>
          </w:p>
        </w:tc>
        <w:tc>
          <w:tcPr>
            <w:tcW w:w="1090" w:type="dxa"/>
            <w:tcBorders>
              <w:top w:val="nil"/>
              <w:left w:val="nil"/>
              <w:bottom w:val="single" w:sz="8" w:space="0" w:color="auto"/>
              <w:right w:val="nil"/>
            </w:tcBorders>
            <w:shd w:val="clear" w:color="auto" w:fill="BFBFBF"/>
            <w:noWrap/>
            <w:vAlign w:val="center"/>
          </w:tcPr>
          <w:p w14:paraId="6D50EE8E" w14:textId="77777777" w:rsidR="00562DF6" w:rsidRPr="0052153F" w:rsidRDefault="00562DF6" w:rsidP="00562DF6">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43,2</w:t>
            </w:r>
          </w:p>
        </w:tc>
      </w:tr>
      <w:tr w:rsidR="00562DF6" w:rsidRPr="0052153F" w14:paraId="484DAEF6" w14:textId="77777777" w:rsidTr="00E15228">
        <w:trPr>
          <w:trHeight w:val="300"/>
          <w:jc w:val="center"/>
        </w:trPr>
        <w:tc>
          <w:tcPr>
            <w:tcW w:w="8703" w:type="dxa"/>
            <w:gridSpan w:val="4"/>
            <w:tcBorders>
              <w:top w:val="single" w:sz="8" w:space="0" w:color="auto"/>
              <w:left w:val="nil"/>
              <w:bottom w:val="nil"/>
            </w:tcBorders>
            <w:noWrap/>
            <w:vAlign w:val="center"/>
            <w:hideMark/>
          </w:tcPr>
          <w:p w14:paraId="2EAF96A7" w14:textId="55BCD6E4" w:rsidR="00562DF6" w:rsidRPr="0052153F" w:rsidRDefault="00562DF6" w:rsidP="00562DF6">
            <w:pPr>
              <w:spacing w:after="0" w:line="240" w:lineRule="auto"/>
              <w:jc w:val="left"/>
              <w:rPr>
                <w:rFonts w:eastAsia="Times New Roman" w:cs="Times New Roman"/>
                <w:iCs/>
                <w:color w:val="000000"/>
                <w:sz w:val="18"/>
                <w:szCs w:val="18"/>
                <w:lang w:eastAsia="sk-SK"/>
              </w:rPr>
            </w:pPr>
            <w:r w:rsidRPr="0052153F">
              <w:rPr>
                <w:rFonts w:eastAsia="Times New Roman" w:cs="Times New Roman"/>
                <w:iCs/>
                <w:color w:val="000000"/>
                <w:sz w:val="18"/>
                <w:szCs w:val="18"/>
                <w:vertAlign w:val="superscript"/>
                <w:lang w:eastAsia="sk-SK"/>
              </w:rPr>
              <w:t>*</w:t>
            </w:r>
            <w:r w:rsidRPr="0052153F">
              <w:rPr>
                <w:rFonts w:eastAsia="Times New Roman" w:cs="Times New Roman"/>
                <w:color w:val="1F497D"/>
                <w:sz w:val="18"/>
                <w:szCs w:val="18"/>
                <w:lang w:eastAsia="sk-SK"/>
              </w:rPr>
              <w:t xml:space="preserve"> </w:t>
            </w:r>
            <w:r w:rsidRPr="0052153F">
              <w:rPr>
                <w:rFonts w:eastAsia="Times New Roman" w:cs="Times New Roman"/>
                <w:iCs/>
                <w:color w:val="000000"/>
                <w:sz w:val="18"/>
                <w:szCs w:val="18"/>
                <w:lang w:eastAsia="sk-SK"/>
              </w:rPr>
              <w:t xml:space="preserve">suma všetkých miezd a odvodov na jedného zamestnanca         </w:t>
            </w:r>
            <w:r w:rsidR="00E15228" w:rsidRPr="0052153F">
              <w:rPr>
                <w:rFonts w:eastAsia="Times New Roman" w:cs="Times New Roman"/>
                <w:iCs/>
                <w:color w:val="000000"/>
                <w:sz w:val="18"/>
                <w:szCs w:val="18"/>
                <w:lang w:eastAsia="sk-SK"/>
              </w:rPr>
              <w:t xml:space="preserve">                                        </w:t>
            </w:r>
            <w:r w:rsidRPr="0052153F">
              <w:rPr>
                <w:rFonts w:eastAsia="Times New Roman" w:cs="Times New Roman"/>
                <w:iCs/>
                <w:color w:val="000000"/>
                <w:sz w:val="18"/>
                <w:szCs w:val="18"/>
                <w:lang w:eastAsia="sk-SK"/>
              </w:rPr>
              <w:t xml:space="preserve">Zdroj: </w:t>
            </w:r>
            <w:proofErr w:type="spellStart"/>
            <w:r w:rsidRPr="0052153F">
              <w:rPr>
                <w:rFonts w:eastAsia="Times New Roman" w:cs="Times New Roman"/>
                <w:iCs/>
                <w:color w:val="000000"/>
                <w:sz w:val="18"/>
                <w:szCs w:val="18"/>
                <w:lang w:eastAsia="sk-SK"/>
              </w:rPr>
              <w:t>Eurostat</w:t>
            </w:r>
            <w:proofErr w:type="spellEnd"/>
            <w:r w:rsidRPr="0052153F">
              <w:rPr>
                <w:rFonts w:eastAsia="Times New Roman" w:cs="Times New Roman"/>
                <w:iCs/>
                <w:color w:val="000000"/>
                <w:sz w:val="18"/>
                <w:szCs w:val="18"/>
                <w:lang w:eastAsia="sk-SK"/>
              </w:rPr>
              <w:t xml:space="preserve">, </w:t>
            </w:r>
            <w:proofErr w:type="spellStart"/>
            <w:r w:rsidRPr="0052153F">
              <w:rPr>
                <w:rFonts w:eastAsia="Times New Roman" w:cs="Times New Roman"/>
                <w:iCs/>
                <w:color w:val="000000"/>
                <w:sz w:val="18"/>
                <w:szCs w:val="18"/>
                <w:lang w:eastAsia="sk-SK"/>
              </w:rPr>
              <w:t>Bloomberg</w:t>
            </w:r>
            <w:proofErr w:type="spellEnd"/>
            <w:r w:rsidRPr="0052153F">
              <w:rPr>
                <w:rFonts w:eastAsia="Times New Roman" w:cs="Times New Roman"/>
                <w:iCs/>
                <w:color w:val="000000"/>
                <w:sz w:val="18"/>
                <w:szCs w:val="18"/>
                <w:lang w:eastAsia="sk-SK"/>
              </w:rPr>
              <w:t xml:space="preserve"> </w:t>
            </w:r>
          </w:p>
          <w:p w14:paraId="26AC3B87" w14:textId="77777777" w:rsidR="00562DF6" w:rsidRDefault="00562DF6" w:rsidP="00562DF6">
            <w:pPr>
              <w:spacing w:after="0" w:line="240" w:lineRule="auto"/>
              <w:jc w:val="left"/>
              <w:rPr>
                <w:rFonts w:eastAsia="Times New Roman" w:cs="Times New Roman"/>
                <w:iCs/>
                <w:color w:val="000000"/>
                <w:sz w:val="18"/>
                <w:szCs w:val="18"/>
                <w:lang w:eastAsia="sk-SK"/>
              </w:rPr>
            </w:pPr>
            <w:r w:rsidRPr="0052153F">
              <w:rPr>
                <w:rFonts w:eastAsia="Times New Roman" w:cs="Times New Roman"/>
                <w:iCs/>
                <w:color w:val="000000"/>
                <w:sz w:val="18"/>
                <w:szCs w:val="18"/>
                <w:lang w:eastAsia="sk-SK"/>
              </w:rPr>
              <w:t>v ekonomike („</w:t>
            </w:r>
            <w:proofErr w:type="spellStart"/>
            <w:r w:rsidRPr="0052153F">
              <w:rPr>
                <w:rFonts w:eastAsia="Times New Roman" w:cs="Times New Roman"/>
                <w:iCs/>
                <w:color w:val="000000"/>
                <w:sz w:val="18"/>
                <w:szCs w:val="18"/>
                <w:lang w:eastAsia="sk-SK"/>
              </w:rPr>
              <w:t>superhrubá</w:t>
            </w:r>
            <w:proofErr w:type="spellEnd"/>
            <w:r w:rsidRPr="0052153F">
              <w:rPr>
                <w:rFonts w:eastAsia="Times New Roman" w:cs="Times New Roman"/>
                <w:iCs/>
                <w:color w:val="000000"/>
                <w:sz w:val="18"/>
                <w:szCs w:val="18"/>
                <w:lang w:eastAsia="sk-SK"/>
              </w:rPr>
              <w:t>“ mzda</w:t>
            </w:r>
            <w:r w:rsidRPr="0052153F">
              <w:rPr>
                <w:rFonts w:eastAsia="Times New Roman" w:cs="Times New Roman"/>
                <w:color w:val="1F497D"/>
                <w:sz w:val="18"/>
                <w:szCs w:val="18"/>
                <w:lang w:eastAsia="sk-SK"/>
              </w:rPr>
              <w:t>)</w:t>
            </w:r>
            <w:r w:rsidRPr="0052153F">
              <w:rPr>
                <w:rFonts w:eastAsia="Times New Roman" w:cs="Times New Roman"/>
                <w:iCs/>
                <w:color w:val="000000"/>
                <w:sz w:val="18"/>
                <w:szCs w:val="18"/>
                <w:lang w:eastAsia="sk-SK"/>
              </w:rPr>
              <w:t xml:space="preserve"> </w:t>
            </w:r>
          </w:p>
          <w:p w14:paraId="21334E40" w14:textId="77777777" w:rsidR="0083391C" w:rsidRPr="0052153F" w:rsidRDefault="0083391C" w:rsidP="00562DF6">
            <w:pPr>
              <w:spacing w:after="0" w:line="240" w:lineRule="auto"/>
              <w:jc w:val="left"/>
              <w:rPr>
                <w:rFonts w:eastAsia="Times New Roman" w:cs="Times New Roman"/>
                <w:iCs/>
                <w:color w:val="000000"/>
                <w:sz w:val="18"/>
                <w:szCs w:val="18"/>
                <w:lang w:eastAsia="sk-SK"/>
              </w:rPr>
            </w:pPr>
          </w:p>
        </w:tc>
      </w:tr>
    </w:tbl>
    <w:p w14:paraId="7134557C" w14:textId="1EF0C6FB" w:rsidR="005F5B88" w:rsidRDefault="005F5B88" w:rsidP="00AF7C97">
      <w:pPr>
        <w:pStyle w:val="Nadpis2"/>
      </w:pPr>
      <w:bookmarkStart w:id="6" w:name="_Toc6415628"/>
      <w:bookmarkStart w:id="7" w:name="_Toc70026077"/>
      <w:r>
        <w:t>Makroekonomický vývoj SR</w:t>
      </w:r>
      <w:bookmarkEnd w:id="6"/>
      <w:bookmarkEnd w:id="7"/>
    </w:p>
    <w:p w14:paraId="7FC076D8" w14:textId="4E7F828F" w:rsidR="005F5B88" w:rsidRPr="000F375D" w:rsidRDefault="005F5B88" w:rsidP="00AF7C97">
      <w:pPr>
        <w:pStyle w:val="Nadpis3"/>
        <w:rPr>
          <w:sz w:val="24"/>
        </w:rPr>
      </w:pPr>
      <w:bookmarkStart w:id="8" w:name="_Toc6415629"/>
      <w:bookmarkStart w:id="9" w:name="_Toc70026078"/>
      <w:r w:rsidRPr="000F375D">
        <w:rPr>
          <w:sz w:val="24"/>
        </w:rPr>
        <w:t>Hrubý domáci produkt</w:t>
      </w:r>
      <w:bookmarkEnd w:id="8"/>
      <w:bookmarkEnd w:id="9"/>
    </w:p>
    <w:p w14:paraId="3096D44B" w14:textId="77777777" w:rsidR="00562DF6" w:rsidRPr="008E6BBC" w:rsidRDefault="00562DF6" w:rsidP="001665F3">
      <w:pPr>
        <w:spacing w:line="240" w:lineRule="auto"/>
        <w:rPr>
          <w:sz w:val="24"/>
          <w:szCs w:val="24"/>
        </w:rPr>
      </w:pPr>
      <w:r w:rsidRPr="008E6BBC">
        <w:rPr>
          <w:sz w:val="24"/>
          <w:szCs w:val="24"/>
        </w:rPr>
        <w:t>V roku 2020 bola slovenská ekonomika výrazne zasiahnutá pandémiou COVID-19, v dôsledku ktorej došlo k prepadu reálnej ekonomiky o 5,2 %. Zasiahnuté boli všetky zložky HDP, najviac k poklesu prispel prepad investícií. Pokles spotreby domácností tlmil stabilnejší trh práce a opatrenia na udržanie pracovných miest. Import tovarov a služieb padol hlbšie než export, zahraničný obchod tak k rastu HDP prispel celkovo pozitívne. Po prvej vlne pandémie prišlo v druhej polovici roka k pomerne rýchlemu oživeniu, a to najmä v sektore priemyslu.</w:t>
      </w:r>
    </w:p>
    <w:tbl>
      <w:tblPr>
        <w:tblW w:w="9017" w:type="dxa"/>
        <w:tblCellMar>
          <w:left w:w="70" w:type="dxa"/>
          <w:right w:w="70" w:type="dxa"/>
        </w:tblCellMar>
        <w:tblLook w:val="04A0" w:firstRow="1" w:lastRow="0" w:firstColumn="1" w:lastColumn="0" w:noHBand="0" w:noVBand="1"/>
      </w:tblPr>
      <w:tblGrid>
        <w:gridCol w:w="1474"/>
        <w:gridCol w:w="1035"/>
        <w:gridCol w:w="601"/>
        <w:gridCol w:w="601"/>
        <w:gridCol w:w="576"/>
        <w:gridCol w:w="4730"/>
      </w:tblGrid>
      <w:tr w:rsidR="00562DF6" w:rsidRPr="00562DF6" w14:paraId="2A1687D3" w14:textId="77777777" w:rsidTr="002E1517">
        <w:trPr>
          <w:trHeight w:val="342"/>
        </w:trPr>
        <w:tc>
          <w:tcPr>
            <w:tcW w:w="9017" w:type="dxa"/>
            <w:gridSpan w:val="6"/>
            <w:tcBorders>
              <w:top w:val="nil"/>
              <w:left w:val="nil"/>
              <w:bottom w:val="nil"/>
              <w:right w:val="nil"/>
            </w:tcBorders>
            <w:shd w:val="clear" w:color="000000" w:fill="000000"/>
            <w:vAlign w:val="center"/>
            <w:hideMark/>
          </w:tcPr>
          <w:p w14:paraId="29C94987" w14:textId="2EB175B1" w:rsidR="00562DF6" w:rsidRPr="0052153F" w:rsidRDefault="00562DF6" w:rsidP="0052153F">
            <w:pPr>
              <w:spacing w:after="0" w:line="240" w:lineRule="auto"/>
              <w:rPr>
                <w:rFonts w:cs="Times New Roman"/>
                <w:b/>
                <w:bCs/>
                <w:color w:val="FFFFFF"/>
                <w:sz w:val="18"/>
                <w:szCs w:val="18"/>
              </w:rPr>
            </w:pPr>
            <w:r w:rsidRPr="0052153F">
              <w:rPr>
                <w:rFonts w:cs="Times New Roman"/>
                <w:b/>
                <w:bCs/>
                <w:color w:val="FFFFFF"/>
                <w:sz w:val="18"/>
                <w:szCs w:val="18"/>
              </w:rPr>
              <w:t>Vývoj HDP a jeho hlavných zložiek</w:t>
            </w:r>
          </w:p>
        </w:tc>
      </w:tr>
      <w:tr w:rsidR="00562DF6" w:rsidRPr="00562DF6" w14:paraId="3F3733FC" w14:textId="77777777" w:rsidTr="002E1517">
        <w:trPr>
          <w:trHeight w:val="342"/>
        </w:trPr>
        <w:tc>
          <w:tcPr>
            <w:tcW w:w="2509" w:type="dxa"/>
            <w:gridSpan w:val="2"/>
            <w:tcBorders>
              <w:top w:val="nil"/>
              <w:left w:val="nil"/>
              <w:bottom w:val="single" w:sz="4" w:space="0" w:color="auto"/>
              <w:right w:val="nil"/>
            </w:tcBorders>
            <w:shd w:val="clear" w:color="auto" w:fill="BFBFBF"/>
            <w:vAlign w:val="center"/>
            <w:hideMark/>
          </w:tcPr>
          <w:p w14:paraId="3D6583F1" w14:textId="43B3CB47" w:rsidR="00562DF6" w:rsidRPr="00562DF6" w:rsidRDefault="00E049D5" w:rsidP="00562DF6">
            <w:pPr>
              <w:jc w:val="center"/>
              <w:rPr>
                <w:rFonts w:cs="Times New Roman"/>
                <w:b/>
                <w:bCs/>
                <w:color w:val="000000"/>
                <w:sz w:val="18"/>
                <w:szCs w:val="18"/>
              </w:rPr>
            </w:pPr>
            <w:r>
              <w:rPr>
                <w:rFonts w:cs="Times New Roman"/>
                <w:b/>
                <w:bCs/>
                <w:color w:val="000000"/>
                <w:sz w:val="18"/>
                <w:szCs w:val="16"/>
              </w:rPr>
              <w:t>R</w:t>
            </w:r>
            <w:r w:rsidR="00562DF6" w:rsidRPr="00562DF6">
              <w:rPr>
                <w:rFonts w:cs="Times New Roman"/>
                <w:b/>
                <w:bCs/>
                <w:color w:val="000000"/>
                <w:sz w:val="18"/>
                <w:szCs w:val="16"/>
              </w:rPr>
              <w:t>eálny rast v %</w:t>
            </w:r>
          </w:p>
        </w:tc>
        <w:tc>
          <w:tcPr>
            <w:tcW w:w="601" w:type="dxa"/>
            <w:tcBorders>
              <w:top w:val="nil"/>
              <w:left w:val="nil"/>
              <w:bottom w:val="single" w:sz="4" w:space="0" w:color="auto"/>
              <w:right w:val="nil"/>
            </w:tcBorders>
            <w:shd w:val="clear" w:color="auto" w:fill="BFBFBF"/>
            <w:vAlign w:val="center"/>
            <w:hideMark/>
          </w:tcPr>
          <w:p w14:paraId="7A8389AB" w14:textId="77777777" w:rsidR="00562DF6" w:rsidRPr="00562DF6" w:rsidRDefault="00562DF6" w:rsidP="00562DF6">
            <w:pPr>
              <w:jc w:val="center"/>
              <w:rPr>
                <w:rFonts w:cs="Times New Roman"/>
                <w:b/>
                <w:bCs/>
                <w:color w:val="000000"/>
                <w:sz w:val="18"/>
                <w:szCs w:val="18"/>
              </w:rPr>
            </w:pPr>
            <w:r w:rsidRPr="00562DF6">
              <w:rPr>
                <w:rFonts w:cs="Times New Roman"/>
                <w:b/>
                <w:bCs/>
                <w:color w:val="000000"/>
                <w:sz w:val="18"/>
                <w:szCs w:val="16"/>
              </w:rPr>
              <w:t>2018</w:t>
            </w:r>
          </w:p>
        </w:tc>
        <w:tc>
          <w:tcPr>
            <w:tcW w:w="601" w:type="dxa"/>
            <w:tcBorders>
              <w:top w:val="nil"/>
              <w:left w:val="nil"/>
              <w:bottom w:val="single" w:sz="4" w:space="0" w:color="auto"/>
              <w:right w:val="nil"/>
            </w:tcBorders>
            <w:shd w:val="clear" w:color="auto" w:fill="BFBFBF"/>
            <w:vAlign w:val="center"/>
            <w:hideMark/>
          </w:tcPr>
          <w:p w14:paraId="23454C26" w14:textId="77777777" w:rsidR="00562DF6" w:rsidRPr="00562DF6" w:rsidRDefault="00562DF6" w:rsidP="00562DF6">
            <w:pPr>
              <w:jc w:val="center"/>
              <w:rPr>
                <w:rFonts w:cs="Times New Roman"/>
                <w:b/>
                <w:bCs/>
                <w:color w:val="000000"/>
                <w:sz w:val="18"/>
                <w:szCs w:val="18"/>
              </w:rPr>
            </w:pPr>
            <w:r w:rsidRPr="00562DF6">
              <w:rPr>
                <w:rFonts w:cs="Times New Roman"/>
                <w:b/>
                <w:bCs/>
                <w:color w:val="000000"/>
                <w:sz w:val="18"/>
                <w:szCs w:val="16"/>
              </w:rPr>
              <w:t>2019</w:t>
            </w:r>
          </w:p>
        </w:tc>
        <w:tc>
          <w:tcPr>
            <w:tcW w:w="576" w:type="dxa"/>
            <w:tcBorders>
              <w:top w:val="nil"/>
              <w:left w:val="nil"/>
              <w:bottom w:val="single" w:sz="4" w:space="0" w:color="auto"/>
              <w:right w:val="nil"/>
            </w:tcBorders>
            <w:shd w:val="clear" w:color="auto" w:fill="BFBFBF"/>
            <w:vAlign w:val="center"/>
            <w:hideMark/>
          </w:tcPr>
          <w:p w14:paraId="34871E5B" w14:textId="77777777" w:rsidR="00562DF6" w:rsidRPr="00562DF6" w:rsidRDefault="00562DF6" w:rsidP="00562DF6">
            <w:pPr>
              <w:jc w:val="center"/>
              <w:rPr>
                <w:rFonts w:cs="Times New Roman"/>
                <w:b/>
                <w:bCs/>
                <w:color w:val="000000"/>
                <w:sz w:val="18"/>
                <w:szCs w:val="18"/>
              </w:rPr>
            </w:pPr>
            <w:r w:rsidRPr="00562DF6">
              <w:rPr>
                <w:rFonts w:cs="Times New Roman"/>
                <w:b/>
                <w:bCs/>
                <w:color w:val="000000"/>
                <w:sz w:val="18"/>
                <w:szCs w:val="16"/>
              </w:rPr>
              <w:t>2020</w:t>
            </w:r>
          </w:p>
        </w:tc>
        <w:tc>
          <w:tcPr>
            <w:tcW w:w="4730" w:type="dxa"/>
            <w:vMerge w:val="restart"/>
            <w:tcBorders>
              <w:top w:val="nil"/>
              <w:left w:val="nil"/>
              <w:bottom w:val="single" w:sz="4" w:space="0" w:color="auto"/>
              <w:right w:val="nil"/>
            </w:tcBorders>
            <w:shd w:val="clear" w:color="auto" w:fill="auto"/>
            <w:hideMark/>
          </w:tcPr>
          <w:p w14:paraId="3EA446A6" w14:textId="77777777" w:rsidR="00562DF6" w:rsidRPr="00562DF6" w:rsidRDefault="00562DF6" w:rsidP="00562DF6">
            <w:pPr>
              <w:jc w:val="center"/>
              <w:rPr>
                <w:rFonts w:cs="Times New Roman"/>
                <w:b/>
                <w:bCs/>
                <w:color w:val="000000"/>
                <w:sz w:val="18"/>
                <w:szCs w:val="18"/>
              </w:rPr>
            </w:pPr>
            <w:r w:rsidRPr="00562DF6">
              <w:rPr>
                <w:rFonts w:cs="Times New Roman"/>
                <w:noProof/>
                <w:lang w:eastAsia="sk-SK"/>
              </w:rPr>
              <w:drawing>
                <wp:inline distT="0" distB="0" distL="0" distR="0" wp14:anchorId="73DA12BD" wp14:editId="798DECC8">
                  <wp:extent cx="2905125" cy="2085975"/>
                  <wp:effectExtent l="0" t="0" r="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562DF6" w:rsidRPr="00562DF6" w14:paraId="5368700B" w14:textId="77777777" w:rsidTr="008430D3">
        <w:trPr>
          <w:trHeight w:val="284"/>
        </w:trPr>
        <w:tc>
          <w:tcPr>
            <w:tcW w:w="2509" w:type="dxa"/>
            <w:gridSpan w:val="2"/>
            <w:tcBorders>
              <w:top w:val="nil"/>
              <w:left w:val="nil"/>
              <w:bottom w:val="nil"/>
              <w:right w:val="nil"/>
            </w:tcBorders>
            <w:shd w:val="clear" w:color="auto" w:fill="auto"/>
            <w:vAlign w:val="center"/>
            <w:hideMark/>
          </w:tcPr>
          <w:p w14:paraId="43D210AE" w14:textId="77777777" w:rsidR="00562DF6" w:rsidRPr="00562DF6" w:rsidRDefault="00562DF6" w:rsidP="00562DF6">
            <w:pPr>
              <w:rPr>
                <w:rFonts w:cs="Times New Roman"/>
                <w:b/>
                <w:bCs/>
                <w:color w:val="000000"/>
                <w:sz w:val="18"/>
                <w:szCs w:val="18"/>
              </w:rPr>
            </w:pPr>
            <w:r w:rsidRPr="00562DF6">
              <w:rPr>
                <w:rFonts w:cs="Times New Roman"/>
                <w:b/>
                <w:bCs/>
                <w:color w:val="000000"/>
                <w:sz w:val="18"/>
                <w:szCs w:val="18"/>
              </w:rPr>
              <w:t xml:space="preserve">HDP </w:t>
            </w:r>
          </w:p>
        </w:tc>
        <w:tc>
          <w:tcPr>
            <w:tcW w:w="601" w:type="dxa"/>
            <w:tcBorders>
              <w:top w:val="nil"/>
              <w:left w:val="nil"/>
              <w:bottom w:val="nil"/>
              <w:right w:val="nil"/>
            </w:tcBorders>
            <w:shd w:val="clear" w:color="auto" w:fill="auto"/>
            <w:vAlign w:val="center"/>
            <w:hideMark/>
          </w:tcPr>
          <w:p w14:paraId="6CD6BDA6" w14:textId="77777777" w:rsidR="00562DF6" w:rsidRPr="00562DF6" w:rsidRDefault="00562DF6" w:rsidP="00562DF6">
            <w:pPr>
              <w:jc w:val="center"/>
              <w:rPr>
                <w:rFonts w:cs="Times New Roman"/>
                <w:b/>
                <w:sz w:val="18"/>
              </w:rPr>
            </w:pPr>
            <w:r w:rsidRPr="00562DF6">
              <w:rPr>
                <w:rFonts w:cs="Times New Roman"/>
                <w:b/>
                <w:sz w:val="18"/>
              </w:rPr>
              <w:t>3,8</w:t>
            </w:r>
          </w:p>
        </w:tc>
        <w:tc>
          <w:tcPr>
            <w:tcW w:w="601" w:type="dxa"/>
            <w:tcBorders>
              <w:top w:val="nil"/>
              <w:left w:val="nil"/>
              <w:bottom w:val="nil"/>
              <w:right w:val="nil"/>
            </w:tcBorders>
            <w:shd w:val="clear" w:color="auto" w:fill="auto"/>
            <w:vAlign w:val="center"/>
            <w:hideMark/>
          </w:tcPr>
          <w:p w14:paraId="05366C5D" w14:textId="77777777" w:rsidR="00562DF6" w:rsidRPr="00562DF6" w:rsidRDefault="00562DF6" w:rsidP="00562DF6">
            <w:pPr>
              <w:jc w:val="center"/>
              <w:rPr>
                <w:rFonts w:cs="Times New Roman"/>
                <w:b/>
                <w:sz w:val="18"/>
              </w:rPr>
            </w:pPr>
            <w:r w:rsidRPr="00562DF6">
              <w:rPr>
                <w:rFonts w:cs="Times New Roman"/>
                <w:b/>
                <w:sz w:val="18"/>
              </w:rPr>
              <w:t>2,3</w:t>
            </w:r>
          </w:p>
        </w:tc>
        <w:tc>
          <w:tcPr>
            <w:tcW w:w="576" w:type="dxa"/>
            <w:tcBorders>
              <w:top w:val="nil"/>
              <w:left w:val="nil"/>
              <w:bottom w:val="nil"/>
              <w:right w:val="nil"/>
            </w:tcBorders>
            <w:shd w:val="clear" w:color="auto" w:fill="BFBFBF" w:themeFill="background1" w:themeFillShade="BF"/>
            <w:vAlign w:val="center"/>
            <w:hideMark/>
          </w:tcPr>
          <w:p w14:paraId="13E7E45C" w14:textId="77777777" w:rsidR="00562DF6" w:rsidRPr="00562DF6" w:rsidRDefault="00562DF6" w:rsidP="00562DF6">
            <w:pPr>
              <w:jc w:val="center"/>
              <w:rPr>
                <w:rFonts w:cs="Times New Roman"/>
                <w:b/>
                <w:sz w:val="18"/>
              </w:rPr>
            </w:pPr>
            <w:r w:rsidRPr="00562DF6">
              <w:rPr>
                <w:rFonts w:cs="Times New Roman"/>
                <w:b/>
                <w:sz w:val="18"/>
              </w:rPr>
              <w:t>-5,2</w:t>
            </w:r>
          </w:p>
        </w:tc>
        <w:tc>
          <w:tcPr>
            <w:tcW w:w="4730" w:type="dxa"/>
            <w:vMerge/>
            <w:tcBorders>
              <w:top w:val="nil"/>
              <w:left w:val="nil"/>
              <w:bottom w:val="single" w:sz="4" w:space="0" w:color="auto"/>
              <w:right w:val="nil"/>
            </w:tcBorders>
            <w:hideMark/>
          </w:tcPr>
          <w:p w14:paraId="42305638" w14:textId="77777777" w:rsidR="00562DF6" w:rsidRPr="00562DF6" w:rsidRDefault="00562DF6" w:rsidP="00562DF6">
            <w:pPr>
              <w:rPr>
                <w:rFonts w:cs="Times New Roman"/>
                <w:b/>
                <w:bCs/>
                <w:color w:val="000000"/>
                <w:sz w:val="18"/>
                <w:szCs w:val="18"/>
              </w:rPr>
            </w:pPr>
          </w:p>
        </w:tc>
      </w:tr>
      <w:tr w:rsidR="00562DF6" w:rsidRPr="00562DF6" w14:paraId="4B36BFD0" w14:textId="77777777" w:rsidTr="008430D3">
        <w:trPr>
          <w:trHeight w:val="284"/>
        </w:trPr>
        <w:tc>
          <w:tcPr>
            <w:tcW w:w="1474" w:type="dxa"/>
            <w:tcBorders>
              <w:top w:val="nil"/>
              <w:left w:val="nil"/>
              <w:bottom w:val="nil"/>
              <w:right w:val="nil"/>
            </w:tcBorders>
            <w:shd w:val="clear" w:color="auto" w:fill="auto"/>
            <w:vAlign w:val="center"/>
            <w:hideMark/>
          </w:tcPr>
          <w:p w14:paraId="689F3DB2" w14:textId="77777777" w:rsidR="00562DF6" w:rsidRPr="00562DF6" w:rsidRDefault="00562DF6" w:rsidP="00562DF6">
            <w:pPr>
              <w:rPr>
                <w:rFonts w:cs="Times New Roman"/>
                <w:color w:val="000000"/>
                <w:sz w:val="18"/>
                <w:szCs w:val="18"/>
              </w:rPr>
            </w:pPr>
            <w:r w:rsidRPr="00562DF6">
              <w:rPr>
                <w:rFonts w:cs="Times New Roman"/>
                <w:color w:val="000000"/>
                <w:sz w:val="18"/>
                <w:szCs w:val="18"/>
              </w:rPr>
              <w:t>z toho:</w:t>
            </w:r>
          </w:p>
        </w:tc>
        <w:tc>
          <w:tcPr>
            <w:tcW w:w="1636" w:type="dxa"/>
            <w:gridSpan w:val="2"/>
            <w:tcBorders>
              <w:top w:val="nil"/>
              <w:left w:val="nil"/>
              <w:bottom w:val="nil"/>
              <w:right w:val="nil"/>
            </w:tcBorders>
            <w:shd w:val="clear" w:color="auto" w:fill="auto"/>
            <w:vAlign w:val="center"/>
            <w:hideMark/>
          </w:tcPr>
          <w:p w14:paraId="400EBE7D" w14:textId="77777777" w:rsidR="00562DF6" w:rsidRPr="00562DF6" w:rsidRDefault="00562DF6" w:rsidP="00562DF6">
            <w:pPr>
              <w:jc w:val="center"/>
              <w:rPr>
                <w:rFonts w:cs="Times New Roman"/>
                <w:sz w:val="18"/>
              </w:rPr>
            </w:pPr>
          </w:p>
        </w:tc>
        <w:tc>
          <w:tcPr>
            <w:tcW w:w="601" w:type="dxa"/>
            <w:tcBorders>
              <w:top w:val="nil"/>
              <w:left w:val="nil"/>
              <w:bottom w:val="nil"/>
              <w:right w:val="nil"/>
            </w:tcBorders>
            <w:shd w:val="clear" w:color="auto" w:fill="auto"/>
            <w:vAlign w:val="center"/>
            <w:hideMark/>
          </w:tcPr>
          <w:p w14:paraId="10AE9FAC" w14:textId="77777777" w:rsidR="00562DF6" w:rsidRPr="00562DF6" w:rsidRDefault="00562DF6" w:rsidP="00562DF6">
            <w:pPr>
              <w:jc w:val="center"/>
              <w:rPr>
                <w:rFonts w:cs="Times New Roman"/>
                <w:sz w:val="18"/>
              </w:rPr>
            </w:pPr>
          </w:p>
        </w:tc>
        <w:tc>
          <w:tcPr>
            <w:tcW w:w="576" w:type="dxa"/>
            <w:tcBorders>
              <w:top w:val="nil"/>
              <w:left w:val="nil"/>
              <w:bottom w:val="nil"/>
              <w:right w:val="nil"/>
            </w:tcBorders>
            <w:shd w:val="clear" w:color="auto" w:fill="BFBFBF" w:themeFill="background1" w:themeFillShade="BF"/>
            <w:vAlign w:val="center"/>
            <w:hideMark/>
          </w:tcPr>
          <w:p w14:paraId="1630504B" w14:textId="77777777" w:rsidR="00562DF6" w:rsidRPr="00562DF6" w:rsidRDefault="00562DF6" w:rsidP="00562DF6">
            <w:pPr>
              <w:jc w:val="center"/>
              <w:rPr>
                <w:rFonts w:cs="Times New Roman"/>
                <w:sz w:val="18"/>
              </w:rPr>
            </w:pPr>
          </w:p>
        </w:tc>
        <w:tc>
          <w:tcPr>
            <w:tcW w:w="4730" w:type="dxa"/>
            <w:vMerge/>
            <w:tcBorders>
              <w:top w:val="nil"/>
              <w:left w:val="nil"/>
              <w:bottom w:val="single" w:sz="4" w:space="0" w:color="auto"/>
              <w:right w:val="nil"/>
            </w:tcBorders>
            <w:vAlign w:val="center"/>
            <w:hideMark/>
          </w:tcPr>
          <w:p w14:paraId="568519AC" w14:textId="77777777" w:rsidR="00562DF6" w:rsidRPr="00562DF6" w:rsidRDefault="00562DF6" w:rsidP="00562DF6">
            <w:pPr>
              <w:rPr>
                <w:rFonts w:cs="Times New Roman"/>
                <w:b/>
                <w:bCs/>
                <w:color w:val="000000"/>
                <w:sz w:val="18"/>
                <w:szCs w:val="18"/>
              </w:rPr>
            </w:pPr>
          </w:p>
        </w:tc>
      </w:tr>
      <w:tr w:rsidR="00562DF6" w:rsidRPr="00562DF6" w14:paraId="1EF642FA" w14:textId="77777777" w:rsidTr="008430D3">
        <w:trPr>
          <w:trHeight w:val="284"/>
        </w:trPr>
        <w:tc>
          <w:tcPr>
            <w:tcW w:w="2509" w:type="dxa"/>
            <w:gridSpan w:val="2"/>
            <w:tcBorders>
              <w:top w:val="nil"/>
              <w:left w:val="nil"/>
              <w:bottom w:val="nil"/>
              <w:right w:val="nil"/>
            </w:tcBorders>
            <w:shd w:val="clear" w:color="auto" w:fill="auto"/>
            <w:vAlign w:val="center"/>
            <w:hideMark/>
          </w:tcPr>
          <w:p w14:paraId="0E6970B9" w14:textId="54C1BAED" w:rsidR="00562DF6" w:rsidRPr="00562DF6" w:rsidRDefault="00562DF6" w:rsidP="00562DF6">
            <w:pPr>
              <w:rPr>
                <w:rFonts w:cs="Times New Roman"/>
                <w:color w:val="000000"/>
                <w:sz w:val="18"/>
                <w:szCs w:val="18"/>
              </w:rPr>
            </w:pPr>
            <w:r w:rsidRPr="00562DF6">
              <w:rPr>
                <w:rFonts w:cs="Times New Roman"/>
                <w:bCs/>
                <w:color w:val="000000"/>
                <w:sz w:val="18"/>
                <w:szCs w:val="18"/>
              </w:rPr>
              <w:t>Konečná spotreba domácností</w:t>
            </w:r>
          </w:p>
        </w:tc>
        <w:tc>
          <w:tcPr>
            <w:tcW w:w="601" w:type="dxa"/>
            <w:tcBorders>
              <w:top w:val="nil"/>
              <w:left w:val="nil"/>
              <w:bottom w:val="nil"/>
              <w:right w:val="nil"/>
            </w:tcBorders>
            <w:shd w:val="clear" w:color="auto" w:fill="auto"/>
            <w:vAlign w:val="center"/>
            <w:hideMark/>
          </w:tcPr>
          <w:p w14:paraId="7E161ABB" w14:textId="77777777" w:rsidR="00562DF6" w:rsidRPr="00562DF6" w:rsidRDefault="00562DF6" w:rsidP="00562DF6">
            <w:pPr>
              <w:jc w:val="center"/>
              <w:rPr>
                <w:rFonts w:cs="Times New Roman"/>
                <w:sz w:val="18"/>
              </w:rPr>
            </w:pPr>
            <w:r w:rsidRPr="00562DF6">
              <w:rPr>
                <w:rFonts w:cs="Times New Roman"/>
                <w:sz w:val="18"/>
              </w:rPr>
              <w:t>4,1</w:t>
            </w:r>
          </w:p>
        </w:tc>
        <w:tc>
          <w:tcPr>
            <w:tcW w:w="601" w:type="dxa"/>
            <w:tcBorders>
              <w:top w:val="nil"/>
              <w:left w:val="nil"/>
              <w:bottom w:val="nil"/>
              <w:right w:val="nil"/>
            </w:tcBorders>
            <w:shd w:val="clear" w:color="auto" w:fill="auto"/>
            <w:vAlign w:val="center"/>
            <w:hideMark/>
          </w:tcPr>
          <w:p w14:paraId="310C7A9C" w14:textId="77777777" w:rsidR="00562DF6" w:rsidRPr="00562DF6" w:rsidRDefault="00562DF6" w:rsidP="00562DF6">
            <w:pPr>
              <w:jc w:val="center"/>
              <w:rPr>
                <w:rFonts w:cs="Times New Roman"/>
                <w:sz w:val="18"/>
              </w:rPr>
            </w:pPr>
            <w:r w:rsidRPr="00562DF6">
              <w:rPr>
                <w:rFonts w:cs="Times New Roman"/>
                <w:sz w:val="18"/>
              </w:rPr>
              <w:t>2,3</w:t>
            </w:r>
          </w:p>
        </w:tc>
        <w:tc>
          <w:tcPr>
            <w:tcW w:w="576" w:type="dxa"/>
            <w:tcBorders>
              <w:top w:val="nil"/>
              <w:left w:val="nil"/>
              <w:bottom w:val="nil"/>
              <w:right w:val="nil"/>
            </w:tcBorders>
            <w:shd w:val="clear" w:color="auto" w:fill="BFBFBF" w:themeFill="background1" w:themeFillShade="BF"/>
            <w:vAlign w:val="center"/>
            <w:hideMark/>
          </w:tcPr>
          <w:p w14:paraId="46C8841E" w14:textId="77777777" w:rsidR="00562DF6" w:rsidRPr="00562DF6" w:rsidRDefault="00562DF6" w:rsidP="00562DF6">
            <w:pPr>
              <w:jc w:val="center"/>
              <w:rPr>
                <w:rFonts w:cs="Times New Roman"/>
                <w:sz w:val="18"/>
              </w:rPr>
            </w:pPr>
            <w:r w:rsidRPr="00562DF6">
              <w:rPr>
                <w:rFonts w:cs="Times New Roman"/>
                <w:sz w:val="18"/>
              </w:rPr>
              <w:t>-1,1</w:t>
            </w:r>
          </w:p>
        </w:tc>
        <w:tc>
          <w:tcPr>
            <w:tcW w:w="4730" w:type="dxa"/>
            <w:vMerge/>
            <w:tcBorders>
              <w:top w:val="nil"/>
              <w:left w:val="nil"/>
              <w:bottom w:val="single" w:sz="4" w:space="0" w:color="auto"/>
              <w:right w:val="nil"/>
            </w:tcBorders>
            <w:vAlign w:val="center"/>
            <w:hideMark/>
          </w:tcPr>
          <w:p w14:paraId="15815DC0" w14:textId="77777777" w:rsidR="00562DF6" w:rsidRPr="00562DF6" w:rsidRDefault="00562DF6" w:rsidP="00562DF6">
            <w:pPr>
              <w:rPr>
                <w:rFonts w:cs="Times New Roman"/>
                <w:b/>
                <w:bCs/>
                <w:color w:val="000000"/>
                <w:sz w:val="18"/>
                <w:szCs w:val="18"/>
              </w:rPr>
            </w:pPr>
          </w:p>
        </w:tc>
      </w:tr>
      <w:tr w:rsidR="00562DF6" w:rsidRPr="00562DF6" w14:paraId="36A02175" w14:textId="77777777" w:rsidTr="008430D3">
        <w:trPr>
          <w:trHeight w:val="284"/>
        </w:trPr>
        <w:tc>
          <w:tcPr>
            <w:tcW w:w="2509" w:type="dxa"/>
            <w:gridSpan w:val="2"/>
            <w:tcBorders>
              <w:top w:val="nil"/>
              <w:left w:val="nil"/>
              <w:bottom w:val="nil"/>
              <w:right w:val="nil"/>
            </w:tcBorders>
            <w:shd w:val="clear" w:color="auto" w:fill="auto"/>
            <w:vAlign w:val="center"/>
            <w:hideMark/>
          </w:tcPr>
          <w:p w14:paraId="68743B72" w14:textId="272D031F" w:rsidR="00562DF6" w:rsidRPr="00562DF6" w:rsidRDefault="00562DF6" w:rsidP="00562DF6">
            <w:pPr>
              <w:rPr>
                <w:rFonts w:cs="Times New Roman"/>
                <w:color w:val="000000"/>
                <w:sz w:val="18"/>
                <w:szCs w:val="18"/>
              </w:rPr>
            </w:pPr>
            <w:r w:rsidRPr="00562DF6">
              <w:rPr>
                <w:rFonts w:cs="Times New Roman"/>
                <w:bCs/>
                <w:color w:val="000000"/>
                <w:sz w:val="18"/>
                <w:szCs w:val="18"/>
              </w:rPr>
              <w:t>Konečná spotreba ver. správy</w:t>
            </w:r>
          </w:p>
        </w:tc>
        <w:tc>
          <w:tcPr>
            <w:tcW w:w="601" w:type="dxa"/>
            <w:tcBorders>
              <w:top w:val="nil"/>
              <w:left w:val="nil"/>
              <w:bottom w:val="nil"/>
              <w:right w:val="nil"/>
            </w:tcBorders>
            <w:shd w:val="clear" w:color="auto" w:fill="auto"/>
            <w:vAlign w:val="center"/>
            <w:hideMark/>
          </w:tcPr>
          <w:p w14:paraId="4E198152" w14:textId="77777777" w:rsidR="00562DF6" w:rsidRPr="00562DF6" w:rsidRDefault="00562DF6" w:rsidP="00562DF6">
            <w:pPr>
              <w:jc w:val="center"/>
              <w:rPr>
                <w:rFonts w:cs="Times New Roman"/>
                <w:sz w:val="18"/>
              </w:rPr>
            </w:pPr>
            <w:r w:rsidRPr="00562DF6">
              <w:rPr>
                <w:rFonts w:cs="Times New Roman"/>
                <w:sz w:val="18"/>
              </w:rPr>
              <w:t>0,2</w:t>
            </w:r>
          </w:p>
        </w:tc>
        <w:tc>
          <w:tcPr>
            <w:tcW w:w="601" w:type="dxa"/>
            <w:tcBorders>
              <w:top w:val="nil"/>
              <w:left w:val="nil"/>
              <w:bottom w:val="nil"/>
              <w:right w:val="nil"/>
            </w:tcBorders>
            <w:shd w:val="clear" w:color="auto" w:fill="auto"/>
            <w:vAlign w:val="center"/>
            <w:hideMark/>
          </w:tcPr>
          <w:p w14:paraId="4382F8C3" w14:textId="77777777" w:rsidR="00562DF6" w:rsidRPr="00562DF6" w:rsidRDefault="00562DF6" w:rsidP="00562DF6">
            <w:pPr>
              <w:jc w:val="center"/>
              <w:rPr>
                <w:rFonts w:cs="Times New Roman"/>
                <w:sz w:val="18"/>
              </w:rPr>
            </w:pPr>
            <w:r w:rsidRPr="00562DF6">
              <w:rPr>
                <w:rFonts w:cs="Times New Roman"/>
                <w:sz w:val="18"/>
              </w:rPr>
              <w:t>4,7</w:t>
            </w:r>
          </w:p>
        </w:tc>
        <w:tc>
          <w:tcPr>
            <w:tcW w:w="576" w:type="dxa"/>
            <w:tcBorders>
              <w:top w:val="nil"/>
              <w:left w:val="nil"/>
              <w:bottom w:val="nil"/>
              <w:right w:val="nil"/>
            </w:tcBorders>
            <w:shd w:val="clear" w:color="auto" w:fill="BFBFBF" w:themeFill="background1" w:themeFillShade="BF"/>
            <w:vAlign w:val="center"/>
            <w:hideMark/>
          </w:tcPr>
          <w:p w14:paraId="128E1FBE" w14:textId="77777777" w:rsidR="00562DF6" w:rsidRPr="00562DF6" w:rsidRDefault="00562DF6" w:rsidP="00562DF6">
            <w:pPr>
              <w:jc w:val="center"/>
              <w:rPr>
                <w:rFonts w:cs="Times New Roman"/>
                <w:sz w:val="18"/>
              </w:rPr>
            </w:pPr>
            <w:r w:rsidRPr="00562DF6">
              <w:rPr>
                <w:rFonts w:cs="Times New Roman"/>
                <w:sz w:val="18"/>
              </w:rPr>
              <w:t>-2,3</w:t>
            </w:r>
          </w:p>
        </w:tc>
        <w:tc>
          <w:tcPr>
            <w:tcW w:w="4730" w:type="dxa"/>
            <w:vMerge/>
            <w:tcBorders>
              <w:top w:val="nil"/>
              <w:left w:val="nil"/>
              <w:bottom w:val="single" w:sz="4" w:space="0" w:color="auto"/>
              <w:right w:val="nil"/>
            </w:tcBorders>
            <w:vAlign w:val="center"/>
            <w:hideMark/>
          </w:tcPr>
          <w:p w14:paraId="716479C3" w14:textId="77777777" w:rsidR="00562DF6" w:rsidRPr="00562DF6" w:rsidRDefault="00562DF6" w:rsidP="00562DF6">
            <w:pPr>
              <w:rPr>
                <w:rFonts w:cs="Times New Roman"/>
                <w:b/>
                <w:bCs/>
                <w:color w:val="000000"/>
                <w:sz w:val="18"/>
                <w:szCs w:val="18"/>
              </w:rPr>
            </w:pPr>
          </w:p>
        </w:tc>
      </w:tr>
      <w:tr w:rsidR="00562DF6" w:rsidRPr="00562DF6" w14:paraId="595FA047" w14:textId="77777777" w:rsidTr="008430D3">
        <w:trPr>
          <w:trHeight w:val="284"/>
        </w:trPr>
        <w:tc>
          <w:tcPr>
            <w:tcW w:w="2509" w:type="dxa"/>
            <w:gridSpan w:val="2"/>
            <w:tcBorders>
              <w:top w:val="nil"/>
              <w:left w:val="nil"/>
              <w:bottom w:val="nil"/>
              <w:right w:val="nil"/>
            </w:tcBorders>
            <w:shd w:val="clear" w:color="auto" w:fill="auto"/>
            <w:vAlign w:val="center"/>
            <w:hideMark/>
          </w:tcPr>
          <w:p w14:paraId="38304378" w14:textId="04DD7AC1" w:rsidR="00562DF6" w:rsidRPr="00562DF6" w:rsidRDefault="00562DF6" w:rsidP="00562DF6">
            <w:pPr>
              <w:rPr>
                <w:rFonts w:cs="Times New Roman"/>
                <w:color w:val="000000"/>
                <w:sz w:val="18"/>
                <w:szCs w:val="18"/>
              </w:rPr>
            </w:pPr>
            <w:r w:rsidRPr="00562DF6">
              <w:rPr>
                <w:rFonts w:cs="Times New Roman"/>
                <w:color w:val="000000"/>
                <w:sz w:val="18"/>
                <w:szCs w:val="18"/>
              </w:rPr>
              <w:t>Tvorba hrubého fixného kapitálu</w:t>
            </w:r>
          </w:p>
        </w:tc>
        <w:tc>
          <w:tcPr>
            <w:tcW w:w="601" w:type="dxa"/>
            <w:tcBorders>
              <w:top w:val="nil"/>
              <w:left w:val="nil"/>
              <w:bottom w:val="nil"/>
              <w:right w:val="nil"/>
            </w:tcBorders>
            <w:shd w:val="clear" w:color="auto" w:fill="auto"/>
            <w:vAlign w:val="center"/>
            <w:hideMark/>
          </w:tcPr>
          <w:p w14:paraId="2E9934C0" w14:textId="77777777" w:rsidR="00562DF6" w:rsidRPr="00562DF6" w:rsidRDefault="00562DF6" w:rsidP="00562DF6">
            <w:pPr>
              <w:jc w:val="center"/>
              <w:rPr>
                <w:rFonts w:cs="Times New Roman"/>
                <w:sz w:val="18"/>
              </w:rPr>
            </w:pPr>
            <w:r w:rsidRPr="00562DF6">
              <w:rPr>
                <w:rFonts w:cs="Times New Roman"/>
                <w:sz w:val="18"/>
              </w:rPr>
              <w:t>2,6</w:t>
            </w:r>
          </w:p>
        </w:tc>
        <w:tc>
          <w:tcPr>
            <w:tcW w:w="601" w:type="dxa"/>
            <w:tcBorders>
              <w:top w:val="nil"/>
              <w:left w:val="nil"/>
              <w:bottom w:val="nil"/>
              <w:right w:val="nil"/>
            </w:tcBorders>
            <w:shd w:val="clear" w:color="auto" w:fill="auto"/>
            <w:vAlign w:val="center"/>
            <w:hideMark/>
          </w:tcPr>
          <w:p w14:paraId="468981A4" w14:textId="77777777" w:rsidR="00562DF6" w:rsidRPr="00562DF6" w:rsidRDefault="00562DF6" w:rsidP="00562DF6">
            <w:pPr>
              <w:jc w:val="center"/>
              <w:rPr>
                <w:rFonts w:cs="Times New Roman"/>
                <w:sz w:val="18"/>
              </w:rPr>
            </w:pPr>
            <w:r w:rsidRPr="00562DF6">
              <w:rPr>
                <w:rFonts w:cs="Times New Roman"/>
                <w:sz w:val="18"/>
              </w:rPr>
              <w:t>5,8</w:t>
            </w:r>
          </w:p>
        </w:tc>
        <w:tc>
          <w:tcPr>
            <w:tcW w:w="576" w:type="dxa"/>
            <w:tcBorders>
              <w:top w:val="nil"/>
              <w:left w:val="nil"/>
              <w:bottom w:val="nil"/>
              <w:right w:val="nil"/>
            </w:tcBorders>
            <w:shd w:val="clear" w:color="auto" w:fill="BFBFBF" w:themeFill="background1" w:themeFillShade="BF"/>
            <w:vAlign w:val="center"/>
            <w:hideMark/>
          </w:tcPr>
          <w:p w14:paraId="243F4CE4" w14:textId="77777777" w:rsidR="00562DF6" w:rsidRPr="00562DF6" w:rsidRDefault="00562DF6" w:rsidP="00562DF6">
            <w:pPr>
              <w:jc w:val="center"/>
              <w:rPr>
                <w:rFonts w:cs="Times New Roman"/>
                <w:sz w:val="18"/>
              </w:rPr>
            </w:pPr>
            <w:r w:rsidRPr="00562DF6">
              <w:rPr>
                <w:rFonts w:cs="Times New Roman"/>
                <w:sz w:val="18"/>
              </w:rPr>
              <w:t>-11,9</w:t>
            </w:r>
          </w:p>
        </w:tc>
        <w:tc>
          <w:tcPr>
            <w:tcW w:w="4730" w:type="dxa"/>
            <w:vMerge/>
            <w:tcBorders>
              <w:top w:val="nil"/>
              <w:left w:val="nil"/>
              <w:bottom w:val="single" w:sz="4" w:space="0" w:color="auto"/>
              <w:right w:val="nil"/>
            </w:tcBorders>
            <w:vAlign w:val="center"/>
            <w:hideMark/>
          </w:tcPr>
          <w:p w14:paraId="2B759847" w14:textId="77777777" w:rsidR="00562DF6" w:rsidRPr="00562DF6" w:rsidRDefault="00562DF6" w:rsidP="00562DF6">
            <w:pPr>
              <w:rPr>
                <w:rFonts w:cs="Times New Roman"/>
                <w:b/>
                <w:bCs/>
                <w:color w:val="000000"/>
                <w:sz w:val="18"/>
                <w:szCs w:val="18"/>
              </w:rPr>
            </w:pPr>
          </w:p>
        </w:tc>
      </w:tr>
      <w:tr w:rsidR="00562DF6" w:rsidRPr="00562DF6" w14:paraId="18D538DD" w14:textId="77777777" w:rsidTr="008430D3">
        <w:trPr>
          <w:trHeight w:val="284"/>
        </w:trPr>
        <w:tc>
          <w:tcPr>
            <w:tcW w:w="2509" w:type="dxa"/>
            <w:gridSpan w:val="2"/>
            <w:tcBorders>
              <w:top w:val="nil"/>
              <w:left w:val="nil"/>
              <w:bottom w:val="nil"/>
              <w:right w:val="nil"/>
            </w:tcBorders>
            <w:shd w:val="clear" w:color="auto" w:fill="auto"/>
            <w:vAlign w:val="center"/>
            <w:hideMark/>
          </w:tcPr>
          <w:p w14:paraId="44949E62" w14:textId="3FBB0452" w:rsidR="00562DF6" w:rsidRPr="00562DF6" w:rsidRDefault="00562DF6" w:rsidP="00562DF6">
            <w:pPr>
              <w:rPr>
                <w:rFonts w:cs="Times New Roman"/>
                <w:color w:val="000000"/>
                <w:sz w:val="18"/>
                <w:szCs w:val="18"/>
              </w:rPr>
            </w:pPr>
            <w:r w:rsidRPr="00562DF6">
              <w:rPr>
                <w:rFonts w:cs="Times New Roman"/>
                <w:bCs/>
                <w:color w:val="000000"/>
                <w:sz w:val="18"/>
                <w:szCs w:val="18"/>
              </w:rPr>
              <w:t>Vývoz výrobkov a služieb</w:t>
            </w:r>
          </w:p>
        </w:tc>
        <w:tc>
          <w:tcPr>
            <w:tcW w:w="601" w:type="dxa"/>
            <w:tcBorders>
              <w:top w:val="nil"/>
              <w:left w:val="nil"/>
              <w:bottom w:val="nil"/>
              <w:right w:val="nil"/>
            </w:tcBorders>
            <w:shd w:val="clear" w:color="auto" w:fill="auto"/>
            <w:vAlign w:val="center"/>
            <w:hideMark/>
          </w:tcPr>
          <w:p w14:paraId="148CE03C" w14:textId="77777777" w:rsidR="00562DF6" w:rsidRPr="00562DF6" w:rsidRDefault="00562DF6" w:rsidP="00562DF6">
            <w:pPr>
              <w:jc w:val="center"/>
              <w:rPr>
                <w:rFonts w:cs="Times New Roman"/>
                <w:sz w:val="18"/>
              </w:rPr>
            </w:pPr>
            <w:r w:rsidRPr="00562DF6">
              <w:rPr>
                <w:rFonts w:cs="Times New Roman"/>
                <w:sz w:val="18"/>
              </w:rPr>
              <w:t>5,2</w:t>
            </w:r>
          </w:p>
        </w:tc>
        <w:tc>
          <w:tcPr>
            <w:tcW w:w="601" w:type="dxa"/>
            <w:tcBorders>
              <w:top w:val="nil"/>
              <w:left w:val="nil"/>
              <w:bottom w:val="nil"/>
              <w:right w:val="nil"/>
            </w:tcBorders>
            <w:shd w:val="clear" w:color="auto" w:fill="auto"/>
            <w:vAlign w:val="center"/>
            <w:hideMark/>
          </w:tcPr>
          <w:p w14:paraId="7B830DF9" w14:textId="77777777" w:rsidR="00562DF6" w:rsidRPr="00562DF6" w:rsidRDefault="00562DF6" w:rsidP="00562DF6">
            <w:pPr>
              <w:jc w:val="center"/>
              <w:rPr>
                <w:rFonts w:cs="Times New Roman"/>
                <w:sz w:val="18"/>
              </w:rPr>
            </w:pPr>
            <w:r w:rsidRPr="00562DF6">
              <w:rPr>
                <w:rFonts w:cs="Times New Roman"/>
                <w:sz w:val="18"/>
              </w:rPr>
              <w:t>0,8</w:t>
            </w:r>
          </w:p>
        </w:tc>
        <w:tc>
          <w:tcPr>
            <w:tcW w:w="576" w:type="dxa"/>
            <w:tcBorders>
              <w:top w:val="nil"/>
              <w:left w:val="nil"/>
              <w:bottom w:val="nil"/>
              <w:right w:val="nil"/>
            </w:tcBorders>
            <w:shd w:val="clear" w:color="auto" w:fill="BFBFBF" w:themeFill="background1" w:themeFillShade="BF"/>
            <w:vAlign w:val="center"/>
            <w:hideMark/>
          </w:tcPr>
          <w:p w14:paraId="6DBC01CA" w14:textId="77777777" w:rsidR="00562DF6" w:rsidRPr="00562DF6" w:rsidRDefault="00562DF6" w:rsidP="00562DF6">
            <w:pPr>
              <w:jc w:val="center"/>
              <w:rPr>
                <w:rFonts w:cs="Times New Roman"/>
                <w:sz w:val="18"/>
              </w:rPr>
            </w:pPr>
            <w:r w:rsidRPr="00562DF6">
              <w:rPr>
                <w:rFonts w:cs="Times New Roman"/>
                <w:sz w:val="18"/>
              </w:rPr>
              <w:t>-7,2</w:t>
            </w:r>
          </w:p>
        </w:tc>
        <w:tc>
          <w:tcPr>
            <w:tcW w:w="4730" w:type="dxa"/>
            <w:vMerge/>
            <w:tcBorders>
              <w:top w:val="nil"/>
              <w:left w:val="nil"/>
              <w:bottom w:val="single" w:sz="4" w:space="0" w:color="auto"/>
              <w:right w:val="nil"/>
            </w:tcBorders>
            <w:vAlign w:val="center"/>
            <w:hideMark/>
          </w:tcPr>
          <w:p w14:paraId="609D97CB" w14:textId="77777777" w:rsidR="00562DF6" w:rsidRPr="00562DF6" w:rsidRDefault="00562DF6" w:rsidP="00562DF6">
            <w:pPr>
              <w:rPr>
                <w:rFonts w:cs="Times New Roman"/>
                <w:b/>
                <w:bCs/>
                <w:color w:val="000000"/>
                <w:sz w:val="18"/>
                <w:szCs w:val="18"/>
              </w:rPr>
            </w:pPr>
          </w:p>
        </w:tc>
      </w:tr>
      <w:tr w:rsidR="00562DF6" w:rsidRPr="00562DF6" w14:paraId="7F4E4916" w14:textId="77777777" w:rsidTr="008430D3">
        <w:trPr>
          <w:trHeight w:val="429"/>
        </w:trPr>
        <w:tc>
          <w:tcPr>
            <w:tcW w:w="2509" w:type="dxa"/>
            <w:gridSpan w:val="2"/>
            <w:tcBorders>
              <w:top w:val="nil"/>
              <w:left w:val="nil"/>
              <w:bottom w:val="single" w:sz="4" w:space="0" w:color="auto"/>
              <w:right w:val="nil"/>
            </w:tcBorders>
            <w:shd w:val="clear" w:color="auto" w:fill="auto"/>
            <w:vAlign w:val="center"/>
            <w:hideMark/>
          </w:tcPr>
          <w:p w14:paraId="46F34243" w14:textId="04A19F33" w:rsidR="00562DF6" w:rsidRPr="00562DF6" w:rsidRDefault="00562DF6" w:rsidP="00562DF6">
            <w:pPr>
              <w:rPr>
                <w:rFonts w:cs="Times New Roman"/>
                <w:color w:val="000000"/>
                <w:sz w:val="18"/>
                <w:szCs w:val="18"/>
              </w:rPr>
            </w:pPr>
            <w:r w:rsidRPr="00562DF6">
              <w:rPr>
                <w:rFonts w:cs="Times New Roman"/>
                <w:bCs/>
                <w:color w:val="000000"/>
                <w:sz w:val="18"/>
                <w:szCs w:val="18"/>
              </w:rPr>
              <w:t>Dovoz výrobkov a služieb</w:t>
            </w:r>
          </w:p>
        </w:tc>
        <w:tc>
          <w:tcPr>
            <w:tcW w:w="601" w:type="dxa"/>
            <w:tcBorders>
              <w:top w:val="nil"/>
              <w:left w:val="nil"/>
              <w:bottom w:val="single" w:sz="4" w:space="0" w:color="auto"/>
              <w:right w:val="nil"/>
            </w:tcBorders>
            <w:shd w:val="clear" w:color="auto" w:fill="auto"/>
            <w:vAlign w:val="center"/>
            <w:hideMark/>
          </w:tcPr>
          <w:p w14:paraId="7D41E538" w14:textId="77777777" w:rsidR="00562DF6" w:rsidRPr="00562DF6" w:rsidRDefault="00562DF6" w:rsidP="00562DF6">
            <w:pPr>
              <w:jc w:val="center"/>
              <w:rPr>
                <w:rFonts w:cs="Times New Roman"/>
                <w:sz w:val="18"/>
              </w:rPr>
            </w:pPr>
            <w:r w:rsidRPr="00562DF6">
              <w:rPr>
                <w:rFonts w:cs="Times New Roman"/>
                <w:sz w:val="18"/>
              </w:rPr>
              <w:t>4,9</w:t>
            </w:r>
          </w:p>
        </w:tc>
        <w:tc>
          <w:tcPr>
            <w:tcW w:w="601" w:type="dxa"/>
            <w:tcBorders>
              <w:top w:val="nil"/>
              <w:left w:val="nil"/>
              <w:bottom w:val="single" w:sz="4" w:space="0" w:color="auto"/>
              <w:right w:val="nil"/>
            </w:tcBorders>
            <w:shd w:val="clear" w:color="auto" w:fill="auto"/>
            <w:vAlign w:val="center"/>
            <w:hideMark/>
          </w:tcPr>
          <w:p w14:paraId="64039039" w14:textId="77777777" w:rsidR="00562DF6" w:rsidRPr="00562DF6" w:rsidRDefault="00562DF6" w:rsidP="00562DF6">
            <w:pPr>
              <w:jc w:val="center"/>
              <w:rPr>
                <w:rFonts w:cs="Times New Roman"/>
                <w:sz w:val="18"/>
              </w:rPr>
            </w:pPr>
            <w:r w:rsidRPr="00562DF6">
              <w:rPr>
                <w:rFonts w:cs="Times New Roman"/>
                <w:sz w:val="18"/>
              </w:rPr>
              <w:t>2,1</w:t>
            </w:r>
          </w:p>
        </w:tc>
        <w:tc>
          <w:tcPr>
            <w:tcW w:w="576" w:type="dxa"/>
            <w:tcBorders>
              <w:top w:val="nil"/>
              <w:left w:val="nil"/>
              <w:bottom w:val="single" w:sz="4" w:space="0" w:color="auto"/>
              <w:right w:val="nil"/>
            </w:tcBorders>
            <w:shd w:val="clear" w:color="auto" w:fill="BFBFBF" w:themeFill="background1" w:themeFillShade="BF"/>
            <w:vAlign w:val="center"/>
            <w:hideMark/>
          </w:tcPr>
          <w:p w14:paraId="77C0D6B6" w14:textId="77777777" w:rsidR="00562DF6" w:rsidRPr="00562DF6" w:rsidRDefault="00562DF6" w:rsidP="00562DF6">
            <w:pPr>
              <w:jc w:val="center"/>
              <w:rPr>
                <w:rFonts w:cs="Times New Roman"/>
                <w:sz w:val="18"/>
              </w:rPr>
            </w:pPr>
            <w:r w:rsidRPr="00562DF6">
              <w:rPr>
                <w:rFonts w:cs="Times New Roman"/>
                <w:sz w:val="18"/>
              </w:rPr>
              <w:t>-8,5</w:t>
            </w:r>
          </w:p>
        </w:tc>
        <w:tc>
          <w:tcPr>
            <w:tcW w:w="4730" w:type="dxa"/>
            <w:vMerge/>
            <w:tcBorders>
              <w:top w:val="nil"/>
              <w:left w:val="nil"/>
              <w:bottom w:val="single" w:sz="4" w:space="0" w:color="auto"/>
              <w:right w:val="nil"/>
            </w:tcBorders>
            <w:vAlign w:val="center"/>
            <w:hideMark/>
          </w:tcPr>
          <w:p w14:paraId="3BF9F58F" w14:textId="77777777" w:rsidR="00562DF6" w:rsidRPr="00562DF6" w:rsidRDefault="00562DF6" w:rsidP="00562DF6">
            <w:pPr>
              <w:rPr>
                <w:rFonts w:cs="Times New Roman"/>
                <w:b/>
                <w:bCs/>
                <w:color w:val="000000"/>
                <w:sz w:val="18"/>
                <w:szCs w:val="18"/>
              </w:rPr>
            </w:pPr>
          </w:p>
        </w:tc>
      </w:tr>
      <w:tr w:rsidR="00562DF6" w:rsidRPr="00562DF6" w14:paraId="7F47782B" w14:textId="77777777" w:rsidTr="002E1517">
        <w:trPr>
          <w:trHeight w:val="342"/>
        </w:trPr>
        <w:tc>
          <w:tcPr>
            <w:tcW w:w="4287" w:type="dxa"/>
            <w:gridSpan w:val="5"/>
            <w:tcBorders>
              <w:top w:val="nil"/>
              <w:left w:val="nil"/>
              <w:bottom w:val="nil"/>
              <w:right w:val="nil"/>
            </w:tcBorders>
            <w:shd w:val="clear" w:color="auto" w:fill="auto"/>
            <w:vAlign w:val="center"/>
            <w:hideMark/>
          </w:tcPr>
          <w:p w14:paraId="7956BE89" w14:textId="77777777" w:rsidR="00562DF6" w:rsidRPr="00562DF6" w:rsidRDefault="00562DF6" w:rsidP="00562DF6">
            <w:pPr>
              <w:jc w:val="right"/>
              <w:rPr>
                <w:rFonts w:cs="Times New Roman"/>
                <w:iCs/>
                <w:color w:val="000000"/>
                <w:sz w:val="18"/>
                <w:szCs w:val="18"/>
              </w:rPr>
            </w:pPr>
            <w:r w:rsidRPr="00562DF6">
              <w:rPr>
                <w:rFonts w:cs="Times New Roman"/>
                <w:iCs/>
                <w:color w:val="000000"/>
                <w:sz w:val="18"/>
                <w:szCs w:val="18"/>
              </w:rPr>
              <w:t>Zdroj: ŠÚ SR</w:t>
            </w:r>
          </w:p>
        </w:tc>
        <w:tc>
          <w:tcPr>
            <w:tcW w:w="4730" w:type="dxa"/>
            <w:tcBorders>
              <w:top w:val="single" w:sz="4" w:space="0" w:color="auto"/>
              <w:left w:val="nil"/>
              <w:bottom w:val="nil"/>
              <w:right w:val="nil"/>
            </w:tcBorders>
            <w:shd w:val="clear" w:color="auto" w:fill="auto"/>
            <w:vAlign w:val="center"/>
            <w:hideMark/>
          </w:tcPr>
          <w:p w14:paraId="0FD87D31" w14:textId="7CD4F163" w:rsidR="00562DF6" w:rsidRPr="00562DF6" w:rsidRDefault="00562DF6" w:rsidP="00562DF6">
            <w:pPr>
              <w:jc w:val="right"/>
              <w:rPr>
                <w:rFonts w:cs="Times New Roman"/>
                <w:color w:val="000000"/>
                <w:sz w:val="18"/>
                <w:szCs w:val="18"/>
              </w:rPr>
            </w:pPr>
            <w:r w:rsidRPr="00562DF6">
              <w:rPr>
                <w:rFonts w:cs="Times New Roman"/>
                <w:iCs/>
                <w:color w:val="000000"/>
                <w:sz w:val="18"/>
                <w:szCs w:val="18"/>
              </w:rPr>
              <w:t>Zdroj: ŠÚ SR</w:t>
            </w:r>
          </w:p>
        </w:tc>
      </w:tr>
    </w:tbl>
    <w:p w14:paraId="29173F4E" w14:textId="77777777" w:rsidR="00CA5851" w:rsidRDefault="00CA5851">
      <w:pPr>
        <w:spacing w:after="160" w:line="259" w:lineRule="auto"/>
        <w:jc w:val="left"/>
        <w:rPr>
          <w:rFonts w:eastAsiaTheme="majorEastAsia" w:cstheme="majorBidi"/>
          <w:b/>
          <w:szCs w:val="24"/>
        </w:rPr>
      </w:pPr>
      <w:bookmarkStart w:id="10" w:name="_Toc6415630"/>
      <w:r>
        <w:br w:type="page"/>
      </w:r>
    </w:p>
    <w:p w14:paraId="159C45F7" w14:textId="20EC6CD1" w:rsidR="005F5B88" w:rsidRPr="000F375D" w:rsidRDefault="005F5B88" w:rsidP="00AF7C97">
      <w:pPr>
        <w:pStyle w:val="Nadpis3"/>
        <w:rPr>
          <w:sz w:val="24"/>
        </w:rPr>
      </w:pPr>
      <w:bookmarkStart w:id="11" w:name="_Toc70026079"/>
      <w:r w:rsidRPr="000F375D">
        <w:rPr>
          <w:sz w:val="24"/>
        </w:rPr>
        <w:t>Trh práce</w:t>
      </w:r>
      <w:bookmarkEnd w:id="10"/>
      <w:bookmarkEnd w:id="11"/>
    </w:p>
    <w:p w14:paraId="3CFC483F" w14:textId="4E9B2202" w:rsidR="00300B7E" w:rsidRDefault="00562DF6" w:rsidP="001665F3">
      <w:pPr>
        <w:spacing w:line="240" w:lineRule="auto"/>
        <w:rPr>
          <w:sz w:val="24"/>
          <w:szCs w:val="24"/>
        </w:rPr>
      </w:pPr>
      <w:r w:rsidRPr="008E6BBC">
        <w:rPr>
          <w:sz w:val="24"/>
          <w:szCs w:val="24"/>
        </w:rPr>
        <w:t xml:space="preserve">Ekonomická kríza vyvolaná pandémiou </w:t>
      </w:r>
      <w:proofErr w:type="spellStart"/>
      <w:r w:rsidRPr="008E6BBC">
        <w:rPr>
          <w:sz w:val="24"/>
          <w:szCs w:val="24"/>
        </w:rPr>
        <w:t>koronavírusu</w:t>
      </w:r>
      <w:proofErr w:type="spellEnd"/>
      <w:r w:rsidRPr="008E6BBC">
        <w:rPr>
          <w:sz w:val="24"/>
          <w:szCs w:val="24"/>
        </w:rPr>
        <w:t xml:space="preserve"> negatívne zasiahla trh práce. Kým v predkrízovom roku 2019 zamestnanosť rástla tempom 1,1 %, v roku 2020 sa znížila o 1,9</w:t>
      </w:r>
      <w:r w:rsidR="007B03D6">
        <w:rPr>
          <w:sz w:val="24"/>
          <w:szCs w:val="24"/>
        </w:rPr>
        <w:t> </w:t>
      </w:r>
      <w:r w:rsidRPr="008E6BBC">
        <w:rPr>
          <w:sz w:val="24"/>
          <w:szCs w:val="24"/>
        </w:rPr>
        <w:t>%, čo predstavuje pokles o 46 tis. pracovných miest. Najviac zamestnancov stratilo prácu v sektoroch, v ktorých nie je možné vykonávať prácu z domu (obchod, rekreácia a umenie, cestových ruch či stravovanie). Vyhliadky zamestnávateľov sa v roku 2020 prudko zhoršili a nástup druhej vlny pandémie na konci roka oddi</w:t>
      </w:r>
      <w:r w:rsidR="00300B7E">
        <w:rPr>
          <w:sz w:val="24"/>
          <w:szCs w:val="24"/>
        </w:rPr>
        <w:t>ali zotavenie na trhu práce.</w:t>
      </w:r>
    </w:p>
    <w:p w14:paraId="7811DB3E" w14:textId="356C5F78" w:rsidR="00562DF6" w:rsidRPr="008E6BBC" w:rsidRDefault="00562DF6" w:rsidP="001665F3">
      <w:pPr>
        <w:spacing w:line="240" w:lineRule="auto"/>
        <w:rPr>
          <w:sz w:val="24"/>
          <w:szCs w:val="24"/>
          <w:highlight w:val="yellow"/>
        </w:rPr>
      </w:pPr>
      <w:r w:rsidRPr="008E6BBC">
        <w:rPr>
          <w:sz w:val="24"/>
          <w:szCs w:val="24"/>
        </w:rPr>
        <w:t xml:space="preserve">Vládne opatrenia podporujúce skrátenú prácu (tzv. </w:t>
      </w:r>
      <w:proofErr w:type="spellStart"/>
      <w:r w:rsidRPr="008E6BBC">
        <w:rPr>
          <w:sz w:val="24"/>
          <w:szCs w:val="24"/>
        </w:rPr>
        <w:t>kurzarbeit</w:t>
      </w:r>
      <w:proofErr w:type="spellEnd"/>
      <w:r w:rsidRPr="008E6BBC">
        <w:rPr>
          <w:sz w:val="24"/>
          <w:szCs w:val="24"/>
        </w:rPr>
        <w:t xml:space="preserve">) však tlmili nárast nezamestnanosti, ktorá sa zvýšila menej ako sa pôvodne predpokladalo. </w:t>
      </w:r>
      <w:r w:rsidRPr="00300B7E">
        <w:rPr>
          <w:b/>
          <w:sz w:val="24"/>
          <w:szCs w:val="24"/>
        </w:rPr>
        <w:t>Miera nezamestnanosti v roku 2020 tak dosiahla 6,7 %.</w:t>
      </w:r>
      <w:r w:rsidRPr="008E6BBC">
        <w:rPr>
          <w:sz w:val="24"/>
          <w:szCs w:val="24"/>
        </w:rPr>
        <w:t xml:space="preserve"> </w:t>
      </w:r>
    </w:p>
    <w:p w14:paraId="637698C3" w14:textId="37D09035" w:rsidR="00790612" w:rsidRDefault="00562DF6" w:rsidP="00B60B60">
      <w:pPr>
        <w:spacing w:line="240" w:lineRule="auto"/>
      </w:pPr>
      <w:r w:rsidRPr="00B60B60">
        <w:rPr>
          <w:b/>
          <w:sz w:val="24"/>
          <w:szCs w:val="24"/>
        </w:rPr>
        <w:t>Nominálna priemerná mzda zamestnanca hospodárstva SR za rok 2020 dosiahla 1</w:t>
      </w:r>
      <w:r w:rsidR="007B03D6">
        <w:rPr>
          <w:b/>
          <w:sz w:val="24"/>
          <w:szCs w:val="24"/>
        </w:rPr>
        <w:t> </w:t>
      </w:r>
      <w:r w:rsidRPr="00B60B60">
        <w:rPr>
          <w:b/>
          <w:sz w:val="24"/>
          <w:szCs w:val="24"/>
        </w:rPr>
        <w:t>133</w:t>
      </w:r>
      <w:r w:rsidR="007B03D6">
        <w:rPr>
          <w:b/>
          <w:sz w:val="24"/>
          <w:szCs w:val="24"/>
        </w:rPr>
        <w:t> </w:t>
      </w:r>
      <w:r w:rsidRPr="00B60B60">
        <w:rPr>
          <w:b/>
          <w:sz w:val="24"/>
          <w:szCs w:val="24"/>
        </w:rPr>
        <w:t>eur</w:t>
      </w:r>
      <w:r w:rsidR="00790612" w:rsidRPr="00B60B60">
        <w:rPr>
          <w:b/>
          <w:sz w:val="24"/>
          <w:szCs w:val="24"/>
        </w:rPr>
        <w:t>.</w:t>
      </w:r>
      <w:r w:rsidR="00790612" w:rsidRPr="008E6BBC">
        <w:rPr>
          <w:sz w:val="24"/>
          <w:szCs w:val="24"/>
        </w:rPr>
        <w:t xml:space="preserve"> Po </w:t>
      </w:r>
      <w:r w:rsidRPr="008E6BBC">
        <w:rPr>
          <w:sz w:val="24"/>
          <w:szCs w:val="24"/>
        </w:rPr>
        <w:t>priaznivých rokoch na trhu práce, rast miezd prudko spomalil na 3,8 % medziročne (v roku 2019 dosiahla nominálna priemerná mzda úroveň 1 092 eur a medziročný rast takmer 8 %). Rast priemernej mzdy bol do značnej miery ovplyvnený veľkým množstvom poberateľov dávky ošetrovného a nemocenskej dávky a aj nižšou mzdou plynúcou zo skrátených úväzkov. Aj napriek ekonomickej kríze mzdy poklesli menej ako produktivita. Tempo rastu miezd prevyšuje mieru rastu produktivity už od roku 2014.</w:t>
      </w:r>
    </w:p>
    <w:tbl>
      <w:tblPr>
        <w:tblW w:w="5000" w:type="pct"/>
        <w:tblLayout w:type="fixed"/>
        <w:tblCellMar>
          <w:left w:w="70" w:type="dxa"/>
          <w:right w:w="70" w:type="dxa"/>
        </w:tblCellMar>
        <w:tblLook w:val="0000" w:firstRow="0" w:lastRow="0" w:firstColumn="0" w:lastColumn="0" w:noHBand="0" w:noVBand="0"/>
      </w:tblPr>
      <w:tblGrid>
        <w:gridCol w:w="4751"/>
        <w:gridCol w:w="4463"/>
      </w:tblGrid>
      <w:tr w:rsidR="00790612" w:rsidRPr="00790612" w14:paraId="27A5BED3" w14:textId="77777777" w:rsidTr="004B6995">
        <w:trPr>
          <w:trHeight w:val="562"/>
        </w:trPr>
        <w:tc>
          <w:tcPr>
            <w:tcW w:w="2578" w:type="pct"/>
            <w:tcBorders>
              <w:top w:val="nil"/>
              <w:left w:val="nil"/>
              <w:bottom w:val="nil"/>
              <w:right w:val="nil"/>
            </w:tcBorders>
            <w:shd w:val="clear" w:color="auto" w:fill="000000"/>
            <w:vAlign w:val="center"/>
          </w:tcPr>
          <w:p w14:paraId="1C3704B5" w14:textId="77777777" w:rsidR="00790612" w:rsidRPr="0052153F" w:rsidRDefault="00790612" w:rsidP="0052153F">
            <w:pPr>
              <w:spacing w:after="0" w:line="240" w:lineRule="auto"/>
              <w:rPr>
                <w:rFonts w:cs="Times New Roman"/>
                <w:b/>
                <w:bCs/>
                <w:color w:val="FFFFFF"/>
                <w:sz w:val="18"/>
                <w:szCs w:val="18"/>
              </w:rPr>
            </w:pPr>
            <w:r w:rsidRPr="0052153F">
              <w:rPr>
                <w:rFonts w:cs="Times New Roman"/>
                <w:b/>
                <w:color w:val="FFFFFF"/>
                <w:sz w:val="18"/>
                <w:szCs w:val="18"/>
              </w:rPr>
              <w:t>Príspevky sektorov k vývoju zamestnanosti (ESA, v p. b.)</w:t>
            </w:r>
          </w:p>
        </w:tc>
        <w:tc>
          <w:tcPr>
            <w:tcW w:w="2422" w:type="pct"/>
            <w:tcBorders>
              <w:top w:val="nil"/>
              <w:left w:val="nil"/>
              <w:bottom w:val="nil"/>
              <w:right w:val="nil"/>
            </w:tcBorders>
            <w:shd w:val="clear" w:color="auto" w:fill="000000"/>
            <w:vAlign w:val="center"/>
          </w:tcPr>
          <w:p w14:paraId="05BC661B" w14:textId="6CD3C51F" w:rsidR="00790612" w:rsidRPr="0052153F" w:rsidRDefault="00860168" w:rsidP="0052153F">
            <w:pPr>
              <w:spacing w:after="0" w:line="240" w:lineRule="auto"/>
              <w:rPr>
                <w:rFonts w:cs="Times New Roman"/>
                <w:b/>
                <w:bCs/>
                <w:color w:val="FFFFFF"/>
                <w:sz w:val="18"/>
                <w:szCs w:val="18"/>
              </w:rPr>
            </w:pPr>
            <w:r w:rsidRPr="0052153F">
              <w:rPr>
                <w:rFonts w:cs="Times New Roman"/>
                <w:b/>
                <w:color w:val="FFFFFF"/>
                <w:sz w:val="18"/>
                <w:szCs w:val="18"/>
              </w:rPr>
              <w:t xml:space="preserve">            </w:t>
            </w:r>
            <w:r w:rsidR="00790612" w:rsidRPr="0052153F">
              <w:rPr>
                <w:rFonts w:cs="Times New Roman"/>
                <w:b/>
                <w:color w:val="FFFFFF"/>
                <w:sz w:val="18"/>
                <w:szCs w:val="18"/>
              </w:rPr>
              <w:t>Rast nominálnej produktivity práce a mzdy (v %)</w:t>
            </w:r>
          </w:p>
        </w:tc>
      </w:tr>
      <w:tr w:rsidR="00790612" w:rsidRPr="00790612" w14:paraId="476DCEE4" w14:textId="77777777" w:rsidTr="004B6995">
        <w:trPr>
          <w:trHeight w:val="3118"/>
        </w:trPr>
        <w:tc>
          <w:tcPr>
            <w:tcW w:w="2578" w:type="pct"/>
            <w:tcBorders>
              <w:top w:val="nil"/>
              <w:left w:val="nil"/>
              <w:bottom w:val="single" w:sz="8" w:space="0" w:color="auto"/>
              <w:right w:val="nil"/>
            </w:tcBorders>
          </w:tcPr>
          <w:p w14:paraId="1C967427" w14:textId="77777777" w:rsidR="00790612" w:rsidRPr="00790612" w:rsidRDefault="00790612" w:rsidP="004B6995">
            <w:pPr>
              <w:rPr>
                <w:rFonts w:cs="Times New Roman"/>
                <w:b/>
                <w:bCs/>
                <w:sz w:val="16"/>
                <w:szCs w:val="16"/>
              </w:rPr>
            </w:pPr>
            <w:r w:rsidRPr="00790612">
              <w:rPr>
                <w:rFonts w:cs="Times New Roman"/>
                <w:noProof/>
                <w:lang w:eastAsia="sk-SK"/>
              </w:rPr>
              <w:drawing>
                <wp:inline distT="0" distB="0" distL="0" distR="0" wp14:anchorId="03922D3D" wp14:editId="07B60468">
                  <wp:extent cx="2880360" cy="1933575"/>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2422" w:type="pct"/>
            <w:tcBorders>
              <w:top w:val="nil"/>
              <w:left w:val="nil"/>
              <w:bottom w:val="single" w:sz="8" w:space="0" w:color="auto"/>
              <w:right w:val="nil"/>
            </w:tcBorders>
          </w:tcPr>
          <w:p w14:paraId="52F2CB4B" w14:textId="77777777" w:rsidR="00790612" w:rsidRPr="00790612" w:rsidRDefault="00790612" w:rsidP="004B6995">
            <w:pPr>
              <w:spacing w:after="100" w:afterAutospacing="1"/>
              <w:rPr>
                <w:rFonts w:cs="Times New Roman"/>
                <w:b/>
                <w:bCs/>
                <w:sz w:val="16"/>
                <w:szCs w:val="16"/>
              </w:rPr>
            </w:pPr>
            <w:r w:rsidRPr="00790612">
              <w:rPr>
                <w:rFonts w:cs="Times New Roman"/>
                <w:noProof/>
                <w:lang w:eastAsia="sk-SK"/>
              </w:rPr>
              <w:drawing>
                <wp:inline distT="0" distB="0" distL="0" distR="0" wp14:anchorId="7D24C190" wp14:editId="1C3D664D">
                  <wp:extent cx="2600325" cy="1933575"/>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790612" w:rsidRPr="00790612" w14:paraId="4A178690" w14:textId="77777777" w:rsidTr="004B6995">
        <w:trPr>
          <w:trHeight w:val="113"/>
        </w:trPr>
        <w:tc>
          <w:tcPr>
            <w:tcW w:w="2578" w:type="pct"/>
            <w:tcBorders>
              <w:top w:val="nil"/>
              <w:left w:val="nil"/>
              <w:bottom w:val="nil"/>
              <w:right w:val="nil"/>
            </w:tcBorders>
          </w:tcPr>
          <w:p w14:paraId="5AA6E814" w14:textId="109B4B34" w:rsidR="00790612" w:rsidRPr="00790612" w:rsidRDefault="00790612" w:rsidP="00536B4C">
            <w:pPr>
              <w:jc w:val="right"/>
              <w:rPr>
                <w:rFonts w:cs="Times New Roman"/>
                <w:iCs/>
                <w:sz w:val="18"/>
                <w:szCs w:val="18"/>
              </w:rPr>
            </w:pPr>
            <w:r w:rsidRPr="00790612">
              <w:rPr>
                <w:rFonts w:cs="Times New Roman"/>
                <w:iCs/>
                <w:sz w:val="18"/>
                <w:szCs w:val="18"/>
              </w:rPr>
              <w:t xml:space="preserve">Zdroj: ŠÚ SR, MF SR </w:t>
            </w:r>
          </w:p>
        </w:tc>
        <w:tc>
          <w:tcPr>
            <w:tcW w:w="2422" w:type="pct"/>
            <w:tcBorders>
              <w:top w:val="nil"/>
              <w:left w:val="nil"/>
              <w:bottom w:val="nil"/>
              <w:right w:val="nil"/>
            </w:tcBorders>
          </w:tcPr>
          <w:p w14:paraId="50222CA5" w14:textId="77777777" w:rsidR="00790612" w:rsidRPr="00790612" w:rsidRDefault="00790612" w:rsidP="004B6995">
            <w:pPr>
              <w:jc w:val="right"/>
              <w:rPr>
                <w:rFonts w:cs="Times New Roman"/>
                <w:iCs/>
                <w:sz w:val="18"/>
                <w:szCs w:val="18"/>
              </w:rPr>
            </w:pPr>
            <w:r w:rsidRPr="00790612">
              <w:rPr>
                <w:rFonts w:cs="Times New Roman"/>
                <w:iCs/>
                <w:sz w:val="18"/>
                <w:szCs w:val="18"/>
              </w:rPr>
              <w:t xml:space="preserve">Zdroj: ŠÚ SR, MF SR </w:t>
            </w:r>
          </w:p>
        </w:tc>
      </w:tr>
    </w:tbl>
    <w:p w14:paraId="2734D432" w14:textId="738A00D1" w:rsidR="005F5B88" w:rsidRPr="000F375D" w:rsidRDefault="005F5B88" w:rsidP="00AF7C97">
      <w:pPr>
        <w:pStyle w:val="Nadpis3"/>
        <w:rPr>
          <w:sz w:val="24"/>
        </w:rPr>
      </w:pPr>
      <w:bookmarkStart w:id="12" w:name="_Toc6415631"/>
      <w:bookmarkStart w:id="13" w:name="_Toc70026080"/>
      <w:r w:rsidRPr="000F375D">
        <w:rPr>
          <w:sz w:val="24"/>
        </w:rPr>
        <w:t>Vývoj cien</w:t>
      </w:r>
      <w:bookmarkEnd w:id="12"/>
      <w:bookmarkEnd w:id="13"/>
    </w:p>
    <w:p w14:paraId="11CD05D4" w14:textId="2E463503" w:rsidR="00CA5851" w:rsidRDefault="00790612" w:rsidP="001665F3">
      <w:pPr>
        <w:spacing w:line="240" w:lineRule="auto"/>
        <w:rPr>
          <w:sz w:val="24"/>
          <w:szCs w:val="24"/>
        </w:rPr>
      </w:pPr>
      <w:r w:rsidRPr="008E6BBC">
        <w:rPr>
          <w:sz w:val="24"/>
          <w:szCs w:val="24"/>
        </w:rPr>
        <w:t xml:space="preserve">Inflácia v roku 2020 spomalila. Kým na začiatku roka ešte dosahoval medziročný rast cien úroveň 3 %, ku koncu roka sa inflácia pohybovala okolo 1,5 %. K spomaleniu došlo najmä v dôsledku spomaleniu rastu cien potravín a poklesu cien pohonných látok. Tie reagovali na výrazný pokles cien ropy na globálnych trhoch spôsobený pandémiou </w:t>
      </w:r>
      <w:proofErr w:type="spellStart"/>
      <w:r w:rsidRPr="008E6BBC">
        <w:rPr>
          <w:sz w:val="24"/>
          <w:szCs w:val="24"/>
        </w:rPr>
        <w:t>koronavírusu</w:t>
      </w:r>
      <w:proofErr w:type="spellEnd"/>
      <w:r w:rsidRPr="008E6BBC">
        <w:rPr>
          <w:sz w:val="24"/>
          <w:szCs w:val="24"/>
        </w:rPr>
        <w:t>. Celoročne stúpli ceny merané indexom CPI o 1,9 % (2,0 % podľa HICP</w:t>
      </w:r>
      <w:r w:rsidRPr="008E6BBC">
        <w:rPr>
          <w:sz w:val="24"/>
          <w:szCs w:val="24"/>
          <w:vertAlign w:val="superscript"/>
        </w:rPr>
        <w:footnoteReference w:id="2"/>
      </w:r>
      <w:r w:rsidRPr="008E6BBC">
        <w:rPr>
          <w:sz w:val="24"/>
          <w:szCs w:val="24"/>
        </w:rPr>
        <w:t>). Rast cien služieb spomalil napriek pandémii len mierne, keďže pokles spotreby bol spôsobený najm</w:t>
      </w:r>
      <w:r w:rsidR="00C75B27" w:rsidRPr="008E6BBC">
        <w:rPr>
          <w:sz w:val="24"/>
          <w:szCs w:val="24"/>
        </w:rPr>
        <w:t>ä obmedzeniami na strane ponuky</w:t>
      </w:r>
      <w:r w:rsidRPr="008E6BBC">
        <w:rPr>
          <w:sz w:val="24"/>
          <w:szCs w:val="24"/>
        </w:rPr>
        <w:t xml:space="preserve"> a ceny obchodovateľných tovarov sa takmer nezmenili. Regulované ceny v minulom roku rástli o 3,3 % v reakcii na januárové zvýšenie cien plynu a elektriny. </w:t>
      </w:r>
    </w:p>
    <w:p w14:paraId="566C7653" w14:textId="77777777" w:rsidR="00CA5851" w:rsidRDefault="00CA5851">
      <w:pPr>
        <w:spacing w:after="160" w:line="259" w:lineRule="auto"/>
        <w:jc w:val="left"/>
        <w:rPr>
          <w:sz w:val="24"/>
          <w:szCs w:val="24"/>
        </w:rPr>
      </w:pPr>
      <w:r>
        <w:rPr>
          <w:sz w:val="24"/>
          <w:szCs w:val="24"/>
        </w:rPr>
        <w:br w:type="page"/>
      </w:r>
    </w:p>
    <w:p w14:paraId="30BD563C" w14:textId="1A80297E" w:rsidR="005F5B88" w:rsidRPr="000F375D" w:rsidRDefault="005F5B88" w:rsidP="0008303C">
      <w:pPr>
        <w:pStyle w:val="Nadpis3"/>
        <w:spacing w:before="240" w:line="240" w:lineRule="auto"/>
        <w:rPr>
          <w:sz w:val="24"/>
        </w:rPr>
      </w:pPr>
      <w:bookmarkStart w:id="14" w:name="_Toc6415632"/>
      <w:bookmarkStart w:id="15" w:name="_Toc70026081"/>
      <w:r w:rsidRPr="000F375D">
        <w:rPr>
          <w:sz w:val="24"/>
        </w:rPr>
        <w:t>Platobná bilancia</w:t>
      </w:r>
      <w:bookmarkEnd w:id="14"/>
      <w:bookmarkEnd w:id="15"/>
    </w:p>
    <w:p w14:paraId="57FD9DDB" w14:textId="2FC6672F" w:rsidR="00C56599" w:rsidRDefault="00790612" w:rsidP="00CA5851">
      <w:pPr>
        <w:spacing w:line="240" w:lineRule="auto"/>
      </w:pPr>
      <w:r w:rsidRPr="008E6BBC">
        <w:rPr>
          <w:sz w:val="24"/>
          <w:szCs w:val="24"/>
        </w:rPr>
        <w:t>Deficit bežného účtu platobnej bilancie sa v roku 2020 znížil na -</w:t>
      </w:r>
      <w:r w:rsidRPr="000A5247">
        <w:rPr>
          <w:sz w:val="24"/>
          <w:szCs w:val="24"/>
        </w:rPr>
        <w:t>0,4</w:t>
      </w:r>
      <w:r w:rsidRPr="008E6BBC">
        <w:rPr>
          <w:sz w:val="24"/>
          <w:szCs w:val="24"/>
        </w:rPr>
        <w:t> % HDP z -2,7 % HDP v predchádzajúcom roku. Zahraničný obchod klesol v oboch smeroch, pokles exportu však bol nižší ako pokles importu. Bilancia tovarov tak skončila v prebytku 0,6 % HDP. Podobne zostal zachovaný aj vysoký prebytok bilancie služieb aj napriek prepadu exportu aj importu. Zároveň sa zmiernili aj deficity bilancie primárnych aj sekundárnych výnosov.</w:t>
      </w:r>
    </w:p>
    <w:tbl>
      <w:tblPr>
        <w:tblW w:w="5026" w:type="pct"/>
        <w:tblLayout w:type="fixed"/>
        <w:tblCellMar>
          <w:left w:w="70" w:type="dxa"/>
          <w:right w:w="70" w:type="dxa"/>
        </w:tblCellMar>
        <w:tblLook w:val="0000" w:firstRow="0" w:lastRow="0" w:firstColumn="0" w:lastColumn="0" w:noHBand="0" w:noVBand="0"/>
      </w:tblPr>
      <w:tblGrid>
        <w:gridCol w:w="4775"/>
        <w:gridCol w:w="4487"/>
      </w:tblGrid>
      <w:tr w:rsidR="00790612" w:rsidRPr="00790612" w14:paraId="29318824" w14:textId="77777777" w:rsidTr="00B37F43">
        <w:trPr>
          <w:trHeight w:val="511"/>
        </w:trPr>
        <w:tc>
          <w:tcPr>
            <w:tcW w:w="2578" w:type="pct"/>
            <w:tcBorders>
              <w:top w:val="nil"/>
              <w:left w:val="nil"/>
              <w:bottom w:val="nil"/>
              <w:right w:val="nil"/>
            </w:tcBorders>
            <w:shd w:val="clear" w:color="auto" w:fill="000000"/>
            <w:vAlign w:val="center"/>
          </w:tcPr>
          <w:p w14:paraId="68FCDCF1" w14:textId="77777777" w:rsidR="0052153F" w:rsidRDefault="00790612" w:rsidP="0052153F">
            <w:pPr>
              <w:spacing w:after="0" w:line="240" w:lineRule="auto"/>
              <w:rPr>
                <w:rFonts w:cs="Times New Roman"/>
                <w:b/>
                <w:color w:val="FFFFFF"/>
                <w:sz w:val="18"/>
                <w:szCs w:val="18"/>
              </w:rPr>
            </w:pPr>
            <w:r w:rsidRPr="0052153F">
              <w:rPr>
                <w:rFonts w:cs="Times New Roman"/>
                <w:b/>
                <w:color w:val="FFFFFF"/>
                <w:sz w:val="18"/>
                <w:szCs w:val="18"/>
              </w:rPr>
              <w:t xml:space="preserve">Štruktúra spotrebiteľskej inflácie – </w:t>
            </w:r>
          </w:p>
          <w:p w14:paraId="2B608C45" w14:textId="47B4FAFE" w:rsidR="00790612" w:rsidRPr="0052153F" w:rsidRDefault="00790612" w:rsidP="0052153F">
            <w:pPr>
              <w:spacing w:after="0" w:line="240" w:lineRule="auto"/>
              <w:rPr>
                <w:rFonts w:cs="Times New Roman"/>
                <w:b/>
                <w:bCs/>
                <w:color w:val="FFFFFF"/>
                <w:sz w:val="18"/>
                <w:szCs w:val="18"/>
                <w:highlight w:val="yellow"/>
              </w:rPr>
            </w:pPr>
            <w:r w:rsidRPr="0052153F">
              <w:rPr>
                <w:rFonts w:cs="Times New Roman"/>
                <w:b/>
                <w:color w:val="FFFFFF"/>
                <w:sz w:val="18"/>
                <w:szCs w:val="18"/>
              </w:rPr>
              <w:t xml:space="preserve">medziročné príspevky zložiek CPI (p. b.) </w:t>
            </w:r>
          </w:p>
        </w:tc>
        <w:tc>
          <w:tcPr>
            <w:tcW w:w="2422" w:type="pct"/>
            <w:tcBorders>
              <w:top w:val="nil"/>
              <w:left w:val="nil"/>
              <w:bottom w:val="nil"/>
              <w:right w:val="nil"/>
            </w:tcBorders>
            <w:shd w:val="clear" w:color="auto" w:fill="000000"/>
            <w:vAlign w:val="center"/>
          </w:tcPr>
          <w:p w14:paraId="7AFC35F2" w14:textId="77777777" w:rsidR="0052153F" w:rsidRDefault="00790612" w:rsidP="0052153F">
            <w:pPr>
              <w:spacing w:after="0" w:line="240" w:lineRule="auto"/>
              <w:rPr>
                <w:rFonts w:cs="Times New Roman"/>
                <w:b/>
                <w:bCs/>
                <w:color w:val="FFFFFF"/>
                <w:sz w:val="18"/>
                <w:szCs w:val="18"/>
              </w:rPr>
            </w:pPr>
            <w:r w:rsidRPr="0052153F">
              <w:rPr>
                <w:rFonts w:cs="Times New Roman"/>
                <w:b/>
                <w:bCs/>
                <w:color w:val="FFFFFF"/>
                <w:sz w:val="18"/>
                <w:szCs w:val="18"/>
              </w:rPr>
              <w:t>Vývoj bežnéh</w:t>
            </w:r>
            <w:r w:rsidR="0052153F">
              <w:rPr>
                <w:rFonts w:cs="Times New Roman"/>
                <w:b/>
                <w:bCs/>
                <w:color w:val="FFFFFF"/>
                <w:sz w:val="18"/>
                <w:szCs w:val="18"/>
              </w:rPr>
              <w:t>o účtu platobnej bilancie podľa</w:t>
            </w:r>
          </w:p>
          <w:p w14:paraId="31F1ED83" w14:textId="050DBC44" w:rsidR="00790612" w:rsidRPr="0052153F" w:rsidRDefault="00790612" w:rsidP="0052153F">
            <w:pPr>
              <w:spacing w:after="0" w:line="240" w:lineRule="auto"/>
              <w:rPr>
                <w:rFonts w:cs="Times New Roman"/>
                <w:b/>
                <w:bCs/>
                <w:color w:val="FFFFFF"/>
                <w:sz w:val="18"/>
                <w:szCs w:val="18"/>
                <w:highlight w:val="yellow"/>
              </w:rPr>
            </w:pPr>
            <w:r w:rsidRPr="0052153F">
              <w:rPr>
                <w:rFonts w:cs="Times New Roman"/>
                <w:b/>
                <w:bCs/>
                <w:color w:val="FFFFFF"/>
                <w:sz w:val="18"/>
                <w:szCs w:val="18"/>
              </w:rPr>
              <w:t>jeho zložiek (% HDP)</w:t>
            </w:r>
          </w:p>
        </w:tc>
      </w:tr>
      <w:tr w:rsidR="00790612" w:rsidRPr="00790612" w14:paraId="41E1B092" w14:textId="77777777" w:rsidTr="0008303C">
        <w:trPr>
          <w:trHeight w:val="3161"/>
        </w:trPr>
        <w:tc>
          <w:tcPr>
            <w:tcW w:w="2578" w:type="pct"/>
            <w:tcBorders>
              <w:top w:val="nil"/>
              <w:left w:val="nil"/>
              <w:bottom w:val="single" w:sz="8" w:space="0" w:color="auto"/>
              <w:right w:val="nil"/>
            </w:tcBorders>
          </w:tcPr>
          <w:p w14:paraId="6C40A6D7" w14:textId="38AE7C6D" w:rsidR="00790612" w:rsidRPr="00790612" w:rsidRDefault="00790612" w:rsidP="004B6995">
            <w:pPr>
              <w:rPr>
                <w:rFonts w:cs="Times New Roman"/>
                <w:b/>
                <w:bCs/>
                <w:sz w:val="16"/>
                <w:szCs w:val="16"/>
                <w:highlight w:val="yellow"/>
              </w:rPr>
            </w:pPr>
            <w:r w:rsidRPr="00790612">
              <w:rPr>
                <w:rFonts w:cs="Times New Roman"/>
                <w:noProof/>
                <w:lang w:eastAsia="sk-SK"/>
              </w:rPr>
              <w:drawing>
                <wp:inline distT="0" distB="0" distL="0" distR="0" wp14:anchorId="4D655C69" wp14:editId="3DF6D11A">
                  <wp:extent cx="2771775" cy="213360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2422" w:type="pct"/>
            <w:tcBorders>
              <w:top w:val="nil"/>
              <w:left w:val="nil"/>
              <w:bottom w:val="single" w:sz="8" w:space="0" w:color="auto"/>
              <w:right w:val="nil"/>
            </w:tcBorders>
          </w:tcPr>
          <w:p w14:paraId="074D772D" w14:textId="77777777" w:rsidR="00790612" w:rsidRPr="00790612" w:rsidRDefault="00790612" w:rsidP="004B6995">
            <w:pPr>
              <w:spacing w:after="100" w:afterAutospacing="1"/>
              <w:rPr>
                <w:rFonts w:cs="Times New Roman"/>
                <w:b/>
                <w:bCs/>
                <w:sz w:val="16"/>
                <w:szCs w:val="16"/>
                <w:highlight w:val="yellow"/>
              </w:rPr>
            </w:pPr>
            <w:r w:rsidRPr="00790612">
              <w:rPr>
                <w:rFonts w:cs="Times New Roman"/>
                <w:noProof/>
                <w:lang w:eastAsia="sk-SK"/>
              </w:rPr>
              <w:drawing>
                <wp:inline distT="0" distB="0" distL="0" distR="0" wp14:anchorId="6EF4E092" wp14:editId="4763E0EF">
                  <wp:extent cx="2609850" cy="2076450"/>
                  <wp:effectExtent l="0" t="0" r="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790612" w:rsidRPr="00790612" w14:paraId="696B1DDB" w14:textId="77777777" w:rsidTr="00B37F43">
        <w:trPr>
          <w:trHeight w:val="102"/>
        </w:trPr>
        <w:tc>
          <w:tcPr>
            <w:tcW w:w="2578" w:type="pct"/>
            <w:tcBorders>
              <w:top w:val="nil"/>
              <w:left w:val="nil"/>
              <w:bottom w:val="nil"/>
              <w:right w:val="nil"/>
            </w:tcBorders>
          </w:tcPr>
          <w:p w14:paraId="0A3FA5DD" w14:textId="20823CDA" w:rsidR="00790612" w:rsidRPr="00790612" w:rsidRDefault="00790612" w:rsidP="00536B4C">
            <w:pPr>
              <w:jc w:val="right"/>
              <w:rPr>
                <w:rFonts w:cs="Times New Roman"/>
                <w:iCs/>
                <w:sz w:val="18"/>
                <w:szCs w:val="18"/>
              </w:rPr>
            </w:pPr>
            <w:r w:rsidRPr="00790612">
              <w:rPr>
                <w:rFonts w:cs="Times New Roman"/>
                <w:iCs/>
                <w:sz w:val="18"/>
                <w:szCs w:val="18"/>
              </w:rPr>
              <w:t>Zdroj: ŠÚ SR, MF SR</w:t>
            </w:r>
          </w:p>
        </w:tc>
        <w:tc>
          <w:tcPr>
            <w:tcW w:w="2422" w:type="pct"/>
            <w:tcBorders>
              <w:top w:val="nil"/>
              <w:left w:val="nil"/>
              <w:bottom w:val="nil"/>
              <w:right w:val="nil"/>
            </w:tcBorders>
          </w:tcPr>
          <w:p w14:paraId="46CAB413" w14:textId="77777777" w:rsidR="00790612" w:rsidRPr="00790612" w:rsidRDefault="00790612" w:rsidP="004B6995">
            <w:pPr>
              <w:jc w:val="right"/>
              <w:rPr>
                <w:rFonts w:cs="Times New Roman"/>
                <w:iCs/>
                <w:sz w:val="18"/>
                <w:szCs w:val="18"/>
              </w:rPr>
            </w:pPr>
            <w:r w:rsidRPr="00790612">
              <w:rPr>
                <w:rFonts w:cs="Times New Roman"/>
                <w:iCs/>
                <w:sz w:val="18"/>
                <w:szCs w:val="18"/>
              </w:rPr>
              <w:t xml:space="preserve">Zdroj: NBS, MF SR </w:t>
            </w:r>
          </w:p>
        </w:tc>
      </w:tr>
    </w:tbl>
    <w:p w14:paraId="6AA20DFE" w14:textId="178F3781" w:rsidR="005F5B88" w:rsidRPr="000F375D" w:rsidRDefault="005F5B88" w:rsidP="0008303C">
      <w:pPr>
        <w:pStyle w:val="Nadpis3"/>
        <w:spacing w:line="240" w:lineRule="auto"/>
        <w:rPr>
          <w:sz w:val="24"/>
        </w:rPr>
      </w:pPr>
      <w:bookmarkStart w:id="16" w:name="_Toc6415633"/>
      <w:bookmarkStart w:id="17" w:name="_Toc70026082"/>
      <w:r w:rsidRPr="000F375D">
        <w:rPr>
          <w:sz w:val="24"/>
        </w:rPr>
        <w:t>Porovnanie makroekonomických predpokladov rozpočtu a</w:t>
      </w:r>
      <w:r w:rsidR="00790612" w:rsidRPr="000F375D">
        <w:rPr>
          <w:sz w:val="24"/>
        </w:rPr>
        <w:t> </w:t>
      </w:r>
      <w:r w:rsidRPr="000F375D">
        <w:rPr>
          <w:sz w:val="24"/>
        </w:rPr>
        <w:t>skutočnosti</w:t>
      </w:r>
      <w:bookmarkEnd w:id="16"/>
      <w:bookmarkEnd w:id="17"/>
    </w:p>
    <w:p w14:paraId="1ED78981" w14:textId="4D7C28E8" w:rsidR="00790612" w:rsidRPr="008E6BBC" w:rsidRDefault="00790612" w:rsidP="001665F3">
      <w:pPr>
        <w:spacing w:line="240" w:lineRule="auto"/>
        <w:rPr>
          <w:sz w:val="24"/>
          <w:szCs w:val="24"/>
        </w:rPr>
      </w:pPr>
      <w:r w:rsidRPr="008E6BBC">
        <w:rPr>
          <w:sz w:val="24"/>
          <w:szCs w:val="24"/>
        </w:rPr>
        <w:t>Pre pandémiu skončila reálna ekonomika výrazne horšie ako očakávala prognóza MF SR použitá pri zostavovaní rozpočtu verejnej správy pre rok 2020. Oproti prognóz</w:t>
      </w:r>
      <w:r w:rsidR="0008303C">
        <w:rPr>
          <w:sz w:val="24"/>
          <w:szCs w:val="24"/>
        </w:rPr>
        <w:t>e sa prepadli všetky zložky HDP</w:t>
      </w:r>
      <w:r w:rsidRPr="008E6BBC">
        <w:rPr>
          <w:sz w:val="24"/>
          <w:szCs w:val="24"/>
        </w:rPr>
        <w:t>. Pokles importu však bol výraznejší ako pokles exportu, príspevok zahraničného obchodu k HDP tak bol výrazne pozitívny, podobne ako v roku 2009, keď došlo k porovnateľnému prepadu ekonomiky. Na trhu práce došlo k poklesu zamestnanosti a spomaleniu rastu miezd, očakávania nedosiahol ani cenový vývoj.</w:t>
      </w:r>
    </w:p>
    <w:tbl>
      <w:tblPr>
        <w:tblW w:w="8013" w:type="dxa"/>
        <w:jc w:val="center"/>
        <w:tblCellMar>
          <w:left w:w="70" w:type="dxa"/>
          <w:right w:w="70" w:type="dxa"/>
        </w:tblCellMar>
        <w:tblLook w:val="04A0" w:firstRow="1" w:lastRow="0" w:firstColumn="1" w:lastColumn="0" w:noHBand="0" w:noVBand="1"/>
      </w:tblPr>
      <w:tblGrid>
        <w:gridCol w:w="4350"/>
        <w:gridCol w:w="1323"/>
        <w:gridCol w:w="1103"/>
        <w:gridCol w:w="1237"/>
      </w:tblGrid>
      <w:tr w:rsidR="00790612" w:rsidRPr="0052153F" w14:paraId="064A385F" w14:textId="77777777" w:rsidTr="0052153F">
        <w:trPr>
          <w:trHeight w:val="333"/>
          <w:jc w:val="center"/>
        </w:trPr>
        <w:tc>
          <w:tcPr>
            <w:tcW w:w="8013" w:type="dxa"/>
            <w:gridSpan w:val="4"/>
            <w:tcBorders>
              <w:top w:val="nil"/>
              <w:left w:val="nil"/>
              <w:bottom w:val="nil"/>
              <w:right w:val="nil"/>
            </w:tcBorders>
            <w:shd w:val="clear" w:color="000000" w:fill="000000"/>
            <w:vAlign w:val="center"/>
            <w:hideMark/>
          </w:tcPr>
          <w:p w14:paraId="4A24F14F" w14:textId="77777777" w:rsidR="00790612" w:rsidRPr="0052153F" w:rsidRDefault="00790612" w:rsidP="00790612">
            <w:pPr>
              <w:spacing w:after="0" w:line="240" w:lineRule="auto"/>
              <w:rPr>
                <w:rFonts w:eastAsia="Times New Roman" w:cs="Times New Roman"/>
                <w:b/>
                <w:bCs/>
                <w:color w:val="FFFFFF"/>
                <w:sz w:val="18"/>
                <w:szCs w:val="18"/>
                <w:lang w:eastAsia="sk-SK"/>
              </w:rPr>
            </w:pPr>
            <w:r w:rsidRPr="0052153F">
              <w:rPr>
                <w:rFonts w:eastAsia="Times New Roman" w:cs="Times New Roman"/>
                <w:b/>
                <w:bCs/>
                <w:color w:val="FFFFFF"/>
                <w:sz w:val="18"/>
                <w:szCs w:val="18"/>
                <w:lang w:eastAsia="sk-SK"/>
              </w:rPr>
              <w:t>Porovnanie skutočnosti za rok 2020 s predpokladmi pre tvorbu rozpočtu na roky 2020-2023</w:t>
            </w:r>
          </w:p>
        </w:tc>
      </w:tr>
      <w:tr w:rsidR="00790612" w:rsidRPr="0052153F" w14:paraId="0F871D18" w14:textId="77777777" w:rsidTr="00CA5851">
        <w:trPr>
          <w:trHeight w:val="80"/>
          <w:jc w:val="center"/>
        </w:trPr>
        <w:tc>
          <w:tcPr>
            <w:tcW w:w="4350" w:type="dxa"/>
            <w:tcBorders>
              <w:top w:val="nil"/>
              <w:left w:val="nil"/>
              <w:bottom w:val="single" w:sz="8" w:space="0" w:color="auto"/>
              <w:right w:val="nil"/>
            </w:tcBorders>
            <w:shd w:val="clear" w:color="000000" w:fill="C0C0C0"/>
            <w:vAlign w:val="bottom"/>
            <w:hideMark/>
          </w:tcPr>
          <w:p w14:paraId="686151BA" w14:textId="77777777" w:rsidR="00790612" w:rsidRPr="0052153F" w:rsidRDefault="00790612" w:rsidP="00790612">
            <w:pPr>
              <w:spacing w:after="0" w:line="240" w:lineRule="auto"/>
              <w:jc w:val="left"/>
              <w:rPr>
                <w:rFonts w:eastAsia="Times New Roman" w:cs="Times New Roman"/>
                <w:b/>
                <w:bCs/>
                <w:color w:val="000000"/>
                <w:sz w:val="18"/>
                <w:szCs w:val="18"/>
                <w:lang w:eastAsia="sk-SK"/>
              </w:rPr>
            </w:pPr>
            <w:r w:rsidRPr="0052153F">
              <w:rPr>
                <w:rFonts w:eastAsia="Times New Roman" w:cs="Times New Roman"/>
                <w:b/>
                <w:bCs/>
                <w:color w:val="000000"/>
                <w:sz w:val="18"/>
                <w:szCs w:val="18"/>
                <w:lang w:eastAsia="sk-SK"/>
              </w:rPr>
              <w:t>v %, ak nie je uvedené inak</w:t>
            </w:r>
          </w:p>
        </w:tc>
        <w:tc>
          <w:tcPr>
            <w:tcW w:w="1323" w:type="dxa"/>
            <w:tcBorders>
              <w:top w:val="nil"/>
              <w:left w:val="nil"/>
              <w:bottom w:val="single" w:sz="8" w:space="0" w:color="auto"/>
              <w:right w:val="nil"/>
            </w:tcBorders>
            <w:shd w:val="clear" w:color="000000" w:fill="C0C0C0"/>
            <w:vAlign w:val="bottom"/>
            <w:hideMark/>
          </w:tcPr>
          <w:p w14:paraId="788935C4" w14:textId="77777777" w:rsidR="00790612" w:rsidRPr="0052153F" w:rsidRDefault="00790612" w:rsidP="00790612">
            <w:pPr>
              <w:spacing w:after="0" w:line="240" w:lineRule="auto"/>
              <w:jc w:val="center"/>
              <w:rPr>
                <w:rFonts w:eastAsia="Times New Roman" w:cs="Times New Roman"/>
                <w:b/>
                <w:bCs/>
                <w:color w:val="000000"/>
                <w:sz w:val="18"/>
                <w:szCs w:val="18"/>
                <w:lang w:eastAsia="sk-SK"/>
              </w:rPr>
            </w:pPr>
            <w:r w:rsidRPr="0052153F">
              <w:rPr>
                <w:rFonts w:eastAsia="Times New Roman" w:cs="Times New Roman"/>
                <w:b/>
                <w:bCs/>
                <w:color w:val="000000"/>
                <w:sz w:val="18"/>
                <w:szCs w:val="18"/>
                <w:lang w:eastAsia="sk-SK"/>
              </w:rPr>
              <w:t>Rozpočet 2020</w:t>
            </w:r>
          </w:p>
        </w:tc>
        <w:tc>
          <w:tcPr>
            <w:tcW w:w="1103" w:type="dxa"/>
            <w:tcBorders>
              <w:top w:val="nil"/>
              <w:left w:val="nil"/>
              <w:bottom w:val="single" w:sz="8" w:space="0" w:color="auto"/>
              <w:right w:val="nil"/>
            </w:tcBorders>
            <w:shd w:val="clear" w:color="000000" w:fill="C0C0C0"/>
            <w:vAlign w:val="bottom"/>
            <w:hideMark/>
          </w:tcPr>
          <w:p w14:paraId="42E0A14E" w14:textId="77777777" w:rsidR="00790612" w:rsidRPr="0052153F" w:rsidRDefault="00790612" w:rsidP="00790612">
            <w:pPr>
              <w:spacing w:after="0" w:line="240" w:lineRule="auto"/>
              <w:jc w:val="center"/>
              <w:rPr>
                <w:rFonts w:eastAsia="Times New Roman" w:cs="Times New Roman"/>
                <w:b/>
                <w:bCs/>
                <w:color w:val="000000"/>
                <w:sz w:val="18"/>
                <w:szCs w:val="18"/>
                <w:lang w:eastAsia="sk-SK"/>
              </w:rPr>
            </w:pPr>
            <w:r w:rsidRPr="0052153F">
              <w:rPr>
                <w:rFonts w:eastAsia="Times New Roman" w:cs="Times New Roman"/>
                <w:b/>
                <w:bCs/>
                <w:color w:val="000000"/>
                <w:sz w:val="18"/>
                <w:szCs w:val="18"/>
                <w:lang w:eastAsia="sk-SK"/>
              </w:rPr>
              <w:t>Skutočnosť</w:t>
            </w:r>
          </w:p>
        </w:tc>
        <w:tc>
          <w:tcPr>
            <w:tcW w:w="1237" w:type="dxa"/>
            <w:tcBorders>
              <w:top w:val="nil"/>
              <w:left w:val="nil"/>
              <w:bottom w:val="single" w:sz="8" w:space="0" w:color="auto"/>
              <w:right w:val="nil"/>
            </w:tcBorders>
            <w:shd w:val="clear" w:color="000000" w:fill="C0C0C0"/>
            <w:vAlign w:val="bottom"/>
            <w:hideMark/>
          </w:tcPr>
          <w:p w14:paraId="3E9905FA" w14:textId="77777777" w:rsidR="00790612" w:rsidRPr="0052153F" w:rsidRDefault="00790612" w:rsidP="00790612">
            <w:pPr>
              <w:spacing w:after="0" w:line="240" w:lineRule="auto"/>
              <w:jc w:val="center"/>
              <w:rPr>
                <w:rFonts w:eastAsia="Times New Roman" w:cs="Times New Roman"/>
                <w:b/>
                <w:bCs/>
                <w:color w:val="000000"/>
                <w:sz w:val="18"/>
                <w:szCs w:val="18"/>
                <w:lang w:eastAsia="sk-SK"/>
              </w:rPr>
            </w:pPr>
            <w:r w:rsidRPr="0052153F">
              <w:rPr>
                <w:rFonts w:eastAsia="Times New Roman" w:cs="Times New Roman"/>
                <w:b/>
                <w:bCs/>
                <w:color w:val="000000"/>
                <w:sz w:val="18"/>
                <w:szCs w:val="18"/>
                <w:lang w:eastAsia="sk-SK"/>
              </w:rPr>
              <w:t>Rozdiel v </w:t>
            </w:r>
            <w:proofErr w:type="spellStart"/>
            <w:r w:rsidRPr="0052153F">
              <w:rPr>
                <w:rFonts w:eastAsia="Times New Roman" w:cs="Times New Roman"/>
                <w:b/>
                <w:bCs/>
                <w:color w:val="000000"/>
                <w:sz w:val="18"/>
                <w:szCs w:val="18"/>
                <w:lang w:eastAsia="sk-SK"/>
              </w:rPr>
              <w:t>p.b</w:t>
            </w:r>
            <w:proofErr w:type="spellEnd"/>
            <w:r w:rsidRPr="0052153F">
              <w:rPr>
                <w:rFonts w:eastAsia="Times New Roman" w:cs="Times New Roman"/>
                <w:b/>
                <w:bCs/>
                <w:color w:val="000000"/>
                <w:sz w:val="18"/>
                <w:szCs w:val="18"/>
                <w:lang w:eastAsia="sk-SK"/>
              </w:rPr>
              <w:t>.</w:t>
            </w:r>
          </w:p>
        </w:tc>
      </w:tr>
      <w:tr w:rsidR="00790612" w:rsidRPr="0052153F" w14:paraId="03B1290B" w14:textId="77777777" w:rsidTr="00CA5851">
        <w:trPr>
          <w:trHeight w:val="268"/>
          <w:jc w:val="center"/>
        </w:trPr>
        <w:tc>
          <w:tcPr>
            <w:tcW w:w="4350" w:type="dxa"/>
            <w:tcBorders>
              <w:top w:val="nil"/>
              <w:left w:val="nil"/>
              <w:bottom w:val="nil"/>
              <w:right w:val="nil"/>
            </w:tcBorders>
            <w:shd w:val="clear" w:color="auto" w:fill="auto"/>
            <w:vAlign w:val="bottom"/>
            <w:hideMark/>
          </w:tcPr>
          <w:p w14:paraId="4D73C9F4" w14:textId="77777777" w:rsidR="00790612" w:rsidRPr="0052153F" w:rsidRDefault="00790612" w:rsidP="00790612">
            <w:pPr>
              <w:spacing w:after="0" w:line="240" w:lineRule="auto"/>
              <w:jc w:val="left"/>
              <w:rPr>
                <w:rFonts w:eastAsia="Times New Roman" w:cs="Times New Roman"/>
                <w:color w:val="000000"/>
                <w:sz w:val="18"/>
                <w:szCs w:val="18"/>
                <w:lang w:eastAsia="sk-SK"/>
              </w:rPr>
            </w:pPr>
            <w:r w:rsidRPr="0052153F">
              <w:rPr>
                <w:rFonts w:eastAsia="Times New Roman" w:cs="Times New Roman"/>
                <w:color w:val="000000"/>
                <w:sz w:val="18"/>
                <w:szCs w:val="18"/>
                <w:lang w:eastAsia="sk-SK"/>
              </w:rPr>
              <w:t>Hrubý domáci produkt,  reálny rast</w:t>
            </w:r>
          </w:p>
        </w:tc>
        <w:tc>
          <w:tcPr>
            <w:tcW w:w="1323" w:type="dxa"/>
            <w:tcBorders>
              <w:top w:val="nil"/>
              <w:left w:val="nil"/>
              <w:bottom w:val="nil"/>
              <w:right w:val="nil"/>
            </w:tcBorders>
            <w:shd w:val="clear" w:color="auto" w:fill="auto"/>
            <w:vAlign w:val="bottom"/>
            <w:hideMark/>
          </w:tcPr>
          <w:p w14:paraId="6E17843B" w14:textId="77777777" w:rsidR="00790612" w:rsidRPr="0052153F" w:rsidRDefault="00790612" w:rsidP="00790612">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2,3</w:t>
            </w:r>
          </w:p>
        </w:tc>
        <w:tc>
          <w:tcPr>
            <w:tcW w:w="1103" w:type="dxa"/>
            <w:tcBorders>
              <w:top w:val="nil"/>
              <w:left w:val="nil"/>
              <w:bottom w:val="nil"/>
              <w:right w:val="nil"/>
            </w:tcBorders>
            <w:shd w:val="clear" w:color="auto" w:fill="BFBFBF" w:themeFill="background1" w:themeFillShade="BF"/>
            <w:vAlign w:val="bottom"/>
            <w:hideMark/>
          </w:tcPr>
          <w:p w14:paraId="1738CF89" w14:textId="77777777" w:rsidR="00790612" w:rsidRPr="0052153F" w:rsidRDefault="00790612" w:rsidP="00790612">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-5,2</w:t>
            </w:r>
          </w:p>
        </w:tc>
        <w:tc>
          <w:tcPr>
            <w:tcW w:w="1237" w:type="dxa"/>
            <w:tcBorders>
              <w:top w:val="nil"/>
              <w:left w:val="nil"/>
              <w:bottom w:val="nil"/>
              <w:right w:val="nil"/>
            </w:tcBorders>
            <w:shd w:val="clear" w:color="auto" w:fill="auto"/>
            <w:vAlign w:val="bottom"/>
            <w:hideMark/>
          </w:tcPr>
          <w:p w14:paraId="797E773C" w14:textId="77777777" w:rsidR="00790612" w:rsidRPr="0052153F" w:rsidRDefault="00790612" w:rsidP="00790612">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-7,5</w:t>
            </w:r>
          </w:p>
        </w:tc>
      </w:tr>
      <w:tr w:rsidR="00790612" w:rsidRPr="0052153F" w14:paraId="7C75BDAB" w14:textId="77777777" w:rsidTr="00CA5851">
        <w:trPr>
          <w:trHeight w:val="268"/>
          <w:jc w:val="center"/>
        </w:trPr>
        <w:tc>
          <w:tcPr>
            <w:tcW w:w="4350" w:type="dxa"/>
            <w:tcBorders>
              <w:top w:val="nil"/>
              <w:left w:val="nil"/>
              <w:bottom w:val="nil"/>
              <w:right w:val="nil"/>
            </w:tcBorders>
            <w:shd w:val="clear" w:color="auto" w:fill="auto"/>
            <w:vAlign w:val="bottom"/>
            <w:hideMark/>
          </w:tcPr>
          <w:p w14:paraId="3E80425E" w14:textId="77777777" w:rsidR="00790612" w:rsidRPr="0052153F" w:rsidRDefault="00790612" w:rsidP="00790612">
            <w:pPr>
              <w:spacing w:after="0" w:line="240" w:lineRule="auto"/>
              <w:jc w:val="left"/>
              <w:rPr>
                <w:rFonts w:eastAsia="Times New Roman" w:cs="Times New Roman"/>
                <w:color w:val="000000"/>
                <w:sz w:val="18"/>
                <w:szCs w:val="18"/>
                <w:lang w:eastAsia="sk-SK"/>
              </w:rPr>
            </w:pPr>
            <w:r w:rsidRPr="0052153F">
              <w:rPr>
                <w:rFonts w:eastAsia="Times New Roman" w:cs="Times New Roman"/>
                <w:color w:val="000000"/>
                <w:sz w:val="18"/>
                <w:szCs w:val="18"/>
                <w:lang w:eastAsia="sk-SK"/>
              </w:rPr>
              <w:t>Hrubý domáci produkt v bežných cenách mld. Eur</w:t>
            </w:r>
          </w:p>
        </w:tc>
        <w:tc>
          <w:tcPr>
            <w:tcW w:w="1323" w:type="dxa"/>
            <w:tcBorders>
              <w:top w:val="nil"/>
              <w:left w:val="nil"/>
              <w:bottom w:val="nil"/>
              <w:right w:val="nil"/>
            </w:tcBorders>
            <w:shd w:val="clear" w:color="auto" w:fill="auto"/>
            <w:vAlign w:val="bottom"/>
            <w:hideMark/>
          </w:tcPr>
          <w:p w14:paraId="597EF2E7" w14:textId="77777777" w:rsidR="00790612" w:rsidRPr="0052153F" w:rsidRDefault="00790612" w:rsidP="00790612">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98,6</w:t>
            </w:r>
          </w:p>
        </w:tc>
        <w:tc>
          <w:tcPr>
            <w:tcW w:w="1103" w:type="dxa"/>
            <w:tcBorders>
              <w:top w:val="nil"/>
              <w:left w:val="nil"/>
              <w:bottom w:val="nil"/>
              <w:right w:val="nil"/>
            </w:tcBorders>
            <w:shd w:val="clear" w:color="auto" w:fill="BFBFBF" w:themeFill="background1" w:themeFillShade="BF"/>
            <w:noWrap/>
            <w:vAlign w:val="bottom"/>
            <w:hideMark/>
          </w:tcPr>
          <w:p w14:paraId="76397130" w14:textId="77777777" w:rsidR="00790612" w:rsidRPr="0052153F" w:rsidRDefault="00790612" w:rsidP="00790612">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91,1</w:t>
            </w:r>
          </w:p>
        </w:tc>
        <w:tc>
          <w:tcPr>
            <w:tcW w:w="1237" w:type="dxa"/>
            <w:tcBorders>
              <w:top w:val="nil"/>
              <w:left w:val="nil"/>
              <w:bottom w:val="nil"/>
              <w:right w:val="nil"/>
            </w:tcBorders>
            <w:shd w:val="clear" w:color="auto" w:fill="auto"/>
            <w:vAlign w:val="bottom"/>
            <w:hideMark/>
          </w:tcPr>
          <w:p w14:paraId="14B84683" w14:textId="77777777" w:rsidR="00790612" w:rsidRPr="0052153F" w:rsidRDefault="00790612" w:rsidP="00790612">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-7,5</w:t>
            </w:r>
          </w:p>
        </w:tc>
      </w:tr>
      <w:tr w:rsidR="00790612" w:rsidRPr="0052153F" w14:paraId="2205D6E3" w14:textId="77777777" w:rsidTr="00CA5851">
        <w:trPr>
          <w:trHeight w:val="268"/>
          <w:jc w:val="center"/>
        </w:trPr>
        <w:tc>
          <w:tcPr>
            <w:tcW w:w="4350" w:type="dxa"/>
            <w:tcBorders>
              <w:top w:val="nil"/>
              <w:left w:val="nil"/>
              <w:bottom w:val="nil"/>
              <w:right w:val="nil"/>
            </w:tcBorders>
            <w:shd w:val="clear" w:color="auto" w:fill="auto"/>
            <w:vAlign w:val="bottom"/>
            <w:hideMark/>
          </w:tcPr>
          <w:p w14:paraId="4BFA3E29" w14:textId="77777777" w:rsidR="00790612" w:rsidRPr="0052153F" w:rsidRDefault="00790612" w:rsidP="00790612">
            <w:pPr>
              <w:spacing w:after="0" w:line="240" w:lineRule="auto"/>
              <w:jc w:val="left"/>
              <w:rPr>
                <w:rFonts w:eastAsia="Times New Roman" w:cs="Times New Roman"/>
                <w:color w:val="000000"/>
                <w:sz w:val="18"/>
                <w:szCs w:val="18"/>
                <w:lang w:eastAsia="sk-SK"/>
              </w:rPr>
            </w:pPr>
            <w:r w:rsidRPr="0052153F">
              <w:rPr>
                <w:rFonts w:eastAsia="Times New Roman" w:cs="Times New Roman"/>
                <w:color w:val="000000"/>
                <w:sz w:val="18"/>
                <w:szCs w:val="18"/>
                <w:lang w:eastAsia="sk-SK"/>
              </w:rPr>
              <w:t>Konečná spotreba domácností a NISD,  reálny rast</w:t>
            </w:r>
          </w:p>
        </w:tc>
        <w:tc>
          <w:tcPr>
            <w:tcW w:w="1323" w:type="dxa"/>
            <w:tcBorders>
              <w:top w:val="nil"/>
              <w:left w:val="nil"/>
              <w:bottom w:val="nil"/>
              <w:right w:val="nil"/>
            </w:tcBorders>
            <w:shd w:val="clear" w:color="auto" w:fill="auto"/>
            <w:vAlign w:val="bottom"/>
            <w:hideMark/>
          </w:tcPr>
          <w:p w14:paraId="5A2F7A3E" w14:textId="77777777" w:rsidR="00790612" w:rsidRPr="0052153F" w:rsidRDefault="00790612" w:rsidP="00790612">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2,1</w:t>
            </w:r>
          </w:p>
        </w:tc>
        <w:tc>
          <w:tcPr>
            <w:tcW w:w="1103" w:type="dxa"/>
            <w:tcBorders>
              <w:top w:val="nil"/>
              <w:left w:val="nil"/>
              <w:bottom w:val="nil"/>
              <w:right w:val="nil"/>
            </w:tcBorders>
            <w:shd w:val="clear" w:color="auto" w:fill="BFBFBF" w:themeFill="background1" w:themeFillShade="BF"/>
            <w:vAlign w:val="bottom"/>
            <w:hideMark/>
          </w:tcPr>
          <w:p w14:paraId="6A718412" w14:textId="77777777" w:rsidR="00790612" w:rsidRPr="0052153F" w:rsidRDefault="00790612" w:rsidP="00790612">
            <w:pPr>
              <w:spacing w:after="0" w:line="240" w:lineRule="auto"/>
              <w:jc w:val="center"/>
              <w:rPr>
                <w:rFonts w:eastAsia="Times New Roman" w:cs="Times New Roman"/>
                <w:color w:val="000000"/>
                <w:sz w:val="18"/>
                <w:szCs w:val="18"/>
                <w:lang w:val="en-US" w:eastAsia="sk-SK"/>
              </w:rPr>
            </w:pPr>
            <w:r w:rsidRPr="0052153F">
              <w:rPr>
                <w:rFonts w:eastAsia="Times New Roman" w:cs="Times New Roman"/>
                <w:color w:val="000000"/>
                <w:sz w:val="18"/>
                <w:szCs w:val="18"/>
                <w:lang w:eastAsia="sk-SK"/>
              </w:rPr>
              <w:t>-1,1</w:t>
            </w:r>
          </w:p>
        </w:tc>
        <w:tc>
          <w:tcPr>
            <w:tcW w:w="1237" w:type="dxa"/>
            <w:tcBorders>
              <w:top w:val="nil"/>
              <w:left w:val="nil"/>
              <w:bottom w:val="nil"/>
              <w:right w:val="nil"/>
            </w:tcBorders>
            <w:shd w:val="clear" w:color="auto" w:fill="auto"/>
            <w:vAlign w:val="bottom"/>
            <w:hideMark/>
          </w:tcPr>
          <w:p w14:paraId="1FE4A7CB" w14:textId="77777777" w:rsidR="00790612" w:rsidRPr="0052153F" w:rsidRDefault="00790612" w:rsidP="00790612">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-3,2</w:t>
            </w:r>
          </w:p>
        </w:tc>
      </w:tr>
      <w:tr w:rsidR="00790612" w:rsidRPr="0052153F" w14:paraId="547A32F6" w14:textId="77777777" w:rsidTr="00CA5851">
        <w:trPr>
          <w:trHeight w:val="268"/>
          <w:jc w:val="center"/>
        </w:trPr>
        <w:tc>
          <w:tcPr>
            <w:tcW w:w="4350" w:type="dxa"/>
            <w:tcBorders>
              <w:top w:val="nil"/>
              <w:left w:val="nil"/>
              <w:bottom w:val="nil"/>
              <w:right w:val="nil"/>
            </w:tcBorders>
            <w:shd w:val="clear" w:color="auto" w:fill="auto"/>
            <w:vAlign w:val="bottom"/>
            <w:hideMark/>
          </w:tcPr>
          <w:p w14:paraId="55118886" w14:textId="77777777" w:rsidR="00790612" w:rsidRPr="0052153F" w:rsidRDefault="00790612" w:rsidP="00790612">
            <w:pPr>
              <w:spacing w:after="0" w:line="240" w:lineRule="auto"/>
              <w:jc w:val="left"/>
              <w:rPr>
                <w:rFonts w:eastAsia="Times New Roman" w:cs="Times New Roman"/>
                <w:color w:val="000000"/>
                <w:sz w:val="18"/>
                <w:szCs w:val="18"/>
                <w:lang w:eastAsia="sk-SK"/>
              </w:rPr>
            </w:pPr>
            <w:r w:rsidRPr="0052153F">
              <w:rPr>
                <w:rFonts w:eastAsia="Times New Roman" w:cs="Times New Roman"/>
                <w:color w:val="000000"/>
                <w:sz w:val="18"/>
                <w:szCs w:val="18"/>
                <w:lang w:eastAsia="sk-SK"/>
              </w:rPr>
              <w:t>Konečná spotreba domácností a NISD,  nominálny rast</w:t>
            </w:r>
          </w:p>
        </w:tc>
        <w:tc>
          <w:tcPr>
            <w:tcW w:w="1323" w:type="dxa"/>
            <w:tcBorders>
              <w:top w:val="nil"/>
              <w:left w:val="nil"/>
              <w:bottom w:val="nil"/>
              <w:right w:val="nil"/>
            </w:tcBorders>
            <w:shd w:val="clear" w:color="auto" w:fill="auto"/>
            <w:vAlign w:val="bottom"/>
            <w:hideMark/>
          </w:tcPr>
          <w:p w14:paraId="1CAF5027" w14:textId="77777777" w:rsidR="00790612" w:rsidRPr="0052153F" w:rsidRDefault="00790612" w:rsidP="00790612">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4,2</w:t>
            </w:r>
          </w:p>
        </w:tc>
        <w:tc>
          <w:tcPr>
            <w:tcW w:w="1103" w:type="dxa"/>
            <w:tcBorders>
              <w:top w:val="nil"/>
              <w:left w:val="nil"/>
              <w:bottom w:val="nil"/>
              <w:right w:val="nil"/>
            </w:tcBorders>
            <w:shd w:val="clear" w:color="auto" w:fill="BFBFBF" w:themeFill="background1" w:themeFillShade="BF"/>
            <w:vAlign w:val="bottom"/>
            <w:hideMark/>
          </w:tcPr>
          <w:p w14:paraId="0CA2A8FC" w14:textId="77777777" w:rsidR="00790612" w:rsidRPr="0052153F" w:rsidRDefault="00790612" w:rsidP="00790612">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1,1</w:t>
            </w:r>
          </w:p>
        </w:tc>
        <w:tc>
          <w:tcPr>
            <w:tcW w:w="1237" w:type="dxa"/>
            <w:tcBorders>
              <w:top w:val="nil"/>
              <w:left w:val="nil"/>
              <w:bottom w:val="nil"/>
              <w:right w:val="nil"/>
            </w:tcBorders>
            <w:shd w:val="clear" w:color="auto" w:fill="auto"/>
            <w:vAlign w:val="bottom"/>
            <w:hideMark/>
          </w:tcPr>
          <w:p w14:paraId="57398398" w14:textId="77777777" w:rsidR="00790612" w:rsidRPr="0052153F" w:rsidRDefault="00790612" w:rsidP="00790612">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-3,1</w:t>
            </w:r>
          </w:p>
        </w:tc>
      </w:tr>
      <w:tr w:rsidR="00790612" w:rsidRPr="0052153F" w14:paraId="6FFB8325" w14:textId="77777777" w:rsidTr="00CA5851">
        <w:trPr>
          <w:trHeight w:val="268"/>
          <w:jc w:val="center"/>
        </w:trPr>
        <w:tc>
          <w:tcPr>
            <w:tcW w:w="4350" w:type="dxa"/>
            <w:tcBorders>
              <w:top w:val="nil"/>
              <w:left w:val="nil"/>
              <w:bottom w:val="nil"/>
              <w:right w:val="nil"/>
            </w:tcBorders>
            <w:shd w:val="clear" w:color="auto" w:fill="auto"/>
            <w:vAlign w:val="bottom"/>
            <w:hideMark/>
          </w:tcPr>
          <w:p w14:paraId="6F01F1EA" w14:textId="77777777" w:rsidR="00790612" w:rsidRPr="0052153F" w:rsidRDefault="00790612" w:rsidP="00790612">
            <w:pPr>
              <w:spacing w:after="0" w:line="240" w:lineRule="auto"/>
              <w:jc w:val="left"/>
              <w:rPr>
                <w:rFonts w:eastAsia="Times New Roman" w:cs="Times New Roman"/>
                <w:color w:val="000000"/>
                <w:sz w:val="18"/>
                <w:szCs w:val="18"/>
                <w:lang w:eastAsia="sk-SK"/>
              </w:rPr>
            </w:pPr>
            <w:r w:rsidRPr="0052153F">
              <w:rPr>
                <w:rFonts w:eastAsia="Times New Roman" w:cs="Times New Roman"/>
                <w:color w:val="000000"/>
                <w:sz w:val="18"/>
                <w:szCs w:val="18"/>
                <w:lang w:eastAsia="sk-SK"/>
              </w:rPr>
              <w:t>Priemerná mesačná mzda,  reálny rast</w:t>
            </w:r>
          </w:p>
        </w:tc>
        <w:tc>
          <w:tcPr>
            <w:tcW w:w="1323" w:type="dxa"/>
            <w:tcBorders>
              <w:top w:val="nil"/>
              <w:left w:val="nil"/>
              <w:bottom w:val="nil"/>
              <w:right w:val="nil"/>
            </w:tcBorders>
            <w:shd w:val="clear" w:color="auto" w:fill="auto"/>
            <w:vAlign w:val="bottom"/>
            <w:hideMark/>
          </w:tcPr>
          <w:p w14:paraId="38AA8316" w14:textId="77777777" w:rsidR="00790612" w:rsidRPr="0052153F" w:rsidRDefault="00790612" w:rsidP="00790612">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2,5</w:t>
            </w:r>
          </w:p>
        </w:tc>
        <w:tc>
          <w:tcPr>
            <w:tcW w:w="1103" w:type="dxa"/>
            <w:tcBorders>
              <w:top w:val="nil"/>
              <w:left w:val="nil"/>
              <w:bottom w:val="nil"/>
              <w:right w:val="nil"/>
            </w:tcBorders>
            <w:shd w:val="clear" w:color="auto" w:fill="BFBFBF" w:themeFill="background1" w:themeFillShade="BF"/>
            <w:vAlign w:val="bottom"/>
            <w:hideMark/>
          </w:tcPr>
          <w:p w14:paraId="0073BE2F" w14:textId="77777777" w:rsidR="00790612" w:rsidRPr="0052153F" w:rsidRDefault="00790612" w:rsidP="00790612">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1,8</w:t>
            </w:r>
          </w:p>
        </w:tc>
        <w:tc>
          <w:tcPr>
            <w:tcW w:w="1237" w:type="dxa"/>
            <w:tcBorders>
              <w:top w:val="nil"/>
              <w:left w:val="nil"/>
              <w:bottom w:val="nil"/>
              <w:right w:val="nil"/>
            </w:tcBorders>
            <w:shd w:val="clear" w:color="auto" w:fill="auto"/>
            <w:vAlign w:val="bottom"/>
            <w:hideMark/>
          </w:tcPr>
          <w:p w14:paraId="7353C6B8" w14:textId="77777777" w:rsidR="00790612" w:rsidRPr="0052153F" w:rsidRDefault="00790612" w:rsidP="00790612">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-0,7</w:t>
            </w:r>
          </w:p>
        </w:tc>
      </w:tr>
      <w:tr w:rsidR="00790612" w:rsidRPr="0052153F" w14:paraId="6FFD44E4" w14:textId="77777777" w:rsidTr="00CA5851">
        <w:trPr>
          <w:trHeight w:val="268"/>
          <w:jc w:val="center"/>
        </w:trPr>
        <w:tc>
          <w:tcPr>
            <w:tcW w:w="4350" w:type="dxa"/>
            <w:tcBorders>
              <w:top w:val="nil"/>
              <w:left w:val="nil"/>
              <w:bottom w:val="nil"/>
              <w:right w:val="nil"/>
            </w:tcBorders>
            <w:shd w:val="clear" w:color="auto" w:fill="auto"/>
            <w:vAlign w:val="bottom"/>
            <w:hideMark/>
          </w:tcPr>
          <w:p w14:paraId="1EE30307" w14:textId="77777777" w:rsidR="00790612" w:rsidRPr="0052153F" w:rsidRDefault="00790612" w:rsidP="00790612">
            <w:pPr>
              <w:spacing w:after="0" w:line="240" w:lineRule="auto"/>
              <w:jc w:val="left"/>
              <w:rPr>
                <w:rFonts w:eastAsia="Times New Roman" w:cs="Times New Roman"/>
                <w:color w:val="000000"/>
                <w:sz w:val="18"/>
                <w:szCs w:val="18"/>
                <w:lang w:eastAsia="sk-SK"/>
              </w:rPr>
            </w:pPr>
            <w:r w:rsidRPr="0052153F">
              <w:rPr>
                <w:rFonts w:eastAsia="Times New Roman" w:cs="Times New Roman"/>
                <w:color w:val="000000"/>
                <w:sz w:val="18"/>
                <w:szCs w:val="18"/>
                <w:lang w:eastAsia="sk-SK"/>
              </w:rPr>
              <w:t>Priemerná mesačná mzda,  nominálny rast</w:t>
            </w:r>
          </w:p>
        </w:tc>
        <w:tc>
          <w:tcPr>
            <w:tcW w:w="1323" w:type="dxa"/>
            <w:tcBorders>
              <w:top w:val="nil"/>
              <w:left w:val="nil"/>
              <w:bottom w:val="nil"/>
              <w:right w:val="nil"/>
            </w:tcBorders>
            <w:shd w:val="clear" w:color="auto" w:fill="auto"/>
            <w:vAlign w:val="bottom"/>
            <w:hideMark/>
          </w:tcPr>
          <w:p w14:paraId="05F7DC44" w14:textId="77777777" w:rsidR="00790612" w:rsidRPr="0052153F" w:rsidRDefault="00790612" w:rsidP="00790612">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4,7</w:t>
            </w:r>
          </w:p>
        </w:tc>
        <w:tc>
          <w:tcPr>
            <w:tcW w:w="1103" w:type="dxa"/>
            <w:tcBorders>
              <w:top w:val="nil"/>
              <w:left w:val="nil"/>
              <w:bottom w:val="nil"/>
              <w:right w:val="nil"/>
            </w:tcBorders>
            <w:shd w:val="clear" w:color="auto" w:fill="BFBFBF" w:themeFill="background1" w:themeFillShade="BF"/>
            <w:vAlign w:val="bottom"/>
            <w:hideMark/>
          </w:tcPr>
          <w:p w14:paraId="10C9E370" w14:textId="77777777" w:rsidR="00790612" w:rsidRPr="0052153F" w:rsidRDefault="00790612" w:rsidP="00790612">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3,8</w:t>
            </w:r>
          </w:p>
        </w:tc>
        <w:tc>
          <w:tcPr>
            <w:tcW w:w="1237" w:type="dxa"/>
            <w:tcBorders>
              <w:top w:val="nil"/>
              <w:left w:val="nil"/>
              <w:bottom w:val="nil"/>
              <w:right w:val="nil"/>
            </w:tcBorders>
            <w:shd w:val="clear" w:color="auto" w:fill="auto"/>
            <w:vAlign w:val="bottom"/>
            <w:hideMark/>
          </w:tcPr>
          <w:p w14:paraId="2C270526" w14:textId="77777777" w:rsidR="00790612" w:rsidRPr="0052153F" w:rsidRDefault="00790612" w:rsidP="00790612">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-0,9</w:t>
            </w:r>
          </w:p>
        </w:tc>
      </w:tr>
      <w:tr w:rsidR="00790612" w:rsidRPr="0052153F" w14:paraId="54C55CB2" w14:textId="77777777" w:rsidTr="00CA5851">
        <w:trPr>
          <w:trHeight w:val="268"/>
          <w:jc w:val="center"/>
        </w:trPr>
        <w:tc>
          <w:tcPr>
            <w:tcW w:w="4350" w:type="dxa"/>
            <w:tcBorders>
              <w:top w:val="nil"/>
              <w:left w:val="nil"/>
              <w:bottom w:val="nil"/>
              <w:right w:val="nil"/>
            </w:tcBorders>
            <w:shd w:val="clear" w:color="auto" w:fill="auto"/>
            <w:vAlign w:val="bottom"/>
            <w:hideMark/>
          </w:tcPr>
          <w:p w14:paraId="6248C09C" w14:textId="77777777" w:rsidR="00790612" w:rsidRPr="0052153F" w:rsidRDefault="00790612" w:rsidP="00790612">
            <w:pPr>
              <w:spacing w:after="0" w:line="240" w:lineRule="auto"/>
              <w:jc w:val="left"/>
              <w:rPr>
                <w:rFonts w:eastAsia="Times New Roman" w:cs="Times New Roman"/>
                <w:color w:val="000000"/>
                <w:sz w:val="18"/>
                <w:szCs w:val="18"/>
                <w:lang w:eastAsia="sk-SK"/>
              </w:rPr>
            </w:pPr>
            <w:r w:rsidRPr="0052153F">
              <w:rPr>
                <w:rFonts w:eastAsia="Times New Roman" w:cs="Times New Roman"/>
                <w:color w:val="000000"/>
                <w:sz w:val="18"/>
                <w:szCs w:val="18"/>
                <w:lang w:eastAsia="sk-SK"/>
              </w:rPr>
              <w:t>Zamestnanosť (ESA)</w:t>
            </w:r>
          </w:p>
        </w:tc>
        <w:tc>
          <w:tcPr>
            <w:tcW w:w="1323" w:type="dxa"/>
            <w:tcBorders>
              <w:top w:val="nil"/>
              <w:left w:val="nil"/>
              <w:bottom w:val="nil"/>
              <w:right w:val="nil"/>
            </w:tcBorders>
            <w:shd w:val="clear" w:color="auto" w:fill="auto"/>
            <w:vAlign w:val="bottom"/>
            <w:hideMark/>
          </w:tcPr>
          <w:p w14:paraId="1C11FC29" w14:textId="77777777" w:rsidR="00790612" w:rsidRPr="0052153F" w:rsidRDefault="00790612" w:rsidP="00790612">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0,2</w:t>
            </w:r>
          </w:p>
        </w:tc>
        <w:tc>
          <w:tcPr>
            <w:tcW w:w="1103" w:type="dxa"/>
            <w:tcBorders>
              <w:top w:val="nil"/>
              <w:left w:val="nil"/>
              <w:bottom w:val="nil"/>
              <w:right w:val="nil"/>
            </w:tcBorders>
            <w:shd w:val="clear" w:color="auto" w:fill="BFBFBF" w:themeFill="background1" w:themeFillShade="BF"/>
            <w:vAlign w:val="bottom"/>
            <w:hideMark/>
          </w:tcPr>
          <w:p w14:paraId="7903826A" w14:textId="77777777" w:rsidR="00790612" w:rsidRPr="0052153F" w:rsidRDefault="00790612" w:rsidP="00790612">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-1,9</w:t>
            </w:r>
          </w:p>
        </w:tc>
        <w:tc>
          <w:tcPr>
            <w:tcW w:w="1237" w:type="dxa"/>
            <w:tcBorders>
              <w:top w:val="nil"/>
              <w:left w:val="nil"/>
              <w:bottom w:val="nil"/>
              <w:right w:val="nil"/>
            </w:tcBorders>
            <w:shd w:val="clear" w:color="auto" w:fill="auto"/>
            <w:vAlign w:val="bottom"/>
            <w:hideMark/>
          </w:tcPr>
          <w:p w14:paraId="16AF0E54" w14:textId="77777777" w:rsidR="00790612" w:rsidRPr="0052153F" w:rsidRDefault="00790612" w:rsidP="00790612">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-2,1</w:t>
            </w:r>
          </w:p>
        </w:tc>
      </w:tr>
      <w:tr w:rsidR="00790612" w:rsidRPr="0052153F" w14:paraId="15A4DB46" w14:textId="77777777" w:rsidTr="00CA5851">
        <w:trPr>
          <w:trHeight w:val="268"/>
          <w:jc w:val="center"/>
        </w:trPr>
        <w:tc>
          <w:tcPr>
            <w:tcW w:w="4350" w:type="dxa"/>
            <w:tcBorders>
              <w:top w:val="nil"/>
              <w:left w:val="nil"/>
              <w:bottom w:val="nil"/>
              <w:right w:val="nil"/>
            </w:tcBorders>
            <w:shd w:val="clear" w:color="auto" w:fill="auto"/>
            <w:vAlign w:val="bottom"/>
          </w:tcPr>
          <w:p w14:paraId="3281EAA3" w14:textId="77777777" w:rsidR="00790612" w:rsidRPr="0052153F" w:rsidRDefault="00790612" w:rsidP="00790612">
            <w:pPr>
              <w:spacing w:after="0" w:line="240" w:lineRule="auto"/>
              <w:jc w:val="left"/>
              <w:rPr>
                <w:rFonts w:eastAsia="Times New Roman" w:cs="Times New Roman"/>
                <w:color w:val="000000"/>
                <w:sz w:val="18"/>
                <w:szCs w:val="18"/>
                <w:lang w:eastAsia="sk-SK"/>
              </w:rPr>
            </w:pPr>
            <w:r w:rsidRPr="0052153F">
              <w:rPr>
                <w:rFonts w:eastAsia="Times New Roman" w:cs="Times New Roman"/>
                <w:color w:val="000000"/>
                <w:sz w:val="18"/>
                <w:szCs w:val="18"/>
                <w:lang w:eastAsia="sk-SK"/>
              </w:rPr>
              <w:t>Miera nezamestnanosti (VZPS)</w:t>
            </w:r>
          </w:p>
        </w:tc>
        <w:tc>
          <w:tcPr>
            <w:tcW w:w="1323" w:type="dxa"/>
            <w:tcBorders>
              <w:top w:val="nil"/>
              <w:left w:val="nil"/>
              <w:bottom w:val="nil"/>
              <w:right w:val="nil"/>
            </w:tcBorders>
            <w:shd w:val="clear" w:color="auto" w:fill="auto"/>
            <w:vAlign w:val="bottom"/>
          </w:tcPr>
          <w:p w14:paraId="3D133E1D" w14:textId="77777777" w:rsidR="00790612" w:rsidRPr="0052153F" w:rsidRDefault="00790612" w:rsidP="00790612">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5,8</w:t>
            </w:r>
          </w:p>
        </w:tc>
        <w:tc>
          <w:tcPr>
            <w:tcW w:w="1103" w:type="dxa"/>
            <w:tcBorders>
              <w:top w:val="nil"/>
              <w:left w:val="nil"/>
              <w:bottom w:val="nil"/>
              <w:right w:val="nil"/>
            </w:tcBorders>
            <w:shd w:val="clear" w:color="auto" w:fill="BFBFBF" w:themeFill="background1" w:themeFillShade="BF"/>
            <w:vAlign w:val="bottom"/>
          </w:tcPr>
          <w:p w14:paraId="2642C2A4" w14:textId="77777777" w:rsidR="00790612" w:rsidRPr="0052153F" w:rsidRDefault="00790612" w:rsidP="00790612">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6,7</w:t>
            </w:r>
          </w:p>
        </w:tc>
        <w:tc>
          <w:tcPr>
            <w:tcW w:w="1237" w:type="dxa"/>
            <w:tcBorders>
              <w:top w:val="nil"/>
              <w:left w:val="nil"/>
              <w:bottom w:val="nil"/>
              <w:right w:val="nil"/>
            </w:tcBorders>
            <w:shd w:val="clear" w:color="auto" w:fill="auto"/>
            <w:vAlign w:val="bottom"/>
          </w:tcPr>
          <w:p w14:paraId="6A31DAD4" w14:textId="77777777" w:rsidR="00790612" w:rsidRPr="0052153F" w:rsidRDefault="00790612" w:rsidP="00790612">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+0,9</w:t>
            </w:r>
          </w:p>
        </w:tc>
      </w:tr>
      <w:tr w:rsidR="00790612" w:rsidRPr="0052153F" w14:paraId="4FB5579E" w14:textId="77777777" w:rsidTr="00CA5851">
        <w:trPr>
          <w:trHeight w:val="268"/>
          <w:jc w:val="center"/>
        </w:trPr>
        <w:tc>
          <w:tcPr>
            <w:tcW w:w="4350" w:type="dxa"/>
            <w:tcBorders>
              <w:top w:val="nil"/>
              <w:left w:val="nil"/>
              <w:bottom w:val="nil"/>
              <w:right w:val="nil"/>
            </w:tcBorders>
            <w:shd w:val="clear" w:color="auto" w:fill="auto"/>
            <w:vAlign w:val="bottom"/>
            <w:hideMark/>
          </w:tcPr>
          <w:p w14:paraId="707CC140" w14:textId="77777777" w:rsidR="00790612" w:rsidRPr="0052153F" w:rsidRDefault="00790612" w:rsidP="00790612">
            <w:pPr>
              <w:spacing w:after="0" w:line="240" w:lineRule="auto"/>
              <w:jc w:val="left"/>
              <w:rPr>
                <w:rFonts w:eastAsia="Times New Roman" w:cs="Times New Roman"/>
                <w:color w:val="000000"/>
                <w:sz w:val="18"/>
                <w:szCs w:val="18"/>
                <w:lang w:eastAsia="sk-SK"/>
              </w:rPr>
            </w:pPr>
            <w:r w:rsidRPr="0052153F">
              <w:rPr>
                <w:rFonts w:eastAsia="Times New Roman" w:cs="Times New Roman"/>
                <w:color w:val="000000"/>
                <w:sz w:val="18"/>
                <w:szCs w:val="18"/>
                <w:lang w:eastAsia="sk-SK"/>
              </w:rPr>
              <w:t>Index spotrebiteľských cien,  priemerný rast</w:t>
            </w:r>
          </w:p>
        </w:tc>
        <w:tc>
          <w:tcPr>
            <w:tcW w:w="1323" w:type="dxa"/>
            <w:tcBorders>
              <w:top w:val="nil"/>
              <w:left w:val="nil"/>
              <w:bottom w:val="nil"/>
              <w:right w:val="nil"/>
            </w:tcBorders>
            <w:shd w:val="clear" w:color="auto" w:fill="auto"/>
            <w:vAlign w:val="bottom"/>
            <w:hideMark/>
          </w:tcPr>
          <w:p w14:paraId="7D0EB69F" w14:textId="77777777" w:rsidR="00790612" w:rsidRPr="0052153F" w:rsidRDefault="00790612" w:rsidP="00790612">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2,1</w:t>
            </w:r>
          </w:p>
        </w:tc>
        <w:tc>
          <w:tcPr>
            <w:tcW w:w="1103" w:type="dxa"/>
            <w:tcBorders>
              <w:top w:val="nil"/>
              <w:left w:val="nil"/>
              <w:bottom w:val="nil"/>
              <w:right w:val="nil"/>
            </w:tcBorders>
            <w:shd w:val="clear" w:color="auto" w:fill="BFBFBF" w:themeFill="background1" w:themeFillShade="BF"/>
            <w:vAlign w:val="bottom"/>
            <w:hideMark/>
          </w:tcPr>
          <w:p w14:paraId="3880F410" w14:textId="77777777" w:rsidR="00790612" w:rsidRPr="0052153F" w:rsidRDefault="00790612" w:rsidP="00790612">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1,9</w:t>
            </w:r>
          </w:p>
        </w:tc>
        <w:tc>
          <w:tcPr>
            <w:tcW w:w="1237" w:type="dxa"/>
            <w:tcBorders>
              <w:top w:val="nil"/>
              <w:left w:val="nil"/>
              <w:bottom w:val="nil"/>
              <w:right w:val="nil"/>
            </w:tcBorders>
            <w:shd w:val="clear" w:color="auto" w:fill="auto"/>
            <w:vAlign w:val="bottom"/>
            <w:hideMark/>
          </w:tcPr>
          <w:p w14:paraId="461FDEDB" w14:textId="77777777" w:rsidR="00790612" w:rsidRPr="0052153F" w:rsidRDefault="00790612" w:rsidP="00790612">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-0,2</w:t>
            </w:r>
          </w:p>
        </w:tc>
      </w:tr>
      <w:tr w:rsidR="00790612" w:rsidRPr="0052153F" w14:paraId="027AE9D3" w14:textId="77777777" w:rsidTr="00CA5851">
        <w:trPr>
          <w:trHeight w:val="268"/>
          <w:jc w:val="center"/>
        </w:trPr>
        <w:tc>
          <w:tcPr>
            <w:tcW w:w="4350" w:type="dxa"/>
            <w:tcBorders>
              <w:top w:val="nil"/>
              <w:left w:val="nil"/>
              <w:bottom w:val="nil"/>
              <w:right w:val="nil"/>
            </w:tcBorders>
            <w:shd w:val="clear" w:color="auto" w:fill="auto"/>
            <w:vAlign w:val="bottom"/>
          </w:tcPr>
          <w:p w14:paraId="7AEF1CFD" w14:textId="77777777" w:rsidR="00790612" w:rsidRPr="0052153F" w:rsidRDefault="00790612" w:rsidP="00790612">
            <w:pPr>
              <w:spacing w:after="0" w:line="240" w:lineRule="auto"/>
              <w:jc w:val="left"/>
              <w:rPr>
                <w:rFonts w:eastAsia="Times New Roman" w:cs="Times New Roman"/>
                <w:color w:val="000000"/>
                <w:sz w:val="18"/>
                <w:szCs w:val="18"/>
                <w:lang w:eastAsia="sk-SK"/>
              </w:rPr>
            </w:pPr>
            <w:r w:rsidRPr="0052153F">
              <w:rPr>
                <w:rFonts w:eastAsia="Times New Roman" w:cs="Times New Roman"/>
                <w:color w:val="000000"/>
                <w:sz w:val="18"/>
                <w:szCs w:val="18"/>
                <w:lang w:eastAsia="sk-SK"/>
              </w:rPr>
              <w:t>Saldo bežného účtu platobnej bilancie (% HDP)</w:t>
            </w:r>
          </w:p>
        </w:tc>
        <w:tc>
          <w:tcPr>
            <w:tcW w:w="1323" w:type="dxa"/>
            <w:tcBorders>
              <w:top w:val="nil"/>
              <w:left w:val="nil"/>
              <w:bottom w:val="nil"/>
              <w:right w:val="nil"/>
            </w:tcBorders>
            <w:shd w:val="clear" w:color="auto" w:fill="auto"/>
            <w:vAlign w:val="bottom"/>
          </w:tcPr>
          <w:p w14:paraId="423818E3" w14:textId="77777777" w:rsidR="00790612" w:rsidRPr="0052153F" w:rsidRDefault="00790612" w:rsidP="00790612">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-2,2</w:t>
            </w:r>
          </w:p>
        </w:tc>
        <w:tc>
          <w:tcPr>
            <w:tcW w:w="1103" w:type="dxa"/>
            <w:tcBorders>
              <w:top w:val="nil"/>
              <w:left w:val="nil"/>
              <w:bottom w:val="nil"/>
              <w:right w:val="nil"/>
            </w:tcBorders>
            <w:shd w:val="clear" w:color="auto" w:fill="BFBFBF" w:themeFill="background1" w:themeFillShade="BF"/>
            <w:vAlign w:val="bottom"/>
          </w:tcPr>
          <w:p w14:paraId="7D1F836B" w14:textId="77777777" w:rsidR="00790612" w:rsidRPr="0052153F" w:rsidRDefault="00790612" w:rsidP="00790612">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-0,4</w:t>
            </w:r>
          </w:p>
        </w:tc>
        <w:tc>
          <w:tcPr>
            <w:tcW w:w="1237" w:type="dxa"/>
            <w:tcBorders>
              <w:top w:val="nil"/>
              <w:left w:val="nil"/>
              <w:bottom w:val="nil"/>
              <w:right w:val="nil"/>
            </w:tcBorders>
            <w:shd w:val="clear" w:color="auto" w:fill="auto"/>
            <w:vAlign w:val="bottom"/>
          </w:tcPr>
          <w:p w14:paraId="3D01A099" w14:textId="77777777" w:rsidR="00790612" w:rsidRPr="0052153F" w:rsidRDefault="00790612" w:rsidP="00790612">
            <w:pPr>
              <w:spacing w:after="0" w:line="240" w:lineRule="auto"/>
              <w:jc w:val="center"/>
              <w:rPr>
                <w:rFonts w:eastAsia="Times New Roman" w:cs="Times New Roman"/>
                <w:color w:val="000000"/>
                <w:sz w:val="18"/>
                <w:szCs w:val="18"/>
                <w:lang w:eastAsia="sk-SK"/>
              </w:rPr>
            </w:pPr>
            <w:r w:rsidRPr="0052153F">
              <w:rPr>
                <w:rFonts w:eastAsia="Times New Roman" w:cs="Times New Roman"/>
                <w:color w:val="000000"/>
                <w:sz w:val="18"/>
                <w:szCs w:val="18"/>
                <w:lang w:eastAsia="sk-SK"/>
              </w:rPr>
              <w:t>+1,8</w:t>
            </w:r>
          </w:p>
        </w:tc>
      </w:tr>
      <w:tr w:rsidR="00790612" w:rsidRPr="0052153F" w14:paraId="1390392D" w14:textId="77777777" w:rsidTr="004B6995">
        <w:trPr>
          <w:trHeight w:val="268"/>
          <w:jc w:val="center"/>
        </w:trPr>
        <w:tc>
          <w:tcPr>
            <w:tcW w:w="8013" w:type="dxa"/>
            <w:gridSpan w:val="4"/>
            <w:tcBorders>
              <w:top w:val="single" w:sz="8" w:space="0" w:color="auto"/>
              <w:left w:val="nil"/>
              <w:bottom w:val="nil"/>
              <w:right w:val="nil"/>
            </w:tcBorders>
            <w:shd w:val="clear" w:color="auto" w:fill="auto"/>
            <w:vAlign w:val="bottom"/>
            <w:hideMark/>
          </w:tcPr>
          <w:p w14:paraId="4068E7C5" w14:textId="27A6D189" w:rsidR="00790612" w:rsidRPr="0052153F" w:rsidRDefault="00790612" w:rsidP="00790612">
            <w:pPr>
              <w:spacing w:after="0" w:line="240" w:lineRule="auto"/>
              <w:jc w:val="right"/>
              <w:rPr>
                <w:rFonts w:eastAsia="Times New Roman" w:cs="Times New Roman"/>
                <w:iCs/>
                <w:color w:val="000000"/>
                <w:sz w:val="18"/>
                <w:szCs w:val="18"/>
                <w:lang w:eastAsia="sk-SK"/>
              </w:rPr>
            </w:pPr>
            <w:proofErr w:type="spellStart"/>
            <w:r w:rsidRPr="0052153F">
              <w:rPr>
                <w:rFonts w:eastAsia="Times New Roman" w:cs="Times New Roman"/>
                <w:iCs/>
                <w:color w:val="000000"/>
                <w:sz w:val="18"/>
                <w:szCs w:val="18"/>
                <w:lang w:val="de-DE" w:eastAsia="sk-SK"/>
              </w:rPr>
              <w:t>Zdroj</w:t>
            </w:r>
            <w:proofErr w:type="spellEnd"/>
            <w:r w:rsidRPr="0052153F">
              <w:rPr>
                <w:rFonts w:eastAsia="Times New Roman" w:cs="Times New Roman"/>
                <w:iCs/>
                <w:color w:val="000000"/>
                <w:sz w:val="18"/>
                <w:szCs w:val="18"/>
                <w:lang w:val="de-DE" w:eastAsia="sk-SK"/>
              </w:rPr>
              <w:t>: MF SR, ŠÚ SR</w:t>
            </w:r>
          </w:p>
        </w:tc>
      </w:tr>
    </w:tbl>
    <w:p w14:paraId="1B4B6B86" w14:textId="7332DCED" w:rsidR="0032707C" w:rsidRDefault="00CA5851" w:rsidP="00B23C47">
      <w:pPr>
        <w:spacing w:after="0" w:line="240" w:lineRule="auto"/>
        <w:rPr>
          <w:sz w:val="24"/>
          <w:szCs w:val="24"/>
        </w:rPr>
      </w:pPr>
      <w:r w:rsidRPr="008E6BBC">
        <w:rPr>
          <w:sz w:val="24"/>
          <w:szCs w:val="24"/>
        </w:rPr>
        <w:t>Rok 2020 skončil z pohľadu makroekonomických základní pre dane a odvody negatívne. Zhoršenie vývoja na trhu práce viedlo k pomalšiemu rastu mzdovej bázy, ktorá je najvýznamnejšou základňou pre daň z príjmu fyzických osôb a odvodov. Pomalšie oproti očakávaniam rástla aj nominálna spotreba, kým reálna spotreba, ako aj reálne a nominálne HDP dokonca klesli. Celkovo tak makroekonomický vývoj vytvoril negatívne riziká pre rozpočtované príjmy verejnej správy v roku 2020</w:t>
      </w:r>
      <w:r>
        <w:rPr>
          <w:sz w:val="24"/>
          <w:szCs w:val="24"/>
        </w:rPr>
        <w:t>.</w:t>
      </w:r>
      <w:bookmarkStart w:id="18" w:name="_Toc6415634"/>
    </w:p>
    <w:p w14:paraId="1C9FB002" w14:textId="28289EB4" w:rsidR="005F5B88" w:rsidRDefault="005F5B88" w:rsidP="00387B36">
      <w:pPr>
        <w:pStyle w:val="Nadpis1"/>
        <w:ind w:left="426"/>
      </w:pPr>
      <w:bookmarkStart w:id="19" w:name="_Toc70026083"/>
      <w:r w:rsidRPr="00344297">
        <w:t>Hospodárenie verejnej správy v metodike ESA 2010</w:t>
      </w:r>
      <w:bookmarkEnd w:id="18"/>
      <w:bookmarkEnd w:id="19"/>
    </w:p>
    <w:p w14:paraId="33C02B3C" w14:textId="77777777" w:rsidR="00CB3C45" w:rsidRPr="009669CD" w:rsidRDefault="00CB3C45" w:rsidP="00CB3C45">
      <w:pPr>
        <w:pStyle w:val="Nadpis2"/>
        <w:jc w:val="left"/>
      </w:pPr>
      <w:bookmarkStart w:id="20" w:name="_Toc70026084"/>
      <w:r w:rsidRPr="009669CD">
        <w:t xml:space="preserve">Zámery, ciele a opatrenia rozpočtovej politiky v roku </w:t>
      </w:r>
      <w:r>
        <w:t>2020</w:t>
      </w:r>
      <w:bookmarkEnd w:id="20"/>
    </w:p>
    <w:p w14:paraId="6E4765A0" w14:textId="77777777" w:rsidR="00CB3C45" w:rsidRPr="00F8692C" w:rsidRDefault="00CB3C45" w:rsidP="00F8692C">
      <w:pPr>
        <w:spacing w:line="240" w:lineRule="auto"/>
        <w:rPr>
          <w:sz w:val="24"/>
          <w:szCs w:val="24"/>
        </w:rPr>
      </w:pPr>
      <w:r w:rsidRPr="00F8692C">
        <w:rPr>
          <w:sz w:val="24"/>
          <w:szCs w:val="24"/>
        </w:rPr>
        <w:t>Rozpočet verejnej správy na roky 2020 až 2022 bol vypracovaný v intenciách Programového vyhlásenia vlády SR, kde medzi hlavné priority vlády SR patrilo ozdravenie verejných financií s cieľom dosiahnuť dlhodobú udržateľnosť verejných financií. Stratégia rozpočtovej politiky pri zostavovaní rozpočtu verejnej správy na rok 2020, ako aj pre nasledujúce rozpočtové roky, bola zameraná na ďalšie zlepšovanie rozpočtovej pozície verejnej správy, pričom základným cieľom rozpočtovej politiky bolo dosiahnutie dlhodobej udržateľnosti verejných financií. Splnenie uvedeného cieľa si vyžadovalo pokračovanie v konsolidácii aj v nasledujúcom období. Strednodobým rozpočtovým cieľom verejných financií bolo dosiahnutie vyrovnaného štrukturálneho salda.</w:t>
      </w:r>
    </w:p>
    <w:p w14:paraId="44129A3E" w14:textId="77777777" w:rsidR="00CB3C45" w:rsidRPr="00F8692C" w:rsidRDefault="00CB3C45" w:rsidP="00F8692C">
      <w:pPr>
        <w:spacing w:line="240" w:lineRule="auto"/>
        <w:rPr>
          <w:sz w:val="24"/>
          <w:szCs w:val="24"/>
        </w:rPr>
      </w:pPr>
      <w:r w:rsidRPr="00F8692C">
        <w:rPr>
          <w:sz w:val="24"/>
          <w:szCs w:val="24"/>
        </w:rPr>
        <w:t xml:space="preserve">Rozpočet verejnej správy na roky 2020 až 2022 vychádzal z aktuálnej prognózy makroekonomického vývoja a prognózy daňových a odvodových príjmov do roku 2022. Zároveň zohľadňoval aj aktuálny predpoklad vývoja rozpočtu verejnej správy v priebehu roku 2019.  </w:t>
      </w:r>
    </w:p>
    <w:p w14:paraId="0EF716AF" w14:textId="2E3BE088" w:rsidR="00CE31C1" w:rsidRPr="00F94C23" w:rsidRDefault="00CE31C1" w:rsidP="00F8692C">
      <w:pPr>
        <w:spacing w:line="240" w:lineRule="auto"/>
        <w:rPr>
          <w:bCs/>
          <w:sz w:val="24"/>
          <w:szCs w:val="24"/>
        </w:rPr>
      </w:pPr>
      <w:r>
        <w:rPr>
          <w:sz w:val="24"/>
          <w:szCs w:val="24"/>
        </w:rPr>
        <w:t>R</w:t>
      </w:r>
      <w:r w:rsidR="00CB3C45" w:rsidRPr="00F8692C">
        <w:rPr>
          <w:sz w:val="24"/>
          <w:szCs w:val="24"/>
        </w:rPr>
        <w:t>ozpočtový</w:t>
      </w:r>
      <w:r w:rsidR="00CB3C45" w:rsidRPr="00F8692C">
        <w:rPr>
          <w:bCs/>
          <w:sz w:val="24"/>
          <w:szCs w:val="24"/>
        </w:rPr>
        <w:t xml:space="preserve"> cieľ vlády SR v rámci rozpočtu verejnej správy na roky 2020 - 2022 (z decembra 2019) bol </w:t>
      </w:r>
      <w:r w:rsidR="00CB3C45" w:rsidRPr="00F94C23">
        <w:rPr>
          <w:bCs/>
          <w:sz w:val="24"/>
          <w:szCs w:val="24"/>
        </w:rPr>
        <w:t>schválený v </w:t>
      </w:r>
      <w:r w:rsidR="00CB3C45" w:rsidRPr="00EE0233">
        <w:rPr>
          <w:bCs/>
          <w:sz w:val="24"/>
          <w:szCs w:val="24"/>
        </w:rPr>
        <w:t>podobe deficitu verejných financií v roku 2020 vo výške 0,49</w:t>
      </w:r>
      <w:r w:rsidR="007B03D6" w:rsidRPr="00EE0233">
        <w:rPr>
          <w:bCs/>
          <w:sz w:val="24"/>
          <w:szCs w:val="24"/>
        </w:rPr>
        <w:t> </w:t>
      </w:r>
      <w:r w:rsidR="00CB3C45" w:rsidRPr="00EE0233">
        <w:rPr>
          <w:bCs/>
          <w:sz w:val="24"/>
          <w:szCs w:val="24"/>
        </w:rPr>
        <w:t>%.</w:t>
      </w:r>
      <w:r w:rsidRPr="00EE0233">
        <w:rPr>
          <w:bCs/>
          <w:sz w:val="24"/>
          <w:szCs w:val="24"/>
        </w:rPr>
        <w:t xml:space="preserve"> Na možné riziká dosiahnutia plánovaného schodku upozorňovala Rada pre rozpočtovú zodpovednosť</w:t>
      </w:r>
      <w:r w:rsidR="00136895" w:rsidRPr="00EE0233">
        <w:rPr>
          <w:bCs/>
          <w:sz w:val="24"/>
          <w:szCs w:val="24"/>
        </w:rPr>
        <w:t xml:space="preserve">, ktorá odhadovala </w:t>
      </w:r>
      <w:r w:rsidR="00EE0233" w:rsidRPr="00EE0233">
        <w:rPr>
          <w:bCs/>
          <w:sz w:val="24"/>
          <w:szCs w:val="24"/>
        </w:rPr>
        <w:t xml:space="preserve">schodok </w:t>
      </w:r>
      <w:r w:rsidR="00136895" w:rsidRPr="00EE0233">
        <w:rPr>
          <w:bCs/>
          <w:sz w:val="24"/>
          <w:szCs w:val="24"/>
        </w:rPr>
        <w:t>na 1,</w:t>
      </w:r>
      <w:r w:rsidR="00EE0233" w:rsidRPr="00EE0233">
        <w:rPr>
          <w:bCs/>
          <w:sz w:val="24"/>
          <w:szCs w:val="24"/>
        </w:rPr>
        <w:t>8</w:t>
      </w:r>
      <w:r w:rsidR="00136895" w:rsidRPr="00EE0233">
        <w:rPr>
          <w:bCs/>
          <w:sz w:val="24"/>
          <w:szCs w:val="24"/>
        </w:rPr>
        <w:t xml:space="preserve"> % HDP.</w:t>
      </w:r>
    </w:p>
    <w:p w14:paraId="51F2A6A0" w14:textId="77777777" w:rsidR="00CB3C45" w:rsidRPr="00F8692C" w:rsidRDefault="00CB3C45" w:rsidP="00F8692C">
      <w:pPr>
        <w:spacing w:line="240" w:lineRule="auto"/>
        <w:rPr>
          <w:sz w:val="24"/>
          <w:szCs w:val="24"/>
        </w:rPr>
      </w:pPr>
      <w:r w:rsidRPr="00F94C23">
        <w:rPr>
          <w:sz w:val="24"/>
          <w:szCs w:val="24"/>
        </w:rPr>
        <w:t>Rozpočet verejnej správy na roky 2020 - 2022 bol vypracovaný v metodike ESA 2010, pričom reagoval aj na zmeny vyplývajúce</w:t>
      </w:r>
      <w:r w:rsidRPr="00F8692C">
        <w:rPr>
          <w:sz w:val="24"/>
          <w:szCs w:val="24"/>
        </w:rPr>
        <w:t xml:space="preserve"> z poslednej benchmarkovej revízie výkazníctva zo strany </w:t>
      </w:r>
      <w:proofErr w:type="spellStart"/>
      <w:r w:rsidRPr="00F8692C">
        <w:rPr>
          <w:sz w:val="24"/>
          <w:szCs w:val="24"/>
        </w:rPr>
        <w:t>Eurostatu</w:t>
      </w:r>
      <w:proofErr w:type="spellEnd"/>
      <w:r w:rsidRPr="00F8692C">
        <w:rPr>
          <w:sz w:val="24"/>
          <w:szCs w:val="24"/>
        </w:rPr>
        <w:t>, v zmysle usmernení Štatistického úradu SR, keď rozpočet už počítal so zmenou zaznamenania príspevkov prevádzkovateľov jadrových zariadení Národnému jadrovému fondu a úrokov, ktoré Národný jadrový fond získava správou naakumulovaných prostriedkov prevádzkovateľov jadrových zariadení a so zmenou zaznamenania príjmu z licencií na poskytovanie mobilných služieb (UMTS)</w:t>
      </w:r>
      <w:r w:rsidRPr="00F8692C">
        <w:rPr>
          <w:rStyle w:val="Odkaznapoznmkupodiarou"/>
          <w:sz w:val="24"/>
          <w:szCs w:val="24"/>
        </w:rPr>
        <w:footnoteReference w:id="3"/>
      </w:r>
      <w:r w:rsidRPr="00F8692C">
        <w:rPr>
          <w:sz w:val="24"/>
          <w:szCs w:val="24"/>
        </w:rPr>
        <w:t>.</w:t>
      </w:r>
    </w:p>
    <w:p w14:paraId="1E094928" w14:textId="77777777" w:rsidR="000F375D" w:rsidRDefault="00CB3C45" w:rsidP="00F8692C">
      <w:pPr>
        <w:spacing w:line="240" w:lineRule="auto"/>
        <w:rPr>
          <w:sz w:val="24"/>
          <w:szCs w:val="24"/>
        </w:rPr>
      </w:pPr>
      <w:r w:rsidRPr="00F8692C">
        <w:rPr>
          <w:sz w:val="24"/>
          <w:szCs w:val="24"/>
        </w:rPr>
        <w:t>Súčasťou rozpočtu verejnej správy na roky 2020 až 2022 boli viaceré tituly vyplývajúce jednak z legislatívnych zmien, na druhej strane z prijatých opatrení a zámerov vlády SR. Uvedené opatrenia boli zapracované tak na strane prí</w:t>
      </w:r>
      <w:r w:rsidR="000F375D">
        <w:rPr>
          <w:sz w:val="24"/>
          <w:szCs w:val="24"/>
        </w:rPr>
        <w:t>jmov ako aj na strane výdavkov.</w:t>
      </w:r>
    </w:p>
    <w:p w14:paraId="41ED89F9" w14:textId="6CD2F9B0" w:rsidR="000F375D" w:rsidRDefault="00CB3C45" w:rsidP="00F8692C">
      <w:pPr>
        <w:spacing w:line="240" w:lineRule="auto"/>
        <w:rPr>
          <w:sz w:val="24"/>
          <w:szCs w:val="24"/>
        </w:rPr>
      </w:pPr>
      <w:r w:rsidRPr="00F8692C">
        <w:rPr>
          <w:sz w:val="24"/>
          <w:szCs w:val="24"/>
        </w:rPr>
        <w:t>Opatrenia na príjmovej strane sa týkali v prevažnej miere daňových príjmov, a to s cieľom efektívnejšieho výberu daní a zníženia počtu daňových únikov. Na príjmovej strane bolo okrem iných opatrení zapracované zvýšenie možnosti odpočtu výdavkov na vedu a výskum, zvýšenie výšky nezdaniteľnej časti základu dane pre daňovníka, zníže</w:t>
      </w:r>
      <w:r w:rsidR="007B03D6">
        <w:rPr>
          <w:sz w:val="24"/>
          <w:szCs w:val="24"/>
        </w:rPr>
        <w:t>nie sadzby dane z príjmov na 15 </w:t>
      </w:r>
      <w:r w:rsidRPr="00F8692C">
        <w:rPr>
          <w:sz w:val="24"/>
          <w:szCs w:val="24"/>
        </w:rPr>
        <w:t>% pre právnické osoby a živnostníkov, ktorých výnosy alebo príjmy sú nižšie ako 100</w:t>
      </w:r>
      <w:r w:rsidR="007B03D6">
        <w:rPr>
          <w:sz w:val="24"/>
          <w:szCs w:val="24"/>
        </w:rPr>
        <w:t> tis. </w:t>
      </w:r>
      <w:r w:rsidRPr="00F8692C">
        <w:rPr>
          <w:sz w:val="24"/>
          <w:szCs w:val="24"/>
        </w:rPr>
        <w:t>eur ročne. V dani z pridanej hodnoty bola zavedená znížená sadzba na vybra</w:t>
      </w:r>
      <w:r w:rsidR="000F375D">
        <w:rPr>
          <w:sz w:val="24"/>
          <w:szCs w:val="24"/>
        </w:rPr>
        <w:t xml:space="preserve">né potraviny a printové médiá. </w:t>
      </w:r>
    </w:p>
    <w:p w14:paraId="64EF2FE6" w14:textId="50D2F7D6" w:rsidR="00CB3C45" w:rsidRPr="00F8692C" w:rsidRDefault="00CB3C45" w:rsidP="00F8692C">
      <w:pPr>
        <w:spacing w:line="240" w:lineRule="auto"/>
        <w:rPr>
          <w:sz w:val="24"/>
          <w:szCs w:val="24"/>
        </w:rPr>
      </w:pPr>
      <w:r w:rsidRPr="00F8692C">
        <w:rPr>
          <w:sz w:val="24"/>
          <w:szCs w:val="24"/>
        </w:rPr>
        <w:t xml:space="preserve">Legislatívne zmeny a priority prijaté vládou SR sa odzrkadlili aj na strane výdavkov rozpočtu verejnej správy. V rámci sociálnej oblasti boli v rozpočte premietnuté legislatívne zmeny súvisiace najmä so zavedením jednorazového príspevku na školské potreby pre deti nastupujúce do školy, so zvýšením rodičovského príspevku, zdvojnásobením výšky vianočného príspevku a systémovej zmeny spôsobu výpočtu základného minimálneho dôchodku. Zvyšoval sa aj peňažný príspevok na opatrovanie a finančný príspevok na poskytovanie sociálnej služby v zariadeniach podmienených odkázanosťou. V súlade s uzatvorenými kolektívnymi zmluvami vyššieho stupňa a nadväzujúcu legislatívu bola na rok 2020 do rozpočtu príslušných kapitol štátneho rozpočtu rozpočtovaná valorizácia na úrovni 10 % s účinnosťou od 1. januára 2020 pre štátnych zamestnancov a zamestnancov pri výkone práce vo verejnom záujme, ako aj finančné prostriedky pre pedagogických a odborných zamestnancov, ako aj na zlepšenie odmeňovania začínajúcich učiteľov. </w:t>
      </w:r>
    </w:p>
    <w:p w14:paraId="470D7A59" w14:textId="77777777" w:rsidR="00CB3C45" w:rsidRPr="00F8692C" w:rsidRDefault="00CB3C45" w:rsidP="00F8692C">
      <w:pPr>
        <w:spacing w:line="240" w:lineRule="auto"/>
        <w:rPr>
          <w:b/>
          <w:sz w:val="24"/>
          <w:szCs w:val="24"/>
        </w:rPr>
      </w:pPr>
      <w:r w:rsidRPr="00F8692C">
        <w:rPr>
          <w:b/>
          <w:sz w:val="24"/>
          <w:szCs w:val="24"/>
        </w:rPr>
        <w:t>V dôsledku situácie odrážajúcej výrazný pokles ekonomickej aktivity vyvolaný pandémiou COVID-19 a najmä za účelom zabezpečenia finančného krytia opatrení zameraných na zmiernenie negatívnych následkov pandémie, ako aj zohľadnenia výpadku príjmov štátneho rozpočtu v roku 2020, pristúpila vláda SR v priebehu roku 2020 k schváleniu novely zákona o štátnom rozpočte na rok 2020</w:t>
      </w:r>
      <w:r w:rsidRPr="00F8692C">
        <w:rPr>
          <w:rStyle w:val="Odkaznapoznmkupodiarou"/>
          <w:b/>
          <w:sz w:val="24"/>
          <w:szCs w:val="24"/>
        </w:rPr>
        <w:footnoteReference w:id="4"/>
      </w:r>
      <w:r w:rsidRPr="00F8692C">
        <w:rPr>
          <w:b/>
          <w:sz w:val="24"/>
          <w:szCs w:val="24"/>
        </w:rPr>
        <w:t xml:space="preserve"> a jej predloženiu do Národnej rady Slovenskej republiky. </w:t>
      </w:r>
    </w:p>
    <w:p w14:paraId="6B1B8278" w14:textId="77777777" w:rsidR="00CB3C45" w:rsidRPr="00F8692C" w:rsidRDefault="00CB3C45" w:rsidP="00F8692C">
      <w:pPr>
        <w:spacing w:line="240" w:lineRule="auto"/>
        <w:rPr>
          <w:sz w:val="24"/>
          <w:szCs w:val="24"/>
        </w:rPr>
      </w:pPr>
      <w:r w:rsidRPr="00F8692C">
        <w:rPr>
          <w:sz w:val="24"/>
          <w:szCs w:val="24"/>
        </w:rPr>
        <w:t>Po nástupe pandémie sa cieľom rozpočtovej politiky stalo zabezpečenie krytia opatrení na boj proti pandémii ochorenia COVID-19 a jej negatívnemu vplyvu na ekonomiku a sociálnu situáciu občanov.</w:t>
      </w:r>
    </w:p>
    <w:p w14:paraId="19692324" w14:textId="46BC8123" w:rsidR="00CB3C45" w:rsidRPr="00F8692C" w:rsidRDefault="00CB3C45" w:rsidP="00F8692C">
      <w:pPr>
        <w:spacing w:line="240" w:lineRule="auto"/>
        <w:rPr>
          <w:sz w:val="24"/>
          <w:szCs w:val="24"/>
        </w:rPr>
      </w:pPr>
      <w:r w:rsidRPr="00DE1DF0">
        <w:rPr>
          <w:b/>
          <w:sz w:val="24"/>
          <w:szCs w:val="24"/>
        </w:rPr>
        <w:t>Novelou zákona sa zohľadnil hotovostný výpadok daňových ako aj nedaňových príjmov kapitol štátneho rozpočtu v celkovej sume 1 426 249 tis. eur. Celkové výdavky štátneho rozpočtu sa zvýšili o 7 758 202 tis. eur</w:t>
      </w:r>
      <w:r w:rsidRPr="00F8692C">
        <w:rPr>
          <w:sz w:val="24"/>
          <w:szCs w:val="24"/>
        </w:rPr>
        <w:t>, a to z dôvodu zvýšenia výdavkov priamo súvisiacich s</w:t>
      </w:r>
      <w:r w:rsidR="007B03D6">
        <w:rPr>
          <w:sz w:val="24"/>
          <w:szCs w:val="24"/>
        </w:rPr>
        <w:t> </w:t>
      </w:r>
      <w:r w:rsidRPr="00F8692C">
        <w:rPr>
          <w:sz w:val="24"/>
          <w:szCs w:val="24"/>
        </w:rPr>
        <w:t>pandémiou COVID-19 v sume 4 900 738 tis. eur a výdavkov na zabezpečenie v rozpočte nekrytých titulov v sume 2 857 464 tis. eur. Úpravami príjmov a výdavkov sa zvýšil hotovostný schodok štátneho rozpočtu o 9 184 451 tis. eur.</w:t>
      </w:r>
    </w:p>
    <w:p w14:paraId="078B3384" w14:textId="77777777" w:rsidR="00CB3C45" w:rsidRPr="00F8692C" w:rsidRDefault="00CB3C45" w:rsidP="00F8692C">
      <w:pPr>
        <w:spacing w:line="240" w:lineRule="auto"/>
        <w:rPr>
          <w:sz w:val="24"/>
          <w:szCs w:val="24"/>
        </w:rPr>
      </w:pPr>
      <w:r w:rsidRPr="00577EB1">
        <w:rPr>
          <w:sz w:val="24"/>
          <w:szCs w:val="24"/>
          <w:u w:val="single"/>
        </w:rPr>
        <w:t>V nadväznosti na prijatie novely zákona o štátnom rozpočte na rok 2020 a očakávaný prepad HDP na úrovni 9,8 % v súvislosti s pandémiou COVID-19, Ministerstvo financií SR v informácii o predpokladanom vývoji rozpočtu verejnej správy v roku 2020 odhadlo dosiahnutie schodku rozpočtu verejnej správy v roku 2020 v metodike ESA 2010 vo výške 11,6 % HDP</w:t>
      </w:r>
      <w:r w:rsidRPr="00F8692C">
        <w:rPr>
          <w:sz w:val="24"/>
          <w:szCs w:val="24"/>
        </w:rPr>
        <w:t xml:space="preserve">. Uvedený odhad schodku rozpočtu verejnej správy na rok 2020 vychádzal z v tom čase aktuálnej prognózy daňových a odvodových príjmov, predpokladu realizácie väčšiny výdavkov obsiahnutých v novele štátneho rozpočtu, ako aj z predpokladaného vývoja hospodárenia subjektov verejnej správy. </w:t>
      </w:r>
    </w:p>
    <w:p w14:paraId="024401AF" w14:textId="77777777" w:rsidR="00CB3C45" w:rsidRPr="00F8692C" w:rsidRDefault="00CB3C45" w:rsidP="00F8692C">
      <w:pPr>
        <w:spacing w:line="240" w:lineRule="auto"/>
        <w:rPr>
          <w:sz w:val="24"/>
          <w:szCs w:val="24"/>
        </w:rPr>
      </w:pPr>
      <w:r w:rsidRPr="00F8692C">
        <w:rPr>
          <w:sz w:val="24"/>
          <w:szCs w:val="24"/>
        </w:rPr>
        <w:t xml:space="preserve">Zároveň na príjmovej a výdavkovej strane boli už zapracované aj položky vychádzajúce z metodických úprav ESA 2010, ktoré neboli súčasťou schváleného rozpočtu verejnej správy. K týmto položkám patrili </w:t>
      </w:r>
      <w:proofErr w:type="spellStart"/>
      <w:r w:rsidRPr="00F8692C">
        <w:rPr>
          <w:sz w:val="24"/>
          <w:szCs w:val="24"/>
        </w:rPr>
        <w:t>inputy</w:t>
      </w:r>
      <w:proofErr w:type="spellEnd"/>
      <w:r w:rsidRPr="00F8692C">
        <w:rPr>
          <w:sz w:val="24"/>
          <w:szCs w:val="24"/>
        </w:rPr>
        <w:t xml:space="preserve"> naturálnych miezd, FISIM</w:t>
      </w:r>
      <w:r w:rsidRPr="00F8692C">
        <w:rPr>
          <w:rStyle w:val="Odkaznapoznmkupodiarou"/>
          <w:sz w:val="24"/>
          <w:szCs w:val="24"/>
        </w:rPr>
        <w:footnoteReference w:id="5"/>
      </w:r>
      <w:r w:rsidRPr="00F8692C">
        <w:rPr>
          <w:sz w:val="24"/>
          <w:szCs w:val="24"/>
        </w:rPr>
        <w:t xml:space="preserve"> (nepriamo merané služby finančného sprostredkovania), umeleckej produkcie na vlastné použitie a výroby softvéru na vlastné použitie. Takisto sa už v odhade počítalo aj so zaradením systému podpory obnoviteľných zdrojov energie a vysoko účinnej kombinovanej výroby energie, tzv. zelenej energie, ktorý je v zmysle metodiky ESA 2010 presmerovaný cez sektor verejnej správy. Uvedená úprava vyplývala z poslednej benchmarkovej revízie výkazníctva zo strany </w:t>
      </w:r>
      <w:proofErr w:type="spellStart"/>
      <w:r w:rsidRPr="00F8692C">
        <w:rPr>
          <w:sz w:val="24"/>
          <w:szCs w:val="24"/>
        </w:rPr>
        <w:t>Eurostatu</w:t>
      </w:r>
      <w:proofErr w:type="spellEnd"/>
      <w:r w:rsidRPr="00F8692C">
        <w:rPr>
          <w:sz w:val="24"/>
          <w:szCs w:val="24"/>
        </w:rPr>
        <w:t>, v zmysle usmernení Štatistického úradu SR, ale nebola zapracovaná v rozpočte verejnej správy na roky 2020 až 2022.</w:t>
      </w:r>
    </w:p>
    <w:p w14:paraId="060148EE" w14:textId="77777777" w:rsidR="00CB3C45" w:rsidRPr="00F8692C" w:rsidRDefault="00CB3C45" w:rsidP="00F8692C">
      <w:pPr>
        <w:autoSpaceDE w:val="0"/>
        <w:autoSpaceDN w:val="0"/>
        <w:spacing w:line="240" w:lineRule="auto"/>
        <w:rPr>
          <w:sz w:val="24"/>
          <w:szCs w:val="24"/>
          <w:highlight w:val="yellow"/>
        </w:rPr>
      </w:pPr>
      <w:r w:rsidRPr="00F8692C">
        <w:rPr>
          <w:sz w:val="24"/>
          <w:szCs w:val="24"/>
          <w:u w:val="single"/>
        </w:rPr>
        <w:t xml:space="preserve">V priebehu roku 2020 prebiehal pravidelný monitoring vývoja plnenia schváleného rozpočtu verejnej správy na mesačnej báze. </w:t>
      </w:r>
      <w:r w:rsidRPr="00F8692C">
        <w:rPr>
          <w:sz w:val="24"/>
          <w:szCs w:val="24"/>
        </w:rPr>
        <w:t xml:space="preserve">Ministerstvo financií SR sledovalo vývoj v širšom rámci celých verejných financií formou pravidelnej analýzy očakávaných predpokladov hospodárenia kapitol štátneho rozpočtu a ostatných subjektov verejnej správy na hotovostnej báze a v metodike ESA 2010. Na základe aktuálne dostupných údajov o dosiahnutej skutočnosti a predpokladanom vývoji príjmov a výdavkov rozpočtu verejnej správy ku koncu rozpočtového roka sa kvantifikovali očakávané zmeny a riziká v hospodárení jednotlivých subjektov rozpočtu verejnej správy oproti schválenému rozpočtu na rok 2020. </w:t>
      </w:r>
    </w:p>
    <w:p w14:paraId="7A578855" w14:textId="77777777" w:rsidR="00CB3C45" w:rsidRPr="00F8692C" w:rsidRDefault="00CB3C45" w:rsidP="00F8692C">
      <w:pPr>
        <w:autoSpaceDE w:val="0"/>
        <w:autoSpaceDN w:val="0"/>
        <w:spacing w:line="240" w:lineRule="auto"/>
        <w:rPr>
          <w:sz w:val="24"/>
          <w:szCs w:val="24"/>
        </w:rPr>
      </w:pPr>
      <w:r w:rsidRPr="00F8692C">
        <w:rPr>
          <w:sz w:val="24"/>
          <w:szCs w:val="24"/>
        </w:rPr>
        <w:t>Mesačné predpoklady vývoja verejných financií vychádzali z najnovších analýz a prognóz makroekonomického vývoja a prognóz daňových a odvodových príjmov, ako aj z podkladov o očakávanom plnení príjmov a čerpaní výdavkov za prostriedky EÚ a prostriedky na spolufinancovanie zo štátneho rozpočtu.</w:t>
      </w:r>
    </w:p>
    <w:p w14:paraId="0B162CB8" w14:textId="77777777" w:rsidR="00CB3C45" w:rsidRPr="00F8692C" w:rsidRDefault="00CB3C45" w:rsidP="00F8692C">
      <w:pPr>
        <w:autoSpaceDE w:val="0"/>
        <w:autoSpaceDN w:val="0"/>
        <w:spacing w:line="240" w:lineRule="auto"/>
        <w:rPr>
          <w:sz w:val="24"/>
          <w:szCs w:val="24"/>
          <w:u w:val="single"/>
        </w:rPr>
      </w:pPr>
      <w:r w:rsidRPr="00F8692C">
        <w:rPr>
          <w:sz w:val="24"/>
          <w:szCs w:val="24"/>
          <w:u w:val="single"/>
        </w:rPr>
        <w:t>Analýza aktuálneho vývoja rozpočtu verejnej správy v roku 2020, ktorá vychádzala z predpokladu dosiahnutia schodku rozpočtu verejnej správy vo výške 9,68 % HDP, a ktorá definovala najvýznamnejšie vplyvy na saldo rozpočtu verejnej správy v porovnaní so schváleným rozpočtovým cieľom, bola súčasťou rozpočtu verejnej správy na roky 2021 až 2023, ktorý Ministerstvo financií SR predložilo na rokovanie vlády SR a rokovanie NR SR.</w:t>
      </w:r>
    </w:p>
    <w:p w14:paraId="6CBE3F2C" w14:textId="77777777" w:rsidR="00CB3C45" w:rsidRPr="00F8692C" w:rsidRDefault="00CB3C45" w:rsidP="00F8692C">
      <w:pPr>
        <w:spacing w:line="240" w:lineRule="auto"/>
        <w:rPr>
          <w:sz w:val="24"/>
          <w:szCs w:val="24"/>
        </w:rPr>
      </w:pPr>
      <w:r w:rsidRPr="00F8692C">
        <w:rPr>
          <w:sz w:val="24"/>
          <w:szCs w:val="24"/>
        </w:rPr>
        <w:t>Výsledky hospodárenia verejnej správy sa predkladajú Európskemu štatistického úradu (</w:t>
      </w:r>
      <w:proofErr w:type="spellStart"/>
      <w:r w:rsidRPr="00F8692C">
        <w:rPr>
          <w:sz w:val="24"/>
          <w:szCs w:val="24"/>
        </w:rPr>
        <w:t>Eurostatu</w:t>
      </w:r>
      <w:proofErr w:type="spellEnd"/>
      <w:r w:rsidRPr="00F8692C">
        <w:rPr>
          <w:sz w:val="24"/>
          <w:szCs w:val="24"/>
        </w:rPr>
        <w:t>) dvakrát ročne na základe nariadenia</w:t>
      </w:r>
      <w:r w:rsidRPr="00F8692C">
        <w:rPr>
          <w:rStyle w:val="Odkaznapoznmkupodiarou"/>
          <w:sz w:val="24"/>
          <w:szCs w:val="24"/>
        </w:rPr>
        <w:footnoteReference w:id="6"/>
      </w:r>
      <w:r w:rsidRPr="00F8692C">
        <w:rPr>
          <w:sz w:val="24"/>
          <w:szCs w:val="24"/>
        </w:rPr>
        <w:t xml:space="preserve"> o nadmernom schodku, prvýkrát do 1. apríla bežného roka a druhýkrát do 1. októbra bežného roka. Do 1. apríla bežného roka sa predkladá odhad schodku za predchádzajúci rozpočtový rok a do 1. októbra bežného roka sa predkladá aktualizovaný schodok za predchádzajúci rozpočtový rok. </w:t>
      </w:r>
      <w:r w:rsidRPr="00F8692C">
        <w:rPr>
          <w:b/>
          <w:sz w:val="24"/>
          <w:szCs w:val="24"/>
        </w:rPr>
        <w:t>V zmysle uvedeného pravidla je potrebné údaje v kapitole 2 chápať ako predbežné, ktoré môžu byť v období do 1. októbra tohto roka revidované.</w:t>
      </w:r>
    </w:p>
    <w:p w14:paraId="7871735A" w14:textId="15CB7359" w:rsidR="00CB3C45" w:rsidRDefault="00CB3C45" w:rsidP="00842F2E">
      <w:pPr>
        <w:spacing w:line="240" w:lineRule="auto"/>
        <w:rPr>
          <w:sz w:val="24"/>
          <w:szCs w:val="24"/>
        </w:rPr>
      </w:pPr>
      <w:r w:rsidRPr="00F8692C">
        <w:rPr>
          <w:sz w:val="24"/>
          <w:szCs w:val="24"/>
        </w:rPr>
        <w:t>Základnou databázou o hospodárení verejnej správy sú údaje z finančných výkazov jednotlivých subjektov verejnej správy za rok 2020, avšak nie všetky boli verifikované schvaľovacím procesom. Definitívne údaje o hospodárení verejnej správy za rok 2020 budú prezentované po skončení schvaľovacieho procesu, na základe vykonaných auditov účtovných výkazov a po získaní definitívnych údajov pre časové rozlíšenie daní a poistného z Finančnej správy SR, Sociálnej poisťovne a zdravotných poisťovní.</w:t>
      </w:r>
    </w:p>
    <w:p w14:paraId="3914DD19" w14:textId="4EB0D801" w:rsidR="00BE5055" w:rsidRDefault="00BE5055">
      <w:pPr>
        <w:spacing w:after="160" w:line="259" w:lineRule="auto"/>
        <w:jc w:val="left"/>
      </w:pPr>
      <w:r>
        <w:br w:type="page"/>
      </w:r>
    </w:p>
    <w:p w14:paraId="35300B1A" w14:textId="55F0D817" w:rsidR="005F5B88" w:rsidRDefault="005F5B88" w:rsidP="0042635A">
      <w:pPr>
        <w:pStyle w:val="Nadpis2"/>
      </w:pPr>
      <w:bookmarkStart w:id="21" w:name="_Toc6415635"/>
      <w:bookmarkStart w:id="22" w:name="_Toc70026085"/>
      <w:r>
        <w:t>Saldo verejnej správy</w:t>
      </w:r>
      <w:bookmarkEnd w:id="21"/>
      <w:bookmarkEnd w:id="22"/>
    </w:p>
    <w:p w14:paraId="47006A08" w14:textId="12EAECA0" w:rsidR="00CB3C45" w:rsidRDefault="00CB3C45" w:rsidP="00842F2E">
      <w:pPr>
        <w:spacing w:line="240" w:lineRule="auto"/>
        <w:rPr>
          <w:sz w:val="24"/>
          <w:szCs w:val="24"/>
        </w:rPr>
      </w:pPr>
      <w:r w:rsidRPr="00842F2E">
        <w:rPr>
          <w:sz w:val="24"/>
          <w:szCs w:val="24"/>
        </w:rPr>
        <w:t>Rozpočet verejnej správy na rok 2020, ktorý bol schválený vládou SR</w:t>
      </w:r>
      <w:r w:rsidRPr="00842F2E">
        <w:rPr>
          <w:rStyle w:val="Odkaznapoznmkupodiarou"/>
          <w:sz w:val="24"/>
          <w:szCs w:val="24"/>
        </w:rPr>
        <w:footnoteReference w:id="7"/>
      </w:r>
      <w:r w:rsidRPr="00842F2E">
        <w:rPr>
          <w:sz w:val="24"/>
          <w:szCs w:val="24"/>
        </w:rPr>
        <w:t xml:space="preserve"> a vzatý na vedomie v NR SR</w:t>
      </w:r>
      <w:r w:rsidRPr="00842F2E">
        <w:rPr>
          <w:rStyle w:val="Odkaznapoznmkupodiarou"/>
          <w:sz w:val="24"/>
          <w:szCs w:val="24"/>
        </w:rPr>
        <w:footnoteReference w:id="8"/>
      </w:r>
      <w:r w:rsidRPr="00842F2E">
        <w:rPr>
          <w:sz w:val="24"/>
          <w:szCs w:val="24"/>
        </w:rPr>
        <w:t>, predpokladal hospodárenie so schodkom 480 409 tis. eur (0,49 % HDP).</w:t>
      </w:r>
      <w:r w:rsidRPr="00842F2E">
        <w:rPr>
          <w:b/>
          <w:sz w:val="24"/>
          <w:szCs w:val="24"/>
        </w:rPr>
        <w:t xml:space="preserve"> V súvislosti s pandémiou COVID–19 schválila vláda SR v priebehu roka 2020 novelu zákona o štátnom rozpočte na rok 2020, </w:t>
      </w:r>
      <w:r w:rsidRPr="00842F2E">
        <w:rPr>
          <w:sz w:val="24"/>
          <w:szCs w:val="24"/>
        </w:rPr>
        <w:t xml:space="preserve">ktorou sa upravili príjmy štátneho rozpočtu a najmä výdavky štátneho rozpočtu. </w:t>
      </w:r>
      <w:r w:rsidR="00300B7E">
        <w:rPr>
          <w:sz w:val="24"/>
          <w:szCs w:val="24"/>
        </w:rPr>
        <w:t>V</w:t>
      </w:r>
      <w:r w:rsidRPr="00842F2E">
        <w:rPr>
          <w:sz w:val="24"/>
          <w:szCs w:val="24"/>
        </w:rPr>
        <w:t>plyv úpravy štátneho rozpočtu na hospodárenie celej verejnej správy sa odhadoval vo zvýšení deficitu z 0,49 % na 11,6 % HDP, pri odhadovanom poklese ekonomiky o 9,8</w:t>
      </w:r>
      <w:r w:rsidR="007B03D6">
        <w:rPr>
          <w:sz w:val="24"/>
          <w:szCs w:val="24"/>
        </w:rPr>
        <w:t> </w:t>
      </w:r>
      <w:r w:rsidRPr="00842F2E">
        <w:rPr>
          <w:sz w:val="24"/>
          <w:szCs w:val="24"/>
        </w:rPr>
        <w:t>%</w:t>
      </w:r>
      <w:r w:rsidRPr="006E2A38">
        <w:rPr>
          <w:sz w:val="24"/>
          <w:szCs w:val="24"/>
        </w:rPr>
        <w:t>.</w:t>
      </w:r>
    </w:p>
    <w:p w14:paraId="2CE8D2B2" w14:textId="7E049252" w:rsidR="003F1DE2" w:rsidRPr="003F1DE2" w:rsidRDefault="003F1DE2" w:rsidP="00842F2E">
      <w:pPr>
        <w:spacing w:line="240" w:lineRule="auto"/>
        <w:rPr>
          <w:b/>
          <w:color w:val="5B9BD5" w:themeColor="accent1"/>
          <w:sz w:val="24"/>
          <w:szCs w:val="24"/>
        </w:rPr>
      </w:pPr>
      <w:r w:rsidRPr="003F1DE2">
        <w:rPr>
          <w:b/>
          <w:color w:val="5B9BD5" w:themeColor="accent1"/>
          <w:sz w:val="24"/>
          <w:szCs w:val="24"/>
        </w:rPr>
        <w:t>Novela štátneho rozpočtu s vplyvom na rozpočet verejnej správy</w:t>
      </w:r>
    </w:p>
    <w:p w14:paraId="05980BA7" w14:textId="36331A5B" w:rsidR="00D9317C" w:rsidRDefault="00D9317C" w:rsidP="00D9317C">
      <w:pPr>
        <w:spacing w:line="240" w:lineRule="auto"/>
        <w:rPr>
          <w:sz w:val="24"/>
          <w:szCs w:val="24"/>
        </w:rPr>
      </w:pPr>
      <w:r w:rsidRPr="00701B52">
        <w:rPr>
          <w:sz w:val="24"/>
          <w:szCs w:val="24"/>
        </w:rPr>
        <w:t>Rok 2020 bol z pohľadu verejných financií bezprecedentný a rozpočtové ciele navrhované v roku 2019 nemohli byť vplyvom nástupu pandémie</w:t>
      </w:r>
      <w:r>
        <w:rPr>
          <w:sz w:val="24"/>
          <w:szCs w:val="24"/>
        </w:rPr>
        <w:t xml:space="preserve"> objektívne</w:t>
      </w:r>
      <w:r w:rsidRPr="00701B52">
        <w:rPr>
          <w:sz w:val="24"/>
          <w:szCs w:val="24"/>
        </w:rPr>
        <w:t xml:space="preserve"> dosiahnuteľné.</w:t>
      </w:r>
      <w:r>
        <w:rPr>
          <w:sz w:val="24"/>
          <w:szCs w:val="24"/>
        </w:rPr>
        <w:t xml:space="preserve"> V štandardných podmienkach je zostavenie rozpočtu verejnej správy niekoľko mesačný proces, pričom sa berú do úvahy požiadavky jednotlivých rezortov, predpoklady územnej samosprávy a východiská sa prijímajú na základe predvídateľného ekonomického vývoja (globálneho i vnútorného). </w:t>
      </w:r>
    </w:p>
    <w:p w14:paraId="3B27A2D9" w14:textId="66B3EBEB" w:rsidR="00D9317C" w:rsidRDefault="00D9317C" w:rsidP="00D9317C">
      <w:pPr>
        <w:spacing w:line="240" w:lineRule="auto"/>
        <w:rPr>
          <w:sz w:val="24"/>
          <w:szCs w:val="24"/>
        </w:rPr>
      </w:pPr>
      <w:r>
        <w:rPr>
          <w:sz w:val="24"/>
          <w:szCs w:val="24"/>
        </w:rPr>
        <w:t>Prudký nástup pandémie neposkytoval dostatok času ani stabilnejší výhľad makroekonomických základní. Úprava rozpočtu verejnej správy preto vychádzala najmä zo zmeny hotovostného štátneho</w:t>
      </w:r>
      <w:r w:rsidR="00E91994">
        <w:rPr>
          <w:sz w:val="24"/>
          <w:szCs w:val="24"/>
        </w:rPr>
        <w:t xml:space="preserve"> rozpočtu, ktorý sa hlavnou mierou podieľal na krytí zvýšených výdavkov, ako aj na znášaní prepadu rozpočtovaných príjmov.</w:t>
      </w:r>
    </w:p>
    <w:p w14:paraId="3FCAA7BE" w14:textId="2A474713" w:rsidR="00D63BA2" w:rsidRPr="00F8692C" w:rsidRDefault="00D63BA2" w:rsidP="00D63BA2">
      <w:pPr>
        <w:spacing w:line="240" w:lineRule="auto"/>
        <w:rPr>
          <w:sz w:val="24"/>
          <w:szCs w:val="24"/>
        </w:rPr>
      </w:pPr>
      <w:r w:rsidRPr="00D63BA2">
        <w:rPr>
          <w:b/>
          <w:sz w:val="24"/>
          <w:szCs w:val="24"/>
        </w:rPr>
        <w:t>Daňové príjmy štátneho rozpočtu</w:t>
      </w:r>
      <w:r w:rsidRPr="00F8692C">
        <w:rPr>
          <w:sz w:val="24"/>
          <w:szCs w:val="24"/>
        </w:rPr>
        <w:t xml:space="preserve"> na hotovostnej báze </w:t>
      </w:r>
      <w:r w:rsidRPr="00D63BA2">
        <w:rPr>
          <w:b/>
          <w:sz w:val="24"/>
          <w:szCs w:val="24"/>
        </w:rPr>
        <w:t>po novele zákona v roku 2020</w:t>
      </w:r>
      <w:r w:rsidRPr="00F8692C">
        <w:rPr>
          <w:sz w:val="24"/>
          <w:szCs w:val="24"/>
        </w:rPr>
        <w:t xml:space="preserve"> </w:t>
      </w:r>
      <w:r w:rsidRPr="00D63BA2">
        <w:rPr>
          <w:b/>
          <w:sz w:val="24"/>
          <w:szCs w:val="24"/>
        </w:rPr>
        <w:t>poklesli</w:t>
      </w:r>
      <w:r w:rsidRPr="00F8692C">
        <w:rPr>
          <w:sz w:val="24"/>
          <w:szCs w:val="24"/>
        </w:rPr>
        <w:t xml:space="preserve"> </w:t>
      </w:r>
      <w:r w:rsidRPr="00D63BA2">
        <w:rPr>
          <w:b/>
          <w:sz w:val="24"/>
          <w:szCs w:val="24"/>
        </w:rPr>
        <w:t>v porovnaní so schváleným rozpočtom</w:t>
      </w:r>
      <w:r w:rsidRPr="00F8692C">
        <w:rPr>
          <w:sz w:val="24"/>
          <w:szCs w:val="24"/>
        </w:rPr>
        <w:t xml:space="preserve"> na roky 2020 až 2022 </w:t>
      </w:r>
      <w:r w:rsidRPr="00D63BA2">
        <w:rPr>
          <w:b/>
          <w:sz w:val="24"/>
          <w:szCs w:val="24"/>
        </w:rPr>
        <w:t>o 1 270 826 tis. eur.</w:t>
      </w:r>
      <w:r w:rsidRPr="00F8692C">
        <w:rPr>
          <w:sz w:val="24"/>
          <w:szCs w:val="24"/>
        </w:rPr>
        <w:t xml:space="preserve"> Dane zaznamenali pokles z titulu prepadu ekonomiky spôsobenej pandémiou. Najväčšie zníženie výnosu dane bolo zaznamenané u DPH (-514 575 tis. eur), DPPO (-313 726 tis. eur) a spotrebných daní (- 94 536 tis. eur). Za poklesom bolo aj nezapočítanie vplyvu zavedenia </w:t>
      </w:r>
      <w:proofErr w:type="spellStart"/>
      <w:r w:rsidRPr="00F8692C">
        <w:rPr>
          <w:sz w:val="24"/>
          <w:szCs w:val="24"/>
        </w:rPr>
        <w:t>eKasy</w:t>
      </w:r>
      <w:proofErr w:type="spellEnd"/>
      <w:r w:rsidRPr="00F8692C">
        <w:rPr>
          <w:sz w:val="24"/>
          <w:szCs w:val="24"/>
        </w:rPr>
        <w:t xml:space="preserve"> a </w:t>
      </w:r>
      <w:proofErr w:type="spellStart"/>
      <w:r w:rsidRPr="00F8692C">
        <w:rPr>
          <w:sz w:val="24"/>
          <w:szCs w:val="24"/>
        </w:rPr>
        <w:t>nanomarkerov</w:t>
      </w:r>
      <w:proofErr w:type="spellEnd"/>
      <w:r w:rsidRPr="00F8692C">
        <w:rPr>
          <w:sz w:val="24"/>
          <w:szCs w:val="24"/>
        </w:rPr>
        <w:t xml:space="preserve"> do aktuálnej daňovej prognózy (-180 000 tis. eur). Pokles nedaňových príjmov v sume 155 423 tis. eur súvisel s nižším plnením príjmov z administratívnych poplatkov a iných poplatkov a platieb, výpadkom očakávaných príjmov z odvodov z hazardných hier a iných podobných hier, ako aj nižším plnením kapitálových príjmov súvisiacich predovšetkým s predajom prebytočného majetku štátu.</w:t>
      </w:r>
    </w:p>
    <w:p w14:paraId="5C91F744" w14:textId="49387A95" w:rsidR="00D63BA2" w:rsidRPr="00F8692C" w:rsidRDefault="00D63BA2" w:rsidP="00D63BA2">
      <w:pPr>
        <w:spacing w:line="240" w:lineRule="auto"/>
        <w:rPr>
          <w:sz w:val="24"/>
          <w:szCs w:val="24"/>
        </w:rPr>
      </w:pPr>
      <w:r w:rsidRPr="00D63BA2">
        <w:rPr>
          <w:b/>
          <w:sz w:val="24"/>
          <w:szCs w:val="24"/>
        </w:rPr>
        <w:t xml:space="preserve">Zvýšenie celkových výdavkov sa alokovalo v kapitole Všeobecná pokladničná správa </w:t>
      </w:r>
      <w:r w:rsidRPr="00F8692C">
        <w:rPr>
          <w:sz w:val="24"/>
          <w:szCs w:val="24"/>
        </w:rPr>
        <w:t>z</w:t>
      </w:r>
      <w:r w:rsidR="007B03D6">
        <w:rPr>
          <w:sz w:val="24"/>
          <w:szCs w:val="24"/>
        </w:rPr>
        <w:t> </w:t>
      </w:r>
      <w:r w:rsidRPr="00F8692C">
        <w:rPr>
          <w:sz w:val="24"/>
          <w:szCs w:val="24"/>
        </w:rPr>
        <w:t xml:space="preserve">dôvodov, že nebola definitívna detailná štruktúra a použitie výdavkov v jednotlivých kapitolách štátneho rozpočtu a zároveň niektoré výdavky mohli byť refundované z </w:t>
      </w:r>
      <w:proofErr w:type="spellStart"/>
      <w:r w:rsidRPr="00F8692C">
        <w:rPr>
          <w:sz w:val="24"/>
          <w:szCs w:val="24"/>
        </w:rPr>
        <w:t>realokovaných</w:t>
      </w:r>
      <w:proofErr w:type="spellEnd"/>
      <w:r w:rsidRPr="00F8692C">
        <w:rPr>
          <w:sz w:val="24"/>
          <w:szCs w:val="24"/>
        </w:rPr>
        <w:t xml:space="preserve"> prostriedkov EÚ. Týmto spôsobom sa malo zabezpečiť hospodárne a efektívne použitie výdavkov štátneho rozpočtu. </w:t>
      </w:r>
    </w:p>
    <w:p w14:paraId="66C7E456" w14:textId="6CB338F9" w:rsidR="00D63BA2" w:rsidRPr="00F8692C" w:rsidRDefault="00D63BA2" w:rsidP="00D63BA2">
      <w:pPr>
        <w:spacing w:line="240" w:lineRule="auto"/>
        <w:rPr>
          <w:sz w:val="24"/>
          <w:szCs w:val="24"/>
        </w:rPr>
      </w:pPr>
      <w:r w:rsidRPr="00F8692C">
        <w:rPr>
          <w:sz w:val="24"/>
          <w:szCs w:val="24"/>
        </w:rPr>
        <w:t xml:space="preserve">V rámci výdavkov priamo súvisiacich s pandémiou COVID-19 boli zahrnuté predovšetkým tituly ako zvýšenie transferu pre Sociálnu poisťovňu </w:t>
      </w:r>
      <w:r w:rsidRPr="00377378">
        <w:rPr>
          <w:sz w:val="24"/>
          <w:szCs w:val="24"/>
        </w:rPr>
        <w:t>v sume 1 121 963 tis</w:t>
      </w:r>
      <w:r w:rsidRPr="00F8692C">
        <w:rPr>
          <w:sz w:val="24"/>
          <w:szCs w:val="24"/>
        </w:rPr>
        <w:t>. eur na zabezpečenie jej platobnej schopnosti v dôsledku výpadku jej príjmov a potreby financovať opatrenia s vplyvom na zvýšené výdavky na ošetrovné a nemocenské a výdavky poistenia v nezamestnanosti, zvýšenie výdavkov Ministerstva práce, sociálnych vecí a rodiny SR o 1 067 371 tis. eur na opatrenia schválené vládou v rámci „prvej pomoci“ na udržanie zamestnanosti a na podporu udržania zamestnanosti v predškolských zariadeniach, zvýšenie výdavkov verejného zdravotného poistenia, zdravotníckych zariadení, ako aj rozpočtových a príspevkových organizácií rezortu zdravotníctva s vplyvom 358 445 tis. eur, zvýšenia výdavkov kapitoly Ministerstvo hospodárstva SR v sume 200 000 tis. eur v rámci opatrenia na kompenzáciu nákladov na nájomné, zvýšenie výdavkov kapitoly Ministerstva dopravy a výstavby SR v sume 195 210 tis. eur najmä z dôvodu kompenzácie výpadku príjmov z tržieb dopravných spoločností, zvýšenie výdavkov na zabezpečenie nákupu ochranných pomôcok a zdravotníckeho materiálu v</w:t>
      </w:r>
      <w:r w:rsidR="007B03D6">
        <w:rPr>
          <w:sz w:val="24"/>
          <w:szCs w:val="24"/>
        </w:rPr>
        <w:t> </w:t>
      </w:r>
      <w:r w:rsidRPr="00F8692C">
        <w:rPr>
          <w:sz w:val="24"/>
          <w:szCs w:val="24"/>
        </w:rPr>
        <w:t>kapitole Správa štátnych hmotných rezerv SR v sume 122 841 tis. eur, zvýšenie výdavkov kapitoly Ministerstvo vnútra SR v súvislosti so zvýšeným výkonom služby príslušníkov Policajného zboru ako aj Hasičského a záchranného zboru, zabezpečením ochranných a zdravotníckych pomôcok a krytím nákladov na prevádzku karanténnych centier v celkovej výške 83 627 tis. eur, a zvýšenie ostatných výdavkov naprieč kapitolami štátneho rozpočtu najmä v</w:t>
      </w:r>
      <w:r w:rsidR="007B03D6">
        <w:rPr>
          <w:sz w:val="24"/>
          <w:szCs w:val="24"/>
        </w:rPr>
        <w:t> </w:t>
      </w:r>
      <w:r w:rsidRPr="00F8692C">
        <w:rPr>
          <w:sz w:val="24"/>
          <w:szCs w:val="24"/>
        </w:rPr>
        <w:t>súvislosti s nákupom a realizáciou dezinfekcie, materiálu, zdravotníckych a ochranných pomôcok, ako aj prostriedkami na podporu ekonomiky.</w:t>
      </w:r>
    </w:p>
    <w:p w14:paraId="158AEFAB" w14:textId="7B76FEF3" w:rsidR="006A54A5" w:rsidRDefault="006A54A5" w:rsidP="00842F2E">
      <w:pPr>
        <w:spacing w:line="240" w:lineRule="auto"/>
        <w:rPr>
          <w:sz w:val="24"/>
          <w:szCs w:val="24"/>
        </w:rPr>
      </w:pPr>
      <w:r w:rsidRPr="00D63BA2">
        <w:rPr>
          <w:b/>
          <w:sz w:val="24"/>
          <w:szCs w:val="24"/>
        </w:rPr>
        <w:t xml:space="preserve">Akruálne príjmy </w:t>
      </w:r>
      <w:r w:rsidR="003F1DE2" w:rsidRPr="00D63BA2">
        <w:rPr>
          <w:b/>
          <w:sz w:val="24"/>
          <w:szCs w:val="24"/>
        </w:rPr>
        <w:t xml:space="preserve">verejnej správy </w:t>
      </w:r>
      <w:r w:rsidRPr="00D63BA2">
        <w:rPr>
          <w:b/>
          <w:sz w:val="24"/>
          <w:szCs w:val="24"/>
        </w:rPr>
        <w:t>po novele rozpočtu ŠR</w:t>
      </w:r>
      <w:r>
        <w:rPr>
          <w:sz w:val="24"/>
          <w:szCs w:val="24"/>
        </w:rPr>
        <w:t xml:space="preserve"> </w:t>
      </w:r>
      <w:r w:rsidR="00D63BA2">
        <w:rPr>
          <w:sz w:val="24"/>
          <w:szCs w:val="24"/>
        </w:rPr>
        <w:t xml:space="preserve">mali dosiahnuť </w:t>
      </w:r>
      <w:r>
        <w:rPr>
          <w:sz w:val="24"/>
          <w:szCs w:val="24"/>
        </w:rPr>
        <w:t xml:space="preserve">nižšie </w:t>
      </w:r>
      <w:r w:rsidR="00D63BA2">
        <w:rPr>
          <w:sz w:val="24"/>
          <w:szCs w:val="24"/>
        </w:rPr>
        <w:t xml:space="preserve">plnenie </w:t>
      </w:r>
      <w:r>
        <w:rPr>
          <w:sz w:val="24"/>
          <w:szCs w:val="24"/>
        </w:rPr>
        <w:t>o 709 549 tis. eur, z toho najväčší negatívny vplyv sa očakával v plnení daňových (vrátane odvodových) príjmov o 2 175</w:t>
      </w:r>
      <w:r w:rsidR="007B03D6">
        <w:rPr>
          <w:sz w:val="24"/>
          <w:szCs w:val="24"/>
        </w:rPr>
        <w:t> </w:t>
      </w:r>
      <w:r>
        <w:rPr>
          <w:sz w:val="24"/>
          <w:szCs w:val="24"/>
        </w:rPr>
        <w:t>026</w:t>
      </w:r>
      <w:r w:rsidR="007B03D6">
        <w:rPr>
          <w:sz w:val="24"/>
          <w:szCs w:val="24"/>
        </w:rPr>
        <w:t> </w:t>
      </w:r>
      <w:r>
        <w:rPr>
          <w:sz w:val="24"/>
          <w:szCs w:val="24"/>
        </w:rPr>
        <w:t>tis.</w:t>
      </w:r>
      <w:r w:rsidR="007B03D6">
        <w:rPr>
          <w:sz w:val="24"/>
          <w:szCs w:val="24"/>
        </w:rPr>
        <w:t> </w:t>
      </w:r>
      <w:r w:rsidR="008D1FFD">
        <w:rPr>
          <w:sz w:val="24"/>
          <w:szCs w:val="24"/>
        </w:rPr>
        <w:t>eur.</w:t>
      </w:r>
      <w:r w:rsidR="00D63BA2">
        <w:rPr>
          <w:sz w:val="24"/>
          <w:szCs w:val="24"/>
        </w:rPr>
        <w:t xml:space="preserve"> </w:t>
      </w:r>
      <w:r w:rsidR="008D1FFD">
        <w:rPr>
          <w:sz w:val="24"/>
          <w:szCs w:val="24"/>
        </w:rPr>
        <w:t>Toto zníženie mali kompenzovať vyššie nedaňové príjmy o 155</w:t>
      </w:r>
      <w:r w:rsidR="007B03D6">
        <w:rPr>
          <w:sz w:val="24"/>
          <w:szCs w:val="24"/>
        </w:rPr>
        <w:t> </w:t>
      </w:r>
      <w:r w:rsidR="008D1FFD">
        <w:rPr>
          <w:sz w:val="24"/>
          <w:szCs w:val="24"/>
        </w:rPr>
        <w:t>862</w:t>
      </w:r>
      <w:r w:rsidR="007B03D6">
        <w:rPr>
          <w:sz w:val="24"/>
          <w:szCs w:val="24"/>
        </w:rPr>
        <w:t> </w:t>
      </w:r>
      <w:r w:rsidR="008D1FFD">
        <w:rPr>
          <w:sz w:val="24"/>
          <w:szCs w:val="24"/>
        </w:rPr>
        <w:t>tis.</w:t>
      </w:r>
      <w:r w:rsidR="007B03D6">
        <w:rPr>
          <w:sz w:val="24"/>
          <w:szCs w:val="24"/>
        </w:rPr>
        <w:t> </w:t>
      </w:r>
      <w:r w:rsidR="008D1FFD">
        <w:rPr>
          <w:sz w:val="24"/>
          <w:szCs w:val="24"/>
        </w:rPr>
        <w:t>eur a</w:t>
      </w:r>
      <w:r w:rsidR="007724D7">
        <w:rPr>
          <w:sz w:val="24"/>
          <w:szCs w:val="24"/>
        </w:rPr>
        <w:t xml:space="preserve"> príjmy z </w:t>
      </w:r>
      <w:r w:rsidR="008D1FFD">
        <w:rPr>
          <w:sz w:val="24"/>
          <w:szCs w:val="24"/>
        </w:rPr>
        <w:t>grantov a transferov o 1 309</w:t>
      </w:r>
      <w:r w:rsidR="007B03D6">
        <w:rPr>
          <w:sz w:val="24"/>
          <w:szCs w:val="24"/>
        </w:rPr>
        <w:t> </w:t>
      </w:r>
      <w:r w:rsidR="008D1FFD">
        <w:rPr>
          <w:sz w:val="24"/>
          <w:szCs w:val="24"/>
        </w:rPr>
        <w:t>615</w:t>
      </w:r>
      <w:r w:rsidR="007B03D6">
        <w:rPr>
          <w:sz w:val="24"/>
          <w:szCs w:val="24"/>
        </w:rPr>
        <w:t> </w:t>
      </w:r>
      <w:r w:rsidR="008D1FFD">
        <w:rPr>
          <w:sz w:val="24"/>
          <w:szCs w:val="24"/>
        </w:rPr>
        <w:t>tis.</w:t>
      </w:r>
      <w:r w:rsidR="007B03D6">
        <w:rPr>
          <w:sz w:val="24"/>
          <w:szCs w:val="24"/>
        </w:rPr>
        <w:t> </w:t>
      </w:r>
      <w:r w:rsidR="008D1FFD">
        <w:rPr>
          <w:sz w:val="24"/>
          <w:szCs w:val="24"/>
        </w:rPr>
        <w:t>eur</w:t>
      </w:r>
      <w:r w:rsidR="007724D7">
        <w:rPr>
          <w:sz w:val="24"/>
          <w:szCs w:val="24"/>
        </w:rPr>
        <w:t xml:space="preserve">, keďže sa zvýšené výdavky </w:t>
      </w:r>
      <w:r w:rsidR="00497930">
        <w:rPr>
          <w:sz w:val="24"/>
          <w:szCs w:val="24"/>
        </w:rPr>
        <w:t>predpokladalo financovať aj</w:t>
      </w:r>
      <w:r w:rsidR="007724D7">
        <w:rPr>
          <w:sz w:val="24"/>
          <w:szCs w:val="24"/>
        </w:rPr>
        <w:t xml:space="preserve"> </w:t>
      </w:r>
      <w:proofErr w:type="spellStart"/>
      <w:r w:rsidR="007724D7">
        <w:rPr>
          <w:sz w:val="24"/>
          <w:szCs w:val="24"/>
        </w:rPr>
        <w:t>realok</w:t>
      </w:r>
      <w:r w:rsidR="00497930">
        <w:rPr>
          <w:sz w:val="24"/>
          <w:szCs w:val="24"/>
        </w:rPr>
        <w:t>áciou</w:t>
      </w:r>
      <w:proofErr w:type="spellEnd"/>
      <w:r w:rsidR="007724D7">
        <w:rPr>
          <w:sz w:val="24"/>
          <w:szCs w:val="24"/>
        </w:rPr>
        <w:t xml:space="preserve"> prostriedk</w:t>
      </w:r>
      <w:r w:rsidR="00497930">
        <w:rPr>
          <w:sz w:val="24"/>
          <w:szCs w:val="24"/>
        </w:rPr>
        <w:t>ov</w:t>
      </w:r>
      <w:r w:rsidR="007724D7">
        <w:rPr>
          <w:sz w:val="24"/>
          <w:szCs w:val="24"/>
        </w:rPr>
        <w:t xml:space="preserve"> z EU zdrojov.</w:t>
      </w:r>
    </w:p>
    <w:p w14:paraId="39CA1E35" w14:textId="368E665E" w:rsidR="00663576" w:rsidRDefault="00663576" w:rsidP="00842F2E">
      <w:pPr>
        <w:spacing w:line="240" w:lineRule="auto"/>
        <w:rPr>
          <w:sz w:val="24"/>
          <w:szCs w:val="24"/>
        </w:rPr>
      </w:pPr>
      <w:r w:rsidRPr="00416AA7">
        <w:rPr>
          <w:b/>
          <w:sz w:val="24"/>
          <w:szCs w:val="24"/>
        </w:rPr>
        <w:t xml:space="preserve">Celkové predpokladané výdavky </w:t>
      </w:r>
      <w:r w:rsidR="00416AA7" w:rsidRPr="00416AA7">
        <w:rPr>
          <w:b/>
          <w:sz w:val="24"/>
          <w:szCs w:val="24"/>
        </w:rPr>
        <w:t xml:space="preserve">verejnej správy </w:t>
      </w:r>
      <w:r w:rsidRPr="00416AA7">
        <w:rPr>
          <w:b/>
          <w:sz w:val="24"/>
          <w:szCs w:val="24"/>
        </w:rPr>
        <w:t>sa po novele štátneho rozpočtu zvýšili</w:t>
      </w:r>
      <w:r>
        <w:rPr>
          <w:sz w:val="24"/>
          <w:szCs w:val="24"/>
        </w:rPr>
        <w:t xml:space="preserve"> o 8 835</w:t>
      </w:r>
      <w:r w:rsidR="007B03D6">
        <w:rPr>
          <w:sz w:val="24"/>
          <w:szCs w:val="24"/>
        </w:rPr>
        <w:t> </w:t>
      </w:r>
      <w:r>
        <w:rPr>
          <w:sz w:val="24"/>
          <w:szCs w:val="24"/>
        </w:rPr>
        <w:t>419</w:t>
      </w:r>
      <w:r w:rsidR="007B03D6">
        <w:rPr>
          <w:sz w:val="24"/>
          <w:szCs w:val="24"/>
        </w:rPr>
        <w:t> </w:t>
      </w:r>
      <w:r>
        <w:rPr>
          <w:sz w:val="24"/>
          <w:szCs w:val="24"/>
        </w:rPr>
        <w:t>tis.</w:t>
      </w:r>
      <w:r w:rsidR="007B03D6">
        <w:rPr>
          <w:sz w:val="24"/>
          <w:szCs w:val="24"/>
        </w:rPr>
        <w:t> </w:t>
      </w:r>
      <w:r>
        <w:rPr>
          <w:sz w:val="24"/>
          <w:szCs w:val="24"/>
        </w:rPr>
        <w:t xml:space="preserve">eur, </w:t>
      </w:r>
      <w:r w:rsidRPr="00B2708A">
        <w:rPr>
          <w:sz w:val="24"/>
          <w:szCs w:val="24"/>
        </w:rPr>
        <w:t>z toho bežné výdavky o 6 781</w:t>
      </w:r>
      <w:r w:rsidR="007B03D6">
        <w:rPr>
          <w:sz w:val="24"/>
          <w:szCs w:val="24"/>
        </w:rPr>
        <w:t> </w:t>
      </w:r>
      <w:r w:rsidRPr="00B2708A">
        <w:rPr>
          <w:sz w:val="24"/>
          <w:szCs w:val="24"/>
        </w:rPr>
        <w:t>712</w:t>
      </w:r>
      <w:r w:rsidR="007B03D6">
        <w:rPr>
          <w:sz w:val="24"/>
          <w:szCs w:val="24"/>
        </w:rPr>
        <w:t> </w:t>
      </w:r>
      <w:r w:rsidRPr="00B2708A">
        <w:rPr>
          <w:sz w:val="24"/>
          <w:szCs w:val="24"/>
        </w:rPr>
        <w:t>tis.</w:t>
      </w:r>
      <w:r w:rsidR="007B03D6">
        <w:rPr>
          <w:sz w:val="24"/>
          <w:szCs w:val="24"/>
        </w:rPr>
        <w:t> </w:t>
      </w:r>
      <w:r w:rsidRPr="00B2708A">
        <w:rPr>
          <w:sz w:val="24"/>
          <w:szCs w:val="24"/>
        </w:rPr>
        <w:t>eur a kapitálové výdavky o 2 053</w:t>
      </w:r>
      <w:r w:rsidR="007B03D6">
        <w:rPr>
          <w:sz w:val="24"/>
          <w:szCs w:val="24"/>
        </w:rPr>
        <w:t> </w:t>
      </w:r>
      <w:r w:rsidRPr="00B2708A">
        <w:rPr>
          <w:sz w:val="24"/>
          <w:szCs w:val="24"/>
        </w:rPr>
        <w:t>707</w:t>
      </w:r>
      <w:r w:rsidR="007B03D6">
        <w:rPr>
          <w:sz w:val="24"/>
          <w:szCs w:val="24"/>
        </w:rPr>
        <w:t> </w:t>
      </w:r>
      <w:r w:rsidRPr="00B2708A">
        <w:rPr>
          <w:sz w:val="24"/>
          <w:szCs w:val="24"/>
        </w:rPr>
        <w:t>tis.</w:t>
      </w:r>
      <w:r w:rsidR="007B03D6">
        <w:rPr>
          <w:sz w:val="24"/>
          <w:szCs w:val="24"/>
        </w:rPr>
        <w:t> </w:t>
      </w:r>
      <w:r w:rsidRPr="00B2708A">
        <w:rPr>
          <w:sz w:val="24"/>
          <w:szCs w:val="24"/>
        </w:rPr>
        <w:t>eur.</w:t>
      </w:r>
      <w:r w:rsidR="001E5172" w:rsidRPr="00B2708A">
        <w:rPr>
          <w:sz w:val="24"/>
          <w:szCs w:val="24"/>
        </w:rPr>
        <w:t xml:space="preserve"> Z hotovostných bežných výdavkov sa navýšili najmä výdavky na tovary a služby o 3 319 219 tis. eur a bežné transfery o 4 020 473 tis. eur, výdavky na mzdy a poistné vzrástli spolu o 202</w:t>
      </w:r>
      <w:r w:rsidR="007B03D6">
        <w:rPr>
          <w:sz w:val="24"/>
          <w:szCs w:val="24"/>
        </w:rPr>
        <w:t> </w:t>
      </w:r>
      <w:r w:rsidR="001E5172" w:rsidRPr="00B2708A">
        <w:rPr>
          <w:sz w:val="24"/>
          <w:szCs w:val="24"/>
        </w:rPr>
        <w:t>107</w:t>
      </w:r>
      <w:r w:rsidR="007B03D6">
        <w:rPr>
          <w:sz w:val="24"/>
          <w:szCs w:val="24"/>
        </w:rPr>
        <w:t> </w:t>
      </w:r>
      <w:r w:rsidR="001E5172" w:rsidRPr="00B2708A">
        <w:rPr>
          <w:sz w:val="24"/>
          <w:szCs w:val="24"/>
        </w:rPr>
        <w:t xml:space="preserve">tis. eur. Hotovostné kapitálové </w:t>
      </w:r>
      <w:r w:rsidR="00130426">
        <w:rPr>
          <w:sz w:val="24"/>
          <w:szCs w:val="24"/>
        </w:rPr>
        <w:t>výdavky</w:t>
      </w:r>
      <w:r w:rsidR="001E5172" w:rsidRPr="00B2708A">
        <w:rPr>
          <w:sz w:val="24"/>
          <w:szCs w:val="24"/>
        </w:rPr>
        <w:t xml:space="preserve"> boli navýšené na výdavkoch na obstarávanie kapitálových aktív o 1 432 816 tis</w:t>
      </w:r>
      <w:r w:rsidR="00992FF2" w:rsidRPr="00B2708A">
        <w:rPr>
          <w:sz w:val="24"/>
          <w:szCs w:val="24"/>
        </w:rPr>
        <w:t>.</w:t>
      </w:r>
      <w:r w:rsidR="001E5172" w:rsidRPr="00B2708A">
        <w:rPr>
          <w:sz w:val="24"/>
          <w:szCs w:val="24"/>
        </w:rPr>
        <w:t xml:space="preserve"> eur a kapitálových transferoch </w:t>
      </w:r>
      <w:r w:rsidR="00BF2E37" w:rsidRPr="00B2708A">
        <w:rPr>
          <w:sz w:val="24"/>
          <w:szCs w:val="24"/>
        </w:rPr>
        <w:t>o</w:t>
      </w:r>
      <w:r w:rsidR="001E5172" w:rsidRPr="00B2708A">
        <w:rPr>
          <w:sz w:val="24"/>
          <w:szCs w:val="24"/>
        </w:rPr>
        <w:t> 580 537 tis. eur.</w:t>
      </w:r>
    </w:p>
    <w:tbl>
      <w:tblPr>
        <w:tblW w:w="9238" w:type="dxa"/>
        <w:tblCellMar>
          <w:left w:w="70" w:type="dxa"/>
          <w:right w:w="70" w:type="dxa"/>
        </w:tblCellMar>
        <w:tblLook w:val="04A0" w:firstRow="1" w:lastRow="0" w:firstColumn="1" w:lastColumn="0" w:noHBand="0" w:noVBand="1"/>
      </w:tblPr>
      <w:tblGrid>
        <w:gridCol w:w="1843"/>
        <w:gridCol w:w="1134"/>
        <w:gridCol w:w="992"/>
        <w:gridCol w:w="993"/>
        <w:gridCol w:w="1134"/>
        <w:gridCol w:w="1134"/>
        <w:gridCol w:w="1005"/>
        <w:gridCol w:w="1003"/>
      </w:tblGrid>
      <w:tr w:rsidR="00952306" w:rsidRPr="00952306" w14:paraId="032864A3" w14:textId="77777777" w:rsidTr="00952306">
        <w:trPr>
          <w:trHeight w:val="432"/>
        </w:trPr>
        <w:tc>
          <w:tcPr>
            <w:tcW w:w="9238" w:type="dxa"/>
            <w:gridSpan w:val="8"/>
            <w:tcBorders>
              <w:top w:val="nil"/>
              <w:left w:val="nil"/>
              <w:bottom w:val="single" w:sz="4" w:space="0" w:color="auto"/>
              <w:right w:val="nil"/>
            </w:tcBorders>
            <w:shd w:val="clear" w:color="000000" w:fill="000000"/>
            <w:noWrap/>
            <w:vAlign w:val="center"/>
            <w:hideMark/>
          </w:tcPr>
          <w:p w14:paraId="246CF60F" w14:textId="6E23D2D0" w:rsidR="00952306" w:rsidRPr="00952306" w:rsidRDefault="00952306" w:rsidP="00952306">
            <w:pPr>
              <w:spacing w:after="0" w:line="240" w:lineRule="auto"/>
              <w:jc w:val="left"/>
              <w:rPr>
                <w:rFonts w:eastAsia="Times New Roman" w:cs="Times New Roman"/>
                <w:b/>
                <w:bCs/>
                <w:color w:val="FFFFFF"/>
                <w:sz w:val="18"/>
                <w:szCs w:val="18"/>
                <w:lang w:eastAsia="sk-SK"/>
              </w:rPr>
            </w:pPr>
            <w:r w:rsidRPr="00952306">
              <w:rPr>
                <w:rFonts w:eastAsia="Times New Roman" w:cs="Times New Roman"/>
                <w:b/>
                <w:bCs/>
                <w:color w:val="FFFFFF"/>
                <w:sz w:val="18"/>
                <w:szCs w:val="18"/>
                <w:lang w:eastAsia="sk-SK"/>
              </w:rPr>
              <w:t>Konsolidované príjmy a výdavky verejnej správy (na akruálnej báze)</w:t>
            </w:r>
            <w:r>
              <w:rPr>
                <w:rFonts w:eastAsia="Times New Roman" w:cs="Times New Roman"/>
                <w:b/>
                <w:bCs/>
                <w:color w:val="FFFFFF"/>
                <w:sz w:val="18"/>
                <w:szCs w:val="18"/>
                <w:lang w:eastAsia="sk-SK"/>
              </w:rPr>
              <w:t xml:space="preserve">                                                    </w:t>
            </w:r>
            <w:r w:rsidR="0036650F">
              <w:rPr>
                <w:rFonts w:eastAsia="Times New Roman" w:cs="Times New Roman"/>
                <w:b/>
                <w:bCs/>
                <w:color w:val="FFFFFF"/>
                <w:sz w:val="18"/>
                <w:szCs w:val="18"/>
                <w:lang w:eastAsia="sk-SK"/>
              </w:rPr>
              <w:t xml:space="preserve">               </w:t>
            </w:r>
            <w:r w:rsidRPr="00952306">
              <w:rPr>
                <w:rFonts w:eastAsia="Times New Roman" w:cs="Times New Roman"/>
                <w:b/>
                <w:bCs/>
                <w:color w:val="FFFFFF"/>
                <w:sz w:val="18"/>
                <w:szCs w:val="18"/>
                <w:lang w:eastAsia="sk-SK"/>
              </w:rPr>
              <w:t>v tis. eur</w:t>
            </w:r>
          </w:p>
        </w:tc>
      </w:tr>
      <w:tr w:rsidR="00952306" w:rsidRPr="00952306" w14:paraId="1E24F295" w14:textId="77777777" w:rsidTr="00952306">
        <w:trPr>
          <w:trHeight w:val="422"/>
        </w:trPr>
        <w:tc>
          <w:tcPr>
            <w:tcW w:w="1843" w:type="dxa"/>
            <w:tcBorders>
              <w:top w:val="single" w:sz="4" w:space="0" w:color="auto"/>
              <w:left w:val="nil"/>
              <w:bottom w:val="nil"/>
              <w:right w:val="nil"/>
            </w:tcBorders>
            <w:shd w:val="clear" w:color="000000" w:fill="BFBFBF"/>
            <w:noWrap/>
            <w:vAlign w:val="center"/>
            <w:hideMark/>
          </w:tcPr>
          <w:p w14:paraId="3FA963C2" w14:textId="77777777" w:rsidR="00952306" w:rsidRPr="00952306" w:rsidRDefault="00952306" w:rsidP="00952306">
            <w:pPr>
              <w:spacing w:after="0" w:line="240" w:lineRule="auto"/>
              <w:jc w:val="left"/>
              <w:rPr>
                <w:rFonts w:eastAsia="Times New Roman" w:cs="Times New Roman"/>
                <w:b/>
                <w:bCs/>
                <w:sz w:val="18"/>
                <w:szCs w:val="18"/>
                <w:lang w:eastAsia="sk-SK"/>
              </w:rPr>
            </w:pPr>
            <w:r w:rsidRPr="00952306">
              <w:rPr>
                <w:rFonts w:eastAsia="Times New Roman" w:cs="Times New Roman"/>
                <w:b/>
                <w:bCs/>
                <w:sz w:val="18"/>
                <w:szCs w:val="18"/>
                <w:lang w:eastAsia="sk-SK"/>
              </w:rPr>
              <w:t> </w:t>
            </w:r>
          </w:p>
        </w:tc>
        <w:tc>
          <w:tcPr>
            <w:tcW w:w="2126" w:type="dxa"/>
            <w:gridSpan w:val="2"/>
            <w:tcBorders>
              <w:top w:val="single" w:sz="4" w:space="0" w:color="auto"/>
              <w:left w:val="nil"/>
              <w:bottom w:val="nil"/>
              <w:right w:val="nil"/>
            </w:tcBorders>
            <w:shd w:val="clear" w:color="000000" w:fill="BFBFBF"/>
            <w:noWrap/>
            <w:vAlign w:val="center"/>
            <w:hideMark/>
          </w:tcPr>
          <w:p w14:paraId="6064D933" w14:textId="77777777" w:rsidR="00952306" w:rsidRPr="00952306" w:rsidRDefault="00952306" w:rsidP="00952306">
            <w:pPr>
              <w:spacing w:after="0" w:line="240" w:lineRule="auto"/>
              <w:jc w:val="center"/>
              <w:rPr>
                <w:rFonts w:eastAsia="Times New Roman" w:cs="Times New Roman"/>
                <w:b/>
                <w:bCs/>
                <w:sz w:val="18"/>
                <w:szCs w:val="18"/>
                <w:lang w:eastAsia="sk-SK"/>
              </w:rPr>
            </w:pPr>
            <w:r w:rsidRPr="00952306">
              <w:rPr>
                <w:rFonts w:eastAsia="Times New Roman" w:cs="Times New Roman"/>
                <w:b/>
                <w:bCs/>
                <w:sz w:val="18"/>
                <w:szCs w:val="18"/>
                <w:lang w:eastAsia="sk-SK"/>
              </w:rPr>
              <w:t>Skutočnosť</w:t>
            </w:r>
          </w:p>
        </w:tc>
        <w:tc>
          <w:tcPr>
            <w:tcW w:w="993" w:type="dxa"/>
            <w:tcBorders>
              <w:top w:val="single" w:sz="4" w:space="0" w:color="auto"/>
              <w:left w:val="nil"/>
              <w:bottom w:val="nil"/>
              <w:right w:val="nil"/>
            </w:tcBorders>
            <w:shd w:val="clear" w:color="000000" w:fill="BFBFBF"/>
            <w:vAlign w:val="center"/>
            <w:hideMark/>
          </w:tcPr>
          <w:p w14:paraId="17ED7490" w14:textId="77777777" w:rsidR="00952306" w:rsidRPr="00952306" w:rsidRDefault="00952306" w:rsidP="00952306">
            <w:pPr>
              <w:spacing w:after="0" w:line="240" w:lineRule="auto"/>
              <w:jc w:val="center"/>
              <w:rPr>
                <w:rFonts w:eastAsia="Times New Roman" w:cs="Times New Roman"/>
                <w:b/>
                <w:bCs/>
                <w:sz w:val="18"/>
                <w:szCs w:val="18"/>
                <w:lang w:eastAsia="sk-SK"/>
              </w:rPr>
            </w:pPr>
            <w:r w:rsidRPr="00952306">
              <w:rPr>
                <w:rFonts w:eastAsia="Times New Roman" w:cs="Times New Roman"/>
                <w:b/>
                <w:bCs/>
                <w:sz w:val="18"/>
                <w:szCs w:val="18"/>
                <w:lang w:eastAsia="sk-SK"/>
              </w:rPr>
              <w:t>Schválený rozpočet</w:t>
            </w:r>
          </w:p>
        </w:tc>
        <w:tc>
          <w:tcPr>
            <w:tcW w:w="1134" w:type="dxa"/>
            <w:tcBorders>
              <w:top w:val="single" w:sz="4" w:space="0" w:color="auto"/>
              <w:left w:val="nil"/>
              <w:bottom w:val="nil"/>
              <w:right w:val="nil"/>
            </w:tcBorders>
            <w:shd w:val="clear" w:color="000000" w:fill="BFBFBF"/>
            <w:vAlign w:val="center"/>
            <w:hideMark/>
          </w:tcPr>
          <w:p w14:paraId="0B9D7588" w14:textId="77777777" w:rsidR="00952306" w:rsidRPr="00952306" w:rsidRDefault="00952306" w:rsidP="00952306">
            <w:pPr>
              <w:spacing w:after="0" w:line="240" w:lineRule="auto"/>
              <w:jc w:val="center"/>
              <w:rPr>
                <w:rFonts w:eastAsia="Times New Roman" w:cs="Times New Roman"/>
                <w:b/>
                <w:bCs/>
                <w:sz w:val="18"/>
                <w:szCs w:val="18"/>
                <w:lang w:eastAsia="sk-SK"/>
              </w:rPr>
            </w:pPr>
            <w:r w:rsidRPr="00952306">
              <w:rPr>
                <w:rFonts w:eastAsia="Times New Roman" w:cs="Times New Roman"/>
                <w:b/>
                <w:bCs/>
                <w:sz w:val="18"/>
                <w:szCs w:val="18"/>
                <w:lang w:eastAsia="sk-SK"/>
              </w:rPr>
              <w:t>Rozpočet po novele ŠR</w:t>
            </w:r>
          </w:p>
        </w:tc>
        <w:tc>
          <w:tcPr>
            <w:tcW w:w="1134" w:type="dxa"/>
            <w:tcBorders>
              <w:top w:val="single" w:sz="4" w:space="0" w:color="auto"/>
              <w:left w:val="nil"/>
              <w:bottom w:val="nil"/>
              <w:right w:val="nil"/>
            </w:tcBorders>
            <w:shd w:val="clear" w:color="000000" w:fill="BFBFBF"/>
            <w:noWrap/>
            <w:vAlign w:val="center"/>
            <w:hideMark/>
          </w:tcPr>
          <w:p w14:paraId="32B2A53E" w14:textId="77777777" w:rsidR="00952306" w:rsidRPr="00952306" w:rsidRDefault="00952306" w:rsidP="00952306">
            <w:pPr>
              <w:spacing w:after="0" w:line="240" w:lineRule="auto"/>
              <w:jc w:val="center"/>
              <w:rPr>
                <w:rFonts w:eastAsia="Times New Roman" w:cs="Times New Roman"/>
                <w:b/>
                <w:bCs/>
                <w:sz w:val="18"/>
                <w:szCs w:val="18"/>
                <w:lang w:eastAsia="sk-SK"/>
              </w:rPr>
            </w:pPr>
            <w:r w:rsidRPr="00952306">
              <w:rPr>
                <w:rFonts w:eastAsia="Times New Roman" w:cs="Times New Roman"/>
                <w:b/>
                <w:bCs/>
                <w:sz w:val="18"/>
                <w:szCs w:val="18"/>
                <w:lang w:eastAsia="sk-SK"/>
              </w:rPr>
              <w:t>Skutočnosť</w:t>
            </w:r>
          </w:p>
        </w:tc>
        <w:tc>
          <w:tcPr>
            <w:tcW w:w="1005" w:type="dxa"/>
            <w:tcBorders>
              <w:top w:val="single" w:sz="4" w:space="0" w:color="auto"/>
              <w:left w:val="nil"/>
              <w:bottom w:val="nil"/>
              <w:right w:val="nil"/>
            </w:tcBorders>
            <w:shd w:val="clear" w:color="000000" w:fill="BFBFBF"/>
            <w:noWrap/>
            <w:vAlign w:val="center"/>
            <w:hideMark/>
          </w:tcPr>
          <w:p w14:paraId="0A7A1644" w14:textId="77777777" w:rsidR="00952306" w:rsidRPr="00952306" w:rsidRDefault="00952306" w:rsidP="00952306">
            <w:pPr>
              <w:spacing w:after="0" w:line="240" w:lineRule="auto"/>
              <w:jc w:val="center"/>
              <w:rPr>
                <w:rFonts w:eastAsia="Times New Roman" w:cs="Times New Roman"/>
                <w:b/>
                <w:bCs/>
                <w:sz w:val="18"/>
                <w:szCs w:val="18"/>
                <w:lang w:eastAsia="sk-SK"/>
              </w:rPr>
            </w:pPr>
            <w:r w:rsidRPr="00952306">
              <w:rPr>
                <w:rFonts w:eastAsia="Times New Roman" w:cs="Times New Roman"/>
                <w:b/>
                <w:bCs/>
                <w:sz w:val="18"/>
                <w:szCs w:val="18"/>
                <w:lang w:eastAsia="sk-SK"/>
              </w:rPr>
              <w:t>Rozdiel</w:t>
            </w:r>
          </w:p>
        </w:tc>
        <w:tc>
          <w:tcPr>
            <w:tcW w:w="1003" w:type="dxa"/>
            <w:tcBorders>
              <w:top w:val="single" w:sz="4" w:space="0" w:color="auto"/>
              <w:left w:val="nil"/>
              <w:bottom w:val="nil"/>
              <w:right w:val="nil"/>
            </w:tcBorders>
            <w:shd w:val="clear" w:color="000000" w:fill="BFBFBF"/>
            <w:noWrap/>
            <w:vAlign w:val="center"/>
            <w:hideMark/>
          </w:tcPr>
          <w:p w14:paraId="08B4E0E9" w14:textId="77777777" w:rsidR="00952306" w:rsidRPr="00952306" w:rsidRDefault="00952306" w:rsidP="00952306">
            <w:pPr>
              <w:spacing w:after="0" w:line="240" w:lineRule="auto"/>
              <w:jc w:val="center"/>
              <w:rPr>
                <w:rFonts w:eastAsia="Times New Roman" w:cs="Times New Roman"/>
                <w:b/>
                <w:bCs/>
                <w:sz w:val="18"/>
                <w:szCs w:val="18"/>
                <w:lang w:eastAsia="sk-SK"/>
              </w:rPr>
            </w:pPr>
            <w:r w:rsidRPr="00952306">
              <w:rPr>
                <w:rFonts w:eastAsia="Times New Roman" w:cs="Times New Roman"/>
                <w:b/>
                <w:bCs/>
                <w:sz w:val="18"/>
                <w:szCs w:val="18"/>
                <w:lang w:eastAsia="sk-SK"/>
              </w:rPr>
              <w:t>Rozdiel</w:t>
            </w:r>
          </w:p>
        </w:tc>
      </w:tr>
      <w:tr w:rsidR="00952306" w:rsidRPr="00952306" w14:paraId="22B33A7E" w14:textId="77777777" w:rsidTr="00952306">
        <w:trPr>
          <w:trHeight w:val="82"/>
        </w:trPr>
        <w:tc>
          <w:tcPr>
            <w:tcW w:w="1843" w:type="dxa"/>
            <w:tcBorders>
              <w:top w:val="nil"/>
              <w:left w:val="nil"/>
              <w:bottom w:val="nil"/>
              <w:right w:val="nil"/>
            </w:tcBorders>
            <w:shd w:val="clear" w:color="000000" w:fill="BFBFBF"/>
            <w:noWrap/>
            <w:vAlign w:val="center"/>
            <w:hideMark/>
          </w:tcPr>
          <w:p w14:paraId="0A7B10DA" w14:textId="77777777" w:rsidR="00952306" w:rsidRPr="00952306" w:rsidRDefault="00952306" w:rsidP="00952306">
            <w:pPr>
              <w:spacing w:after="0" w:line="240" w:lineRule="auto"/>
              <w:jc w:val="left"/>
              <w:rPr>
                <w:rFonts w:eastAsia="Times New Roman" w:cs="Times New Roman"/>
                <w:b/>
                <w:bCs/>
                <w:sz w:val="18"/>
                <w:szCs w:val="18"/>
                <w:lang w:eastAsia="sk-SK"/>
              </w:rPr>
            </w:pPr>
            <w:r w:rsidRPr="00952306">
              <w:rPr>
                <w:rFonts w:eastAsia="Times New Roman" w:cs="Times New Roman"/>
                <w:b/>
                <w:bCs/>
                <w:sz w:val="18"/>
                <w:szCs w:val="18"/>
                <w:lang w:eastAsia="sk-SK"/>
              </w:rPr>
              <w:t> </w:t>
            </w:r>
          </w:p>
        </w:tc>
        <w:tc>
          <w:tcPr>
            <w:tcW w:w="1134" w:type="dxa"/>
            <w:tcBorders>
              <w:top w:val="nil"/>
              <w:left w:val="nil"/>
              <w:bottom w:val="nil"/>
              <w:right w:val="nil"/>
            </w:tcBorders>
            <w:shd w:val="clear" w:color="000000" w:fill="BFBFBF"/>
            <w:noWrap/>
            <w:vAlign w:val="center"/>
            <w:hideMark/>
          </w:tcPr>
          <w:p w14:paraId="2E42430E" w14:textId="77777777" w:rsidR="00952306" w:rsidRPr="00952306" w:rsidRDefault="00952306" w:rsidP="00952306">
            <w:pPr>
              <w:spacing w:after="0" w:line="240" w:lineRule="auto"/>
              <w:jc w:val="center"/>
              <w:rPr>
                <w:rFonts w:eastAsia="Times New Roman" w:cs="Times New Roman"/>
                <w:b/>
                <w:bCs/>
                <w:sz w:val="18"/>
                <w:szCs w:val="18"/>
                <w:lang w:eastAsia="sk-SK"/>
              </w:rPr>
            </w:pPr>
            <w:r w:rsidRPr="00952306">
              <w:rPr>
                <w:rFonts w:eastAsia="Times New Roman" w:cs="Times New Roman"/>
                <w:b/>
                <w:bCs/>
                <w:sz w:val="18"/>
                <w:szCs w:val="18"/>
                <w:lang w:eastAsia="sk-SK"/>
              </w:rPr>
              <w:t>2018</w:t>
            </w:r>
          </w:p>
        </w:tc>
        <w:tc>
          <w:tcPr>
            <w:tcW w:w="992" w:type="dxa"/>
            <w:tcBorders>
              <w:top w:val="nil"/>
              <w:left w:val="nil"/>
              <w:bottom w:val="nil"/>
              <w:right w:val="nil"/>
            </w:tcBorders>
            <w:shd w:val="clear" w:color="000000" w:fill="BFBFBF"/>
            <w:noWrap/>
            <w:vAlign w:val="center"/>
            <w:hideMark/>
          </w:tcPr>
          <w:p w14:paraId="3F132AFB" w14:textId="77777777" w:rsidR="00952306" w:rsidRPr="00952306" w:rsidRDefault="00952306" w:rsidP="00952306">
            <w:pPr>
              <w:spacing w:after="0" w:line="240" w:lineRule="auto"/>
              <w:jc w:val="center"/>
              <w:rPr>
                <w:rFonts w:eastAsia="Times New Roman" w:cs="Times New Roman"/>
                <w:b/>
                <w:bCs/>
                <w:sz w:val="18"/>
                <w:szCs w:val="18"/>
                <w:lang w:eastAsia="sk-SK"/>
              </w:rPr>
            </w:pPr>
            <w:r w:rsidRPr="00952306">
              <w:rPr>
                <w:rFonts w:eastAsia="Times New Roman" w:cs="Times New Roman"/>
                <w:b/>
                <w:bCs/>
                <w:sz w:val="18"/>
                <w:szCs w:val="18"/>
                <w:lang w:eastAsia="sk-SK"/>
              </w:rPr>
              <w:t>2019</w:t>
            </w:r>
          </w:p>
        </w:tc>
        <w:tc>
          <w:tcPr>
            <w:tcW w:w="993" w:type="dxa"/>
            <w:tcBorders>
              <w:top w:val="nil"/>
              <w:left w:val="nil"/>
              <w:bottom w:val="nil"/>
              <w:right w:val="nil"/>
            </w:tcBorders>
            <w:shd w:val="clear" w:color="000000" w:fill="BFBFBF"/>
            <w:noWrap/>
            <w:vAlign w:val="center"/>
            <w:hideMark/>
          </w:tcPr>
          <w:p w14:paraId="5D64B02E" w14:textId="77777777" w:rsidR="00952306" w:rsidRPr="00952306" w:rsidRDefault="00952306" w:rsidP="00952306">
            <w:pPr>
              <w:spacing w:after="0" w:line="240" w:lineRule="auto"/>
              <w:jc w:val="center"/>
              <w:rPr>
                <w:rFonts w:eastAsia="Times New Roman" w:cs="Times New Roman"/>
                <w:b/>
                <w:bCs/>
                <w:sz w:val="18"/>
                <w:szCs w:val="18"/>
                <w:lang w:eastAsia="sk-SK"/>
              </w:rPr>
            </w:pPr>
            <w:r w:rsidRPr="00952306">
              <w:rPr>
                <w:rFonts w:eastAsia="Times New Roman" w:cs="Times New Roman"/>
                <w:b/>
                <w:bCs/>
                <w:sz w:val="18"/>
                <w:szCs w:val="18"/>
                <w:lang w:eastAsia="sk-SK"/>
              </w:rPr>
              <w:t>2020</w:t>
            </w:r>
          </w:p>
        </w:tc>
        <w:tc>
          <w:tcPr>
            <w:tcW w:w="1134" w:type="dxa"/>
            <w:tcBorders>
              <w:top w:val="nil"/>
              <w:left w:val="nil"/>
              <w:bottom w:val="nil"/>
              <w:right w:val="nil"/>
            </w:tcBorders>
            <w:shd w:val="clear" w:color="000000" w:fill="BFBFBF"/>
            <w:noWrap/>
            <w:vAlign w:val="center"/>
            <w:hideMark/>
          </w:tcPr>
          <w:p w14:paraId="7AC7BC1C" w14:textId="77777777" w:rsidR="00952306" w:rsidRPr="00952306" w:rsidRDefault="00952306" w:rsidP="00952306">
            <w:pPr>
              <w:spacing w:after="0" w:line="240" w:lineRule="auto"/>
              <w:jc w:val="center"/>
              <w:rPr>
                <w:rFonts w:eastAsia="Times New Roman" w:cs="Times New Roman"/>
                <w:b/>
                <w:bCs/>
                <w:sz w:val="18"/>
                <w:szCs w:val="18"/>
                <w:lang w:eastAsia="sk-SK"/>
              </w:rPr>
            </w:pPr>
            <w:r w:rsidRPr="00952306">
              <w:rPr>
                <w:rFonts w:eastAsia="Times New Roman" w:cs="Times New Roman"/>
                <w:b/>
                <w:bCs/>
                <w:sz w:val="18"/>
                <w:szCs w:val="18"/>
                <w:lang w:eastAsia="sk-SK"/>
              </w:rPr>
              <w:t>2020</w:t>
            </w:r>
          </w:p>
        </w:tc>
        <w:tc>
          <w:tcPr>
            <w:tcW w:w="1134" w:type="dxa"/>
            <w:tcBorders>
              <w:top w:val="nil"/>
              <w:left w:val="nil"/>
              <w:bottom w:val="nil"/>
              <w:right w:val="nil"/>
            </w:tcBorders>
            <w:shd w:val="clear" w:color="000000" w:fill="BFBFBF"/>
            <w:noWrap/>
            <w:vAlign w:val="center"/>
            <w:hideMark/>
          </w:tcPr>
          <w:p w14:paraId="5B88717C" w14:textId="77777777" w:rsidR="00952306" w:rsidRPr="00952306" w:rsidRDefault="00952306" w:rsidP="00952306">
            <w:pPr>
              <w:spacing w:after="0" w:line="240" w:lineRule="auto"/>
              <w:jc w:val="center"/>
              <w:rPr>
                <w:rFonts w:eastAsia="Times New Roman" w:cs="Times New Roman"/>
                <w:b/>
                <w:bCs/>
                <w:sz w:val="18"/>
                <w:szCs w:val="18"/>
                <w:lang w:eastAsia="sk-SK"/>
              </w:rPr>
            </w:pPr>
            <w:r w:rsidRPr="00952306">
              <w:rPr>
                <w:rFonts w:eastAsia="Times New Roman" w:cs="Times New Roman"/>
                <w:b/>
                <w:bCs/>
                <w:sz w:val="18"/>
                <w:szCs w:val="18"/>
                <w:lang w:eastAsia="sk-SK"/>
              </w:rPr>
              <w:t>2020</w:t>
            </w:r>
          </w:p>
        </w:tc>
        <w:tc>
          <w:tcPr>
            <w:tcW w:w="1005" w:type="dxa"/>
            <w:tcBorders>
              <w:top w:val="nil"/>
              <w:left w:val="nil"/>
              <w:bottom w:val="nil"/>
              <w:right w:val="nil"/>
            </w:tcBorders>
            <w:shd w:val="clear" w:color="000000" w:fill="BFBFBF"/>
            <w:noWrap/>
            <w:vAlign w:val="center"/>
            <w:hideMark/>
          </w:tcPr>
          <w:p w14:paraId="1C7690DE" w14:textId="77777777" w:rsidR="00952306" w:rsidRPr="00952306" w:rsidRDefault="00952306" w:rsidP="00952306">
            <w:pPr>
              <w:spacing w:after="0" w:line="240" w:lineRule="auto"/>
              <w:jc w:val="center"/>
              <w:rPr>
                <w:rFonts w:eastAsia="Times New Roman" w:cs="Times New Roman"/>
                <w:b/>
                <w:bCs/>
                <w:sz w:val="18"/>
                <w:szCs w:val="18"/>
                <w:lang w:eastAsia="sk-SK"/>
              </w:rPr>
            </w:pPr>
            <w:r w:rsidRPr="00952306">
              <w:rPr>
                <w:rFonts w:eastAsia="Times New Roman" w:cs="Times New Roman"/>
                <w:b/>
                <w:bCs/>
                <w:sz w:val="18"/>
                <w:szCs w:val="18"/>
                <w:lang w:eastAsia="sk-SK"/>
              </w:rPr>
              <w:t>2020</w:t>
            </w:r>
          </w:p>
        </w:tc>
        <w:tc>
          <w:tcPr>
            <w:tcW w:w="1003" w:type="dxa"/>
            <w:tcBorders>
              <w:top w:val="nil"/>
              <w:left w:val="nil"/>
              <w:bottom w:val="nil"/>
              <w:right w:val="nil"/>
            </w:tcBorders>
            <w:shd w:val="clear" w:color="000000" w:fill="BFBFBF"/>
            <w:noWrap/>
            <w:vAlign w:val="center"/>
            <w:hideMark/>
          </w:tcPr>
          <w:p w14:paraId="0BA060EE" w14:textId="77777777" w:rsidR="00952306" w:rsidRPr="00952306" w:rsidRDefault="00952306" w:rsidP="00952306">
            <w:pPr>
              <w:spacing w:after="0" w:line="240" w:lineRule="auto"/>
              <w:jc w:val="center"/>
              <w:rPr>
                <w:rFonts w:eastAsia="Times New Roman" w:cs="Times New Roman"/>
                <w:b/>
                <w:bCs/>
                <w:sz w:val="18"/>
                <w:szCs w:val="18"/>
                <w:lang w:eastAsia="sk-SK"/>
              </w:rPr>
            </w:pPr>
            <w:r w:rsidRPr="00952306">
              <w:rPr>
                <w:rFonts w:eastAsia="Times New Roman" w:cs="Times New Roman"/>
                <w:b/>
                <w:bCs/>
                <w:sz w:val="18"/>
                <w:szCs w:val="18"/>
                <w:lang w:eastAsia="sk-SK"/>
              </w:rPr>
              <w:t>2020</w:t>
            </w:r>
          </w:p>
        </w:tc>
      </w:tr>
      <w:tr w:rsidR="00952306" w:rsidRPr="00952306" w14:paraId="3907DAE2" w14:textId="77777777" w:rsidTr="00952306">
        <w:trPr>
          <w:trHeight w:val="513"/>
        </w:trPr>
        <w:tc>
          <w:tcPr>
            <w:tcW w:w="1843" w:type="dxa"/>
            <w:tcBorders>
              <w:top w:val="nil"/>
              <w:left w:val="nil"/>
              <w:bottom w:val="nil"/>
              <w:right w:val="nil"/>
            </w:tcBorders>
            <w:shd w:val="clear" w:color="000000" w:fill="BFBFBF"/>
            <w:noWrap/>
            <w:vAlign w:val="center"/>
            <w:hideMark/>
          </w:tcPr>
          <w:p w14:paraId="50D7B7CF" w14:textId="77777777" w:rsidR="00952306" w:rsidRPr="00952306" w:rsidRDefault="00952306" w:rsidP="00952306">
            <w:pPr>
              <w:spacing w:after="0" w:line="240" w:lineRule="auto"/>
              <w:jc w:val="left"/>
              <w:rPr>
                <w:rFonts w:eastAsia="Times New Roman" w:cs="Times New Roman"/>
                <w:b/>
                <w:bCs/>
                <w:sz w:val="18"/>
                <w:szCs w:val="18"/>
                <w:lang w:eastAsia="sk-SK"/>
              </w:rPr>
            </w:pPr>
            <w:r w:rsidRPr="00952306">
              <w:rPr>
                <w:rFonts w:eastAsia="Times New Roman" w:cs="Times New Roman"/>
                <w:b/>
                <w:bCs/>
                <w:sz w:val="18"/>
                <w:szCs w:val="18"/>
                <w:lang w:eastAsia="sk-SK"/>
              </w:rPr>
              <w:t> </w:t>
            </w:r>
          </w:p>
        </w:tc>
        <w:tc>
          <w:tcPr>
            <w:tcW w:w="1134" w:type="dxa"/>
            <w:tcBorders>
              <w:top w:val="nil"/>
              <w:left w:val="nil"/>
              <w:bottom w:val="nil"/>
              <w:right w:val="nil"/>
            </w:tcBorders>
            <w:shd w:val="clear" w:color="000000" w:fill="BFBFBF"/>
            <w:noWrap/>
            <w:vAlign w:val="center"/>
            <w:hideMark/>
          </w:tcPr>
          <w:p w14:paraId="7EB35756" w14:textId="77777777" w:rsidR="00952306" w:rsidRPr="00952306" w:rsidRDefault="00952306" w:rsidP="00952306">
            <w:pPr>
              <w:spacing w:after="0" w:line="240" w:lineRule="auto"/>
              <w:jc w:val="center"/>
              <w:rPr>
                <w:rFonts w:eastAsia="Times New Roman" w:cs="Times New Roman"/>
                <w:b/>
                <w:bCs/>
                <w:sz w:val="18"/>
                <w:szCs w:val="18"/>
                <w:lang w:eastAsia="sk-SK"/>
              </w:rPr>
            </w:pPr>
            <w:r w:rsidRPr="00952306">
              <w:rPr>
                <w:rFonts w:eastAsia="Times New Roman" w:cs="Times New Roman"/>
                <w:b/>
                <w:bCs/>
                <w:sz w:val="18"/>
                <w:szCs w:val="18"/>
                <w:lang w:eastAsia="sk-SK"/>
              </w:rPr>
              <w:t>1</w:t>
            </w:r>
          </w:p>
        </w:tc>
        <w:tc>
          <w:tcPr>
            <w:tcW w:w="992" w:type="dxa"/>
            <w:tcBorders>
              <w:top w:val="nil"/>
              <w:left w:val="nil"/>
              <w:bottom w:val="nil"/>
              <w:right w:val="nil"/>
            </w:tcBorders>
            <w:shd w:val="clear" w:color="000000" w:fill="BFBFBF"/>
            <w:noWrap/>
            <w:vAlign w:val="center"/>
            <w:hideMark/>
          </w:tcPr>
          <w:p w14:paraId="412A87F6" w14:textId="77777777" w:rsidR="00952306" w:rsidRPr="00952306" w:rsidRDefault="00952306" w:rsidP="00952306">
            <w:pPr>
              <w:spacing w:after="0" w:line="240" w:lineRule="auto"/>
              <w:jc w:val="center"/>
              <w:rPr>
                <w:rFonts w:eastAsia="Times New Roman" w:cs="Times New Roman"/>
                <w:b/>
                <w:bCs/>
                <w:sz w:val="18"/>
                <w:szCs w:val="18"/>
                <w:lang w:eastAsia="sk-SK"/>
              </w:rPr>
            </w:pPr>
            <w:r w:rsidRPr="00952306">
              <w:rPr>
                <w:rFonts w:eastAsia="Times New Roman" w:cs="Times New Roman"/>
                <w:b/>
                <w:bCs/>
                <w:sz w:val="18"/>
                <w:szCs w:val="18"/>
                <w:lang w:eastAsia="sk-SK"/>
              </w:rPr>
              <w:t>2</w:t>
            </w:r>
          </w:p>
        </w:tc>
        <w:tc>
          <w:tcPr>
            <w:tcW w:w="993" w:type="dxa"/>
            <w:tcBorders>
              <w:top w:val="nil"/>
              <w:left w:val="nil"/>
              <w:bottom w:val="nil"/>
              <w:right w:val="nil"/>
            </w:tcBorders>
            <w:shd w:val="clear" w:color="000000" w:fill="BFBFBF"/>
            <w:noWrap/>
            <w:vAlign w:val="center"/>
            <w:hideMark/>
          </w:tcPr>
          <w:p w14:paraId="17AEBCD0" w14:textId="77777777" w:rsidR="00952306" w:rsidRPr="00952306" w:rsidRDefault="00952306" w:rsidP="00952306">
            <w:pPr>
              <w:spacing w:after="0" w:line="240" w:lineRule="auto"/>
              <w:jc w:val="center"/>
              <w:rPr>
                <w:rFonts w:eastAsia="Times New Roman" w:cs="Times New Roman"/>
                <w:b/>
                <w:bCs/>
                <w:sz w:val="18"/>
                <w:szCs w:val="18"/>
                <w:lang w:eastAsia="sk-SK"/>
              </w:rPr>
            </w:pPr>
            <w:r w:rsidRPr="00952306">
              <w:rPr>
                <w:rFonts w:eastAsia="Times New Roman" w:cs="Times New Roman"/>
                <w:b/>
                <w:bCs/>
                <w:sz w:val="18"/>
                <w:szCs w:val="18"/>
                <w:lang w:eastAsia="sk-SK"/>
              </w:rPr>
              <w:t>3</w:t>
            </w:r>
          </w:p>
        </w:tc>
        <w:tc>
          <w:tcPr>
            <w:tcW w:w="1134" w:type="dxa"/>
            <w:tcBorders>
              <w:top w:val="nil"/>
              <w:left w:val="nil"/>
              <w:bottom w:val="nil"/>
              <w:right w:val="nil"/>
            </w:tcBorders>
            <w:shd w:val="clear" w:color="000000" w:fill="BFBFBF"/>
            <w:noWrap/>
            <w:vAlign w:val="center"/>
            <w:hideMark/>
          </w:tcPr>
          <w:p w14:paraId="258E463D" w14:textId="77777777" w:rsidR="00952306" w:rsidRPr="00952306" w:rsidRDefault="00952306" w:rsidP="00952306">
            <w:pPr>
              <w:spacing w:after="0" w:line="240" w:lineRule="auto"/>
              <w:jc w:val="center"/>
              <w:rPr>
                <w:rFonts w:eastAsia="Times New Roman" w:cs="Times New Roman"/>
                <w:b/>
                <w:bCs/>
                <w:sz w:val="18"/>
                <w:szCs w:val="18"/>
                <w:lang w:eastAsia="sk-SK"/>
              </w:rPr>
            </w:pPr>
            <w:r w:rsidRPr="00952306">
              <w:rPr>
                <w:rFonts w:eastAsia="Times New Roman" w:cs="Times New Roman"/>
                <w:b/>
                <w:bCs/>
                <w:sz w:val="18"/>
                <w:szCs w:val="18"/>
                <w:lang w:eastAsia="sk-SK"/>
              </w:rPr>
              <w:t>4</w:t>
            </w:r>
          </w:p>
        </w:tc>
        <w:tc>
          <w:tcPr>
            <w:tcW w:w="1134" w:type="dxa"/>
            <w:tcBorders>
              <w:top w:val="nil"/>
              <w:left w:val="nil"/>
              <w:bottom w:val="nil"/>
              <w:right w:val="nil"/>
            </w:tcBorders>
            <w:shd w:val="clear" w:color="000000" w:fill="BFBFBF"/>
            <w:noWrap/>
            <w:vAlign w:val="center"/>
            <w:hideMark/>
          </w:tcPr>
          <w:p w14:paraId="5E29615C" w14:textId="77777777" w:rsidR="00952306" w:rsidRPr="00952306" w:rsidRDefault="00952306" w:rsidP="00952306">
            <w:pPr>
              <w:spacing w:after="0" w:line="240" w:lineRule="auto"/>
              <w:jc w:val="center"/>
              <w:rPr>
                <w:rFonts w:eastAsia="Times New Roman" w:cs="Times New Roman"/>
                <w:b/>
                <w:bCs/>
                <w:sz w:val="18"/>
                <w:szCs w:val="18"/>
                <w:lang w:eastAsia="sk-SK"/>
              </w:rPr>
            </w:pPr>
            <w:r w:rsidRPr="00952306">
              <w:rPr>
                <w:rFonts w:eastAsia="Times New Roman" w:cs="Times New Roman"/>
                <w:b/>
                <w:bCs/>
                <w:sz w:val="18"/>
                <w:szCs w:val="18"/>
                <w:lang w:eastAsia="sk-SK"/>
              </w:rPr>
              <w:t>5</w:t>
            </w:r>
          </w:p>
        </w:tc>
        <w:tc>
          <w:tcPr>
            <w:tcW w:w="1005" w:type="dxa"/>
            <w:tcBorders>
              <w:top w:val="nil"/>
              <w:left w:val="nil"/>
              <w:bottom w:val="nil"/>
              <w:right w:val="nil"/>
            </w:tcBorders>
            <w:shd w:val="clear" w:color="000000" w:fill="BFBFBF"/>
            <w:noWrap/>
            <w:vAlign w:val="center"/>
            <w:hideMark/>
          </w:tcPr>
          <w:p w14:paraId="7488E009" w14:textId="77777777" w:rsidR="00952306" w:rsidRPr="00952306" w:rsidRDefault="00952306" w:rsidP="00952306">
            <w:pPr>
              <w:spacing w:after="0" w:line="240" w:lineRule="auto"/>
              <w:jc w:val="center"/>
              <w:rPr>
                <w:rFonts w:eastAsia="Times New Roman" w:cs="Times New Roman"/>
                <w:b/>
                <w:bCs/>
                <w:sz w:val="18"/>
                <w:szCs w:val="18"/>
                <w:lang w:eastAsia="sk-SK"/>
              </w:rPr>
            </w:pPr>
            <w:r w:rsidRPr="00952306">
              <w:rPr>
                <w:rFonts w:eastAsia="Times New Roman" w:cs="Times New Roman"/>
                <w:b/>
                <w:bCs/>
                <w:sz w:val="18"/>
                <w:szCs w:val="18"/>
                <w:lang w:eastAsia="sk-SK"/>
              </w:rPr>
              <w:t>6=5-3</w:t>
            </w:r>
          </w:p>
        </w:tc>
        <w:tc>
          <w:tcPr>
            <w:tcW w:w="1003" w:type="dxa"/>
            <w:tcBorders>
              <w:top w:val="nil"/>
              <w:left w:val="nil"/>
              <w:bottom w:val="nil"/>
              <w:right w:val="nil"/>
            </w:tcBorders>
            <w:shd w:val="clear" w:color="000000" w:fill="BFBFBF"/>
            <w:noWrap/>
            <w:vAlign w:val="center"/>
            <w:hideMark/>
          </w:tcPr>
          <w:p w14:paraId="42079C66" w14:textId="77777777" w:rsidR="00952306" w:rsidRPr="00952306" w:rsidRDefault="00952306" w:rsidP="00952306">
            <w:pPr>
              <w:spacing w:after="0" w:line="240" w:lineRule="auto"/>
              <w:jc w:val="center"/>
              <w:rPr>
                <w:rFonts w:eastAsia="Times New Roman" w:cs="Times New Roman"/>
                <w:b/>
                <w:bCs/>
                <w:sz w:val="18"/>
                <w:szCs w:val="18"/>
                <w:lang w:eastAsia="sk-SK"/>
              </w:rPr>
            </w:pPr>
            <w:r w:rsidRPr="00952306">
              <w:rPr>
                <w:rFonts w:eastAsia="Times New Roman" w:cs="Times New Roman"/>
                <w:b/>
                <w:bCs/>
                <w:sz w:val="18"/>
                <w:szCs w:val="18"/>
                <w:lang w:eastAsia="sk-SK"/>
              </w:rPr>
              <w:t>7=5-4</w:t>
            </w:r>
          </w:p>
        </w:tc>
      </w:tr>
      <w:tr w:rsidR="00952306" w:rsidRPr="00952306" w14:paraId="1AD4BE96" w14:textId="77777777" w:rsidTr="00952306">
        <w:trPr>
          <w:trHeight w:val="340"/>
        </w:trPr>
        <w:tc>
          <w:tcPr>
            <w:tcW w:w="1843" w:type="dxa"/>
            <w:tcBorders>
              <w:top w:val="nil"/>
              <w:left w:val="nil"/>
              <w:bottom w:val="nil"/>
              <w:right w:val="nil"/>
            </w:tcBorders>
            <w:shd w:val="clear" w:color="000000" w:fill="FFFFFF"/>
            <w:noWrap/>
            <w:vAlign w:val="center"/>
            <w:hideMark/>
          </w:tcPr>
          <w:p w14:paraId="7D64E42B" w14:textId="146E566C" w:rsidR="00952306" w:rsidRPr="00952306" w:rsidRDefault="00952306" w:rsidP="00952306">
            <w:pPr>
              <w:spacing w:after="0" w:line="240" w:lineRule="auto"/>
              <w:jc w:val="left"/>
              <w:rPr>
                <w:rFonts w:eastAsia="Times New Roman" w:cs="Times New Roman"/>
                <w:b/>
                <w:bCs/>
                <w:sz w:val="18"/>
                <w:szCs w:val="18"/>
                <w:lang w:eastAsia="sk-SK"/>
              </w:rPr>
            </w:pPr>
            <w:r w:rsidRPr="00952306">
              <w:rPr>
                <w:rFonts w:eastAsia="Times New Roman" w:cs="Times New Roman"/>
                <w:b/>
                <w:bCs/>
                <w:sz w:val="18"/>
                <w:szCs w:val="18"/>
                <w:lang w:eastAsia="sk-SK"/>
              </w:rPr>
              <w:t>Príjmy spolu, v</w:t>
            </w:r>
            <w:r>
              <w:rPr>
                <w:rFonts w:eastAsia="Times New Roman" w:cs="Times New Roman"/>
                <w:b/>
                <w:bCs/>
                <w:sz w:val="18"/>
                <w:szCs w:val="18"/>
                <w:lang w:eastAsia="sk-SK"/>
              </w:rPr>
              <w:t> </w:t>
            </w:r>
            <w:r w:rsidRPr="00952306">
              <w:rPr>
                <w:rFonts w:eastAsia="Times New Roman" w:cs="Times New Roman"/>
                <w:b/>
                <w:bCs/>
                <w:sz w:val="18"/>
                <w:szCs w:val="18"/>
                <w:lang w:eastAsia="sk-SK"/>
              </w:rPr>
              <w:t>tom:</w:t>
            </w:r>
          </w:p>
        </w:tc>
        <w:tc>
          <w:tcPr>
            <w:tcW w:w="1134" w:type="dxa"/>
            <w:tcBorders>
              <w:top w:val="nil"/>
              <w:left w:val="nil"/>
              <w:bottom w:val="nil"/>
              <w:right w:val="nil"/>
            </w:tcBorders>
            <w:shd w:val="clear" w:color="auto" w:fill="auto"/>
            <w:noWrap/>
            <w:vAlign w:val="center"/>
            <w:hideMark/>
          </w:tcPr>
          <w:p w14:paraId="22923E2F" w14:textId="77777777" w:rsidR="00952306" w:rsidRPr="00952306" w:rsidRDefault="00952306" w:rsidP="00952306">
            <w:pPr>
              <w:spacing w:after="0" w:line="240" w:lineRule="auto"/>
              <w:jc w:val="right"/>
              <w:rPr>
                <w:rFonts w:eastAsia="Times New Roman" w:cs="Times New Roman"/>
                <w:b/>
                <w:bCs/>
                <w:sz w:val="18"/>
                <w:szCs w:val="18"/>
                <w:lang w:eastAsia="sk-SK"/>
              </w:rPr>
            </w:pPr>
            <w:r w:rsidRPr="00952306">
              <w:rPr>
                <w:rFonts w:eastAsia="Times New Roman" w:cs="Times New Roman"/>
                <w:b/>
                <w:bCs/>
                <w:sz w:val="18"/>
                <w:szCs w:val="18"/>
                <w:lang w:eastAsia="sk-SK"/>
              </w:rPr>
              <w:t>36 334 397</w:t>
            </w:r>
          </w:p>
        </w:tc>
        <w:tc>
          <w:tcPr>
            <w:tcW w:w="992" w:type="dxa"/>
            <w:tcBorders>
              <w:top w:val="nil"/>
              <w:left w:val="nil"/>
              <w:bottom w:val="nil"/>
              <w:right w:val="nil"/>
            </w:tcBorders>
            <w:shd w:val="clear" w:color="auto" w:fill="auto"/>
            <w:noWrap/>
            <w:vAlign w:val="center"/>
            <w:hideMark/>
          </w:tcPr>
          <w:p w14:paraId="5F684E97" w14:textId="77777777" w:rsidR="00952306" w:rsidRPr="00952306" w:rsidRDefault="00952306" w:rsidP="00952306">
            <w:pPr>
              <w:spacing w:after="0" w:line="240" w:lineRule="auto"/>
              <w:jc w:val="right"/>
              <w:rPr>
                <w:rFonts w:eastAsia="Times New Roman" w:cs="Times New Roman"/>
                <w:b/>
                <w:bCs/>
                <w:sz w:val="18"/>
                <w:szCs w:val="18"/>
                <w:lang w:eastAsia="sk-SK"/>
              </w:rPr>
            </w:pPr>
            <w:r w:rsidRPr="00952306">
              <w:rPr>
                <w:rFonts w:eastAsia="Times New Roman" w:cs="Times New Roman"/>
                <w:b/>
                <w:bCs/>
                <w:sz w:val="18"/>
                <w:szCs w:val="18"/>
                <w:lang w:eastAsia="sk-SK"/>
              </w:rPr>
              <w:t>39 064 654</w:t>
            </w:r>
          </w:p>
        </w:tc>
        <w:tc>
          <w:tcPr>
            <w:tcW w:w="993" w:type="dxa"/>
            <w:tcBorders>
              <w:top w:val="nil"/>
              <w:left w:val="nil"/>
              <w:bottom w:val="nil"/>
              <w:right w:val="nil"/>
            </w:tcBorders>
            <w:shd w:val="clear" w:color="auto" w:fill="auto"/>
            <w:noWrap/>
            <w:vAlign w:val="center"/>
            <w:hideMark/>
          </w:tcPr>
          <w:p w14:paraId="3F9BD591" w14:textId="77777777" w:rsidR="00952306" w:rsidRPr="00952306" w:rsidRDefault="00952306" w:rsidP="00952306">
            <w:pPr>
              <w:spacing w:after="0" w:line="240" w:lineRule="auto"/>
              <w:jc w:val="right"/>
              <w:rPr>
                <w:rFonts w:eastAsia="Times New Roman" w:cs="Times New Roman"/>
                <w:b/>
                <w:bCs/>
                <w:sz w:val="18"/>
                <w:szCs w:val="18"/>
                <w:lang w:eastAsia="sk-SK"/>
              </w:rPr>
            </w:pPr>
            <w:r w:rsidRPr="00952306">
              <w:rPr>
                <w:rFonts w:eastAsia="Times New Roman" w:cs="Times New Roman"/>
                <w:b/>
                <w:bCs/>
                <w:sz w:val="18"/>
                <w:szCs w:val="18"/>
                <w:lang w:eastAsia="sk-SK"/>
              </w:rPr>
              <w:t>38 845 467</w:t>
            </w:r>
          </w:p>
        </w:tc>
        <w:tc>
          <w:tcPr>
            <w:tcW w:w="1134" w:type="dxa"/>
            <w:tcBorders>
              <w:top w:val="nil"/>
              <w:left w:val="nil"/>
              <w:bottom w:val="nil"/>
              <w:right w:val="nil"/>
            </w:tcBorders>
            <w:shd w:val="clear" w:color="auto" w:fill="auto"/>
            <w:noWrap/>
            <w:vAlign w:val="center"/>
            <w:hideMark/>
          </w:tcPr>
          <w:p w14:paraId="585CE5EE" w14:textId="77777777" w:rsidR="00952306" w:rsidRPr="00952306" w:rsidRDefault="00952306" w:rsidP="00952306">
            <w:pPr>
              <w:spacing w:after="0" w:line="240" w:lineRule="auto"/>
              <w:jc w:val="right"/>
              <w:rPr>
                <w:rFonts w:eastAsia="Times New Roman" w:cs="Times New Roman"/>
                <w:b/>
                <w:bCs/>
                <w:sz w:val="18"/>
                <w:szCs w:val="18"/>
                <w:lang w:eastAsia="sk-SK"/>
              </w:rPr>
            </w:pPr>
            <w:r w:rsidRPr="00952306">
              <w:rPr>
                <w:rFonts w:eastAsia="Times New Roman" w:cs="Times New Roman"/>
                <w:b/>
                <w:bCs/>
                <w:sz w:val="18"/>
                <w:szCs w:val="18"/>
                <w:lang w:eastAsia="sk-SK"/>
              </w:rPr>
              <w:t>38 135 918</w:t>
            </w:r>
          </w:p>
        </w:tc>
        <w:tc>
          <w:tcPr>
            <w:tcW w:w="1134" w:type="dxa"/>
            <w:tcBorders>
              <w:top w:val="nil"/>
              <w:left w:val="nil"/>
              <w:bottom w:val="nil"/>
              <w:right w:val="nil"/>
            </w:tcBorders>
            <w:shd w:val="clear" w:color="000000" w:fill="BFBFBF"/>
            <w:noWrap/>
            <w:vAlign w:val="center"/>
            <w:hideMark/>
          </w:tcPr>
          <w:p w14:paraId="7EEDB585" w14:textId="77777777" w:rsidR="00952306" w:rsidRPr="00952306" w:rsidRDefault="00952306" w:rsidP="00952306">
            <w:pPr>
              <w:spacing w:after="0" w:line="240" w:lineRule="auto"/>
              <w:jc w:val="right"/>
              <w:rPr>
                <w:rFonts w:eastAsia="Times New Roman" w:cs="Times New Roman"/>
                <w:b/>
                <w:bCs/>
                <w:sz w:val="18"/>
                <w:szCs w:val="18"/>
                <w:lang w:eastAsia="sk-SK"/>
              </w:rPr>
            </w:pPr>
            <w:r w:rsidRPr="00952306">
              <w:rPr>
                <w:rFonts w:eastAsia="Times New Roman" w:cs="Times New Roman"/>
                <w:b/>
                <w:bCs/>
                <w:sz w:val="18"/>
                <w:szCs w:val="18"/>
                <w:lang w:eastAsia="sk-SK"/>
              </w:rPr>
              <w:t>38 378 909</w:t>
            </w:r>
          </w:p>
        </w:tc>
        <w:tc>
          <w:tcPr>
            <w:tcW w:w="1005" w:type="dxa"/>
            <w:tcBorders>
              <w:top w:val="nil"/>
              <w:left w:val="nil"/>
              <w:bottom w:val="nil"/>
              <w:right w:val="nil"/>
            </w:tcBorders>
            <w:shd w:val="clear" w:color="auto" w:fill="auto"/>
            <w:noWrap/>
            <w:vAlign w:val="center"/>
            <w:hideMark/>
          </w:tcPr>
          <w:p w14:paraId="0059BC43" w14:textId="77777777" w:rsidR="00952306" w:rsidRPr="00952306" w:rsidRDefault="00952306" w:rsidP="00952306">
            <w:pPr>
              <w:spacing w:after="0" w:line="240" w:lineRule="auto"/>
              <w:jc w:val="right"/>
              <w:rPr>
                <w:rFonts w:eastAsia="Times New Roman" w:cs="Times New Roman"/>
                <w:b/>
                <w:bCs/>
                <w:sz w:val="18"/>
                <w:szCs w:val="18"/>
                <w:lang w:eastAsia="sk-SK"/>
              </w:rPr>
            </w:pPr>
            <w:r w:rsidRPr="00952306">
              <w:rPr>
                <w:rFonts w:eastAsia="Times New Roman" w:cs="Times New Roman"/>
                <w:b/>
                <w:bCs/>
                <w:sz w:val="18"/>
                <w:szCs w:val="18"/>
                <w:lang w:eastAsia="sk-SK"/>
              </w:rPr>
              <w:t>-466 558</w:t>
            </w:r>
          </w:p>
        </w:tc>
        <w:tc>
          <w:tcPr>
            <w:tcW w:w="1003" w:type="dxa"/>
            <w:tcBorders>
              <w:top w:val="nil"/>
              <w:left w:val="nil"/>
              <w:bottom w:val="nil"/>
              <w:right w:val="nil"/>
            </w:tcBorders>
            <w:shd w:val="clear" w:color="auto" w:fill="auto"/>
            <w:noWrap/>
            <w:vAlign w:val="center"/>
            <w:hideMark/>
          </w:tcPr>
          <w:p w14:paraId="0D97FD15" w14:textId="77777777" w:rsidR="00952306" w:rsidRPr="00952306" w:rsidRDefault="00952306" w:rsidP="00952306">
            <w:pPr>
              <w:spacing w:after="0" w:line="240" w:lineRule="auto"/>
              <w:jc w:val="right"/>
              <w:rPr>
                <w:rFonts w:eastAsia="Times New Roman" w:cs="Times New Roman"/>
                <w:b/>
                <w:bCs/>
                <w:sz w:val="18"/>
                <w:szCs w:val="18"/>
                <w:lang w:eastAsia="sk-SK"/>
              </w:rPr>
            </w:pPr>
            <w:r w:rsidRPr="00952306">
              <w:rPr>
                <w:rFonts w:eastAsia="Times New Roman" w:cs="Times New Roman"/>
                <w:b/>
                <w:bCs/>
                <w:sz w:val="18"/>
                <w:szCs w:val="18"/>
                <w:lang w:eastAsia="sk-SK"/>
              </w:rPr>
              <w:t>242 991</w:t>
            </w:r>
          </w:p>
        </w:tc>
      </w:tr>
      <w:tr w:rsidR="00952306" w:rsidRPr="00952306" w14:paraId="61BD64A2" w14:textId="77777777" w:rsidTr="00952306">
        <w:trPr>
          <w:trHeight w:val="340"/>
        </w:trPr>
        <w:tc>
          <w:tcPr>
            <w:tcW w:w="1843" w:type="dxa"/>
            <w:tcBorders>
              <w:top w:val="nil"/>
              <w:left w:val="nil"/>
              <w:bottom w:val="nil"/>
              <w:right w:val="nil"/>
            </w:tcBorders>
            <w:shd w:val="clear" w:color="000000" w:fill="FFFFFF"/>
            <w:noWrap/>
            <w:vAlign w:val="center"/>
            <w:hideMark/>
          </w:tcPr>
          <w:p w14:paraId="6EA04BEC" w14:textId="77777777" w:rsidR="00952306" w:rsidRPr="00952306" w:rsidRDefault="00952306" w:rsidP="00952306">
            <w:pPr>
              <w:spacing w:after="0" w:line="240" w:lineRule="auto"/>
              <w:jc w:val="left"/>
              <w:rPr>
                <w:rFonts w:eastAsia="Times New Roman" w:cs="Times New Roman"/>
                <w:color w:val="000000"/>
                <w:sz w:val="18"/>
                <w:szCs w:val="18"/>
                <w:lang w:eastAsia="sk-SK"/>
              </w:rPr>
            </w:pPr>
            <w:r w:rsidRPr="00952306">
              <w:rPr>
                <w:rFonts w:eastAsia="Times New Roman" w:cs="Times New Roman"/>
                <w:color w:val="000000"/>
                <w:sz w:val="18"/>
                <w:szCs w:val="18"/>
                <w:lang w:eastAsia="sk-SK"/>
              </w:rPr>
              <w:t>Daňové a poistné príjmy</w:t>
            </w:r>
          </w:p>
        </w:tc>
        <w:tc>
          <w:tcPr>
            <w:tcW w:w="1134" w:type="dxa"/>
            <w:tcBorders>
              <w:top w:val="nil"/>
              <w:left w:val="nil"/>
              <w:bottom w:val="nil"/>
              <w:right w:val="nil"/>
            </w:tcBorders>
            <w:shd w:val="clear" w:color="000000" w:fill="FFFFFF"/>
            <w:noWrap/>
            <w:vAlign w:val="center"/>
            <w:hideMark/>
          </w:tcPr>
          <w:p w14:paraId="168DA16F" w14:textId="77777777" w:rsidR="00952306" w:rsidRPr="00952306" w:rsidRDefault="00952306" w:rsidP="00952306">
            <w:pPr>
              <w:spacing w:after="0" w:line="240" w:lineRule="auto"/>
              <w:jc w:val="right"/>
              <w:rPr>
                <w:rFonts w:eastAsia="Times New Roman" w:cs="Times New Roman"/>
                <w:sz w:val="18"/>
                <w:szCs w:val="18"/>
                <w:lang w:eastAsia="sk-SK"/>
              </w:rPr>
            </w:pPr>
            <w:r w:rsidRPr="00952306">
              <w:rPr>
                <w:rFonts w:eastAsia="Times New Roman" w:cs="Times New Roman"/>
                <w:sz w:val="18"/>
                <w:szCs w:val="18"/>
                <w:lang w:eastAsia="sk-SK"/>
              </w:rPr>
              <w:t>28 401 827</w:t>
            </w:r>
          </w:p>
        </w:tc>
        <w:tc>
          <w:tcPr>
            <w:tcW w:w="992" w:type="dxa"/>
            <w:tcBorders>
              <w:top w:val="nil"/>
              <w:left w:val="nil"/>
              <w:bottom w:val="nil"/>
              <w:right w:val="nil"/>
            </w:tcBorders>
            <w:shd w:val="clear" w:color="000000" w:fill="FFFFFF"/>
            <w:noWrap/>
            <w:vAlign w:val="center"/>
            <w:hideMark/>
          </w:tcPr>
          <w:p w14:paraId="5276ED2D" w14:textId="77777777" w:rsidR="00952306" w:rsidRPr="00952306" w:rsidRDefault="00952306" w:rsidP="00952306">
            <w:pPr>
              <w:spacing w:after="0" w:line="240" w:lineRule="auto"/>
              <w:jc w:val="right"/>
              <w:rPr>
                <w:rFonts w:eastAsia="Times New Roman" w:cs="Times New Roman"/>
                <w:sz w:val="18"/>
                <w:szCs w:val="18"/>
                <w:lang w:eastAsia="sk-SK"/>
              </w:rPr>
            </w:pPr>
            <w:r w:rsidRPr="00952306">
              <w:rPr>
                <w:rFonts w:eastAsia="Times New Roman" w:cs="Times New Roman"/>
                <w:sz w:val="18"/>
                <w:szCs w:val="18"/>
                <w:lang w:eastAsia="sk-SK"/>
              </w:rPr>
              <w:t>31 869 168</w:t>
            </w:r>
          </w:p>
        </w:tc>
        <w:tc>
          <w:tcPr>
            <w:tcW w:w="993" w:type="dxa"/>
            <w:tcBorders>
              <w:top w:val="nil"/>
              <w:left w:val="nil"/>
              <w:bottom w:val="nil"/>
              <w:right w:val="nil"/>
            </w:tcBorders>
            <w:shd w:val="clear" w:color="000000" w:fill="FFFFFF"/>
            <w:noWrap/>
            <w:vAlign w:val="center"/>
            <w:hideMark/>
          </w:tcPr>
          <w:p w14:paraId="3775A69F" w14:textId="77777777" w:rsidR="00952306" w:rsidRPr="00952306" w:rsidRDefault="00952306" w:rsidP="00952306">
            <w:pPr>
              <w:spacing w:after="0" w:line="240" w:lineRule="auto"/>
              <w:jc w:val="right"/>
              <w:rPr>
                <w:rFonts w:eastAsia="Times New Roman" w:cs="Times New Roman"/>
                <w:sz w:val="18"/>
                <w:szCs w:val="18"/>
                <w:lang w:eastAsia="sk-SK"/>
              </w:rPr>
            </w:pPr>
            <w:r w:rsidRPr="00952306">
              <w:rPr>
                <w:rFonts w:eastAsia="Times New Roman" w:cs="Times New Roman"/>
                <w:sz w:val="18"/>
                <w:szCs w:val="18"/>
                <w:lang w:eastAsia="sk-SK"/>
              </w:rPr>
              <w:t>32 493 317</w:t>
            </w:r>
          </w:p>
        </w:tc>
        <w:tc>
          <w:tcPr>
            <w:tcW w:w="1134" w:type="dxa"/>
            <w:tcBorders>
              <w:top w:val="nil"/>
              <w:left w:val="nil"/>
              <w:bottom w:val="nil"/>
              <w:right w:val="nil"/>
            </w:tcBorders>
            <w:shd w:val="clear" w:color="000000" w:fill="FFFFFF"/>
            <w:noWrap/>
            <w:vAlign w:val="center"/>
            <w:hideMark/>
          </w:tcPr>
          <w:p w14:paraId="37860258" w14:textId="77777777" w:rsidR="00952306" w:rsidRPr="00952306" w:rsidRDefault="00952306" w:rsidP="00952306">
            <w:pPr>
              <w:spacing w:after="0" w:line="240" w:lineRule="auto"/>
              <w:jc w:val="right"/>
              <w:rPr>
                <w:rFonts w:eastAsia="Times New Roman" w:cs="Times New Roman"/>
                <w:sz w:val="18"/>
                <w:szCs w:val="18"/>
                <w:lang w:eastAsia="sk-SK"/>
              </w:rPr>
            </w:pPr>
            <w:r w:rsidRPr="00952306">
              <w:rPr>
                <w:rFonts w:eastAsia="Times New Roman" w:cs="Times New Roman"/>
                <w:sz w:val="18"/>
                <w:szCs w:val="18"/>
                <w:lang w:eastAsia="sk-SK"/>
              </w:rPr>
              <w:t>30 318 291</w:t>
            </w:r>
          </w:p>
        </w:tc>
        <w:tc>
          <w:tcPr>
            <w:tcW w:w="1134" w:type="dxa"/>
            <w:tcBorders>
              <w:top w:val="nil"/>
              <w:left w:val="nil"/>
              <w:bottom w:val="nil"/>
              <w:right w:val="nil"/>
            </w:tcBorders>
            <w:shd w:val="clear" w:color="000000" w:fill="BFBFBF"/>
            <w:noWrap/>
            <w:vAlign w:val="center"/>
            <w:hideMark/>
          </w:tcPr>
          <w:p w14:paraId="2B14C8FB" w14:textId="77777777" w:rsidR="00952306" w:rsidRPr="00952306" w:rsidRDefault="00952306" w:rsidP="00952306">
            <w:pPr>
              <w:spacing w:after="0" w:line="240" w:lineRule="auto"/>
              <w:jc w:val="right"/>
              <w:rPr>
                <w:rFonts w:eastAsia="Times New Roman" w:cs="Times New Roman"/>
                <w:sz w:val="18"/>
                <w:szCs w:val="18"/>
                <w:lang w:eastAsia="sk-SK"/>
              </w:rPr>
            </w:pPr>
            <w:r w:rsidRPr="00952306">
              <w:rPr>
                <w:rFonts w:eastAsia="Times New Roman" w:cs="Times New Roman"/>
                <w:sz w:val="18"/>
                <w:szCs w:val="18"/>
                <w:lang w:eastAsia="sk-SK"/>
              </w:rPr>
              <w:t>31 178 057</w:t>
            </w:r>
          </w:p>
        </w:tc>
        <w:tc>
          <w:tcPr>
            <w:tcW w:w="1005" w:type="dxa"/>
            <w:tcBorders>
              <w:top w:val="nil"/>
              <w:left w:val="nil"/>
              <w:bottom w:val="nil"/>
              <w:right w:val="nil"/>
            </w:tcBorders>
            <w:shd w:val="clear" w:color="000000" w:fill="FFFFFF"/>
            <w:noWrap/>
            <w:vAlign w:val="center"/>
            <w:hideMark/>
          </w:tcPr>
          <w:p w14:paraId="576F04F2" w14:textId="77777777" w:rsidR="00952306" w:rsidRPr="00952306" w:rsidRDefault="00952306" w:rsidP="00952306">
            <w:pPr>
              <w:spacing w:after="0" w:line="240" w:lineRule="auto"/>
              <w:jc w:val="right"/>
              <w:rPr>
                <w:rFonts w:eastAsia="Times New Roman" w:cs="Times New Roman"/>
                <w:sz w:val="18"/>
                <w:szCs w:val="18"/>
                <w:lang w:eastAsia="sk-SK"/>
              </w:rPr>
            </w:pPr>
            <w:r w:rsidRPr="00952306">
              <w:rPr>
                <w:rFonts w:eastAsia="Times New Roman" w:cs="Times New Roman"/>
                <w:sz w:val="18"/>
                <w:szCs w:val="18"/>
                <w:lang w:eastAsia="sk-SK"/>
              </w:rPr>
              <w:t>-1 315 260</w:t>
            </w:r>
          </w:p>
        </w:tc>
        <w:tc>
          <w:tcPr>
            <w:tcW w:w="1003" w:type="dxa"/>
            <w:tcBorders>
              <w:top w:val="nil"/>
              <w:left w:val="nil"/>
              <w:bottom w:val="nil"/>
              <w:right w:val="nil"/>
            </w:tcBorders>
            <w:shd w:val="clear" w:color="000000" w:fill="FFFFFF"/>
            <w:noWrap/>
            <w:vAlign w:val="center"/>
            <w:hideMark/>
          </w:tcPr>
          <w:p w14:paraId="591DA7DB" w14:textId="77777777" w:rsidR="00952306" w:rsidRPr="00952306" w:rsidRDefault="00952306" w:rsidP="00952306">
            <w:pPr>
              <w:spacing w:after="0" w:line="240" w:lineRule="auto"/>
              <w:jc w:val="right"/>
              <w:rPr>
                <w:rFonts w:eastAsia="Times New Roman" w:cs="Times New Roman"/>
                <w:sz w:val="18"/>
                <w:szCs w:val="18"/>
                <w:lang w:eastAsia="sk-SK"/>
              </w:rPr>
            </w:pPr>
            <w:r w:rsidRPr="00952306">
              <w:rPr>
                <w:rFonts w:eastAsia="Times New Roman" w:cs="Times New Roman"/>
                <w:sz w:val="18"/>
                <w:szCs w:val="18"/>
                <w:lang w:eastAsia="sk-SK"/>
              </w:rPr>
              <w:t>859 766</w:t>
            </w:r>
          </w:p>
        </w:tc>
      </w:tr>
      <w:tr w:rsidR="00952306" w:rsidRPr="00952306" w14:paraId="28E1D6CF" w14:textId="77777777" w:rsidTr="00952306">
        <w:trPr>
          <w:trHeight w:val="340"/>
        </w:trPr>
        <w:tc>
          <w:tcPr>
            <w:tcW w:w="1843" w:type="dxa"/>
            <w:tcBorders>
              <w:top w:val="nil"/>
              <w:left w:val="nil"/>
              <w:bottom w:val="nil"/>
              <w:right w:val="nil"/>
            </w:tcBorders>
            <w:shd w:val="clear" w:color="000000" w:fill="FFFFFF"/>
            <w:noWrap/>
            <w:vAlign w:val="center"/>
            <w:hideMark/>
          </w:tcPr>
          <w:p w14:paraId="39CA8028" w14:textId="77777777" w:rsidR="00952306" w:rsidRPr="00952306" w:rsidRDefault="00952306" w:rsidP="00952306">
            <w:pPr>
              <w:spacing w:after="0" w:line="240" w:lineRule="auto"/>
              <w:jc w:val="left"/>
              <w:rPr>
                <w:rFonts w:eastAsia="Times New Roman" w:cs="Times New Roman"/>
                <w:color w:val="000000"/>
                <w:sz w:val="18"/>
                <w:szCs w:val="18"/>
                <w:lang w:eastAsia="sk-SK"/>
              </w:rPr>
            </w:pPr>
            <w:r w:rsidRPr="00952306">
              <w:rPr>
                <w:rFonts w:eastAsia="Times New Roman" w:cs="Times New Roman"/>
                <w:color w:val="000000"/>
                <w:sz w:val="18"/>
                <w:szCs w:val="18"/>
                <w:lang w:eastAsia="sk-SK"/>
              </w:rPr>
              <w:t>Nedaňové príjmy</w:t>
            </w:r>
          </w:p>
        </w:tc>
        <w:tc>
          <w:tcPr>
            <w:tcW w:w="1134" w:type="dxa"/>
            <w:tcBorders>
              <w:top w:val="nil"/>
              <w:left w:val="nil"/>
              <w:bottom w:val="nil"/>
              <w:right w:val="nil"/>
            </w:tcBorders>
            <w:shd w:val="clear" w:color="000000" w:fill="FFFFFF"/>
            <w:noWrap/>
            <w:vAlign w:val="center"/>
            <w:hideMark/>
          </w:tcPr>
          <w:p w14:paraId="28A34830" w14:textId="77777777" w:rsidR="00952306" w:rsidRPr="00952306" w:rsidRDefault="00952306" w:rsidP="00952306">
            <w:pPr>
              <w:spacing w:after="0" w:line="240" w:lineRule="auto"/>
              <w:jc w:val="right"/>
              <w:rPr>
                <w:rFonts w:eastAsia="Times New Roman" w:cs="Times New Roman"/>
                <w:sz w:val="18"/>
                <w:szCs w:val="18"/>
                <w:lang w:eastAsia="sk-SK"/>
              </w:rPr>
            </w:pPr>
            <w:r w:rsidRPr="00952306">
              <w:rPr>
                <w:rFonts w:eastAsia="Times New Roman" w:cs="Times New Roman"/>
                <w:sz w:val="18"/>
                <w:szCs w:val="18"/>
                <w:lang w:eastAsia="sk-SK"/>
              </w:rPr>
              <w:t>6 569 727</w:t>
            </w:r>
          </w:p>
        </w:tc>
        <w:tc>
          <w:tcPr>
            <w:tcW w:w="992" w:type="dxa"/>
            <w:tcBorders>
              <w:top w:val="nil"/>
              <w:left w:val="nil"/>
              <w:bottom w:val="nil"/>
              <w:right w:val="nil"/>
            </w:tcBorders>
            <w:shd w:val="clear" w:color="000000" w:fill="FFFFFF"/>
            <w:noWrap/>
            <w:vAlign w:val="center"/>
            <w:hideMark/>
          </w:tcPr>
          <w:p w14:paraId="1B15221F" w14:textId="77777777" w:rsidR="00952306" w:rsidRPr="00952306" w:rsidRDefault="00952306" w:rsidP="00952306">
            <w:pPr>
              <w:spacing w:after="0" w:line="240" w:lineRule="auto"/>
              <w:jc w:val="right"/>
              <w:rPr>
                <w:rFonts w:eastAsia="Times New Roman" w:cs="Times New Roman"/>
                <w:sz w:val="18"/>
                <w:szCs w:val="18"/>
                <w:lang w:eastAsia="sk-SK"/>
              </w:rPr>
            </w:pPr>
            <w:r w:rsidRPr="00952306">
              <w:rPr>
                <w:rFonts w:eastAsia="Times New Roman" w:cs="Times New Roman"/>
                <w:sz w:val="18"/>
                <w:szCs w:val="18"/>
                <w:lang w:eastAsia="sk-SK"/>
              </w:rPr>
              <w:t>5 675 931</w:t>
            </w:r>
          </w:p>
        </w:tc>
        <w:tc>
          <w:tcPr>
            <w:tcW w:w="993" w:type="dxa"/>
            <w:tcBorders>
              <w:top w:val="nil"/>
              <w:left w:val="nil"/>
              <w:bottom w:val="nil"/>
              <w:right w:val="nil"/>
            </w:tcBorders>
            <w:shd w:val="clear" w:color="000000" w:fill="FFFFFF"/>
            <w:noWrap/>
            <w:vAlign w:val="center"/>
            <w:hideMark/>
          </w:tcPr>
          <w:p w14:paraId="14CABA15" w14:textId="77777777" w:rsidR="00952306" w:rsidRPr="00952306" w:rsidRDefault="00952306" w:rsidP="00952306">
            <w:pPr>
              <w:spacing w:after="0" w:line="240" w:lineRule="auto"/>
              <w:jc w:val="right"/>
              <w:rPr>
                <w:rFonts w:eastAsia="Times New Roman" w:cs="Times New Roman"/>
                <w:sz w:val="18"/>
                <w:szCs w:val="18"/>
                <w:lang w:eastAsia="sk-SK"/>
              </w:rPr>
            </w:pPr>
            <w:r w:rsidRPr="00952306">
              <w:rPr>
                <w:rFonts w:eastAsia="Times New Roman" w:cs="Times New Roman"/>
                <w:sz w:val="18"/>
                <w:szCs w:val="18"/>
                <w:lang w:eastAsia="sk-SK"/>
              </w:rPr>
              <w:t>5 748 637</w:t>
            </w:r>
          </w:p>
        </w:tc>
        <w:tc>
          <w:tcPr>
            <w:tcW w:w="1134" w:type="dxa"/>
            <w:tcBorders>
              <w:top w:val="nil"/>
              <w:left w:val="nil"/>
              <w:bottom w:val="nil"/>
              <w:right w:val="nil"/>
            </w:tcBorders>
            <w:shd w:val="clear" w:color="000000" w:fill="FFFFFF"/>
            <w:noWrap/>
            <w:vAlign w:val="center"/>
            <w:hideMark/>
          </w:tcPr>
          <w:p w14:paraId="405181A9" w14:textId="77777777" w:rsidR="00952306" w:rsidRPr="00952306" w:rsidRDefault="00952306" w:rsidP="00952306">
            <w:pPr>
              <w:spacing w:after="0" w:line="240" w:lineRule="auto"/>
              <w:jc w:val="right"/>
              <w:rPr>
                <w:rFonts w:eastAsia="Times New Roman" w:cs="Times New Roman"/>
                <w:sz w:val="18"/>
                <w:szCs w:val="18"/>
                <w:lang w:eastAsia="sk-SK"/>
              </w:rPr>
            </w:pPr>
            <w:r w:rsidRPr="00952306">
              <w:rPr>
                <w:rFonts w:eastAsia="Times New Roman" w:cs="Times New Roman"/>
                <w:sz w:val="18"/>
                <w:szCs w:val="18"/>
                <w:lang w:eastAsia="sk-SK"/>
              </w:rPr>
              <w:t>5 904 499</w:t>
            </w:r>
          </w:p>
        </w:tc>
        <w:tc>
          <w:tcPr>
            <w:tcW w:w="1134" w:type="dxa"/>
            <w:tcBorders>
              <w:top w:val="nil"/>
              <w:left w:val="nil"/>
              <w:bottom w:val="nil"/>
              <w:right w:val="nil"/>
            </w:tcBorders>
            <w:shd w:val="clear" w:color="000000" w:fill="BFBFBF"/>
            <w:noWrap/>
            <w:vAlign w:val="center"/>
            <w:hideMark/>
          </w:tcPr>
          <w:p w14:paraId="11E7F58E" w14:textId="77777777" w:rsidR="00952306" w:rsidRPr="00952306" w:rsidRDefault="00952306" w:rsidP="00952306">
            <w:pPr>
              <w:spacing w:after="0" w:line="240" w:lineRule="auto"/>
              <w:jc w:val="right"/>
              <w:rPr>
                <w:rFonts w:eastAsia="Times New Roman" w:cs="Times New Roman"/>
                <w:sz w:val="18"/>
                <w:szCs w:val="18"/>
                <w:lang w:eastAsia="sk-SK"/>
              </w:rPr>
            </w:pPr>
            <w:r w:rsidRPr="00952306">
              <w:rPr>
                <w:rFonts w:eastAsia="Times New Roman" w:cs="Times New Roman"/>
                <w:sz w:val="18"/>
                <w:szCs w:val="18"/>
                <w:lang w:eastAsia="sk-SK"/>
              </w:rPr>
              <w:t>5 698 062</w:t>
            </w:r>
          </w:p>
        </w:tc>
        <w:tc>
          <w:tcPr>
            <w:tcW w:w="1005" w:type="dxa"/>
            <w:tcBorders>
              <w:top w:val="nil"/>
              <w:left w:val="nil"/>
              <w:bottom w:val="nil"/>
              <w:right w:val="nil"/>
            </w:tcBorders>
            <w:shd w:val="clear" w:color="000000" w:fill="FFFFFF"/>
            <w:noWrap/>
            <w:vAlign w:val="center"/>
            <w:hideMark/>
          </w:tcPr>
          <w:p w14:paraId="0AC4152B" w14:textId="77777777" w:rsidR="00952306" w:rsidRPr="00952306" w:rsidRDefault="00952306" w:rsidP="00952306">
            <w:pPr>
              <w:spacing w:after="0" w:line="240" w:lineRule="auto"/>
              <w:jc w:val="right"/>
              <w:rPr>
                <w:rFonts w:eastAsia="Times New Roman" w:cs="Times New Roman"/>
                <w:sz w:val="18"/>
                <w:szCs w:val="18"/>
                <w:lang w:eastAsia="sk-SK"/>
              </w:rPr>
            </w:pPr>
            <w:r w:rsidRPr="00952306">
              <w:rPr>
                <w:rFonts w:eastAsia="Times New Roman" w:cs="Times New Roman"/>
                <w:sz w:val="18"/>
                <w:szCs w:val="18"/>
                <w:lang w:eastAsia="sk-SK"/>
              </w:rPr>
              <w:t>-50 575</w:t>
            </w:r>
          </w:p>
        </w:tc>
        <w:tc>
          <w:tcPr>
            <w:tcW w:w="1003" w:type="dxa"/>
            <w:tcBorders>
              <w:top w:val="nil"/>
              <w:left w:val="nil"/>
              <w:bottom w:val="nil"/>
              <w:right w:val="nil"/>
            </w:tcBorders>
            <w:shd w:val="clear" w:color="000000" w:fill="FFFFFF"/>
            <w:noWrap/>
            <w:vAlign w:val="center"/>
            <w:hideMark/>
          </w:tcPr>
          <w:p w14:paraId="1F6CB82A" w14:textId="77777777" w:rsidR="00952306" w:rsidRPr="00952306" w:rsidRDefault="00952306" w:rsidP="00952306">
            <w:pPr>
              <w:spacing w:after="0" w:line="240" w:lineRule="auto"/>
              <w:jc w:val="right"/>
              <w:rPr>
                <w:rFonts w:eastAsia="Times New Roman" w:cs="Times New Roman"/>
                <w:sz w:val="18"/>
                <w:szCs w:val="18"/>
                <w:lang w:eastAsia="sk-SK"/>
              </w:rPr>
            </w:pPr>
            <w:r w:rsidRPr="00952306">
              <w:rPr>
                <w:rFonts w:eastAsia="Times New Roman" w:cs="Times New Roman"/>
                <w:sz w:val="18"/>
                <w:szCs w:val="18"/>
                <w:lang w:eastAsia="sk-SK"/>
              </w:rPr>
              <w:t>-206 437</w:t>
            </w:r>
          </w:p>
        </w:tc>
      </w:tr>
      <w:tr w:rsidR="00952306" w:rsidRPr="00952306" w14:paraId="41635E2A" w14:textId="77777777" w:rsidTr="00952306">
        <w:trPr>
          <w:trHeight w:val="340"/>
        </w:trPr>
        <w:tc>
          <w:tcPr>
            <w:tcW w:w="1843" w:type="dxa"/>
            <w:tcBorders>
              <w:top w:val="nil"/>
              <w:left w:val="nil"/>
              <w:bottom w:val="nil"/>
              <w:right w:val="nil"/>
            </w:tcBorders>
            <w:shd w:val="clear" w:color="000000" w:fill="FFFFFF"/>
            <w:noWrap/>
            <w:vAlign w:val="center"/>
            <w:hideMark/>
          </w:tcPr>
          <w:p w14:paraId="7AFA9BD6" w14:textId="77777777" w:rsidR="00952306" w:rsidRPr="00952306" w:rsidRDefault="00952306" w:rsidP="00952306">
            <w:pPr>
              <w:spacing w:after="0" w:line="240" w:lineRule="auto"/>
              <w:jc w:val="left"/>
              <w:rPr>
                <w:rFonts w:eastAsia="Times New Roman" w:cs="Times New Roman"/>
                <w:color w:val="000000"/>
                <w:sz w:val="18"/>
                <w:szCs w:val="18"/>
                <w:lang w:eastAsia="sk-SK"/>
              </w:rPr>
            </w:pPr>
            <w:r w:rsidRPr="00952306">
              <w:rPr>
                <w:rFonts w:eastAsia="Times New Roman" w:cs="Times New Roman"/>
                <w:color w:val="000000"/>
                <w:sz w:val="18"/>
                <w:szCs w:val="18"/>
                <w:lang w:eastAsia="sk-SK"/>
              </w:rPr>
              <w:t>Granty a transfery</w:t>
            </w:r>
          </w:p>
        </w:tc>
        <w:tc>
          <w:tcPr>
            <w:tcW w:w="1134" w:type="dxa"/>
            <w:tcBorders>
              <w:top w:val="nil"/>
              <w:left w:val="nil"/>
              <w:bottom w:val="nil"/>
              <w:right w:val="nil"/>
            </w:tcBorders>
            <w:shd w:val="clear" w:color="000000" w:fill="FFFFFF"/>
            <w:noWrap/>
            <w:vAlign w:val="center"/>
            <w:hideMark/>
          </w:tcPr>
          <w:p w14:paraId="7B395C5F" w14:textId="77777777" w:rsidR="00952306" w:rsidRPr="00952306" w:rsidRDefault="00952306" w:rsidP="00952306">
            <w:pPr>
              <w:spacing w:after="0" w:line="240" w:lineRule="auto"/>
              <w:jc w:val="right"/>
              <w:rPr>
                <w:rFonts w:eastAsia="Times New Roman" w:cs="Times New Roman"/>
                <w:sz w:val="18"/>
                <w:szCs w:val="18"/>
                <w:lang w:eastAsia="sk-SK"/>
              </w:rPr>
            </w:pPr>
            <w:r w:rsidRPr="00952306">
              <w:rPr>
                <w:rFonts w:eastAsia="Times New Roman" w:cs="Times New Roman"/>
                <w:sz w:val="18"/>
                <w:szCs w:val="18"/>
                <w:lang w:eastAsia="sk-SK"/>
              </w:rPr>
              <w:t>1 362 843</w:t>
            </w:r>
          </w:p>
        </w:tc>
        <w:tc>
          <w:tcPr>
            <w:tcW w:w="992" w:type="dxa"/>
            <w:tcBorders>
              <w:top w:val="nil"/>
              <w:left w:val="nil"/>
              <w:bottom w:val="nil"/>
              <w:right w:val="nil"/>
            </w:tcBorders>
            <w:shd w:val="clear" w:color="000000" w:fill="FFFFFF"/>
            <w:noWrap/>
            <w:vAlign w:val="center"/>
            <w:hideMark/>
          </w:tcPr>
          <w:p w14:paraId="62999D9F" w14:textId="77777777" w:rsidR="00952306" w:rsidRPr="00952306" w:rsidRDefault="00952306" w:rsidP="00952306">
            <w:pPr>
              <w:spacing w:after="0" w:line="240" w:lineRule="auto"/>
              <w:jc w:val="right"/>
              <w:rPr>
                <w:rFonts w:eastAsia="Times New Roman" w:cs="Times New Roman"/>
                <w:sz w:val="18"/>
                <w:szCs w:val="18"/>
                <w:lang w:eastAsia="sk-SK"/>
              </w:rPr>
            </w:pPr>
            <w:r w:rsidRPr="00952306">
              <w:rPr>
                <w:rFonts w:eastAsia="Times New Roman" w:cs="Times New Roman"/>
                <w:sz w:val="18"/>
                <w:szCs w:val="18"/>
                <w:lang w:eastAsia="sk-SK"/>
              </w:rPr>
              <w:t>1 519 555</w:t>
            </w:r>
          </w:p>
        </w:tc>
        <w:tc>
          <w:tcPr>
            <w:tcW w:w="993" w:type="dxa"/>
            <w:tcBorders>
              <w:top w:val="nil"/>
              <w:left w:val="nil"/>
              <w:bottom w:val="nil"/>
              <w:right w:val="nil"/>
            </w:tcBorders>
            <w:shd w:val="clear" w:color="000000" w:fill="FFFFFF"/>
            <w:noWrap/>
            <w:vAlign w:val="center"/>
            <w:hideMark/>
          </w:tcPr>
          <w:p w14:paraId="3A40D95E" w14:textId="77777777" w:rsidR="00952306" w:rsidRPr="00952306" w:rsidRDefault="00952306" w:rsidP="00952306">
            <w:pPr>
              <w:spacing w:after="0" w:line="240" w:lineRule="auto"/>
              <w:jc w:val="right"/>
              <w:rPr>
                <w:rFonts w:eastAsia="Times New Roman" w:cs="Times New Roman"/>
                <w:sz w:val="18"/>
                <w:szCs w:val="18"/>
                <w:lang w:eastAsia="sk-SK"/>
              </w:rPr>
            </w:pPr>
            <w:r w:rsidRPr="00952306">
              <w:rPr>
                <w:rFonts w:eastAsia="Times New Roman" w:cs="Times New Roman"/>
                <w:sz w:val="18"/>
                <w:szCs w:val="18"/>
                <w:lang w:eastAsia="sk-SK"/>
              </w:rPr>
              <w:t>603 513</w:t>
            </w:r>
          </w:p>
        </w:tc>
        <w:tc>
          <w:tcPr>
            <w:tcW w:w="1134" w:type="dxa"/>
            <w:tcBorders>
              <w:top w:val="nil"/>
              <w:left w:val="nil"/>
              <w:bottom w:val="nil"/>
              <w:right w:val="nil"/>
            </w:tcBorders>
            <w:shd w:val="clear" w:color="000000" w:fill="FFFFFF"/>
            <w:noWrap/>
            <w:vAlign w:val="center"/>
            <w:hideMark/>
          </w:tcPr>
          <w:p w14:paraId="64DFC79C" w14:textId="77777777" w:rsidR="00952306" w:rsidRPr="00952306" w:rsidRDefault="00952306" w:rsidP="00952306">
            <w:pPr>
              <w:spacing w:after="0" w:line="240" w:lineRule="auto"/>
              <w:jc w:val="right"/>
              <w:rPr>
                <w:rFonts w:eastAsia="Times New Roman" w:cs="Times New Roman"/>
                <w:sz w:val="18"/>
                <w:szCs w:val="18"/>
                <w:lang w:eastAsia="sk-SK"/>
              </w:rPr>
            </w:pPr>
            <w:r w:rsidRPr="00952306">
              <w:rPr>
                <w:rFonts w:eastAsia="Times New Roman" w:cs="Times New Roman"/>
                <w:sz w:val="18"/>
                <w:szCs w:val="18"/>
                <w:lang w:eastAsia="sk-SK"/>
              </w:rPr>
              <w:t>1 913 128</w:t>
            </w:r>
          </w:p>
        </w:tc>
        <w:tc>
          <w:tcPr>
            <w:tcW w:w="1134" w:type="dxa"/>
            <w:tcBorders>
              <w:top w:val="nil"/>
              <w:left w:val="nil"/>
              <w:bottom w:val="nil"/>
              <w:right w:val="nil"/>
            </w:tcBorders>
            <w:shd w:val="clear" w:color="000000" w:fill="BFBFBF"/>
            <w:noWrap/>
            <w:vAlign w:val="center"/>
            <w:hideMark/>
          </w:tcPr>
          <w:p w14:paraId="77F98B0D" w14:textId="77777777" w:rsidR="00952306" w:rsidRPr="00952306" w:rsidRDefault="00952306" w:rsidP="00952306">
            <w:pPr>
              <w:spacing w:after="0" w:line="240" w:lineRule="auto"/>
              <w:jc w:val="right"/>
              <w:rPr>
                <w:rFonts w:eastAsia="Times New Roman" w:cs="Times New Roman"/>
                <w:sz w:val="18"/>
                <w:szCs w:val="18"/>
                <w:lang w:eastAsia="sk-SK"/>
              </w:rPr>
            </w:pPr>
            <w:r w:rsidRPr="00952306">
              <w:rPr>
                <w:rFonts w:eastAsia="Times New Roman" w:cs="Times New Roman"/>
                <w:sz w:val="18"/>
                <w:szCs w:val="18"/>
                <w:lang w:eastAsia="sk-SK"/>
              </w:rPr>
              <w:t>1 502 790</w:t>
            </w:r>
          </w:p>
        </w:tc>
        <w:tc>
          <w:tcPr>
            <w:tcW w:w="1005" w:type="dxa"/>
            <w:tcBorders>
              <w:top w:val="nil"/>
              <w:left w:val="nil"/>
              <w:bottom w:val="nil"/>
              <w:right w:val="nil"/>
            </w:tcBorders>
            <w:shd w:val="clear" w:color="000000" w:fill="FFFFFF"/>
            <w:noWrap/>
            <w:vAlign w:val="center"/>
            <w:hideMark/>
          </w:tcPr>
          <w:p w14:paraId="3B587AB1" w14:textId="77777777" w:rsidR="00952306" w:rsidRPr="00952306" w:rsidRDefault="00952306" w:rsidP="00952306">
            <w:pPr>
              <w:spacing w:after="0" w:line="240" w:lineRule="auto"/>
              <w:jc w:val="right"/>
              <w:rPr>
                <w:rFonts w:eastAsia="Times New Roman" w:cs="Times New Roman"/>
                <w:sz w:val="18"/>
                <w:szCs w:val="18"/>
                <w:lang w:eastAsia="sk-SK"/>
              </w:rPr>
            </w:pPr>
            <w:r w:rsidRPr="00952306">
              <w:rPr>
                <w:rFonts w:eastAsia="Times New Roman" w:cs="Times New Roman"/>
                <w:sz w:val="18"/>
                <w:szCs w:val="18"/>
                <w:lang w:eastAsia="sk-SK"/>
              </w:rPr>
              <w:t>899 277</w:t>
            </w:r>
          </w:p>
        </w:tc>
        <w:tc>
          <w:tcPr>
            <w:tcW w:w="1003" w:type="dxa"/>
            <w:tcBorders>
              <w:top w:val="nil"/>
              <w:left w:val="nil"/>
              <w:bottom w:val="nil"/>
              <w:right w:val="nil"/>
            </w:tcBorders>
            <w:shd w:val="clear" w:color="000000" w:fill="FFFFFF"/>
            <w:noWrap/>
            <w:vAlign w:val="center"/>
            <w:hideMark/>
          </w:tcPr>
          <w:p w14:paraId="4C67B3A3" w14:textId="77777777" w:rsidR="00952306" w:rsidRPr="00952306" w:rsidRDefault="00952306" w:rsidP="00952306">
            <w:pPr>
              <w:spacing w:after="0" w:line="240" w:lineRule="auto"/>
              <w:jc w:val="right"/>
              <w:rPr>
                <w:rFonts w:eastAsia="Times New Roman" w:cs="Times New Roman"/>
                <w:sz w:val="18"/>
                <w:szCs w:val="18"/>
                <w:lang w:eastAsia="sk-SK"/>
              </w:rPr>
            </w:pPr>
            <w:r w:rsidRPr="00952306">
              <w:rPr>
                <w:rFonts w:eastAsia="Times New Roman" w:cs="Times New Roman"/>
                <w:sz w:val="18"/>
                <w:szCs w:val="18"/>
                <w:lang w:eastAsia="sk-SK"/>
              </w:rPr>
              <w:t>-410 338</w:t>
            </w:r>
          </w:p>
        </w:tc>
      </w:tr>
      <w:tr w:rsidR="00952306" w:rsidRPr="00952306" w14:paraId="3FE82A77" w14:textId="77777777" w:rsidTr="00952306">
        <w:trPr>
          <w:trHeight w:val="340"/>
        </w:trPr>
        <w:tc>
          <w:tcPr>
            <w:tcW w:w="1843" w:type="dxa"/>
            <w:tcBorders>
              <w:top w:val="nil"/>
              <w:left w:val="nil"/>
              <w:bottom w:val="nil"/>
              <w:right w:val="nil"/>
            </w:tcBorders>
            <w:shd w:val="clear" w:color="000000" w:fill="FFFFFF"/>
            <w:noWrap/>
            <w:vAlign w:val="center"/>
            <w:hideMark/>
          </w:tcPr>
          <w:p w14:paraId="1C2044F5" w14:textId="66F8C74E" w:rsidR="00952306" w:rsidRPr="00952306" w:rsidRDefault="00952306" w:rsidP="00952306">
            <w:pPr>
              <w:spacing w:after="0" w:line="240" w:lineRule="auto"/>
              <w:ind w:right="-212"/>
              <w:jc w:val="left"/>
              <w:rPr>
                <w:rFonts w:eastAsia="Times New Roman" w:cs="Times New Roman"/>
                <w:b/>
                <w:bCs/>
                <w:sz w:val="18"/>
                <w:szCs w:val="18"/>
                <w:lang w:eastAsia="sk-SK"/>
              </w:rPr>
            </w:pPr>
            <w:r w:rsidRPr="00952306">
              <w:rPr>
                <w:rFonts w:eastAsia="Times New Roman" w:cs="Times New Roman"/>
                <w:b/>
                <w:bCs/>
                <w:sz w:val="18"/>
                <w:szCs w:val="18"/>
                <w:lang w:eastAsia="sk-SK"/>
              </w:rPr>
              <w:t>Výdavky spolu, v</w:t>
            </w:r>
            <w:r>
              <w:rPr>
                <w:rFonts w:eastAsia="Times New Roman" w:cs="Times New Roman"/>
                <w:b/>
                <w:bCs/>
                <w:sz w:val="18"/>
                <w:szCs w:val="18"/>
                <w:lang w:eastAsia="sk-SK"/>
              </w:rPr>
              <w:t> </w:t>
            </w:r>
            <w:r w:rsidRPr="00952306">
              <w:rPr>
                <w:rFonts w:eastAsia="Times New Roman" w:cs="Times New Roman"/>
                <w:b/>
                <w:bCs/>
                <w:sz w:val="18"/>
                <w:szCs w:val="18"/>
                <w:lang w:eastAsia="sk-SK"/>
              </w:rPr>
              <w:t>tom:</w:t>
            </w:r>
          </w:p>
        </w:tc>
        <w:tc>
          <w:tcPr>
            <w:tcW w:w="1134" w:type="dxa"/>
            <w:tcBorders>
              <w:top w:val="nil"/>
              <w:left w:val="nil"/>
              <w:bottom w:val="nil"/>
              <w:right w:val="nil"/>
            </w:tcBorders>
            <w:shd w:val="clear" w:color="auto" w:fill="auto"/>
            <w:noWrap/>
            <w:vAlign w:val="center"/>
            <w:hideMark/>
          </w:tcPr>
          <w:p w14:paraId="1D021A5C" w14:textId="77777777" w:rsidR="00952306" w:rsidRPr="00952306" w:rsidRDefault="00952306" w:rsidP="00952306">
            <w:pPr>
              <w:spacing w:after="0" w:line="240" w:lineRule="auto"/>
              <w:jc w:val="right"/>
              <w:rPr>
                <w:rFonts w:eastAsia="Times New Roman" w:cs="Times New Roman"/>
                <w:b/>
                <w:bCs/>
                <w:sz w:val="18"/>
                <w:szCs w:val="18"/>
                <w:lang w:eastAsia="sk-SK"/>
              </w:rPr>
            </w:pPr>
            <w:r w:rsidRPr="00952306">
              <w:rPr>
                <w:rFonts w:eastAsia="Times New Roman" w:cs="Times New Roman"/>
                <w:b/>
                <w:bCs/>
                <w:sz w:val="18"/>
                <w:szCs w:val="18"/>
                <w:lang w:eastAsia="sk-SK"/>
              </w:rPr>
              <w:t>37 236 151</w:t>
            </w:r>
          </w:p>
        </w:tc>
        <w:tc>
          <w:tcPr>
            <w:tcW w:w="992" w:type="dxa"/>
            <w:tcBorders>
              <w:top w:val="nil"/>
              <w:left w:val="nil"/>
              <w:bottom w:val="nil"/>
              <w:right w:val="nil"/>
            </w:tcBorders>
            <w:shd w:val="clear" w:color="auto" w:fill="auto"/>
            <w:noWrap/>
            <w:vAlign w:val="center"/>
            <w:hideMark/>
          </w:tcPr>
          <w:p w14:paraId="74BA0D77" w14:textId="77777777" w:rsidR="00952306" w:rsidRPr="00952306" w:rsidRDefault="00952306" w:rsidP="00952306">
            <w:pPr>
              <w:spacing w:after="0" w:line="240" w:lineRule="auto"/>
              <w:jc w:val="right"/>
              <w:rPr>
                <w:rFonts w:eastAsia="Times New Roman" w:cs="Times New Roman"/>
                <w:b/>
                <w:bCs/>
                <w:sz w:val="18"/>
                <w:szCs w:val="18"/>
                <w:lang w:eastAsia="sk-SK"/>
              </w:rPr>
            </w:pPr>
            <w:r w:rsidRPr="00952306">
              <w:rPr>
                <w:rFonts w:eastAsia="Times New Roman" w:cs="Times New Roman"/>
                <w:b/>
                <w:bCs/>
                <w:sz w:val="18"/>
                <w:szCs w:val="18"/>
                <w:lang w:eastAsia="sk-SK"/>
              </w:rPr>
              <w:t>40 313 338</w:t>
            </w:r>
          </w:p>
        </w:tc>
        <w:tc>
          <w:tcPr>
            <w:tcW w:w="993" w:type="dxa"/>
            <w:tcBorders>
              <w:top w:val="nil"/>
              <w:left w:val="nil"/>
              <w:bottom w:val="nil"/>
              <w:right w:val="nil"/>
            </w:tcBorders>
            <w:shd w:val="clear" w:color="auto" w:fill="auto"/>
            <w:noWrap/>
            <w:vAlign w:val="center"/>
            <w:hideMark/>
          </w:tcPr>
          <w:p w14:paraId="20A38A77" w14:textId="77777777" w:rsidR="00952306" w:rsidRPr="00952306" w:rsidRDefault="00952306" w:rsidP="00952306">
            <w:pPr>
              <w:spacing w:after="0" w:line="240" w:lineRule="auto"/>
              <w:jc w:val="right"/>
              <w:rPr>
                <w:rFonts w:eastAsia="Times New Roman" w:cs="Times New Roman"/>
                <w:b/>
                <w:bCs/>
                <w:sz w:val="18"/>
                <w:szCs w:val="18"/>
                <w:lang w:eastAsia="sk-SK"/>
              </w:rPr>
            </w:pPr>
            <w:r w:rsidRPr="00952306">
              <w:rPr>
                <w:rFonts w:eastAsia="Times New Roman" w:cs="Times New Roman"/>
                <w:b/>
                <w:bCs/>
                <w:sz w:val="18"/>
                <w:szCs w:val="18"/>
                <w:lang w:eastAsia="sk-SK"/>
              </w:rPr>
              <w:t>39 325 876</w:t>
            </w:r>
          </w:p>
        </w:tc>
        <w:tc>
          <w:tcPr>
            <w:tcW w:w="1134" w:type="dxa"/>
            <w:tcBorders>
              <w:top w:val="nil"/>
              <w:left w:val="nil"/>
              <w:bottom w:val="nil"/>
              <w:right w:val="nil"/>
            </w:tcBorders>
            <w:shd w:val="clear" w:color="auto" w:fill="auto"/>
            <w:noWrap/>
            <w:vAlign w:val="center"/>
            <w:hideMark/>
          </w:tcPr>
          <w:p w14:paraId="3D03B100" w14:textId="77777777" w:rsidR="00952306" w:rsidRPr="00952306" w:rsidRDefault="00952306" w:rsidP="00952306">
            <w:pPr>
              <w:spacing w:after="0" w:line="240" w:lineRule="auto"/>
              <w:jc w:val="right"/>
              <w:rPr>
                <w:rFonts w:eastAsia="Times New Roman" w:cs="Times New Roman"/>
                <w:b/>
                <w:bCs/>
                <w:sz w:val="18"/>
                <w:szCs w:val="18"/>
                <w:lang w:eastAsia="sk-SK"/>
              </w:rPr>
            </w:pPr>
            <w:r w:rsidRPr="00952306">
              <w:rPr>
                <w:rFonts w:eastAsia="Times New Roman" w:cs="Times New Roman"/>
                <w:b/>
                <w:bCs/>
                <w:sz w:val="18"/>
                <w:szCs w:val="18"/>
                <w:lang w:eastAsia="sk-SK"/>
              </w:rPr>
              <w:t>48 161 295</w:t>
            </w:r>
          </w:p>
        </w:tc>
        <w:tc>
          <w:tcPr>
            <w:tcW w:w="1134" w:type="dxa"/>
            <w:tcBorders>
              <w:top w:val="nil"/>
              <w:left w:val="nil"/>
              <w:bottom w:val="nil"/>
              <w:right w:val="nil"/>
            </w:tcBorders>
            <w:shd w:val="clear" w:color="000000" w:fill="BFBFBF"/>
            <w:noWrap/>
            <w:vAlign w:val="center"/>
            <w:hideMark/>
          </w:tcPr>
          <w:p w14:paraId="51AA2890" w14:textId="77777777" w:rsidR="00952306" w:rsidRPr="00952306" w:rsidRDefault="00952306" w:rsidP="00952306">
            <w:pPr>
              <w:spacing w:after="0" w:line="240" w:lineRule="auto"/>
              <w:jc w:val="right"/>
              <w:rPr>
                <w:rFonts w:eastAsia="Times New Roman" w:cs="Times New Roman"/>
                <w:b/>
                <w:bCs/>
                <w:sz w:val="18"/>
                <w:szCs w:val="18"/>
                <w:lang w:eastAsia="sk-SK"/>
              </w:rPr>
            </w:pPr>
            <w:r w:rsidRPr="00952306">
              <w:rPr>
                <w:rFonts w:eastAsia="Times New Roman" w:cs="Times New Roman"/>
                <w:b/>
                <w:bCs/>
                <w:sz w:val="18"/>
                <w:szCs w:val="18"/>
                <w:lang w:eastAsia="sk-SK"/>
              </w:rPr>
              <w:t>43 987 675</w:t>
            </w:r>
          </w:p>
        </w:tc>
        <w:tc>
          <w:tcPr>
            <w:tcW w:w="1005" w:type="dxa"/>
            <w:tcBorders>
              <w:top w:val="nil"/>
              <w:left w:val="nil"/>
              <w:bottom w:val="nil"/>
              <w:right w:val="nil"/>
            </w:tcBorders>
            <w:shd w:val="clear" w:color="auto" w:fill="auto"/>
            <w:noWrap/>
            <w:vAlign w:val="center"/>
            <w:hideMark/>
          </w:tcPr>
          <w:p w14:paraId="07E2F4CE" w14:textId="77777777" w:rsidR="00952306" w:rsidRPr="00952306" w:rsidRDefault="00952306" w:rsidP="00952306">
            <w:pPr>
              <w:spacing w:after="0" w:line="240" w:lineRule="auto"/>
              <w:jc w:val="right"/>
              <w:rPr>
                <w:rFonts w:eastAsia="Times New Roman" w:cs="Times New Roman"/>
                <w:b/>
                <w:bCs/>
                <w:sz w:val="18"/>
                <w:szCs w:val="18"/>
                <w:lang w:eastAsia="sk-SK"/>
              </w:rPr>
            </w:pPr>
            <w:r w:rsidRPr="00952306">
              <w:rPr>
                <w:rFonts w:eastAsia="Times New Roman" w:cs="Times New Roman"/>
                <w:b/>
                <w:bCs/>
                <w:sz w:val="18"/>
                <w:szCs w:val="18"/>
                <w:lang w:eastAsia="sk-SK"/>
              </w:rPr>
              <w:t>4 661 799</w:t>
            </w:r>
          </w:p>
        </w:tc>
        <w:tc>
          <w:tcPr>
            <w:tcW w:w="1003" w:type="dxa"/>
            <w:tcBorders>
              <w:top w:val="nil"/>
              <w:left w:val="nil"/>
              <w:bottom w:val="nil"/>
              <w:right w:val="nil"/>
            </w:tcBorders>
            <w:shd w:val="clear" w:color="auto" w:fill="auto"/>
            <w:noWrap/>
            <w:vAlign w:val="center"/>
            <w:hideMark/>
          </w:tcPr>
          <w:p w14:paraId="28D64A2B" w14:textId="77777777" w:rsidR="00952306" w:rsidRPr="00952306" w:rsidRDefault="00952306" w:rsidP="00952306">
            <w:pPr>
              <w:spacing w:after="0" w:line="240" w:lineRule="auto"/>
              <w:jc w:val="right"/>
              <w:rPr>
                <w:rFonts w:eastAsia="Times New Roman" w:cs="Times New Roman"/>
                <w:b/>
                <w:bCs/>
                <w:sz w:val="18"/>
                <w:szCs w:val="18"/>
                <w:lang w:eastAsia="sk-SK"/>
              </w:rPr>
            </w:pPr>
            <w:r w:rsidRPr="00952306">
              <w:rPr>
                <w:rFonts w:eastAsia="Times New Roman" w:cs="Times New Roman"/>
                <w:b/>
                <w:bCs/>
                <w:sz w:val="18"/>
                <w:szCs w:val="18"/>
                <w:lang w:eastAsia="sk-SK"/>
              </w:rPr>
              <w:t>-4 173 620</w:t>
            </w:r>
          </w:p>
        </w:tc>
      </w:tr>
      <w:tr w:rsidR="00952306" w:rsidRPr="00952306" w14:paraId="7C585B83" w14:textId="77777777" w:rsidTr="00952306">
        <w:trPr>
          <w:trHeight w:val="340"/>
        </w:trPr>
        <w:tc>
          <w:tcPr>
            <w:tcW w:w="1843" w:type="dxa"/>
            <w:tcBorders>
              <w:top w:val="nil"/>
              <w:left w:val="nil"/>
              <w:bottom w:val="nil"/>
              <w:right w:val="nil"/>
            </w:tcBorders>
            <w:shd w:val="clear" w:color="000000" w:fill="FFFFFF"/>
            <w:noWrap/>
            <w:vAlign w:val="center"/>
            <w:hideMark/>
          </w:tcPr>
          <w:p w14:paraId="48B1DEB6" w14:textId="77777777" w:rsidR="00952306" w:rsidRPr="00952306" w:rsidRDefault="00952306" w:rsidP="00952306">
            <w:pPr>
              <w:spacing w:after="0" w:line="240" w:lineRule="auto"/>
              <w:jc w:val="left"/>
              <w:rPr>
                <w:rFonts w:eastAsia="Times New Roman" w:cs="Times New Roman"/>
                <w:color w:val="000000"/>
                <w:sz w:val="18"/>
                <w:szCs w:val="18"/>
                <w:lang w:eastAsia="sk-SK"/>
              </w:rPr>
            </w:pPr>
            <w:r w:rsidRPr="00952306">
              <w:rPr>
                <w:rFonts w:eastAsia="Times New Roman" w:cs="Times New Roman"/>
                <w:color w:val="000000"/>
                <w:sz w:val="18"/>
                <w:szCs w:val="18"/>
                <w:lang w:eastAsia="sk-SK"/>
              </w:rPr>
              <w:t>Bežné výdavky</w:t>
            </w:r>
          </w:p>
        </w:tc>
        <w:tc>
          <w:tcPr>
            <w:tcW w:w="1134" w:type="dxa"/>
            <w:tcBorders>
              <w:top w:val="nil"/>
              <w:left w:val="nil"/>
              <w:bottom w:val="nil"/>
              <w:right w:val="nil"/>
            </w:tcBorders>
            <w:shd w:val="clear" w:color="000000" w:fill="FFFFFF"/>
            <w:noWrap/>
            <w:vAlign w:val="center"/>
            <w:hideMark/>
          </w:tcPr>
          <w:p w14:paraId="6AB9D0E5" w14:textId="77777777" w:rsidR="00952306" w:rsidRPr="00952306" w:rsidRDefault="00952306" w:rsidP="00952306">
            <w:pPr>
              <w:spacing w:after="0" w:line="240" w:lineRule="auto"/>
              <w:jc w:val="right"/>
              <w:rPr>
                <w:rFonts w:eastAsia="Times New Roman" w:cs="Times New Roman"/>
                <w:sz w:val="18"/>
                <w:szCs w:val="18"/>
                <w:lang w:eastAsia="sk-SK"/>
              </w:rPr>
            </w:pPr>
            <w:r w:rsidRPr="00952306">
              <w:rPr>
                <w:rFonts w:eastAsia="Times New Roman" w:cs="Times New Roman"/>
                <w:sz w:val="18"/>
                <w:szCs w:val="18"/>
                <w:lang w:eastAsia="sk-SK"/>
              </w:rPr>
              <w:t>34 280 447</w:t>
            </w:r>
          </w:p>
        </w:tc>
        <w:tc>
          <w:tcPr>
            <w:tcW w:w="992" w:type="dxa"/>
            <w:tcBorders>
              <w:top w:val="nil"/>
              <w:left w:val="nil"/>
              <w:bottom w:val="nil"/>
              <w:right w:val="nil"/>
            </w:tcBorders>
            <w:shd w:val="clear" w:color="000000" w:fill="FFFFFF"/>
            <w:noWrap/>
            <w:vAlign w:val="center"/>
            <w:hideMark/>
          </w:tcPr>
          <w:p w14:paraId="758FC6CB" w14:textId="77777777" w:rsidR="00952306" w:rsidRPr="00952306" w:rsidRDefault="00952306" w:rsidP="00952306">
            <w:pPr>
              <w:spacing w:after="0" w:line="240" w:lineRule="auto"/>
              <w:jc w:val="right"/>
              <w:rPr>
                <w:rFonts w:eastAsia="Times New Roman" w:cs="Times New Roman"/>
                <w:sz w:val="18"/>
                <w:szCs w:val="18"/>
                <w:lang w:eastAsia="sk-SK"/>
              </w:rPr>
            </w:pPr>
            <w:r w:rsidRPr="00952306">
              <w:rPr>
                <w:rFonts w:eastAsia="Times New Roman" w:cs="Times New Roman"/>
                <w:sz w:val="18"/>
                <w:szCs w:val="18"/>
                <w:lang w:eastAsia="sk-SK"/>
              </w:rPr>
              <w:t>36 790 106</w:t>
            </w:r>
          </w:p>
        </w:tc>
        <w:tc>
          <w:tcPr>
            <w:tcW w:w="993" w:type="dxa"/>
            <w:tcBorders>
              <w:top w:val="nil"/>
              <w:left w:val="nil"/>
              <w:bottom w:val="nil"/>
              <w:right w:val="nil"/>
            </w:tcBorders>
            <w:shd w:val="clear" w:color="000000" w:fill="FFFFFF"/>
            <w:noWrap/>
            <w:vAlign w:val="center"/>
            <w:hideMark/>
          </w:tcPr>
          <w:p w14:paraId="27CA3F47" w14:textId="77777777" w:rsidR="00952306" w:rsidRPr="00952306" w:rsidRDefault="00952306" w:rsidP="00952306">
            <w:pPr>
              <w:spacing w:after="0" w:line="240" w:lineRule="auto"/>
              <w:jc w:val="right"/>
              <w:rPr>
                <w:rFonts w:eastAsia="Times New Roman" w:cs="Times New Roman"/>
                <w:sz w:val="18"/>
                <w:szCs w:val="18"/>
                <w:lang w:eastAsia="sk-SK"/>
              </w:rPr>
            </w:pPr>
            <w:r w:rsidRPr="00952306">
              <w:rPr>
                <w:rFonts w:eastAsia="Times New Roman" w:cs="Times New Roman"/>
                <w:sz w:val="18"/>
                <w:szCs w:val="18"/>
                <w:lang w:eastAsia="sk-SK"/>
              </w:rPr>
              <w:t>37 351 131</w:t>
            </w:r>
          </w:p>
        </w:tc>
        <w:tc>
          <w:tcPr>
            <w:tcW w:w="1134" w:type="dxa"/>
            <w:tcBorders>
              <w:top w:val="nil"/>
              <w:left w:val="nil"/>
              <w:bottom w:val="nil"/>
              <w:right w:val="nil"/>
            </w:tcBorders>
            <w:shd w:val="clear" w:color="000000" w:fill="FFFFFF"/>
            <w:noWrap/>
            <w:vAlign w:val="center"/>
            <w:hideMark/>
          </w:tcPr>
          <w:p w14:paraId="14EA3F11" w14:textId="77777777" w:rsidR="00952306" w:rsidRPr="00952306" w:rsidRDefault="00952306" w:rsidP="00952306">
            <w:pPr>
              <w:spacing w:after="0" w:line="240" w:lineRule="auto"/>
              <w:jc w:val="right"/>
              <w:rPr>
                <w:rFonts w:eastAsia="Times New Roman" w:cs="Times New Roman"/>
                <w:sz w:val="18"/>
                <w:szCs w:val="18"/>
                <w:lang w:eastAsia="sk-SK"/>
              </w:rPr>
            </w:pPr>
            <w:r w:rsidRPr="00952306">
              <w:rPr>
                <w:rFonts w:eastAsia="Times New Roman" w:cs="Times New Roman"/>
                <w:sz w:val="18"/>
                <w:szCs w:val="18"/>
                <w:lang w:eastAsia="sk-SK"/>
              </w:rPr>
              <w:t>44 132 843</w:t>
            </w:r>
          </w:p>
        </w:tc>
        <w:tc>
          <w:tcPr>
            <w:tcW w:w="1134" w:type="dxa"/>
            <w:tcBorders>
              <w:top w:val="nil"/>
              <w:left w:val="nil"/>
              <w:bottom w:val="nil"/>
              <w:right w:val="nil"/>
            </w:tcBorders>
            <w:shd w:val="clear" w:color="000000" w:fill="BFBFBF"/>
            <w:noWrap/>
            <w:vAlign w:val="center"/>
            <w:hideMark/>
          </w:tcPr>
          <w:p w14:paraId="79823275" w14:textId="77777777" w:rsidR="00952306" w:rsidRPr="00952306" w:rsidRDefault="00952306" w:rsidP="00952306">
            <w:pPr>
              <w:spacing w:after="0" w:line="240" w:lineRule="auto"/>
              <w:jc w:val="right"/>
              <w:rPr>
                <w:rFonts w:eastAsia="Times New Roman" w:cs="Times New Roman"/>
                <w:sz w:val="18"/>
                <w:szCs w:val="18"/>
                <w:lang w:eastAsia="sk-SK"/>
              </w:rPr>
            </w:pPr>
            <w:r w:rsidRPr="00952306">
              <w:rPr>
                <w:rFonts w:eastAsia="Times New Roman" w:cs="Times New Roman"/>
                <w:sz w:val="18"/>
                <w:szCs w:val="18"/>
                <w:lang w:eastAsia="sk-SK"/>
              </w:rPr>
              <w:t>40 459 666</w:t>
            </w:r>
          </w:p>
        </w:tc>
        <w:tc>
          <w:tcPr>
            <w:tcW w:w="1005" w:type="dxa"/>
            <w:tcBorders>
              <w:top w:val="nil"/>
              <w:left w:val="nil"/>
              <w:bottom w:val="nil"/>
              <w:right w:val="nil"/>
            </w:tcBorders>
            <w:shd w:val="clear" w:color="000000" w:fill="FFFFFF"/>
            <w:noWrap/>
            <w:vAlign w:val="center"/>
            <w:hideMark/>
          </w:tcPr>
          <w:p w14:paraId="12D6B70E" w14:textId="77777777" w:rsidR="00952306" w:rsidRPr="00952306" w:rsidRDefault="00952306" w:rsidP="00952306">
            <w:pPr>
              <w:spacing w:after="0" w:line="240" w:lineRule="auto"/>
              <w:jc w:val="right"/>
              <w:rPr>
                <w:rFonts w:eastAsia="Times New Roman" w:cs="Times New Roman"/>
                <w:sz w:val="18"/>
                <w:szCs w:val="18"/>
                <w:lang w:eastAsia="sk-SK"/>
              </w:rPr>
            </w:pPr>
            <w:r w:rsidRPr="00952306">
              <w:rPr>
                <w:rFonts w:eastAsia="Times New Roman" w:cs="Times New Roman"/>
                <w:sz w:val="18"/>
                <w:szCs w:val="18"/>
                <w:lang w:eastAsia="sk-SK"/>
              </w:rPr>
              <w:t>3 108 535</w:t>
            </w:r>
          </w:p>
        </w:tc>
        <w:tc>
          <w:tcPr>
            <w:tcW w:w="1003" w:type="dxa"/>
            <w:tcBorders>
              <w:top w:val="nil"/>
              <w:left w:val="nil"/>
              <w:bottom w:val="nil"/>
              <w:right w:val="nil"/>
            </w:tcBorders>
            <w:shd w:val="clear" w:color="000000" w:fill="FFFFFF"/>
            <w:noWrap/>
            <w:vAlign w:val="center"/>
            <w:hideMark/>
          </w:tcPr>
          <w:p w14:paraId="52395400" w14:textId="77777777" w:rsidR="00952306" w:rsidRPr="00952306" w:rsidRDefault="00952306" w:rsidP="00952306">
            <w:pPr>
              <w:spacing w:after="0" w:line="240" w:lineRule="auto"/>
              <w:jc w:val="right"/>
              <w:rPr>
                <w:rFonts w:eastAsia="Times New Roman" w:cs="Times New Roman"/>
                <w:sz w:val="18"/>
                <w:szCs w:val="18"/>
                <w:lang w:eastAsia="sk-SK"/>
              </w:rPr>
            </w:pPr>
            <w:r w:rsidRPr="00952306">
              <w:rPr>
                <w:rFonts w:eastAsia="Times New Roman" w:cs="Times New Roman"/>
                <w:sz w:val="18"/>
                <w:szCs w:val="18"/>
                <w:lang w:eastAsia="sk-SK"/>
              </w:rPr>
              <w:t>-3 673 177</w:t>
            </w:r>
          </w:p>
        </w:tc>
      </w:tr>
      <w:tr w:rsidR="00952306" w:rsidRPr="00952306" w14:paraId="073122BC" w14:textId="77777777" w:rsidTr="00952306">
        <w:trPr>
          <w:trHeight w:val="340"/>
        </w:trPr>
        <w:tc>
          <w:tcPr>
            <w:tcW w:w="1843" w:type="dxa"/>
            <w:tcBorders>
              <w:top w:val="nil"/>
              <w:left w:val="nil"/>
              <w:bottom w:val="nil"/>
              <w:right w:val="nil"/>
            </w:tcBorders>
            <w:shd w:val="clear" w:color="000000" w:fill="FFFFFF"/>
            <w:noWrap/>
            <w:vAlign w:val="center"/>
            <w:hideMark/>
          </w:tcPr>
          <w:p w14:paraId="64BBB6C9" w14:textId="77777777" w:rsidR="00952306" w:rsidRPr="00952306" w:rsidRDefault="00952306" w:rsidP="00952306">
            <w:pPr>
              <w:spacing w:after="0" w:line="240" w:lineRule="auto"/>
              <w:jc w:val="left"/>
              <w:rPr>
                <w:rFonts w:eastAsia="Times New Roman" w:cs="Times New Roman"/>
                <w:color w:val="000000"/>
                <w:sz w:val="18"/>
                <w:szCs w:val="18"/>
                <w:lang w:eastAsia="sk-SK"/>
              </w:rPr>
            </w:pPr>
            <w:r w:rsidRPr="00952306">
              <w:rPr>
                <w:rFonts w:eastAsia="Times New Roman" w:cs="Times New Roman"/>
                <w:color w:val="000000"/>
                <w:sz w:val="18"/>
                <w:szCs w:val="18"/>
                <w:lang w:eastAsia="sk-SK"/>
              </w:rPr>
              <w:t>Kapitálové výdavky</w:t>
            </w:r>
          </w:p>
        </w:tc>
        <w:tc>
          <w:tcPr>
            <w:tcW w:w="1134" w:type="dxa"/>
            <w:tcBorders>
              <w:top w:val="nil"/>
              <w:left w:val="nil"/>
              <w:bottom w:val="nil"/>
              <w:right w:val="nil"/>
            </w:tcBorders>
            <w:shd w:val="clear" w:color="000000" w:fill="FFFFFF"/>
            <w:noWrap/>
            <w:vAlign w:val="center"/>
            <w:hideMark/>
          </w:tcPr>
          <w:p w14:paraId="10602326" w14:textId="77777777" w:rsidR="00952306" w:rsidRPr="00952306" w:rsidRDefault="00952306" w:rsidP="00952306">
            <w:pPr>
              <w:spacing w:after="0" w:line="240" w:lineRule="auto"/>
              <w:jc w:val="right"/>
              <w:rPr>
                <w:rFonts w:eastAsia="Times New Roman" w:cs="Times New Roman"/>
                <w:sz w:val="18"/>
                <w:szCs w:val="18"/>
                <w:lang w:eastAsia="sk-SK"/>
              </w:rPr>
            </w:pPr>
            <w:r w:rsidRPr="00952306">
              <w:rPr>
                <w:rFonts w:eastAsia="Times New Roman" w:cs="Times New Roman"/>
                <w:sz w:val="18"/>
                <w:szCs w:val="18"/>
                <w:lang w:eastAsia="sk-SK"/>
              </w:rPr>
              <w:t>2 955 704</w:t>
            </w:r>
          </w:p>
        </w:tc>
        <w:tc>
          <w:tcPr>
            <w:tcW w:w="992" w:type="dxa"/>
            <w:tcBorders>
              <w:top w:val="nil"/>
              <w:left w:val="nil"/>
              <w:bottom w:val="nil"/>
              <w:right w:val="nil"/>
            </w:tcBorders>
            <w:shd w:val="clear" w:color="000000" w:fill="FFFFFF"/>
            <w:noWrap/>
            <w:vAlign w:val="center"/>
            <w:hideMark/>
          </w:tcPr>
          <w:p w14:paraId="53313262" w14:textId="77777777" w:rsidR="00952306" w:rsidRPr="00952306" w:rsidRDefault="00952306" w:rsidP="00952306">
            <w:pPr>
              <w:spacing w:after="0" w:line="240" w:lineRule="auto"/>
              <w:jc w:val="right"/>
              <w:rPr>
                <w:rFonts w:eastAsia="Times New Roman" w:cs="Times New Roman"/>
                <w:sz w:val="18"/>
                <w:szCs w:val="18"/>
                <w:lang w:eastAsia="sk-SK"/>
              </w:rPr>
            </w:pPr>
            <w:r w:rsidRPr="00952306">
              <w:rPr>
                <w:rFonts w:eastAsia="Times New Roman" w:cs="Times New Roman"/>
                <w:sz w:val="18"/>
                <w:szCs w:val="18"/>
                <w:lang w:eastAsia="sk-SK"/>
              </w:rPr>
              <w:t>3 523 232</w:t>
            </w:r>
          </w:p>
        </w:tc>
        <w:tc>
          <w:tcPr>
            <w:tcW w:w="993" w:type="dxa"/>
            <w:tcBorders>
              <w:top w:val="nil"/>
              <w:left w:val="nil"/>
              <w:bottom w:val="nil"/>
              <w:right w:val="nil"/>
            </w:tcBorders>
            <w:shd w:val="clear" w:color="000000" w:fill="FFFFFF"/>
            <w:noWrap/>
            <w:vAlign w:val="center"/>
            <w:hideMark/>
          </w:tcPr>
          <w:p w14:paraId="2166C1AE" w14:textId="77777777" w:rsidR="00952306" w:rsidRPr="00952306" w:rsidRDefault="00952306" w:rsidP="00952306">
            <w:pPr>
              <w:spacing w:after="0" w:line="240" w:lineRule="auto"/>
              <w:jc w:val="right"/>
              <w:rPr>
                <w:rFonts w:eastAsia="Times New Roman" w:cs="Times New Roman"/>
                <w:sz w:val="18"/>
                <w:szCs w:val="18"/>
                <w:lang w:eastAsia="sk-SK"/>
              </w:rPr>
            </w:pPr>
            <w:r w:rsidRPr="00952306">
              <w:rPr>
                <w:rFonts w:eastAsia="Times New Roman" w:cs="Times New Roman"/>
                <w:sz w:val="18"/>
                <w:szCs w:val="18"/>
                <w:lang w:eastAsia="sk-SK"/>
              </w:rPr>
              <w:t>1 974 745</w:t>
            </w:r>
          </w:p>
        </w:tc>
        <w:tc>
          <w:tcPr>
            <w:tcW w:w="1134" w:type="dxa"/>
            <w:tcBorders>
              <w:top w:val="nil"/>
              <w:left w:val="nil"/>
              <w:bottom w:val="nil"/>
              <w:right w:val="nil"/>
            </w:tcBorders>
            <w:shd w:val="clear" w:color="000000" w:fill="FFFFFF"/>
            <w:noWrap/>
            <w:vAlign w:val="center"/>
            <w:hideMark/>
          </w:tcPr>
          <w:p w14:paraId="7E20EF26" w14:textId="77777777" w:rsidR="00952306" w:rsidRPr="00952306" w:rsidRDefault="00952306" w:rsidP="00952306">
            <w:pPr>
              <w:spacing w:after="0" w:line="240" w:lineRule="auto"/>
              <w:jc w:val="right"/>
              <w:rPr>
                <w:rFonts w:eastAsia="Times New Roman" w:cs="Times New Roman"/>
                <w:sz w:val="18"/>
                <w:szCs w:val="18"/>
                <w:lang w:eastAsia="sk-SK"/>
              </w:rPr>
            </w:pPr>
            <w:r w:rsidRPr="00952306">
              <w:rPr>
                <w:rFonts w:eastAsia="Times New Roman" w:cs="Times New Roman"/>
                <w:sz w:val="18"/>
                <w:szCs w:val="18"/>
                <w:lang w:eastAsia="sk-SK"/>
              </w:rPr>
              <w:t>4 028 452</w:t>
            </w:r>
          </w:p>
        </w:tc>
        <w:tc>
          <w:tcPr>
            <w:tcW w:w="1134" w:type="dxa"/>
            <w:tcBorders>
              <w:top w:val="nil"/>
              <w:left w:val="nil"/>
              <w:bottom w:val="nil"/>
              <w:right w:val="nil"/>
            </w:tcBorders>
            <w:shd w:val="clear" w:color="000000" w:fill="BFBFBF"/>
            <w:noWrap/>
            <w:vAlign w:val="center"/>
            <w:hideMark/>
          </w:tcPr>
          <w:p w14:paraId="508374D2" w14:textId="77777777" w:rsidR="00952306" w:rsidRPr="00952306" w:rsidRDefault="00952306" w:rsidP="00952306">
            <w:pPr>
              <w:spacing w:after="0" w:line="240" w:lineRule="auto"/>
              <w:jc w:val="right"/>
              <w:rPr>
                <w:rFonts w:eastAsia="Times New Roman" w:cs="Times New Roman"/>
                <w:sz w:val="18"/>
                <w:szCs w:val="18"/>
                <w:lang w:eastAsia="sk-SK"/>
              </w:rPr>
            </w:pPr>
            <w:r w:rsidRPr="00952306">
              <w:rPr>
                <w:rFonts w:eastAsia="Times New Roman" w:cs="Times New Roman"/>
                <w:sz w:val="18"/>
                <w:szCs w:val="18"/>
                <w:lang w:eastAsia="sk-SK"/>
              </w:rPr>
              <w:t>3 528 009</w:t>
            </w:r>
          </w:p>
        </w:tc>
        <w:tc>
          <w:tcPr>
            <w:tcW w:w="1005" w:type="dxa"/>
            <w:tcBorders>
              <w:top w:val="nil"/>
              <w:left w:val="nil"/>
              <w:bottom w:val="nil"/>
              <w:right w:val="nil"/>
            </w:tcBorders>
            <w:shd w:val="clear" w:color="000000" w:fill="FFFFFF"/>
            <w:noWrap/>
            <w:vAlign w:val="center"/>
            <w:hideMark/>
          </w:tcPr>
          <w:p w14:paraId="5E258B68" w14:textId="77777777" w:rsidR="00952306" w:rsidRPr="00952306" w:rsidRDefault="00952306" w:rsidP="00952306">
            <w:pPr>
              <w:spacing w:after="0" w:line="240" w:lineRule="auto"/>
              <w:jc w:val="right"/>
              <w:rPr>
                <w:rFonts w:eastAsia="Times New Roman" w:cs="Times New Roman"/>
                <w:sz w:val="18"/>
                <w:szCs w:val="18"/>
                <w:lang w:eastAsia="sk-SK"/>
              </w:rPr>
            </w:pPr>
            <w:r w:rsidRPr="00952306">
              <w:rPr>
                <w:rFonts w:eastAsia="Times New Roman" w:cs="Times New Roman"/>
                <w:sz w:val="18"/>
                <w:szCs w:val="18"/>
                <w:lang w:eastAsia="sk-SK"/>
              </w:rPr>
              <w:t>1 553 264</w:t>
            </w:r>
          </w:p>
        </w:tc>
        <w:tc>
          <w:tcPr>
            <w:tcW w:w="1003" w:type="dxa"/>
            <w:tcBorders>
              <w:top w:val="nil"/>
              <w:left w:val="nil"/>
              <w:bottom w:val="nil"/>
              <w:right w:val="nil"/>
            </w:tcBorders>
            <w:shd w:val="clear" w:color="000000" w:fill="FFFFFF"/>
            <w:noWrap/>
            <w:vAlign w:val="center"/>
            <w:hideMark/>
          </w:tcPr>
          <w:p w14:paraId="6161FCEE" w14:textId="77777777" w:rsidR="00952306" w:rsidRPr="00952306" w:rsidRDefault="00952306" w:rsidP="00952306">
            <w:pPr>
              <w:spacing w:after="0" w:line="240" w:lineRule="auto"/>
              <w:jc w:val="right"/>
              <w:rPr>
                <w:rFonts w:eastAsia="Times New Roman" w:cs="Times New Roman"/>
                <w:sz w:val="18"/>
                <w:szCs w:val="18"/>
                <w:lang w:eastAsia="sk-SK"/>
              </w:rPr>
            </w:pPr>
            <w:r w:rsidRPr="00952306">
              <w:rPr>
                <w:rFonts w:eastAsia="Times New Roman" w:cs="Times New Roman"/>
                <w:sz w:val="18"/>
                <w:szCs w:val="18"/>
                <w:lang w:eastAsia="sk-SK"/>
              </w:rPr>
              <w:t>-500 443</w:t>
            </w:r>
          </w:p>
        </w:tc>
      </w:tr>
      <w:tr w:rsidR="00952306" w:rsidRPr="00952306" w14:paraId="2CA8BB81" w14:textId="77777777" w:rsidTr="00C935CE">
        <w:trPr>
          <w:trHeight w:val="340"/>
        </w:trPr>
        <w:tc>
          <w:tcPr>
            <w:tcW w:w="1843" w:type="dxa"/>
            <w:tcBorders>
              <w:top w:val="nil"/>
              <w:left w:val="nil"/>
              <w:bottom w:val="single" w:sz="4" w:space="0" w:color="auto"/>
              <w:right w:val="nil"/>
            </w:tcBorders>
            <w:shd w:val="clear" w:color="000000" w:fill="FFFFFF"/>
            <w:noWrap/>
            <w:vAlign w:val="center"/>
            <w:hideMark/>
          </w:tcPr>
          <w:p w14:paraId="030E4BD6" w14:textId="77777777" w:rsidR="00952306" w:rsidRPr="00952306" w:rsidRDefault="00952306" w:rsidP="00952306">
            <w:pPr>
              <w:keepLines/>
              <w:spacing w:after="0" w:line="240" w:lineRule="auto"/>
              <w:ind w:right="-956"/>
              <w:jc w:val="left"/>
              <w:rPr>
                <w:rFonts w:eastAsia="Times New Roman" w:cs="Times New Roman"/>
                <w:b/>
                <w:bCs/>
                <w:sz w:val="18"/>
                <w:szCs w:val="18"/>
                <w:lang w:eastAsia="sk-SK"/>
              </w:rPr>
            </w:pPr>
            <w:r w:rsidRPr="00952306">
              <w:rPr>
                <w:rFonts w:eastAsia="Times New Roman" w:cs="Times New Roman"/>
                <w:b/>
                <w:bCs/>
                <w:sz w:val="18"/>
                <w:szCs w:val="18"/>
                <w:lang w:eastAsia="sk-SK"/>
              </w:rPr>
              <w:t>Saldo podľa ESA2010</w:t>
            </w:r>
          </w:p>
        </w:tc>
        <w:tc>
          <w:tcPr>
            <w:tcW w:w="1134" w:type="dxa"/>
            <w:tcBorders>
              <w:top w:val="nil"/>
              <w:left w:val="nil"/>
              <w:bottom w:val="single" w:sz="4" w:space="0" w:color="auto"/>
              <w:right w:val="nil"/>
            </w:tcBorders>
            <w:shd w:val="clear" w:color="000000" w:fill="FFFFFF"/>
            <w:noWrap/>
            <w:vAlign w:val="center"/>
            <w:hideMark/>
          </w:tcPr>
          <w:p w14:paraId="567FF36F" w14:textId="7D6D0F1F" w:rsidR="00952306" w:rsidRPr="00952306" w:rsidRDefault="00952306" w:rsidP="00952306">
            <w:pPr>
              <w:keepLines/>
              <w:spacing w:after="0" w:line="240" w:lineRule="auto"/>
              <w:ind w:right="-956"/>
              <w:jc w:val="left"/>
              <w:rPr>
                <w:rFonts w:eastAsia="Times New Roman" w:cs="Times New Roman"/>
                <w:b/>
                <w:bCs/>
                <w:sz w:val="18"/>
                <w:szCs w:val="18"/>
                <w:lang w:eastAsia="sk-SK"/>
              </w:rPr>
            </w:pPr>
            <w:r>
              <w:rPr>
                <w:rFonts w:eastAsia="Times New Roman" w:cs="Times New Roman"/>
                <w:b/>
                <w:bCs/>
                <w:sz w:val="18"/>
                <w:szCs w:val="18"/>
                <w:lang w:eastAsia="sk-SK"/>
              </w:rPr>
              <w:t xml:space="preserve">        </w:t>
            </w:r>
            <w:r w:rsidRPr="00952306">
              <w:rPr>
                <w:rFonts w:eastAsia="Times New Roman" w:cs="Times New Roman"/>
                <w:b/>
                <w:bCs/>
                <w:sz w:val="18"/>
                <w:szCs w:val="18"/>
                <w:lang w:eastAsia="sk-SK"/>
              </w:rPr>
              <w:t>-901 754</w:t>
            </w:r>
          </w:p>
        </w:tc>
        <w:tc>
          <w:tcPr>
            <w:tcW w:w="992" w:type="dxa"/>
            <w:tcBorders>
              <w:top w:val="nil"/>
              <w:left w:val="nil"/>
              <w:bottom w:val="single" w:sz="4" w:space="0" w:color="auto"/>
              <w:right w:val="nil"/>
            </w:tcBorders>
            <w:shd w:val="clear" w:color="000000" w:fill="FFFFFF"/>
            <w:noWrap/>
            <w:vAlign w:val="center"/>
            <w:hideMark/>
          </w:tcPr>
          <w:p w14:paraId="05AAC6FE" w14:textId="5BEA207B" w:rsidR="00952306" w:rsidRPr="00952306" w:rsidRDefault="00952306" w:rsidP="00952306">
            <w:pPr>
              <w:keepLines/>
              <w:spacing w:after="0" w:line="240" w:lineRule="auto"/>
              <w:ind w:right="-956"/>
              <w:jc w:val="left"/>
              <w:rPr>
                <w:rFonts w:eastAsia="Times New Roman" w:cs="Times New Roman"/>
                <w:b/>
                <w:bCs/>
                <w:sz w:val="18"/>
                <w:szCs w:val="18"/>
                <w:lang w:eastAsia="sk-SK"/>
              </w:rPr>
            </w:pPr>
            <w:r>
              <w:rPr>
                <w:rFonts w:eastAsia="Times New Roman" w:cs="Times New Roman"/>
                <w:b/>
                <w:bCs/>
                <w:sz w:val="18"/>
                <w:szCs w:val="18"/>
                <w:lang w:eastAsia="sk-SK"/>
              </w:rPr>
              <w:t xml:space="preserve">  </w:t>
            </w:r>
            <w:r w:rsidRPr="00952306">
              <w:rPr>
                <w:rFonts w:eastAsia="Times New Roman" w:cs="Times New Roman"/>
                <w:b/>
                <w:bCs/>
                <w:sz w:val="18"/>
                <w:szCs w:val="18"/>
                <w:lang w:eastAsia="sk-SK"/>
              </w:rPr>
              <w:t>-1 248 684</w:t>
            </w:r>
          </w:p>
        </w:tc>
        <w:tc>
          <w:tcPr>
            <w:tcW w:w="993" w:type="dxa"/>
            <w:tcBorders>
              <w:top w:val="nil"/>
              <w:left w:val="nil"/>
              <w:bottom w:val="single" w:sz="4" w:space="0" w:color="auto"/>
              <w:right w:val="nil"/>
            </w:tcBorders>
            <w:shd w:val="clear" w:color="000000" w:fill="FFFFFF"/>
            <w:noWrap/>
            <w:vAlign w:val="center"/>
            <w:hideMark/>
          </w:tcPr>
          <w:p w14:paraId="03A0A457" w14:textId="3FECF137" w:rsidR="00952306" w:rsidRPr="00952306" w:rsidRDefault="00952306" w:rsidP="00952306">
            <w:pPr>
              <w:keepLines/>
              <w:spacing w:after="0" w:line="240" w:lineRule="auto"/>
              <w:ind w:right="-956"/>
              <w:jc w:val="left"/>
              <w:rPr>
                <w:rFonts w:eastAsia="Times New Roman" w:cs="Times New Roman"/>
                <w:b/>
                <w:bCs/>
                <w:sz w:val="18"/>
                <w:szCs w:val="18"/>
                <w:lang w:eastAsia="sk-SK"/>
              </w:rPr>
            </w:pPr>
            <w:r>
              <w:rPr>
                <w:rFonts w:eastAsia="Times New Roman" w:cs="Times New Roman"/>
                <w:b/>
                <w:bCs/>
                <w:sz w:val="18"/>
                <w:szCs w:val="18"/>
                <w:lang w:eastAsia="sk-SK"/>
              </w:rPr>
              <w:t xml:space="preserve">     </w:t>
            </w:r>
            <w:r w:rsidRPr="00952306">
              <w:rPr>
                <w:rFonts w:eastAsia="Times New Roman" w:cs="Times New Roman"/>
                <w:b/>
                <w:bCs/>
                <w:sz w:val="18"/>
                <w:szCs w:val="18"/>
                <w:lang w:eastAsia="sk-SK"/>
              </w:rPr>
              <w:t>-480 409</w:t>
            </w:r>
          </w:p>
        </w:tc>
        <w:tc>
          <w:tcPr>
            <w:tcW w:w="1134" w:type="dxa"/>
            <w:tcBorders>
              <w:top w:val="nil"/>
              <w:left w:val="nil"/>
              <w:bottom w:val="single" w:sz="4" w:space="0" w:color="auto"/>
              <w:right w:val="nil"/>
            </w:tcBorders>
            <w:shd w:val="clear" w:color="000000" w:fill="FFFFFF"/>
            <w:noWrap/>
            <w:vAlign w:val="center"/>
            <w:hideMark/>
          </w:tcPr>
          <w:p w14:paraId="44CD5B92" w14:textId="54226A77" w:rsidR="00952306" w:rsidRPr="00952306" w:rsidRDefault="00952306" w:rsidP="00952306">
            <w:pPr>
              <w:keepLines/>
              <w:spacing w:after="0" w:line="240" w:lineRule="auto"/>
              <w:ind w:right="-956"/>
              <w:jc w:val="left"/>
              <w:rPr>
                <w:rFonts w:eastAsia="Times New Roman" w:cs="Times New Roman"/>
                <w:b/>
                <w:bCs/>
                <w:sz w:val="18"/>
                <w:szCs w:val="18"/>
                <w:lang w:eastAsia="sk-SK"/>
              </w:rPr>
            </w:pPr>
            <w:r>
              <w:rPr>
                <w:rFonts w:eastAsia="Times New Roman" w:cs="Times New Roman"/>
                <w:b/>
                <w:bCs/>
                <w:sz w:val="18"/>
                <w:szCs w:val="18"/>
                <w:lang w:eastAsia="sk-SK"/>
              </w:rPr>
              <w:t xml:space="preserve">   </w:t>
            </w:r>
            <w:r w:rsidRPr="00952306">
              <w:rPr>
                <w:rFonts w:eastAsia="Times New Roman" w:cs="Times New Roman"/>
                <w:b/>
                <w:bCs/>
                <w:sz w:val="18"/>
                <w:szCs w:val="18"/>
                <w:lang w:eastAsia="sk-SK"/>
              </w:rPr>
              <w:t>-10 025 377</w:t>
            </w:r>
          </w:p>
        </w:tc>
        <w:tc>
          <w:tcPr>
            <w:tcW w:w="1134" w:type="dxa"/>
            <w:tcBorders>
              <w:top w:val="nil"/>
              <w:left w:val="nil"/>
              <w:bottom w:val="single" w:sz="4" w:space="0" w:color="auto"/>
              <w:right w:val="nil"/>
            </w:tcBorders>
            <w:shd w:val="clear" w:color="000000" w:fill="BFBFBF"/>
            <w:noWrap/>
            <w:vAlign w:val="center"/>
            <w:hideMark/>
          </w:tcPr>
          <w:p w14:paraId="153ED233" w14:textId="475B2EA7" w:rsidR="00952306" w:rsidRPr="00952306" w:rsidRDefault="00952306" w:rsidP="00952306">
            <w:pPr>
              <w:keepLines/>
              <w:spacing w:after="0" w:line="240" w:lineRule="auto"/>
              <w:ind w:right="-956"/>
              <w:jc w:val="left"/>
              <w:rPr>
                <w:rFonts w:eastAsia="Times New Roman" w:cs="Times New Roman"/>
                <w:b/>
                <w:bCs/>
                <w:sz w:val="18"/>
                <w:szCs w:val="18"/>
                <w:lang w:eastAsia="sk-SK"/>
              </w:rPr>
            </w:pPr>
            <w:r>
              <w:rPr>
                <w:rFonts w:eastAsia="Times New Roman" w:cs="Times New Roman"/>
                <w:b/>
                <w:bCs/>
                <w:sz w:val="18"/>
                <w:szCs w:val="18"/>
                <w:lang w:eastAsia="sk-SK"/>
              </w:rPr>
              <w:t xml:space="preserve">     </w:t>
            </w:r>
            <w:r w:rsidRPr="00952306">
              <w:rPr>
                <w:rFonts w:eastAsia="Times New Roman" w:cs="Times New Roman"/>
                <w:b/>
                <w:bCs/>
                <w:sz w:val="18"/>
                <w:szCs w:val="18"/>
                <w:lang w:eastAsia="sk-SK"/>
              </w:rPr>
              <w:t>-5 608 766</w:t>
            </w:r>
          </w:p>
        </w:tc>
        <w:tc>
          <w:tcPr>
            <w:tcW w:w="1005" w:type="dxa"/>
            <w:tcBorders>
              <w:top w:val="nil"/>
              <w:left w:val="nil"/>
              <w:bottom w:val="single" w:sz="4" w:space="0" w:color="auto"/>
              <w:right w:val="nil"/>
            </w:tcBorders>
            <w:shd w:val="clear" w:color="000000" w:fill="FFFFFF"/>
            <w:noWrap/>
            <w:vAlign w:val="center"/>
            <w:hideMark/>
          </w:tcPr>
          <w:p w14:paraId="2612A00F" w14:textId="10199D67" w:rsidR="00952306" w:rsidRPr="00952306" w:rsidRDefault="00952306" w:rsidP="00952306">
            <w:pPr>
              <w:keepLines/>
              <w:spacing w:after="0" w:line="240" w:lineRule="auto"/>
              <w:ind w:right="-956"/>
              <w:jc w:val="left"/>
              <w:rPr>
                <w:rFonts w:eastAsia="Times New Roman" w:cs="Times New Roman"/>
                <w:b/>
                <w:bCs/>
                <w:sz w:val="18"/>
                <w:szCs w:val="18"/>
                <w:lang w:eastAsia="sk-SK"/>
              </w:rPr>
            </w:pPr>
            <w:r>
              <w:rPr>
                <w:rFonts w:eastAsia="Times New Roman" w:cs="Times New Roman"/>
                <w:b/>
                <w:bCs/>
                <w:sz w:val="18"/>
                <w:szCs w:val="18"/>
                <w:lang w:eastAsia="sk-SK"/>
              </w:rPr>
              <w:t xml:space="preserve">  </w:t>
            </w:r>
            <w:r w:rsidRPr="00952306">
              <w:rPr>
                <w:rFonts w:eastAsia="Times New Roman" w:cs="Times New Roman"/>
                <w:b/>
                <w:bCs/>
                <w:sz w:val="18"/>
                <w:szCs w:val="18"/>
                <w:lang w:eastAsia="sk-SK"/>
              </w:rPr>
              <w:t>-5 128 357</w:t>
            </w:r>
          </w:p>
        </w:tc>
        <w:tc>
          <w:tcPr>
            <w:tcW w:w="1003" w:type="dxa"/>
            <w:tcBorders>
              <w:top w:val="nil"/>
              <w:left w:val="nil"/>
              <w:bottom w:val="single" w:sz="4" w:space="0" w:color="auto"/>
              <w:right w:val="nil"/>
            </w:tcBorders>
            <w:shd w:val="clear" w:color="000000" w:fill="FFFFFF"/>
            <w:noWrap/>
            <w:vAlign w:val="center"/>
            <w:hideMark/>
          </w:tcPr>
          <w:p w14:paraId="33931566" w14:textId="41B83F00" w:rsidR="00952306" w:rsidRPr="00952306" w:rsidRDefault="00952306" w:rsidP="00952306">
            <w:pPr>
              <w:keepLines/>
              <w:spacing w:after="0" w:line="240" w:lineRule="auto"/>
              <w:ind w:right="-956"/>
              <w:jc w:val="left"/>
              <w:rPr>
                <w:rFonts w:eastAsia="Times New Roman" w:cs="Times New Roman"/>
                <w:b/>
                <w:bCs/>
                <w:sz w:val="18"/>
                <w:szCs w:val="18"/>
                <w:lang w:eastAsia="sk-SK"/>
              </w:rPr>
            </w:pPr>
            <w:r>
              <w:rPr>
                <w:rFonts w:eastAsia="Times New Roman" w:cs="Times New Roman"/>
                <w:b/>
                <w:bCs/>
                <w:sz w:val="18"/>
                <w:szCs w:val="18"/>
                <w:lang w:eastAsia="sk-SK"/>
              </w:rPr>
              <w:t xml:space="preserve">   </w:t>
            </w:r>
            <w:r w:rsidRPr="00952306">
              <w:rPr>
                <w:rFonts w:eastAsia="Times New Roman" w:cs="Times New Roman"/>
                <w:b/>
                <w:bCs/>
                <w:sz w:val="18"/>
                <w:szCs w:val="18"/>
                <w:lang w:eastAsia="sk-SK"/>
              </w:rPr>
              <w:t>4 416 611</w:t>
            </w:r>
          </w:p>
        </w:tc>
      </w:tr>
      <w:tr w:rsidR="00695D7C" w:rsidRPr="00952306" w14:paraId="5ADC1EA7" w14:textId="77777777" w:rsidTr="00C935CE">
        <w:trPr>
          <w:trHeight w:val="340"/>
        </w:trPr>
        <w:tc>
          <w:tcPr>
            <w:tcW w:w="1843" w:type="dxa"/>
            <w:tcBorders>
              <w:top w:val="single" w:sz="4" w:space="0" w:color="auto"/>
              <w:left w:val="nil"/>
              <w:bottom w:val="single" w:sz="4" w:space="0" w:color="auto"/>
              <w:right w:val="nil"/>
            </w:tcBorders>
            <w:shd w:val="clear" w:color="000000" w:fill="FFFFFF"/>
            <w:noWrap/>
            <w:vAlign w:val="center"/>
            <w:hideMark/>
          </w:tcPr>
          <w:p w14:paraId="602E0859" w14:textId="5B93EF9D" w:rsidR="00695D7C" w:rsidRPr="00952306" w:rsidRDefault="00695D7C" w:rsidP="00695D7C">
            <w:pPr>
              <w:spacing w:after="0" w:line="240" w:lineRule="auto"/>
              <w:jc w:val="left"/>
              <w:rPr>
                <w:rFonts w:eastAsia="Times New Roman" w:cs="Times New Roman"/>
                <w:b/>
                <w:bCs/>
                <w:sz w:val="18"/>
                <w:szCs w:val="18"/>
                <w:lang w:eastAsia="sk-SK"/>
              </w:rPr>
            </w:pPr>
            <w:r w:rsidRPr="00952306">
              <w:rPr>
                <w:rFonts w:eastAsia="Times New Roman" w:cs="Times New Roman"/>
                <w:b/>
                <w:bCs/>
                <w:sz w:val="18"/>
                <w:szCs w:val="18"/>
                <w:lang w:eastAsia="sk-SK"/>
              </w:rPr>
              <w:t>% z HDP</w:t>
            </w:r>
          </w:p>
        </w:tc>
        <w:tc>
          <w:tcPr>
            <w:tcW w:w="1134" w:type="dxa"/>
            <w:tcBorders>
              <w:top w:val="single" w:sz="4" w:space="0" w:color="auto"/>
              <w:left w:val="nil"/>
              <w:bottom w:val="single" w:sz="4" w:space="0" w:color="auto"/>
              <w:right w:val="nil"/>
            </w:tcBorders>
            <w:shd w:val="clear" w:color="000000" w:fill="FFFFFF"/>
            <w:noWrap/>
            <w:vAlign w:val="center"/>
            <w:hideMark/>
          </w:tcPr>
          <w:p w14:paraId="610318EB" w14:textId="7FBE2319" w:rsidR="00695D7C" w:rsidRPr="00952306" w:rsidRDefault="00695D7C" w:rsidP="00695D7C">
            <w:pPr>
              <w:spacing w:after="0" w:line="240" w:lineRule="auto"/>
              <w:jc w:val="right"/>
              <w:rPr>
                <w:rFonts w:eastAsia="Times New Roman" w:cs="Times New Roman"/>
                <w:b/>
                <w:bCs/>
                <w:sz w:val="18"/>
                <w:szCs w:val="18"/>
                <w:lang w:eastAsia="sk-SK"/>
              </w:rPr>
            </w:pPr>
            <w:r w:rsidRPr="00952306">
              <w:rPr>
                <w:rFonts w:eastAsia="Times New Roman" w:cs="Times New Roman"/>
                <w:b/>
                <w:bCs/>
                <w:sz w:val="18"/>
                <w:szCs w:val="18"/>
                <w:lang w:eastAsia="sk-SK"/>
              </w:rPr>
              <w:t>-1,0</w:t>
            </w:r>
          </w:p>
        </w:tc>
        <w:tc>
          <w:tcPr>
            <w:tcW w:w="992" w:type="dxa"/>
            <w:tcBorders>
              <w:top w:val="single" w:sz="4" w:space="0" w:color="auto"/>
              <w:left w:val="nil"/>
              <w:bottom w:val="single" w:sz="4" w:space="0" w:color="auto"/>
              <w:right w:val="nil"/>
            </w:tcBorders>
            <w:shd w:val="clear" w:color="000000" w:fill="FFFFFF"/>
            <w:noWrap/>
            <w:vAlign w:val="center"/>
            <w:hideMark/>
          </w:tcPr>
          <w:p w14:paraId="4EDFE05D" w14:textId="0ACA3D74" w:rsidR="00695D7C" w:rsidRPr="00952306" w:rsidRDefault="00695D7C" w:rsidP="00695D7C">
            <w:pPr>
              <w:spacing w:after="0" w:line="240" w:lineRule="auto"/>
              <w:jc w:val="right"/>
              <w:rPr>
                <w:rFonts w:eastAsia="Times New Roman" w:cs="Times New Roman"/>
                <w:b/>
                <w:bCs/>
                <w:sz w:val="18"/>
                <w:szCs w:val="18"/>
                <w:lang w:eastAsia="sk-SK"/>
              </w:rPr>
            </w:pPr>
            <w:r w:rsidRPr="00952306">
              <w:rPr>
                <w:rFonts w:eastAsia="Times New Roman" w:cs="Times New Roman"/>
                <w:b/>
                <w:bCs/>
                <w:sz w:val="18"/>
                <w:szCs w:val="18"/>
                <w:lang w:eastAsia="sk-SK"/>
              </w:rPr>
              <w:t>-1,3</w:t>
            </w:r>
          </w:p>
        </w:tc>
        <w:tc>
          <w:tcPr>
            <w:tcW w:w="993" w:type="dxa"/>
            <w:tcBorders>
              <w:top w:val="single" w:sz="4" w:space="0" w:color="auto"/>
              <w:left w:val="nil"/>
              <w:bottom w:val="single" w:sz="4" w:space="0" w:color="auto"/>
              <w:right w:val="nil"/>
            </w:tcBorders>
            <w:shd w:val="clear" w:color="000000" w:fill="FFFFFF"/>
            <w:noWrap/>
            <w:vAlign w:val="center"/>
            <w:hideMark/>
          </w:tcPr>
          <w:p w14:paraId="7DAF2653" w14:textId="3C5569C6" w:rsidR="00695D7C" w:rsidRPr="00952306" w:rsidRDefault="00695D7C" w:rsidP="00695D7C">
            <w:pPr>
              <w:spacing w:after="0" w:line="240" w:lineRule="auto"/>
              <w:jc w:val="right"/>
              <w:rPr>
                <w:rFonts w:eastAsia="Times New Roman" w:cs="Times New Roman"/>
                <w:b/>
                <w:bCs/>
                <w:sz w:val="18"/>
                <w:szCs w:val="18"/>
                <w:lang w:eastAsia="sk-SK"/>
              </w:rPr>
            </w:pPr>
            <w:r w:rsidRPr="00952306">
              <w:rPr>
                <w:rFonts w:eastAsia="Times New Roman" w:cs="Times New Roman"/>
                <w:b/>
                <w:bCs/>
                <w:sz w:val="18"/>
                <w:szCs w:val="18"/>
                <w:lang w:eastAsia="sk-SK"/>
              </w:rPr>
              <w:t>-0,</w:t>
            </w:r>
            <w:r>
              <w:rPr>
                <w:rFonts w:eastAsia="Times New Roman" w:cs="Times New Roman"/>
                <w:b/>
                <w:bCs/>
                <w:sz w:val="18"/>
                <w:szCs w:val="18"/>
                <w:lang w:eastAsia="sk-SK"/>
              </w:rPr>
              <w:t>5</w:t>
            </w:r>
          </w:p>
        </w:tc>
        <w:tc>
          <w:tcPr>
            <w:tcW w:w="1134" w:type="dxa"/>
            <w:tcBorders>
              <w:top w:val="single" w:sz="4" w:space="0" w:color="auto"/>
              <w:left w:val="nil"/>
              <w:bottom w:val="single" w:sz="4" w:space="0" w:color="auto"/>
              <w:right w:val="nil"/>
            </w:tcBorders>
            <w:shd w:val="clear" w:color="000000" w:fill="FFFFFF"/>
            <w:noWrap/>
            <w:vAlign w:val="center"/>
            <w:hideMark/>
          </w:tcPr>
          <w:p w14:paraId="435E367D" w14:textId="33C795CA" w:rsidR="00695D7C" w:rsidRPr="00952306" w:rsidRDefault="00695D7C" w:rsidP="00695D7C">
            <w:pPr>
              <w:spacing w:after="0" w:line="240" w:lineRule="auto"/>
              <w:jc w:val="right"/>
              <w:rPr>
                <w:rFonts w:eastAsia="Times New Roman" w:cs="Times New Roman"/>
                <w:b/>
                <w:bCs/>
                <w:sz w:val="18"/>
                <w:szCs w:val="18"/>
                <w:lang w:eastAsia="sk-SK"/>
              </w:rPr>
            </w:pPr>
            <w:r w:rsidRPr="00952306">
              <w:rPr>
                <w:rFonts w:eastAsia="Times New Roman" w:cs="Times New Roman"/>
                <w:b/>
                <w:bCs/>
                <w:sz w:val="18"/>
                <w:szCs w:val="18"/>
                <w:lang w:eastAsia="sk-SK"/>
              </w:rPr>
              <w:t>-11,</w:t>
            </w:r>
            <w:r>
              <w:rPr>
                <w:rFonts w:eastAsia="Times New Roman" w:cs="Times New Roman"/>
                <w:b/>
                <w:bCs/>
                <w:sz w:val="18"/>
                <w:szCs w:val="18"/>
                <w:lang w:eastAsia="sk-SK"/>
              </w:rPr>
              <w:t>6</w:t>
            </w:r>
          </w:p>
        </w:tc>
        <w:tc>
          <w:tcPr>
            <w:tcW w:w="1134" w:type="dxa"/>
            <w:tcBorders>
              <w:top w:val="single" w:sz="4" w:space="0" w:color="auto"/>
              <w:left w:val="nil"/>
              <w:bottom w:val="single" w:sz="4" w:space="0" w:color="auto"/>
              <w:right w:val="nil"/>
            </w:tcBorders>
            <w:shd w:val="clear" w:color="000000" w:fill="BFBFBF"/>
            <w:noWrap/>
            <w:vAlign w:val="center"/>
            <w:hideMark/>
          </w:tcPr>
          <w:p w14:paraId="105D2876" w14:textId="3764C0AD" w:rsidR="00695D7C" w:rsidRPr="00952306" w:rsidRDefault="00695D7C" w:rsidP="00695D7C">
            <w:pPr>
              <w:spacing w:after="0" w:line="240" w:lineRule="auto"/>
              <w:jc w:val="right"/>
              <w:rPr>
                <w:rFonts w:eastAsia="Times New Roman" w:cs="Times New Roman"/>
                <w:b/>
                <w:bCs/>
                <w:sz w:val="18"/>
                <w:szCs w:val="18"/>
                <w:lang w:eastAsia="sk-SK"/>
              </w:rPr>
            </w:pPr>
            <w:r w:rsidRPr="00952306">
              <w:rPr>
                <w:rFonts w:eastAsia="Times New Roman" w:cs="Times New Roman"/>
                <w:b/>
                <w:bCs/>
                <w:sz w:val="18"/>
                <w:szCs w:val="18"/>
                <w:lang w:eastAsia="sk-SK"/>
              </w:rPr>
              <w:t>-6,</w:t>
            </w:r>
            <w:r>
              <w:rPr>
                <w:rFonts w:eastAsia="Times New Roman" w:cs="Times New Roman"/>
                <w:b/>
                <w:bCs/>
                <w:sz w:val="18"/>
                <w:szCs w:val="18"/>
                <w:lang w:eastAsia="sk-SK"/>
              </w:rPr>
              <w:t>2</w:t>
            </w:r>
          </w:p>
        </w:tc>
        <w:tc>
          <w:tcPr>
            <w:tcW w:w="1005" w:type="dxa"/>
            <w:tcBorders>
              <w:top w:val="single" w:sz="4" w:space="0" w:color="auto"/>
              <w:left w:val="nil"/>
              <w:bottom w:val="single" w:sz="4" w:space="0" w:color="auto"/>
              <w:right w:val="nil"/>
            </w:tcBorders>
            <w:shd w:val="clear" w:color="000000" w:fill="FFFFFF"/>
            <w:noWrap/>
            <w:vAlign w:val="center"/>
            <w:hideMark/>
          </w:tcPr>
          <w:p w14:paraId="60E6028B" w14:textId="0BA4412B" w:rsidR="00695D7C" w:rsidRPr="00952306" w:rsidRDefault="00695D7C" w:rsidP="00695D7C">
            <w:pPr>
              <w:spacing w:after="0" w:line="240" w:lineRule="auto"/>
              <w:jc w:val="right"/>
              <w:rPr>
                <w:rFonts w:eastAsia="Times New Roman" w:cs="Times New Roman"/>
                <w:b/>
                <w:bCs/>
                <w:sz w:val="18"/>
                <w:szCs w:val="18"/>
                <w:lang w:eastAsia="sk-SK"/>
              </w:rPr>
            </w:pPr>
            <w:r w:rsidRPr="00952306">
              <w:rPr>
                <w:rFonts w:eastAsia="Times New Roman" w:cs="Times New Roman"/>
                <w:b/>
                <w:bCs/>
                <w:sz w:val="18"/>
                <w:szCs w:val="18"/>
                <w:lang w:eastAsia="sk-SK"/>
              </w:rPr>
              <w:t>-5,7</w:t>
            </w:r>
          </w:p>
        </w:tc>
        <w:tc>
          <w:tcPr>
            <w:tcW w:w="1003" w:type="dxa"/>
            <w:tcBorders>
              <w:top w:val="single" w:sz="4" w:space="0" w:color="auto"/>
              <w:left w:val="nil"/>
              <w:bottom w:val="single" w:sz="4" w:space="0" w:color="auto"/>
              <w:right w:val="nil"/>
            </w:tcBorders>
            <w:shd w:val="clear" w:color="000000" w:fill="FFFFFF"/>
            <w:noWrap/>
            <w:vAlign w:val="center"/>
            <w:hideMark/>
          </w:tcPr>
          <w:p w14:paraId="72FC79DE" w14:textId="2F406D36" w:rsidR="00695D7C" w:rsidRPr="00952306" w:rsidRDefault="00695D7C" w:rsidP="00695D7C">
            <w:pPr>
              <w:spacing w:after="0" w:line="240" w:lineRule="auto"/>
              <w:jc w:val="right"/>
              <w:rPr>
                <w:rFonts w:eastAsia="Times New Roman" w:cs="Times New Roman"/>
                <w:b/>
                <w:bCs/>
                <w:sz w:val="18"/>
                <w:szCs w:val="18"/>
                <w:lang w:eastAsia="sk-SK"/>
              </w:rPr>
            </w:pPr>
            <w:r w:rsidRPr="00952306">
              <w:rPr>
                <w:rFonts w:eastAsia="Times New Roman" w:cs="Times New Roman"/>
                <w:b/>
                <w:bCs/>
                <w:sz w:val="18"/>
                <w:szCs w:val="18"/>
                <w:lang w:eastAsia="sk-SK"/>
              </w:rPr>
              <w:t>5,4</w:t>
            </w:r>
          </w:p>
        </w:tc>
      </w:tr>
    </w:tbl>
    <w:p w14:paraId="7D3257C7" w14:textId="498F503B" w:rsidR="00CB3C45" w:rsidRDefault="00CB3C45" w:rsidP="00CB3C45">
      <w:r>
        <w:rPr>
          <w:sz w:val="18"/>
          <w:szCs w:val="18"/>
        </w:rPr>
        <w:t xml:space="preserve">                                                                                                                              </w:t>
      </w:r>
      <w:r>
        <w:rPr>
          <w:sz w:val="18"/>
          <w:szCs w:val="18"/>
        </w:rPr>
        <w:tab/>
        <w:t xml:space="preserve">             </w:t>
      </w:r>
      <w:r w:rsidR="00AB488C">
        <w:rPr>
          <w:sz w:val="18"/>
          <w:szCs w:val="18"/>
        </w:rPr>
        <w:t xml:space="preserve">   </w:t>
      </w:r>
      <w:r>
        <w:rPr>
          <w:sz w:val="18"/>
          <w:szCs w:val="18"/>
        </w:rPr>
        <w:t xml:space="preserve">   </w:t>
      </w:r>
      <w:r>
        <w:rPr>
          <w:color w:val="FF0000"/>
        </w:rPr>
        <w:t xml:space="preserve">  </w:t>
      </w:r>
      <w:r w:rsidRPr="00EF5185">
        <w:rPr>
          <w:color w:val="FF0000"/>
        </w:rPr>
        <w:t xml:space="preserve">      </w:t>
      </w:r>
      <w:r w:rsidR="005F1B11">
        <w:rPr>
          <w:color w:val="FF0000"/>
        </w:rPr>
        <w:t xml:space="preserve">          </w:t>
      </w:r>
      <w:r w:rsidRPr="00EF5185">
        <w:rPr>
          <w:color w:val="FF0000"/>
        </w:rPr>
        <w:t xml:space="preserve"> </w:t>
      </w:r>
      <w:r w:rsidRPr="00EF5185">
        <w:rPr>
          <w:rFonts w:eastAsia="Times New Roman" w:cs="Times New Roman"/>
          <w:sz w:val="16"/>
          <w:szCs w:val="16"/>
          <w:lang w:eastAsia="sk-SK"/>
        </w:rPr>
        <w:t>Zdroj:</w:t>
      </w:r>
      <w:r>
        <w:rPr>
          <w:rFonts w:eastAsia="Times New Roman" w:cs="Times New Roman"/>
          <w:sz w:val="16"/>
          <w:szCs w:val="16"/>
          <w:lang w:eastAsia="sk-SK"/>
        </w:rPr>
        <w:t> </w:t>
      </w:r>
      <w:r w:rsidRPr="00EF5185">
        <w:rPr>
          <w:rFonts w:eastAsia="Times New Roman" w:cs="Times New Roman"/>
          <w:sz w:val="16"/>
          <w:szCs w:val="16"/>
          <w:lang w:eastAsia="sk-SK"/>
        </w:rPr>
        <w:t>MF</w:t>
      </w:r>
      <w:r>
        <w:rPr>
          <w:rFonts w:eastAsia="Times New Roman" w:cs="Times New Roman"/>
          <w:sz w:val="16"/>
          <w:szCs w:val="16"/>
          <w:lang w:eastAsia="sk-SK"/>
        </w:rPr>
        <w:t> </w:t>
      </w:r>
      <w:r w:rsidRPr="00EF5185">
        <w:rPr>
          <w:rFonts w:eastAsia="Times New Roman" w:cs="Times New Roman"/>
          <w:sz w:val="16"/>
          <w:szCs w:val="16"/>
          <w:lang w:eastAsia="sk-SK"/>
        </w:rPr>
        <w:t>SR</w:t>
      </w:r>
    </w:p>
    <w:p w14:paraId="001565FD" w14:textId="05271DDC" w:rsidR="00DE260D" w:rsidRDefault="00DC5529" w:rsidP="00DE260D">
      <w:pPr>
        <w:spacing w:line="240" w:lineRule="auto"/>
        <w:rPr>
          <w:sz w:val="24"/>
          <w:szCs w:val="24"/>
        </w:rPr>
      </w:pPr>
      <w:r>
        <w:rPr>
          <w:b/>
          <w:sz w:val="24"/>
          <w:szCs w:val="24"/>
        </w:rPr>
        <w:t xml:space="preserve">Podľa prvej notifikácie výsledkov roku 2020, hospodárenie s verejnými financiami </w:t>
      </w:r>
      <w:r w:rsidR="00DE260D" w:rsidRPr="00701B52">
        <w:rPr>
          <w:b/>
          <w:sz w:val="24"/>
          <w:szCs w:val="24"/>
        </w:rPr>
        <w:t>v</w:t>
      </w:r>
      <w:r w:rsidR="007B03D6">
        <w:rPr>
          <w:b/>
          <w:sz w:val="24"/>
          <w:szCs w:val="24"/>
        </w:rPr>
        <w:t> </w:t>
      </w:r>
      <w:r w:rsidR="00DE260D" w:rsidRPr="00701B52">
        <w:rPr>
          <w:b/>
          <w:sz w:val="24"/>
          <w:szCs w:val="24"/>
        </w:rPr>
        <w:t>metodike ESA</w:t>
      </w:r>
      <w:r w:rsidR="00901E7F">
        <w:rPr>
          <w:b/>
          <w:sz w:val="24"/>
          <w:szCs w:val="24"/>
        </w:rPr>
        <w:t xml:space="preserve"> </w:t>
      </w:r>
      <w:r w:rsidR="00DE260D" w:rsidRPr="00701B52">
        <w:rPr>
          <w:b/>
          <w:sz w:val="24"/>
          <w:szCs w:val="24"/>
        </w:rPr>
        <w:t xml:space="preserve">2010 </w:t>
      </w:r>
      <w:r>
        <w:rPr>
          <w:b/>
          <w:sz w:val="24"/>
          <w:szCs w:val="24"/>
        </w:rPr>
        <w:t xml:space="preserve">dosiahlo </w:t>
      </w:r>
      <w:r w:rsidR="00DE260D" w:rsidRPr="00701B52">
        <w:rPr>
          <w:b/>
          <w:sz w:val="24"/>
          <w:szCs w:val="24"/>
        </w:rPr>
        <w:t xml:space="preserve">schodok vo výške </w:t>
      </w:r>
      <w:r w:rsidR="00DE260D" w:rsidRPr="00701B52">
        <w:rPr>
          <w:rFonts w:eastAsia="Times New Roman" w:cs="Times New Roman"/>
          <w:b/>
          <w:bCs/>
          <w:sz w:val="24"/>
          <w:szCs w:val="24"/>
          <w:lang w:eastAsia="sk-SK"/>
        </w:rPr>
        <w:t>5 608 766</w:t>
      </w:r>
      <w:r w:rsidR="00DE260D" w:rsidRPr="00701B52">
        <w:rPr>
          <w:b/>
          <w:sz w:val="24"/>
          <w:szCs w:val="24"/>
        </w:rPr>
        <w:t> tis. eur (6,2 % HDP)</w:t>
      </w:r>
      <w:r w:rsidR="00DE260D">
        <w:rPr>
          <w:sz w:val="24"/>
          <w:szCs w:val="24"/>
        </w:rPr>
        <w:t>.</w:t>
      </w:r>
    </w:p>
    <w:p w14:paraId="65343C56" w14:textId="77777777" w:rsidR="00DF3219" w:rsidRDefault="00DE260D" w:rsidP="0071244C">
      <w:pPr>
        <w:spacing w:line="240" w:lineRule="auto"/>
        <w:rPr>
          <w:sz w:val="24"/>
          <w:szCs w:val="24"/>
        </w:rPr>
      </w:pPr>
      <w:r w:rsidRPr="00DF3219">
        <w:rPr>
          <w:b/>
          <w:sz w:val="24"/>
          <w:szCs w:val="24"/>
        </w:rPr>
        <w:t xml:space="preserve">Oproti pôvodne schválenému rozpočtu </w:t>
      </w:r>
      <w:r w:rsidR="00E71F8F" w:rsidRPr="00DF3219">
        <w:rPr>
          <w:b/>
          <w:sz w:val="24"/>
          <w:szCs w:val="24"/>
        </w:rPr>
        <w:t xml:space="preserve">verejnej správy v decembri </w:t>
      </w:r>
      <w:r w:rsidR="00E71F8F" w:rsidRPr="003F1DE2">
        <w:rPr>
          <w:b/>
          <w:sz w:val="24"/>
          <w:szCs w:val="24"/>
        </w:rPr>
        <w:t xml:space="preserve">2019 </w:t>
      </w:r>
      <w:r w:rsidRPr="003F1DE2">
        <w:rPr>
          <w:b/>
          <w:sz w:val="24"/>
          <w:szCs w:val="24"/>
        </w:rPr>
        <w:t>došlo v roku 2020 k zhoršeniu hospodáreni</w:t>
      </w:r>
      <w:r w:rsidR="0071244C" w:rsidRPr="003F1DE2">
        <w:rPr>
          <w:b/>
          <w:sz w:val="24"/>
          <w:szCs w:val="24"/>
        </w:rPr>
        <w:t>a</w:t>
      </w:r>
      <w:r w:rsidRPr="003F1DE2">
        <w:rPr>
          <w:b/>
          <w:sz w:val="24"/>
          <w:szCs w:val="24"/>
        </w:rPr>
        <w:t xml:space="preserve"> verejnej správy o 5 128 357 tis. eur</w:t>
      </w:r>
      <w:r w:rsidR="00E71F8F" w:rsidRPr="003F1DE2">
        <w:rPr>
          <w:b/>
          <w:sz w:val="24"/>
          <w:szCs w:val="24"/>
        </w:rPr>
        <w:t xml:space="preserve"> resp. o 5,7 % HDP</w:t>
      </w:r>
      <w:r w:rsidRPr="00F7158C">
        <w:rPr>
          <w:sz w:val="24"/>
          <w:szCs w:val="24"/>
        </w:rPr>
        <w:t>.</w:t>
      </w:r>
      <w:r>
        <w:rPr>
          <w:sz w:val="24"/>
          <w:szCs w:val="24"/>
        </w:rPr>
        <w:t xml:space="preserve"> Celkové príjmy verejnej správy klesli o 466 558 tis. eur, a to najmä v dôsledku </w:t>
      </w:r>
      <w:r w:rsidR="001F121E">
        <w:rPr>
          <w:sz w:val="24"/>
          <w:szCs w:val="24"/>
        </w:rPr>
        <w:t xml:space="preserve">nižšieho </w:t>
      </w:r>
      <w:r>
        <w:rPr>
          <w:sz w:val="24"/>
          <w:szCs w:val="24"/>
        </w:rPr>
        <w:t xml:space="preserve">poklesu daňových a odvodových príjmov </w:t>
      </w:r>
      <w:r w:rsidR="001F121E">
        <w:rPr>
          <w:sz w:val="24"/>
          <w:szCs w:val="24"/>
        </w:rPr>
        <w:t xml:space="preserve">ako sa predpokladalo, a to </w:t>
      </w:r>
      <w:r>
        <w:rPr>
          <w:sz w:val="24"/>
          <w:szCs w:val="24"/>
        </w:rPr>
        <w:t>o 1 315 260 tis. eur</w:t>
      </w:r>
      <w:r w:rsidR="001F121E">
        <w:rPr>
          <w:sz w:val="24"/>
          <w:szCs w:val="24"/>
        </w:rPr>
        <w:t xml:space="preserve"> (namiesto pôvodných 2 175 026 tis. eur)</w:t>
      </w:r>
      <w:r>
        <w:rPr>
          <w:sz w:val="24"/>
          <w:szCs w:val="24"/>
        </w:rPr>
        <w:t>.</w:t>
      </w:r>
      <w:r w:rsidR="00DF3219">
        <w:rPr>
          <w:sz w:val="24"/>
          <w:szCs w:val="24"/>
        </w:rPr>
        <w:t xml:space="preserve"> </w:t>
      </w:r>
      <w:r w:rsidR="00F7158C">
        <w:rPr>
          <w:sz w:val="24"/>
          <w:szCs w:val="24"/>
        </w:rPr>
        <w:t>Tento pokles</w:t>
      </w:r>
      <w:r>
        <w:rPr>
          <w:sz w:val="24"/>
          <w:szCs w:val="24"/>
        </w:rPr>
        <w:t xml:space="preserve"> bol čiastočne vykompenzovaný nárastom príjmov z grantov a transferov o 899 277 tis. eur</w:t>
      </w:r>
      <w:r w:rsidR="001F121E">
        <w:rPr>
          <w:sz w:val="24"/>
          <w:szCs w:val="24"/>
        </w:rPr>
        <w:t xml:space="preserve"> (oproti uvažovanom náraste o 1 309 615 tis. eu</w:t>
      </w:r>
      <w:r w:rsidR="00DF3219">
        <w:rPr>
          <w:sz w:val="24"/>
          <w:szCs w:val="24"/>
        </w:rPr>
        <w:t>r</w:t>
      </w:r>
      <w:r w:rsidR="001F121E">
        <w:rPr>
          <w:sz w:val="24"/>
          <w:szCs w:val="24"/>
        </w:rPr>
        <w:t>)</w:t>
      </w:r>
      <w:r w:rsidR="00DF3219">
        <w:rPr>
          <w:sz w:val="24"/>
          <w:szCs w:val="24"/>
        </w:rPr>
        <w:t>.</w:t>
      </w:r>
    </w:p>
    <w:p w14:paraId="14DFC197" w14:textId="64DB7190" w:rsidR="00DF3219" w:rsidRDefault="00DE260D" w:rsidP="0071244C">
      <w:pPr>
        <w:spacing w:line="240" w:lineRule="auto"/>
        <w:rPr>
          <w:sz w:val="24"/>
          <w:szCs w:val="24"/>
        </w:rPr>
      </w:pPr>
      <w:r>
        <w:rPr>
          <w:sz w:val="24"/>
          <w:szCs w:val="24"/>
        </w:rPr>
        <w:t>Negatívny vplyv zaznamenal aj vývoj celkových výdavkov</w:t>
      </w:r>
      <w:r w:rsidR="00F7158C">
        <w:rPr>
          <w:sz w:val="24"/>
          <w:szCs w:val="24"/>
        </w:rPr>
        <w:t>, ktoré</w:t>
      </w:r>
      <w:r>
        <w:rPr>
          <w:sz w:val="24"/>
          <w:szCs w:val="24"/>
        </w:rPr>
        <w:t xml:space="preserve"> oproti schválenému rozpočtu </w:t>
      </w:r>
      <w:r w:rsidR="00F7158C">
        <w:rPr>
          <w:sz w:val="24"/>
          <w:szCs w:val="24"/>
        </w:rPr>
        <w:t>vzrástli</w:t>
      </w:r>
      <w:r>
        <w:rPr>
          <w:sz w:val="24"/>
          <w:szCs w:val="24"/>
        </w:rPr>
        <w:t xml:space="preserve"> o 4 661 799 tis. eur. Bežné výdavky </w:t>
      </w:r>
      <w:r w:rsidR="00F7158C">
        <w:rPr>
          <w:sz w:val="24"/>
          <w:szCs w:val="24"/>
        </w:rPr>
        <w:t>sa zvýšili</w:t>
      </w:r>
      <w:r>
        <w:rPr>
          <w:sz w:val="24"/>
          <w:szCs w:val="24"/>
        </w:rPr>
        <w:t xml:space="preserve"> o 3 108 535 </w:t>
      </w:r>
      <w:r w:rsidR="00B920B4">
        <w:rPr>
          <w:sz w:val="24"/>
          <w:szCs w:val="24"/>
        </w:rPr>
        <w:t>tis. eur</w:t>
      </w:r>
      <w:r w:rsidR="00F7158C">
        <w:rPr>
          <w:sz w:val="24"/>
          <w:szCs w:val="24"/>
        </w:rPr>
        <w:t xml:space="preserve"> v dôsledku vyššieho čerpania bežných transferov. </w:t>
      </w:r>
      <w:r w:rsidR="00F7158C" w:rsidRPr="00F7158C">
        <w:rPr>
          <w:sz w:val="24"/>
          <w:szCs w:val="24"/>
        </w:rPr>
        <w:t xml:space="preserve">Išlo najmä o refundáciu dodatočných prevádzkových nákladov </w:t>
      </w:r>
      <w:r w:rsidR="00094785">
        <w:t>(</w:t>
      </w:r>
      <w:r w:rsidR="00094785" w:rsidRPr="0071244C">
        <w:rPr>
          <w:sz w:val="24"/>
          <w:szCs w:val="24"/>
        </w:rPr>
        <w:t>najmä pre samosprávy vrátane regionálneho školstva a verejné vysoké školy)</w:t>
      </w:r>
      <w:r w:rsidR="00094785">
        <w:t xml:space="preserve"> </w:t>
      </w:r>
      <w:r w:rsidR="00F7158C" w:rsidRPr="00F7158C">
        <w:rPr>
          <w:sz w:val="24"/>
          <w:szCs w:val="24"/>
        </w:rPr>
        <w:t xml:space="preserve">ako aj financovanie </w:t>
      </w:r>
      <w:r w:rsidR="00DF3219">
        <w:rPr>
          <w:sz w:val="24"/>
          <w:szCs w:val="24"/>
        </w:rPr>
        <w:t>podporných schém a zvýšených výdavkov na mzdy, tovary a služby (</w:t>
      </w:r>
      <w:r w:rsidR="0031192A">
        <w:rPr>
          <w:sz w:val="24"/>
          <w:szCs w:val="24"/>
        </w:rPr>
        <w:t>plošné testovanie, odmeny pracovníkom v prvej línii, nákup zdravotníckeho materiálu a podobne).</w:t>
      </w:r>
      <w:r w:rsidR="00DF3219">
        <w:rPr>
          <w:sz w:val="24"/>
          <w:szCs w:val="24"/>
        </w:rPr>
        <w:t xml:space="preserve"> </w:t>
      </w:r>
    </w:p>
    <w:p w14:paraId="57D40059" w14:textId="0F2091D0" w:rsidR="0071244C" w:rsidRDefault="00B920B4" w:rsidP="0071244C">
      <w:pPr>
        <w:spacing w:line="240" w:lineRule="auto"/>
        <w:rPr>
          <w:sz w:val="24"/>
          <w:szCs w:val="24"/>
        </w:rPr>
      </w:pPr>
      <w:r>
        <w:rPr>
          <w:sz w:val="24"/>
          <w:szCs w:val="24"/>
        </w:rPr>
        <w:t>Kapitálové výdavky vzrástli o 1 553 264 tis. eur, a to najmä na obstaranie kapitálových aktív</w:t>
      </w:r>
      <w:r w:rsidR="0071244C" w:rsidRPr="0071244C">
        <w:rPr>
          <w:sz w:val="24"/>
          <w:szCs w:val="24"/>
        </w:rPr>
        <w:t>.</w:t>
      </w:r>
      <w:r w:rsidRPr="0071244C">
        <w:rPr>
          <w:sz w:val="24"/>
          <w:szCs w:val="24"/>
        </w:rPr>
        <w:t xml:space="preserve"> </w:t>
      </w:r>
      <w:r w:rsidR="0031192A">
        <w:rPr>
          <w:sz w:val="24"/>
          <w:szCs w:val="24"/>
        </w:rPr>
        <w:t xml:space="preserve">Celkový </w:t>
      </w:r>
      <w:r w:rsidR="00097D1A">
        <w:rPr>
          <w:sz w:val="24"/>
          <w:szCs w:val="24"/>
        </w:rPr>
        <w:t xml:space="preserve">predpokladaný </w:t>
      </w:r>
      <w:r w:rsidR="0031192A">
        <w:rPr>
          <w:sz w:val="24"/>
          <w:szCs w:val="24"/>
        </w:rPr>
        <w:t>nárast výdavkov pri porovnaní pôvodne schváleného rozpočtu a novelizovaného rozpočtu vo výške 8 835 419 eur sa naplnil len na zhruba 53 %.</w:t>
      </w:r>
    </w:p>
    <w:p w14:paraId="1E8AD3FA" w14:textId="51A09048" w:rsidR="00604EDD" w:rsidRDefault="00CB3C45" w:rsidP="00701B52">
      <w:pPr>
        <w:spacing w:line="240" w:lineRule="auto"/>
        <w:rPr>
          <w:sz w:val="24"/>
          <w:szCs w:val="24"/>
        </w:rPr>
      </w:pPr>
      <w:r w:rsidRPr="00C05148">
        <w:rPr>
          <w:b/>
          <w:sz w:val="24"/>
          <w:szCs w:val="24"/>
        </w:rPr>
        <w:t>Na úrovni celej verejnej správy bola oproti rozpočtu zaznamenaná pozitívna odchýlka v sume 4 416 611 tis. eur</w:t>
      </w:r>
      <w:r w:rsidRPr="00701B52">
        <w:rPr>
          <w:sz w:val="24"/>
          <w:szCs w:val="24"/>
        </w:rPr>
        <w:t xml:space="preserve"> najmä vplyvom nižšieho schodku hotovostného rozpočtu (opisovaný v 3. kapitole) a vyšších prebytkov niektorých ostatných zložiek verejnej správy (obce, Sociálna poisťovňa, verejné zdravotné poistenie, verejné vysoké školy a Národná diaľničná spoločnosť, a. s.). Negatívne vplývali na saldo verejnej správy schodky dopravných podnikov a Železničnej spoločnosti Slovensko, a. s.</w:t>
      </w:r>
    </w:p>
    <w:p w14:paraId="5734012C" w14:textId="7043EA65" w:rsidR="00604EDD" w:rsidRDefault="00604EDD" w:rsidP="00701B52">
      <w:pPr>
        <w:spacing w:line="240" w:lineRule="auto"/>
        <w:rPr>
          <w:sz w:val="24"/>
          <w:szCs w:val="24"/>
        </w:rPr>
      </w:pPr>
      <w:r>
        <w:rPr>
          <w:sz w:val="24"/>
          <w:szCs w:val="24"/>
        </w:rPr>
        <w:t xml:space="preserve">Nezanedbateľným faktorom v porovnávaní očakávaného salda verejných financií a dosiahnutej skutočnosti mal ekonomický vývoj a miernejší prepad HDP ako sa predpokladalo. Rast HDP v rámci pôvodne zostaveného rozpočtu bol na úrovni 2,3 %, jeho očakávaný prepad po nástupe pandémie na úrovni </w:t>
      </w:r>
      <w:r w:rsidR="00CC3205">
        <w:rPr>
          <w:sz w:val="24"/>
          <w:szCs w:val="24"/>
        </w:rPr>
        <w:t>9,</w:t>
      </w:r>
      <w:r>
        <w:rPr>
          <w:sz w:val="24"/>
          <w:szCs w:val="24"/>
        </w:rPr>
        <w:t>8 % a v skutočnosti národné hospodárstvo zaznamenalo pokles o 5,2 %.</w:t>
      </w:r>
    </w:p>
    <w:p w14:paraId="335C612A" w14:textId="5C393EE8" w:rsidR="00CB3C45" w:rsidRPr="00BE5055" w:rsidRDefault="003F1DE2" w:rsidP="00701B52">
      <w:pPr>
        <w:spacing w:line="240" w:lineRule="auto"/>
        <w:rPr>
          <w:b/>
          <w:sz w:val="24"/>
          <w:szCs w:val="24"/>
        </w:rPr>
      </w:pPr>
      <w:r w:rsidRPr="00BE5055">
        <w:rPr>
          <w:b/>
          <w:sz w:val="24"/>
          <w:szCs w:val="24"/>
        </w:rPr>
        <w:t>Pre ďalšie porovnávanie rozpočtovaných hodnôt v tejto kapitole (vrátane ekonomického vývoja) voči skutočnosti sa v nasledujúcom texte používa novelizovaný rozpočet ŠR na rok 2020 a z neho vyplývajúci odhad deficitu verejnej správy</w:t>
      </w:r>
      <w:r w:rsidR="00BE5055" w:rsidRPr="00BE5055">
        <w:rPr>
          <w:b/>
          <w:sz w:val="24"/>
          <w:szCs w:val="24"/>
        </w:rPr>
        <w:t>.</w:t>
      </w:r>
    </w:p>
    <w:p w14:paraId="7A085EB9" w14:textId="4372C898" w:rsidR="00CB3C45" w:rsidRPr="00701B52" w:rsidRDefault="00CB3C45" w:rsidP="00701B52">
      <w:pPr>
        <w:spacing w:line="240" w:lineRule="auto"/>
        <w:rPr>
          <w:sz w:val="24"/>
          <w:szCs w:val="24"/>
        </w:rPr>
      </w:pPr>
      <w:r w:rsidRPr="00701B52">
        <w:rPr>
          <w:b/>
          <w:sz w:val="24"/>
          <w:szCs w:val="24"/>
        </w:rPr>
        <w:t>Príjmy verejnej správy</w:t>
      </w:r>
      <w:r w:rsidRPr="00701B52">
        <w:rPr>
          <w:sz w:val="24"/>
          <w:szCs w:val="24"/>
        </w:rPr>
        <w:t xml:space="preserve"> boli oproti rozpočtu na rok 2020 úhrnom vyššie o 242 991 tis. eur, a to vplyvom nárastu daňových a poistných príjmov o 859 766 tis. eur. </w:t>
      </w:r>
      <w:r w:rsidRPr="00701B52">
        <w:rPr>
          <w:b/>
          <w:sz w:val="24"/>
          <w:szCs w:val="24"/>
        </w:rPr>
        <w:t>Výdavky verejnej správy</w:t>
      </w:r>
      <w:r w:rsidRPr="00701B52">
        <w:rPr>
          <w:sz w:val="24"/>
          <w:szCs w:val="24"/>
        </w:rPr>
        <w:t xml:space="preserve"> boli nižšie o 4 173 620 tis. eur oproti rozpočtu, z toho bežné výdavky o 3 673 177 tis. eur a kapitálové výdavky o 500 443 tis</w:t>
      </w:r>
      <w:r w:rsidR="006A45BA">
        <w:rPr>
          <w:sz w:val="24"/>
          <w:szCs w:val="24"/>
        </w:rPr>
        <w:t>.</w:t>
      </w:r>
      <w:r w:rsidRPr="00701B52">
        <w:rPr>
          <w:sz w:val="24"/>
          <w:szCs w:val="24"/>
        </w:rPr>
        <w:t> eur.</w:t>
      </w:r>
    </w:p>
    <w:p w14:paraId="2E26D093" w14:textId="53842416" w:rsidR="00CB3C45" w:rsidRPr="00701B52" w:rsidRDefault="00CB3C45" w:rsidP="00701B52">
      <w:pPr>
        <w:spacing w:line="240" w:lineRule="auto"/>
        <w:rPr>
          <w:sz w:val="24"/>
          <w:szCs w:val="24"/>
        </w:rPr>
      </w:pPr>
      <w:r w:rsidRPr="00F01243">
        <w:rPr>
          <w:b/>
          <w:color w:val="5B9BD5" w:themeColor="accent1"/>
          <w:sz w:val="24"/>
          <w:szCs w:val="24"/>
        </w:rPr>
        <w:t>Celkové daňové a odvodové príjmy verejnej správy</w:t>
      </w:r>
      <w:r w:rsidRPr="00F01243">
        <w:rPr>
          <w:color w:val="5B9BD5" w:themeColor="accent1"/>
          <w:sz w:val="24"/>
          <w:szCs w:val="24"/>
        </w:rPr>
        <w:t xml:space="preserve"> </w:t>
      </w:r>
      <w:r w:rsidRPr="00701B52">
        <w:rPr>
          <w:sz w:val="24"/>
          <w:szCs w:val="24"/>
        </w:rPr>
        <w:t>boli oproti rozpočtu vyššie o 859 766 tis. eur, vrátane metodických vplyvov zohľadnenia príjmov dosahovaných z podpory obnoviteľných zdrojov energie a vysoko účinnej kombinovanej výroby energie (pokles tzv.</w:t>
      </w:r>
      <w:r w:rsidR="007B03D6">
        <w:rPr>
          <w:sz w:val="24"/>
          <w:szCs w:val="24"/>
        </w:rPr>
        <w:t> </w:t>
      </w:r>
      <w:r w:rsidRPr="00701B52">
        <w:rPr>
          <w:sz w:val="24"/>
          <w:szCs w:val="24"/>
        </w:rPr>
        <w:t>,,zelenej energie“ o 18 355 tis. eur), príjmov z príspevkov prevádzkovateľov hazardných hier (nárast o 5 000 tis. eur), príjmov z investičných dôchodkov patriacich držiteľom poistiek</w:t>
      </w:r>
      <w:r w:rsidRPr="00701B52">
        <w:rPr>
          <w:rStyle w:val="Odkaznapoznmkupodiarou"/>
          <w:sz w:val="24"/>
          <w:szCs w:val="24"/>
        </w:rPr>
        <w:footnoteReference w:id="9"/>
      </w:r>
      <w:r w:rsidRPr="00701B52">
        <w:rPr>
          <w:sz w:val="24"/>
          <w:szCs w:val="24"/>
        </w:rPr>
        <w:t xml:space="preserve"> (nárast o 918 tis. eur) a príjmov zo spotreby emisných kvót (nárast o 141 093 tis. eur). </w:t>
      </w:r>
    </w:p>
    <w:p w14:paraId="221C6A80" w14:textId="77777777" w:rsidR="00CB3C45" w:rsidRPr="00701B52" w:rsidRDefault="00CB3C45" w:rsidP="00701B52">
      <w:pPr>
        <w:spacing w:line="240" w:lineRule="auto"/>
        <w:rPr>
          <w:sz w:val="24"/>
          <w:szCs w:val="24"/>
        </w:rPr>
      </w:pPr>
      <w:r w:rsidRPr="00701B52">
        <w:rPr>
          <w:sz w:val="24"/>
          <w:szCs w:val="24"/>
        </w:rPr>
        <w:t>Vývoj v prípade daní a odvodov, ktoré boli rozpočtované resp. pri ktorých nedošlo k metodickým zmenám v ich zaznamenávaní, poskytuje nasledovná tabuľka (ide o rozhodujúce položky daní verejnej správy):</w:t>
      </w:r>
    </w:p>
    <w:tbl>
      <w:tblPr>
        <w:tblW w:w="8505" w:type="dxa"/>
        <w:jc w:val="center"/>
        <w:tblCellMar>
          <w:left w:w="70" w:type="dxa"/>
          <w:right w:w="70" w:type="dxa"/>
        </w:tblCellMar>
        <w:tblLook w:val="04A0" w:firstRow="1" w:lastRow="0" w:firstColumn="1" w:lastColumn="0" w:noHBand="0" w:noVBand="1"/>
      </w:tblPr>
      <w:tblGrid>
        <w:gridCol w:w="5103"/>
        <w:gridCol w:w="1134"/>
        <w:gridCol w:w="1276"/>
        <w:gridCol w:w="992"/>
      </w:tblGrid>
      <w:tr w:rsidR="00CB3C45" w:rsidRPr="009F1299" w14:paraId="0C450266" w14:textId="77777777" w:rsidTr="00701B52">
        <w:trPr>
          <w:trHeight w:val="300"/>
          <w:tblHeader/>
          <w:jc w:val="center"/>
        </w:trPr>
        <w:tc>
          <w:tcPr>
            <w:tcW w:w="8505" w:type="dxa"/>
            <w:gridSpan w:val="4"/>
            <w:tcBorders>
              <w:top w:val="nil"/>
              <w:left w:val="nil"/>
              <w:bottom w:val="nil"/>
              <w:right w:val="nil"/>
            </w:tcBorders>
            <w:shd w:val="clear" w:color="000000" w:fill="000000"/>
            <w:noWrap/>
            <w:vAlign w:val="center"/>
            <w:hideMark/>
          </w:tcPr>
          <w:p w14:paraId="372E74D6" w14:textId="036164F5" w:rsidR="00CB3C45" w:rsidRPr="009F1299" w:rsidRDefault="00CB3C45" w:rsidP="009F1299">
            <w:pPr>
              <w:spacing w:after="0" w:line="240" w:lineRule="auto"/>
              <w:jc w:val="left"/>
              <w:rPr>
                <w:rFonts w:eastAsia="Times New Roman" w:cs="Times New Roman"/>
                <w:b/>
                <w:bCs/>
                <w:color w:val="FFFFFF"/>
                <w:sz w:val="18"/>
                <w:szCs w:val="18"/>
                <w:lang w:eastAsia="sk-SK"/>
              </w:rPr>
            </w:pPr>
            <w:r w:rsidRPr="009F1299">
              <w:rPr>
                <w:rFonts w:eastAsia="Times New Roman" w:cs="Times New Roman"/>
                <w:b/>
                <w:bCs/>
                <w:color w:val="FFFFFF"/>
                <w:sz w:val="18"/>
                <w:szCs w:val="18"/>
                <w:lang w:eastAsia="sk-SK"/>
              </w:rPr>
              <w:t xml:space="preserve">Vybrané daňové a odvodové príjmy VS podľa ESA2010                                 </w:t>
            </w:r>
            <w:r w:rsidR="009F1299" w:rsidRPr="009F1299">
              <w:rPr>
                <w:rFonts w:eastAsia="Times New Roman" w:cs="Times New Roman"/>
                <w:b/>
                <w:bCs/>
                <w:color w:val="FFFFFF"/>
                <w:sz w:val="18"/>
                <w:szCs w:val="18"/>
                <w:lang w:eastAsia="sk-SK"/>
              </w:rPr>
              <w:t xml:space="preserve">                                        </w:t>
            </w:r>
            <w:r w:rsidRPr="009F1299">
              <w:rPr>
                <w:rFonts w:eastAsia="Times New Roman" w:cs="Times New Roman"/>
                <w:b/>
                <w:bCs/>
                <w:color w:val="FFFFFF"/>
                <w:sz w:val="18"/>
                <w:szCs w:val="18"/>
                <w:lang w:eastAsia="sk-SK"/>
              </w:rPr>
              <w:t xml:space="preserve">v tis. eur </w:t>
            </w:r>
          </w:p>
        </w:tc>
      </w:tr>
      <w:tr w:rsidR="00CB3C45" w:rsidRPr="009F1299" w14:paraId="16B4CE6A" w14:textId="77777777" w:rsidTr="00701B52">
        <w:trPr>
          <w:trHeight w:val="300"/>
          <w:tblHeader/>
          <w:jc w:val="center"/>
        </w:trPr>
        <w:tc>
          <w:tcPr>
            <w:tcW w:w="5103" w:type="dxa"/>
            <w:tcBorders>
              <w:top w:val="nil"/>
              <w:left w:val="nil"/>
              <w:bottom w:val="nil"/>
              <w:right w:val="nil"/>
            </w:tcBorders>
            <w:shd w:val="clear" w:color="000000" w:fill="BFBFBF"/>
            <w:noWrap/>
            <w:vAlign w:val="bottom"/>
            <w:hideMark/>
          </w:tcPr>
          <w:p w14:paraId="4E79AF90" w14:textId="77777777" w:rsidR="00CB3C45" w:rsidRPr="009F1299" w:rsidRDefault="00CB3C45" w:rsidP="00842F2E">
            <w:pPr>
              <w:spacing w:after="0" w:line="240" w:lineRule="auto"/>
              <w:jc w:val="left"/>
              <w:rPr>
                <w:rFonts w:eastAsia="Times New Roman" w:cs="Times New Roman"/>
                <w:color w:val="000000"/>
                <w:sz w:val="18"/>
                <w:szCs w:val="18"/>
                <w:lang w:eastAsia="sk-SK"/>
              </w:rPr>
            </w:pPr>
            <w:r w:rsidRPr="009F1299">
              <w:rPr>
                <w:rFonts w:eastAsia="Times New Roman" w:cs="Times New Roman"/>
                <w:color w:val="000000"/>
                <w:sz w:val="18"/>
                <w:szCs w:val="18"/>
                <w:lang w:eastAsia="sk-SK"/>
              </w:rPr>
              <w:t> </w:t>
            </w:r>
          </w:p>
        </w:tc>
        <w:tc>
          <w:tcPr>
            <w:tcW w:w="1134" w:type="dxa"/>
            <w:tcBorders>
              <w:top w:val="nil"/>
              <w:left w:val="nil"/>
              <w:bottom w:val="nil"/>
              <w:right w:val="nil"/>
            </w:tcBorders>
            <w:shd w:val="clear" w:color="000000" w:fill="BFBFBF"/>
            <w:noWrap/>
            <w:vAlign w:val="center"/>
            <w:hideMark/>
          </w:tcPr>
          <w:p w14:paraId="2D50FD1B" w14:textId="77777777" w:rsidR="00CB3C45" w:rsidRPr="009F1299" w:rsidRDefault="00CB3C45" w:rsidP="00842F2E">
            <w:pPr>
              <w:spacing w:after="0" w:line="240" w:lineRule="auto"/>
              <w:jc w:val="center"/>
              <w:rPr>
                <w:rFonts w:eastAsia="Times New Roman" w:cs="Times New Roman"/>
                <w:b/>
                <w:bCs/>
                <w:color w:val="000000"/>
                <w:sz w:val="18"/>
                <w:szCs w:val="18"/>
                <w:lang w:eastAsia="sk-SK"/>
              </w:rPr>
            </w:pPr>
            <w:r w:rsidRPr="009F1299">
              <w:rPr>
                <w:rFonts w:eastAsia="Times New Roman" w:cs="Times New Roman"/>
                <w:b/>
                <w:bCs/>
                <w:color w:val="000000"/>
                <w:sz w:val="18"/>
                <w:szCs w:val="18"/>
                <w:lang w:eastAsia="sk-SK"/>
              </w:rPr>
              <w:t>Rozpočet</w:t>
            </w:r>
          </w:p>
        </w:tc>
        <w:tc>
          <w:tcPr>
            <w:tcW w:w="1276" w:type="dxa"/>
            <w:tcBorders>
              <w:top w:val="nil"/>
              <w:left w:val="nil"/>
              <w:bottom w:val="nil"/>
              <w:right w:val="nil"/>
            </w:tcBorders>
            <w:shd w:val="clear" w:color="000000" w:fill="BFBFBF"/>
            <w:noWrap/>
            <w:vAlign w:val="center"/>
            <w:hideMark/>
          </w:tcPr>
          <w:p w14:paraId="170ACDD4" w14:textId="77777777" w:rsidR="00CB3C45" w:rsidRPr="009F1299" w:rsidRDefault="00CB3C45" w:rsidP="00842F2E">
            <w:pPr>
              <w:spacing w:after="0" w:line="240" w:lineRule="auto"/>
              <w:jc w:val="center"/>
              <w:rPr>
                <w:rFonts w:eastAsia="Times New Roman" w:cs="Times New Roman"/>
                <w:b/>
                <w:bCs/>
                <w:color w:val="000000"/>
                <w:sz w:val="18"/>
                <w:szCs w:val="18"/>
                <w:lang w:eastAsia="sk-SK"/>
              </w:rPr>
            </w:pPr>
            <w:r w:rsidRPr="009F1299">
              <w:rPr>
                <w:rFonts w:eastAsia="Times New Roman" w:cs="Times New Roman"/>
                <w:b/>
                <w:bCs/>
                <w:color w:val="000000"/>
                <w:sz w:val="18"/>
                <w:szCs w:val="18"/>
                <w:lang w:eastAsia="sk-SK"/>
              </w:rPr>
              <w:t>Skutočnosť</w:t>
            </w:r>
          </w:p>
        </w:tc>
        <w:tc>
          <w:tcPr>
            <w:tcW w:w="992" w:type="dxa"/>
            <w:tcBorders>
              <w:top w:val="nil"/>
              <w:left w:val="nil"/>
              <w:bottom w:val="nil"/>
              <w:right w:val="nil"/>
            </w:tcBorders>
            <w:shd w:val="clear" w:color="000000" w:fill="BFBFBF"/>
            <w:noWrap/>
            <w:vAlign w:val="center"/>
            <w:hideMark/>
          </w:tcPr>
          <w:p w14:paraId="1486E967" w14:textId="77777777" w:rsidR="00CB3C45" w:rsidRPr="009F1299" w:rsidRDefault="00CB3C45" w:rsidP="00842F2E">
            <w:pPr>
              <w:spacing w:after="0" w:line="240" w:lineRule="auto"/>
              <w:jc w:val="center"/>
              <w:rPr>
                <w:rFonts w:eastAsia="Times New Roman" w:cs="Times New Roman"/>
                <w:b/>
                <w:bCs/>
                <w:color w:val="000000"/>
                <w:sz w:val="18"/>
                <w:szCs w:val="18"/>
                <w:lang w:eastAsia="sk-SK"/>
              </w:rPr>
            </w:pPr>
            <w:r w:rsidRPr="009F1299">
              <w:rPr>
                <w:rFonts w:eastAsia="Times New Roman" w:cs="Times New Roman"/>
                <w:b/>
                <w:bCs/>
                <w:color w:val="000000"/>
                <w:sz w:val="18"/>
                <w:szCs w:val="18"/>
                <w:lang w:eastAsia="sk-SK"/>
              </w:rPr>
              <w:t>Rozdiel</w:t>
            </w:r>
          </w:p>
        </w:tc>
      </w:tr>
      <w:tr w:rsidR="00CB3C45" w:rsidRPr="009F1299" w14:paraId="42EBECDE" w14:textId="77777777" w:rsidTr="00701B52">
        <w:trPr>
          <w:trHeight w:val="300"/>
          <w:tblHeader/>
          <w:jc w:val="center"/>
        </w:trPr>
        <w:tc>
          <w:tcPr>
            <w:tcW w:w="5103" w:type="dxa"/>
            <w:tcBorders>
              <w:top w:val="nil"/>
              <w:left w:val="nil"/>
              <w:bottom w:val="nil"/>
              <w:right w:val="nil"/>
            </w:tcBorders>
            <w:shd w:val="clear" w:color="000000" w:fill="BFBFBF"/>
            <w:noWrap/>
            <w:vAlign w:val="bottom"/>
            <w:hideMark/>
          </w:tcPr>
          <w:p w14:paraId="315F829D" w14:textId="5D7DB550" w:rsidR="00CB3C45" w:rsidRPr="009F1299" w:rsidRDefault="00CB3C45" w:rsidP="00701B52">
            <w:pPr>
              <w:spacing w:after="0" w:line="240" w:lineRule="auto"/>
              <w:jc w:val="center"/>
              <w:rPr>
                <w:rFonts w:eastAsia="Times New Roman" w:cs="Times New Roman"/>
                <w:color w:val="000000"/>
                <w:sz w:val="18"/>
                <w:szCs w:val="18"/>
                <w:lang w:eastAsia="sk-SK"/>
              </w:rPr>
            </w:pPr>
          </w:p>
        </w:tc>
        <w:tc>
          <w:tcPr>
            <w:tcW w:w="1134" w:type="dxa"/>
            <w:tcBorders>
              <w:top w:val="nil"/>
              <w:left w:val="nil"/>
              <w:bottom w:val="nil"/>
              <w:right w:val="nil"/>
            </w:tcBorders>
            <w:shd w:val="clear" w:color="000000" w:fill="BFBFBF"/>
            <w:noWrap/>
            <w:hideMark/>
          </w:tcPr>
          <w:p w14:paraId="38228D2A" w14:textId="77777777" w:rsidR="00CB3C45" w:rsidRPr="009F1299" w:rsidRDefault="00CB3C45" w:rsidP="00842F2E">
            <w:pPr>
              <w:spacing w:after="0" w:line="240" w:lineRule="auto"/>
              <w:jc w:val="center"/>
              <w:rPr>
                <w:rFonts w:eastAsia="Times New Roman" w:cs="Times New Roman"/>
                <w:b/>
                <w:bCs/>
                <w:color w:val="000000"/>
                <w:sz w:val="18"/>
                <w:szCs w:val="18"/>
                <w:lang w:eastAsia="sk-SK"/>
              </w:rPr>
            </w:pPr>
            <w:r w:rsidRPr="009F1299">
              <w:rPr>
                <w:rFonts w:eastAsia="Times New Roman" w:cs="Times New Roman"/>
                <w:b/>
                <w:bCs/>
                <w:color w:val="000000"/>
                <w:sz w:val="18"/>
                <w:szCs w:val="18"/>
                <w:lang w:eastAsia="sk-SK"/>
              </w:rPr>
              <w:t>2020</w:t>
            </w:r>
          </w:p>
        </w:tc>
        <w:tc>
          <w:tcPr>
            <w:tcW w:w="1276" w:type="dxa"/>
            <w:tcBorders>
              <w:top w:val="nil"/>
              <w:left w:val="nil"/>
              <w:bottom w:val="nil"/>
              <w:right w:val="nil"/>
            </w:tcBorders>
            <w:shd w:val="clear" w:color="000000" w:fill="BFBFBF"/>
            <w:noWrap/>
            <w:hideMark/>
          </w:tcPr>
          <w:p w14:paraId="208E4CB7" w14:textId="77777777" w:rsidR="00CB3C45" w:rsidRPr="009F1299" w:rsidRDefault="00CB3C45" w:rsidP="00842F2E">
            <w:pPr>
              <w:spacing w:after="0" w:line="240" w:lineRule="auto"/>
              <w:jc w:val="center"/>
              <w:rPr>
                <w:rFonts w:eastAsia="Times New Roman" w:cs="Times New Roman"/>
                <w:b/>
                <w:bCs/>
                <w:color w:val="000000"/>
                <w:sz w:val="18"/>
                <w:szCs w:val="18"/>
                <w:lang w:eastAsia="sk-SK"/>
              </w:rPr>
            </w:pPr>
            <w:r w:rsidRPr="009F1299">
              <w:rPr>
                <w:rFonts w:eastAsia="Times New Roman" w:cs="Times New Roman"/>
                <w:b/>
                <w:bCs/>
                <w:color w:val="000000"/>
                <w:sz w:val="18"/>
                <w:szCs w:val="18"/>
                <w:lang w:eastAsia="sk-SK"/>
              </w:rPr>
              <w:t>2020</w:t>
            </w:r>
          </w:p>
        </w:tc>
        <w:tc>
          <w:tcPr>
            <w:tcW w:w="992" w:type="dxa"/>
            <w:tcBorders>
              <w:top w:val="nil"/>
              <w:left w:val="nil"/>
              <w:bottom w:val="nil"/>
              <w:right w:val="nil"/>
            </w:tcBorders>
            <w:shd w:val="clear" w:color="000000" w:fill="BFBFBF"/>
            <w:noWrap/>
            <w:hideMark/>
          </w:tcPr>
          <w:p w14:paraId="0E21D4C3" w14:textId="77777777" w:rsidR="00CB3C45" w:rsidRPr="009F1299" w:rsidRDefault="00CB3C45" w:rsidP="00842F2E">
            <w:pPr>
              <w:spacing w:after="0" w:line="240" w:lineRule="auto"/>
              <w:jc w:val="center"/>
              <w:rPr>
                <w:rFonts w:eastAsia="Times New Roman" w:cs="Times New Roman"/>
                <w:b/>
                <w:bCs/>
                <w:color w:val="000000"/>
                <w:sz w:val="18"/>
                <w:szCs w:val="18"/>
                <w:lang w:eastAsia="sk-SK"/>
              </w:rPr>
            </w:pPr>
            <w:r w:rsidRPr="009F1299">
              <w:rPr>
                <w:rFonts w:eastAsia="Times New Roman" w:cs="Times New Roman"/>
                <w:b/>
                <w:bCs/>
                <w:color w:val="000000"/>
                <w:sz w:val="18"/>
                <w:szCs w:val="18"/>
                <w:lang w:eastAsia="sk-SK"/>
              </w:rPr>
              <w:t>2020</w:t>
            </w:r>
          </w:p>
        </w:tc>
      </w:tr>
      <w:tr w:rsidR="00CB3C45" w:rsidRPr="009F1299" w14:paraId="6A39502F" w14:textId="77777777" w:rsidTr="00701B52">
        <w:trPr>
          <w:trHeight w:val="300"/>
          <w:tblHeader/>
          <w:jc w:val="center"/>
        </w:trPr>
        <w:tc>
          <w:tcPr>
            <w:tcW w:w="5103" w:type="dxa"/>
            <w:tcBorders>
              <w:top w:val="nil"/>
              <w:left w:val="nil"/>
              <w:bottom w:val="nil"/>
              <w:right w:val="nil"/>
            </w:tcBorders>
            <w:shd w:val="clear" w:color="000000" w:fill="BFBFBF"/>
            <w:noWrap/>
            <w:vAlign w:val="bottom"/>
            <w:hideMark/>
          </w:tcPr>
          <w:p w14:paraId="6FEAEB0B" w14:textId="77777777" w:rsidR="00CB3C45" w:rsidRPr="009F1299" w:rsidRDefault="00CB3C45" w:rsidP="00842F2E">
            <w:pPr>
              <w:spacing w:after="0" w:line="240" w:lineRule="auto"/>
              <w:jc w:val="left"/>
              <w:rPr>
                <w:rFonts w:eastAsia="Times New Roman" w:cs="Times New Roman"/>
                <w:color w:val="000000"/>
                <w:sz w:val="18"/>
                <w:szCs w:val="18"/>
                <w:lang w:eastAsia="sk-SK"/>
              </w:rPr>
            </w:pPr>
            <w:r w:rsidRPr="009F1299">
              <w:rPr>
                <w:rFonts w:eastAsia="Times New Roman" w:cs="Times New Roman"/>
                <w:color w:val="000000"/>
                <w:sz w:val="18"/>
                <w:szCs w:val="18"/>
                <w:lang w:eastAsia="sk-SK"/>
              </w:rPr>
              <w:t> </w:t>
            </w:r>
          </w:p>
        </w:tc>
        <w:tc>
          <w:tcPr>
            <w:tcW w:w="1134" w:type="dxa"/>
            <w:tcBorders>
              <w:top w:val="nil"/>
              <w:left w:val="nil"/>
              <w:bottom w:val="nil"/>
              <w:right w:val="nil"/>
            </w:tcBorders>
            <w:shd w:val="clear" w:color="000000" w:fill="BFBFBF"/>
            <w:noWrap/>
            <w:vAlign w:val="bottom"/>
            <w:hideMark/>
          </w:tcPr>
          <w:p w14:paraId="22480281" w14:textId="77777777" w:rsidR="00CB3C45" w:rsidRPr="009F1299" w:rsidRDefault="00CB3C45" w:rsidP="00842F2E">
            <w:pPr>
              <w:spacing w:after="0" w:line="240" w:lineRule="auto"/>
              <w:jc w:val="center"/>
              <w:rPr>
                <w:rFonts w:eastAsia="Times New Roman" w:cs="Times New Roman"/>
                <w:b/>
                <w:bCs/>
                <w:color w:val="000000"/>
                <w:sz w:val="18"/>
                <w:szCs w:val="18"/>
                <w:lang w:eastAsia="sk-SK"/>
              </w:rPr>
            </w:pPr>
            <w:r w:rsidRPr="009F1299">
              <w:rPr>
                <w:rFonts w:eastAsia="Times New Roman" w:cs="Times New Roman"/>
                <w:b/>
                <w:bCs/>
                <w:color w:val="000000"/>
                <w:sz w:val="18"/>
                <w:szCs w:val="18"/>
                <w:lang w:eastAsia="sk-SK"/>
              </w:rPr>
              <w:t>1</w:t>
            </w:r>
          </w:p>
        </w:tc>
        <w:tc>
          <w:tcPr>
            <w:tcW w:w="1276" w:type="dxa"/>
            <w:tcBorders>
              <w:top w:val="nil"/>
              <w:left w:val="nil"/>
              <w:bottom w:val="nil"/>
              <w:right w:val="nil"/>
            </w:tcBorders>
            <w:shd w:val="clear" w:color="000000" w:fill="BFBFBF"/>
            <w:noWrap/>
            <w:vAlign w:val="bottom"/>
            <w:hideMark/>
          </w:tcPr>
          <w:p w14:paraId="3F94CBEE" w14:textId="77777777" w:rsidR="00CB3C45" w:rsidRPr="009F1299" w:rsidRDefault="00CB3C45" w:rsidP="00842F2E">
            <w:pPr>
              <w:spacing w:after="0" w:line="240" w:lineRule="auto"/>
              <w:jc w:val="center"/>
              <w:rPr>
                <w:rFonts w:eastAsia="Times New Roman" w:cs="Times New Roman"/>
                <w:b/>
                <w:bCs/>
                <w:color w:val="000000"/>
                <w:sz w:val="18"/>
                <w:szCs w:val="18"/>
                <w:lang w:eastAsia="sk-SK"/>
              </w:rPr>
            </w:pPr>
            <w:r w:rsidRPr="009F1299">
              <w:rPr>
                <w:rFonts w:eastAsia="Times New Roman" w:cs="Times New Roman"/>
                <w:b/>
                <w:bCs/>
                <w:color w:val="000000"/>
                <w:sz w:val="18"/>
                <w:szCs w:val="18"/>
                <w:lang w:eastAsia="sk-SK"/>
              </w:rPr>
              <w:t>2</w:t>
            </w:r>
          </w:p>
        </w:tc>
        <w:tc>
          <w:tcPr>
            <w:tcW w:w="992" w:type="dxa"/>
            <w:tcBorders>
              <w:top w:val="nil"/>
              <w:left w:val="nil"/>
              <w:bottom w:val="nil"/>
              <w:right w:val="nil"/>
            </w:tcBorders>
            <w:shd w:val="clear" w:color="000000" w:fill="BFBFBF"/>
            <w:noWrap/>
            <w:vAlign w:val="bottom"/>
            <w:hideMark/>
          </w:tcPr>
          <w:p w14:paraId="4A6044B9" w14:textId="77777777" w:rsidR="00CB3C45" w:rsidRPr="009F1299" w:rsidRDefault="00CB3C45" w:rsidP="00842F2E">
            <w:pPr>
              <w:spacing w:after="0" w:line="240" w:lineRule="auto"/>
              <w:jc w:val="center"/>
              <w:rPr>
                <w:rFonts w:eastAsia="Times New Roman" w:cs="Times New Roman"/>
                <w:b/>
                <w:bCs/>
                <w:color w:val="000000"/>
                <w:sz w:val="18"/>
                <w:szCs w:val="18"/>
                <w:lang w:eastAsia="sk-SK"/>
              </w:rPr>
            </w:pPr>
            <w:r w:rsidRPr="009F1299">
              <w:rPr>
                <w:rFonts w:eastAsia="Times New Roman" w:cs="Times New Roman"/>
                <w:b/>
                <w:bCs/>
                <w:color w:val="000000"/>
                <w:sz w:val="18"/>
                <w:szCs w:val="18"/>
                <w:lang w:eastAsia="sk-SK"/>
              </w:rPr>
              <w:t>3=2-1</w:t>
            </w:r>
          </w:p>
        </w:tc>
      </w:tr>
      <w:tr w:rsidR="00CB3C45" w:rsidRPr="009F1299" w14:paraId="1B736DB4" w14:textId="77777777" w:rsidTr="00701B52">
        <w:trPr>
          <w:trHeight w:val="300"/>
          <w:jc w:val="center"/>
        </w:trPr>
        <w:tc>
          <w:tcPr>
            <w:tcW w:w="5103" w:type="dxa"/>
            <w:tcBorders>
              <w:top w:val="nil"/>
              <w:left w:val="nil"/>
              <w:bottom w:val="nil"/>
              <w:right w:val="nil"/>
            </w:tcBorders>
            <w:shd w:val="clear" w:color="auto" w:fill="auto"/>
            <w:noWrap/>
            <w:vAlign w:val="center"/>
            <w:hideMark/>
          </w:tcPr>
          <w:p w14:paraId="33C61941" w14:textId="77777777" w:rsidR="00CB3C45" w:rsidRPr="009F1299" w:rsidRDefault="00CB3C45" w:rsidP="00842F2E">
            <w:pPr>
              <w:spacing w:after="0" w:line="240" w:lineRule="auto"/>
              <w:jc w:val="left"/>
              <w:rPr>
                <w:rFonts w:eastAsia="Times New Roman" w:cs="Times New Roman"/>
                <w:color w:val="000000"/>
                <w:sz w:val="18"/>
                <w:szCs w:val="18"/>
                <w:lang w:eastAsia="sk-SK"/>
              </w:rPr>
            </w:pPr>
            <w:r w:rsidRPr="009F1299">
              <w:rPr>
                <w:rFonts w:eastAsia="Times New Roman" w:cs="Times New Roman"/>
                <w:color w:val="000000"/>
                <w:sz w:val="18"/>
                <w:szCs w:val="18"/>
                <w:lang w:eastAsia="sk-SK"/>
              </w:rPr>
              <w:t>Daň z príjmov fyzických osôb</w:t>
            </w:r>
          </w:p>
        </w:tc>
        <w:tc>
          <w:tcPr>
            <w:tcW w:w="1134" w:type="dxa"/>
            <w:tcBorders>
              <w:top w:val="nil"/>
              <w:left w:val="nil"/>
              <w:bottom w:val="nil"/>
              <w:right w:val="nil"/>
            </w:tcBorders>
            <w:shd w:val="clear" w:color="auto" w:fill="auto"/>
            <w:noWrap/>
            <w:vAlign w:val="center"/>
            <w:hideMark/>
          </w:tcPr>
          <w:p w14:paraId="51C3A7F5"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3 350 710</w:t>
            </w:r>
          </w:p>
        </w:tc>
        <w:tc>
          <w:tcPr>
            <w:tcW w:w="1276" w:type="dxa"/>
            <w:tcBorders>
              <w:top w:val="nil"/>
              <w:left w:val="nil"/>
              <w:bottom w:val="nil"/>
              <w:right w:val="nil"/>
            </w:tcBorders>
            <w:shd w:val="clear" w:color="auto" w:fill="BFBFBF" w:themeFill="background1" w:themeFillShade="BF"/>
            <w:noWrap/>
            <w:vAlign w:val="center"/>
            <w:hideMark/>
          </w:tcPr>
          <w:p w14:paraId="5A0F3792"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3 469 281</w:t>
            </w:r>
          </w:p>
        </w:tc>
        <w:tc>
          <w:tcPr>
            <w:tcW w:w="992" w:type="dxa"/>
            <w:tcBorders>
              <w:top w:val="nil"/>
              <w:left w:val="nil"/>
              <w:bottom w:val="nil"/>
              <w:right w:val="nil"/>
            </w:tcBorders>
            <w:shd w:val="clear" w:color="auto" w:fill="auto"/>
            <w:noWrap/>
            <w:vAlign w:val="center"/>
            <w:hideMark/>
          </w:tcPr>
          <w:p w14:paraId="14D3C684"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118 571</w:t>
            </w:r>
          </w:p>
        </w:tc>
      </w:tr>
      <w:tr w:rsidR="00CB3C45" w:rsidRPr="009F1299" w14:paraId="3E2D1D61" w14:textId="77777777" w:rsidTr="00701B52">
        <w:trPr>
          <w:trHeight w:val="300"/>
          <w:jc w:val="center"/>
        </w:trPr>
        <w:tc>
          <w:tcPr>
            <w:tcW w:w="5103" w:type="dxa"/>
            <w:tcBorders>
              <w:top w:val="nil"/>
              <w:left w:val="nil"/>
              <w:bottom w:val="nil"/>
              <w:right w:val="nil"/>
            </w:tcBorders>
            <w:shd w:val="clear" w:color="auto" w:fill="auto"/>
            <w:noWrap/>
            <w:vAlign w:val="center"/>
            <w:hideMark/>
          </w:tcPr>
          <w:p w14:paraId="36444B43" w14:textId="77777777" w:rsidR="00CB3C45" w:rsidRPr="009F1299" w:rsidRDefault="00CB3C45" w:rsidP="00842F2E">
            <w:pPr>
              <w:spacing w:after="0" w:line="240" w:lineRule="auto"/>
              <w:jc w:val="left"/>
              <w:rPr>
                <w:rFonts w:eastAsia="Times New Roman" w:cs="Times New Roman"/>
                <w:color w:val="000000"/>
                <w:sz w:val="18"/>
                <w:szCs w:val="18"/>
                <w:lang w:eastAsia="sk-SK"/>
              </w:rPr>
            </w:pPr>
            <w:r w:rsidRPr="009F1299">
              <w:rPr>
                <w:rFonts w:eastAsia="Times New Roman" w:cs="Times New Roman"/>
                <w:color w:val="000000"/>
                <w:sz w:val="18"/>
                <w:szCs w:val="18"/>
                <w:lang w:eastAsia="sk-SK"/>
              </w:rPr>
              <w:t xml:space="preserve">      - závislá činnosť</w:t>
            </w:r>
          </w:p>
        </w:tc>
        <w:tc>
          <w:tcPr>
            <w:tcW w:w="1134" w:type="dxa"/>
            <w:tcBorders>
              <w:top w:val="nil"/>
              <w:left w:val="nil"/>
              <w:bottom w:val="nil"/>
              <w:right w:val="nil"/>
            </w:tcBorders>
            <w:shd w:val="clear" w:color="auto" w:fill="auto"/>
            <w:noWrap/>
            <w:vAlign w:val="center"/>
            <w:hideMark/>
          </w:tcPr>
          <w:p w14:paraId="75081E02"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3 285 588</w:t>
            </w:r>
          </w:p>
        </w:tc>
        <w:tc>
          <w:tcPr>
            <w:tcW w:w="1276" w:type="dxa"/>
            <w:tcBorders>
              <w:top w:val="nil"/>
              <w:left w:val="nil"/>
              <w:bottom w:val="nil"/>
              <w:right w:val="nil"/>
            </w:tcBorders>
            <w:shd w:val="clear" w:color="auto" w:fill="BFBFBF" w:themeFill="background1" w:themeFillShade="BF"/>
            <w:noWrap/>
            <w:vAlign w:val="center"/>
            <w:hideMark/>
          </w:tcPr>
          <w:p w14:paraId="5374164E"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3 405 452</w:t>
            </w:r>
          </w:p>
        </w:tc>
        <w:tc>
          <w:tcPr>
            <w:tcW w:w="992" w:type="dxa"/>
            <w:tcBorders>
              <w:top w:val="nil"/>
              <w:left w:val="nil"/>
              <w:bottom w:val="nil"/>
              <w:right w:val="nil"/>
            </w:tcBorders>
            <w:shd w:val="clear" w:color="auto" w:fill="auto"/>
            <w:noWrap/>
            <w:vAlign w:val="center"/>
            <w:hideMark/>
          </w:tcPr>
          <w:p w14:paraId="2788979D"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119 864</w:t>
            </w:r>
          </w:p>
        </w:tc>
      </w:tr>
      <w:tr w:rsidR="00CB3C45" w:rsidRPr="009F1299" w14:paraId="1CE08476" w14:textId="77777777" w:rsidTr="00701B52">
        <w:trPr>
          <w:trHeight w:val="300"/>
          <w:jc w:val="center"/>
        </w:trPr>
        <w:tc>
          <w:tcPr>
            <w:tcW w:w="5103" w:type="dxa"/>
            <w:tcBorders>
              <w:top w:val="nil"/>
              <w:left w:val="nil"/>
              <w:bottom w:val="nil"/>
              <w:right w:val="nil"/>
            </w:tcBorders>
            <w:shd w:val="clear" w:color="auto" w:fill="auto"/>
            <w:noWrap/>
            <w:vAlign w:val="center"/>
            <w:hideMark/>
          </w:tcPr>
          <w:p w14:paraId="63CCE6AE" w14:textId="77777777" w:rsidR="00CB3C45" w:rsidRPr="009F1299" w:rsidRDefault="00CB3C45" w:rsidP="00842F2E">
            <w:pPr>
              <w:spacing w:after="0" w:line="240" w:lineRule="auto"/>
              <w:jc w:val="left"/>
              <w:rPr>
                <w:rFonts w:eastAsia="Times New Roman" w:cs="Times New Roman"/>
                <w:color w:val="000000"/>
                <w:sz w:val="18"/>
                <w:szCs w:val="18"/>
                <w:lang w:eastAsia="sk-SK"/>
              </w:rPr>
            </w:pPr>
            <w:r w:rsidRPr="009F1299">
              <w:rPr>
                <w:rFonts w:eastAsia="Times New Roman" w:cs="Times New Roman"/>
                <w:color w:val="000000"/>
                <w:sz w:val="18"/>
                <w:szCs w:val="18"/>
                <w:lang w:eastAsia="sk-SK"/>
              </w:rPr>
              <w:t xml:space="preserve">      - podnikanie</w:t>
            </w:r>
          </w:p>
        </w:tc>
        <w:tc>
          <w:tcPr>
            <w:tcW w:w="1134" w:type="dxa"/>
            <w:tcBorders>
              <w:top w:val="nil"/>
              <w:left w:val="nil"/>
              <w:bottom w:val="nil"/>
              <w:right w:val="nil"/>
            </w:tcBorders>
            <w:shd w:val="clear" w:color="auto" w:fill="auto"/>
            <w:noWrap/>
            <w:vAlign w:val="center"/>
            <w:hideMark/>
          </w:tcPr>
          <w:p w14:paraId="46BA9640"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65 122</w:t>
            </w:r>
          </w:p>
        </w:tc>
        <w:tc>
          <w:tcPr>
            <w:tcW w:w="1276" w:type="dxa"/>
            <w:tcBorders>
              <w:top w:val="nil"/>
              <w:left w:val="nil"/>
              <w:bottom w:val="nil"/>
              <w:right w:val="nil"/>
            </w:tcBorders>
            <w:shd w:val="clear" w:color="auto" w:fill="BFBFBF" w:themeFill="background1" w:themeFillShade="BF"/>
            <w:noWrap/>
            <w:vAlign w:val="center"/>
            <w:hideMark/>
          </w:tcPr>
          <w:p w14:paraId="7F22E472"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63 829</w:t>
            </w:r>
          </w:p>
        </w:tc>
        <w:tc>
          <w:tcPr>
            <w:tcW w:w="992" w:type="dxa"/>
            <w:tcBorders>
              <w:top w:val="nil"/>
              <w:left w:val="nil"/>
              <w:bottom w:val="nil"/>
              <w:right w:val="nil"/>
            </w:tcBorders>
            <w:shd w:val="clear" w:color="auto" w:fill="auto"/>
            <w:noWrap/>
            <w:vAlign w:val="center"/>
            <w:hideMark/>
          </w:tcPr>
          <w:p w14:paraId="78A2E963"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-1 293</w:t>
            </w:r>
          </w:p>
        </w:tc>
      </w:tr>
      <w:tr w:rsidR="00CB3C45" w:rsidRPr="009F1299" w14:paraId="0A91A35E" w14:textId="77777777" w:rsidTr="00701B52">
        <w:trPr>
          <w:trHeight w:val="300"/>
          <w:jc w:val="center"/>
        </w:trPr>
        <w:tc>
          <w:tcPr>
            <w:tcW w:w="5103" w:type="dxa"/>
            <w:tcBorders>
              <w:top w:val="nil"/>
              <w:left w:val="nil"/>
              <w:bottom w:val="nil"/>
              <w:right w:val="nil"/>
            </w:tcBorders>
            <w:shd w:val="clear" w:color="auto" w:fill="auto"/>
            <w:noWrap/>
            <w:vAlign w:val="center"/>
            <w:hideMark/>
          </w:tcPr>
          <w:p w14:paraId="6C466254" w14:textId="77777777" w:rsidR="00CB3C45" w:rsidRPr="009F1299" w:rsidRDefault="00CB3C45" w:rsidP="00842F2E">
            <w:pPr>
              <w:spacing w:after="0" w:line="240" w:lineRule="auto"/>
              <w:jc w:val="left"/>
              <w:rPr>
                <w:rFonts w:eastAsia="Times New Roman" w:cs="Times New Roman"/>
                <w:color w:val="000000"/>
                <w:sz w:val="18"/>
                <w:szCs w:val="18"/>
                <w:lang w:eastAsia="sk-SK"/>
              </w:rPr>
            </w:pPr>
            <w:r w:rsidRPr="009F1299">
              <w:rPr>
                <w:rFonts w:eastAsia="Times New Roman" w:cs="Times New Roman"/>
                <w:color w:val="000000"/>
                <w:sz w:val="18"/>
                <w:szCs w:val="18"/>
                <w:lang w:eastAsia="sk-SK"/>
              </w:rPr>
              <w:t>Daň z príjmov právnických osôb</w:t>
            </w:r>
          </w:p>
        </w:tc>
        <w:tc>
          <w:tcPr>
            <w:tcW w:w="1134" w:type="dxa"/>
            <w:tcBorders>
              <w:top w:val="nil"/>
              <w:left w:val="nil"/>
              <w:bottom w:val="nil"/>
              <w:right w:val="nil"/>
            </w:tcBorders>
            <w:shd w:val="clear" w:color="auto" w:fill="auto"/>
            <w:noWrap/>
            <w:vAlign w:val="center"/>
            <w:hideMark/>
          </w:tcPr>
          <w:p w14:paraId="63372AF2"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1 966 280</w:t>
            </w:r>
          </w:p>
        </w:tc>
        <w:tc>
          <w:tcPr>
            <w:tcW w:w="1276" w:type="dxa"/>
            <w:tcBorders>
              <w:top w:val="nil"/>
              <w:left w:val="nil"/>
              <w:bottom w:val="nil"/>
              <w:right w:val="nil"/>
            </w:tcBorders>
            <w:shd w:val="clear" w:color="auto" w:fill="BFBFBF" w:themeFill="background1" w:themeFillShade="BF"/>
            <w:noWrap/>
            <w:vAlign w:val="center"/>
            <w:hideMark/>
          </w:tcPr>
          <w:p w14:paraId="56777E9F"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2 181 362</w:t>
            </w:r>
          </w:p>
        </w:tc>
        <w:tc>
          <w:tcPr>
            <w:tcW w:w="992" w:type="dxa"/>
            <w:tcBorders>
              <w:top w:val="nil"/>
              <w:left w:val="nil"/>
              <w:bottom w:val="nil"/>
              <w:right w:val="nil"/>
            </w:tcBorders>
            <w:shd w:val="clear" w:color="auto" w:fill="auto"/>
            <w:noWrap/>
            <w:vAlign w:val="center"/>
            <w:hideMark/>
          </w:tcPr>
          <w:p w14:paraId="41418B81"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215 082</w:t>
            </w:r>
          </w:p>
        </w:tc>
      </w:tr>
      <w:tr w:rsidR="00CB3C45" w:rsidRPr="009F1299" w14:paraId="5F01E38E" w14:textId="77777777" w:rsidTr="00701B52">
        <w:trPr>
          <w:trHeight w:val="300"/>
          <w:jc w:val="center"/>
        </w:trPr>
        <w:tc>
          <w:tcPr>
            <w:tcW w:w="5103" w:type="dxa"/>
            <w:tcBorders>
              <w:top w:val="nil"/>
              <w:left w:val="nil"/>
              <w:bottom w:val="nil"/>
              <w:right w:val="nil"/>
            </w:tcBorders>
            <w:shd w:val="clear" w:color="auto" w:fill="auto"/>
            <w:noWrap/>
            <w:vAlign w:val="center"/>
            <w:hideMark/>
          </w:tcPr>
          <w:p w14:paraId="1034F5EA" w14:textId="77777777" w:rsidR="00CB3C45" w:rsidRPr="009F1299" w:rsidRDefault="00CB3C45" w:rsidP="00842F2E">
            <w:pPr>
              <w:spacing w:after="0" w:line="240" w:lineRule="auto"/>
              <w:jc w:val="left"/>
              <w:rPr>
                <w:rFonts w:eastAsia="Times New Roman" w:cs="Times New Roman"/>
                <w:color w:val="000000"/>
                <w:sz w:val="18"/>
                <w:szCs w:val="18"/>
                <w:lang w:eastAsia="sk-SK"/>
              </w:rPr>
            </w:pPr>
            <w:r w:rsidRPr="009F1299">
              <w:rPr>
                <w:rFonts w:eastAsia="Times New Roman" w:cs="Times New Roman"/>
                <w:color w:val="000000"/>
                <w:sz w:val="18"/>
                <w:szCs w:val="18"/>
                <w:lang w:eastAsia="sk-SK"/>
              </w:rPr>
              <w:t>Daň z príjmov vyberaná zrážkou</w:t>
            </w:r>
          </w:p>
        </w:tc>
        <w:tc>
          <w:tcPr>
            <w:tcW w:w="1134" w:type="dxa"/>
            <w:tcBorders>
              <w:top w:val="nil"/>
              <w:left w:val="nil"/>
              <w:bottom w:val="nil"/>
              <w:right w:val="nil"/>
            </w:tcBorders>
            <w:shd w:val="clear" w:color="auto" w:fill="auto"/>
            <w:noWrap/>
            <w:vAlign w:val="center"/>
            <w:hideMark/>
          </w:tcPr>
          <w:p w14:paraId="5ACABE4A"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232 870</w:t>
            </w:r>
          </w:p>
        </w:tc>
        <w:tc>
          <w:tcPr>
            <w:tcW w:w="1276" w:type="dxa"/>
            <w:tcBorders>
              <w:top w:val="nil"/>
              <w:left w:val="nil"/>
              <w:bottom w:val="nil"/>
              <w:right w:val="nil"/>
            </w:tcBorders>
            <w:shd w:val="clear" w:color="auto" w:fill="BFBFBF" w:themeFill="background1" w:themeFillShade="BF"/>
            <w:noWrap/>
            <w:vAlign w:val="center"/>
            <w:hideMark/>
          </w:tcPr>
          <w:p w14:paraId="2EF30423"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235 081</w:t>
            </w:r>
          </w:p>
        </w:tc>
        <w:tc>
          <w:tcPr>
            <w:tcW w:w="992" w:type="dxa"/>
            <w:tcBorders>
              <w:top w:val="nil"/>
              <w:left w:val="nil"/>
              <w:bottom w:val="nil"/>
              <w:right w:val="nil"/>
            </w:tcBorders>
            <w:shd w:val="clear" w:color="auto" w:fill="auto"/>
            <w:noWrap/>
            <w:vAlign w:val="center"/>
            <w:hideMark/>
          </w:tcPr>
          <w:p w14:paraId="3BF271BB"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2 211</w:t>
            </w:r>
          </w:p>
        </w:tc>
      </w:tr>
      <w:tr w:rsidR="00CB3C45" w:rsidRPr="009F1299" w14:paraId="27776AD2" w14:textId="77777777" w:rsidTr="00701B52">
        <w:trPr>
          <w:trHeight w:val="300"/>
          <w:jc w:val="center"/>
        </w:trPr>
        <w:tc>
          <w:tcPr>
            <w:tcW w:w="5103" w:type="dxa"/>
            <w:tcBorders>
              <w:top w:val="nil"/>
              <w:left w:val="nil"/>
              <w:bottom w:val="nil"/>
              <w:right w:val="nil"/>
            </w:tcBorders>
            <w:shd w:val="clear" w:color="auto" w:fill="auto"/>
            <w:noWrap/>
            <w:vAlign w:val="center"/>
            <w:hideMark/>
          </w:tcPr>
          <w:p w14:paraId="6683A982" w14:textId="77777777" w:rsidR="00CB3C45" w:rsidRPr="009F1299" w:rsidRDefault="00CB3C45" w:rsidP="00842F2E">
            <w:pPr>
              <w:spacing w:after="0" w:line="240" w:lineRule="auto"/>
              <w:jc w:val="left"/>
              <w:rPr>
                <w:rFonts w:eastAsia="Times New Roman" w:cs="Times New Roman"/>
                <w:color w:val="000000"/>
                <w:sz w:val="18"/>
                <w:szCs w:val="18"/>
                <w:lang w:eastAsia="sk-SK"/>
              </w:rPr>
            </w:pPr>
            <w:r w:rsidRPr="009F1299">
              <w:rPr>
                <w:rFonts w:eastAsia="Times New Roman" w:cs="Times New Roman"/>
                <w:color w:val="000000"/>
                <w:sz w:val="18"/>
                <w:szCs w:val="18"/>
                <w:lang w:eastAsia="sk-SK"/>
              </w:rPr>
              <w:t>Daň z pridanej hodnoty</w:t>
            </w:r>
          </w:p>
        </w:tc>
        <w:tc>
          <w:tcPr>
            <w:tcW w:w="1134" w:type="dxa"/>
            <w:tcBorders>
              <w:top w:val="nil"/>
              <w:left w:val="nil"/>
              <w:bottom w:val="nil"/>
              <w:right w:val="nil"/>
            </w:tcBorders>
            <w:shd w:val="clear" w:color="auto" w:fill="auto"/>
            <w:noWrap/>
            <w:vAlign w:val="center"/>
            <w:hideMark/>
          </w:tcPr>
          <w:p w14:paraId="640AC1C8"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6 354 076</w:t>
            </w:r>
          </w:p>
        </w:tc>
        <w:tc>
          <w:tcPr>
            <w:tcW w:w="1276" w:type="dxa"/>
            <w:tcBorders>
              <w:top w:val="nil"/>
              <w:left w:val="nil"/>
              <w:bottom w:val="nil"/>
              <w:right w:val="nil"/>
            </w:tcBorders>
            <w:shd w:val="clear" w:color="auto" w:fill="BFBFBF" w:themeFill="background1" w:themeFillShade="BF"/>
            <w:noWrap/>
            <w:vAlign w:val="center"/>
            <w:hideMark/>
          </w:tcPr>
          <w:p w14:paraId="0BB90288"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6 827 183</w:t>
            </w:r>
          </w:p>
        </w:tc>
        <w:tc>
          <w:tcPr>
            <w:tcW w:w="992" w:type="dxa"/>
            <w:tcBorders>
              <w:top w:val="nil"/>
              <w:left w:val="nil"/>
              <w:bottom w:val="nil"/>
              <w:right w:val="nil"/>
            </w:tcBorders>
            <w:shd w:val="clear" w:color="auto" w:fill="auto"/>
            <w:noWrap/>
            <w:vAlign w:val="center"/>
            <w:hideMark/>
          </w:tcPr>
          <w:p w14:paraId="53A2CBF5"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473 107</w:t>
            </w:r>
          </w:p>
        </w:tc>
      </w:tr>
      <w:tr w:rsidR="00CB3C45" w:rsidRPr="009F1299" w14:paraId="7211964A" w14:textId="77777777" w:rsidTr="00701B52">
        <w:trPr>
          <w:trHeight w:val="300"/>
          <w:jc w:val="center"/>
        </w:trPr>
        <w:tc>
          <w:tcPr>
            <w:tcW w:w="5103" w:type="dxa"/>
            <w:tcBorders>
              <w:top w:val="nil"/>
              <w:left w:val="nil"/>
              <w:bottom w:val="nil"/>
              <w:right w:val="nil"/>
            </w:tcBorders>
            <w:shd w:val="clear" w:color="auto" w:fill="auto"/>
            <w:noWrap/>
            <w:vAlign w:val="center"/>
            <w:hideMark/>
          </w:tcPr>
          <w:p w14:paraId="2B49B496" w14:textId="77777777" w:rsidR="00CB3C45" w:rsidRPr="009F1299" w:rsidRDefault="00CB3C45" w:rsidP="00842F2E">
            <w:pPr>
              <w:spacing w:after="0" w:line="240" w:lineRule="auto"/>
              <w:jc w:val="left"/>
              <w:rPr>
                <w:rFonts w:eastAsia="Times New Roman" w:cs="Times New Roman"/>
                <w:color w:val="000000"/>
                <w:sz w:val="18"/>
                <w:szCs w:val="18"/>
                <w:lang w:eastAsia="sk-SK"/>
              </w:rPr>
            </w:pPr>
            <w:r w:rsidRPr="009F1299">
              <w:rPr>
                <w:rFonts w:eastAsia="Times New Roman" w:cs="Times New Roman"/>
                <w:color w:val="000000"/>
                <w:sz w:val="18"/>
                <w:szCs w:val="18"/>
                <w:lang w:eastAsia="sk-SK"/>
              </w:rPr>
              <w:t>Spotrebné dane</w:t>
            </w:r>
          </w:p>
        </w:tc>
        <w:tc>
          <w:tcPr>
            <w:tcW w:w="1134" w:type="dxa"/>
            <w:tcBorders>
              <w:top w:val="nil"/>
              <w:left w:val="nil"/>
              <w:bottom w:val="nil"/>
              <w:right w:val="nil"/>
            </w:tcBorders>
            <w:shd w:val="clear" w:color="auto" w:fill="auto"/>
            <w:noWrap/>
            <w:vAlign w:val="center"/>
            <w:hideMark/>
          </w:tcPr>
          <w:p w14:paraId="45A19E1B"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2 198 022</w:t>
            </w:r>
          </w:p>
        </w:tc>
        <w:tc>
          <w:tcPr>
            <w:tcW w:w="1276" w:type="dxa"/>
            <w:tcBorders>
              <w:top w:val="nil"/>
              <w:left w:val="nil"/>
              <w:bottom w:val="nil"/>
              <w:right w:val="nil"/>
            </w:tcBorders>
            <w:shd w:val="clear" w:color="auto" w:fill="BFBFBF" w:themeFill="background1" w:themeFillShade="BF"/>
            <w:noWrap/>
            <w:vAlign w:val="center"/>
            <w:hideMark/>
          </w:tcPr>
          <w:p w14:paraId="643B53D0"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2 233 542</w:t>
            </w:r>
          </w:p>
        </w:tc>
        <w:tc>
          <w:tcPr>
            <w:tcW w:w="992" w:type="dxa"/>
            <w:tcBorders>
              <w:top w:val="nil"/>
              <w:left w:val="nil"/>
              <w:bottom w:val="nil"/>
              <w:right w:val="nil"/>
            </w:tcBorders>
            <w:shd w:val="clear" w:color="auto" w:fill="auto"/>
            <w:noWrap/>
            <w:vAlign w:val="center"/>
            <w:hideMark/>
          </w:tcPr>
          <w:p w14:paraId="530B42E1"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35 520</w:t>
            </w:r>
          </w:p>
        </w:tc>
      </w:tr>
      <w:tr w:rsidR="00CB3C45" w:rsidRPr="009F1299" w14:paraId="411E8CD8" w14:textId="77777777" w:rsidTr="00701B52">
        <w:trPr>
          <w:trHeight w:val="300"/>
          <w:jc w:val="center"/>
        </w:trPr>
        <w:tc>
          <w:tcPr>
            <w:tcW w:w="5103" w:type="dxa"/>
            <w:tcBorders>
              <w:top w:val="nil"/>
              <w:left w:val="nil"/>
              <w:bottom w:val="nil"/>
              <w:right w:val="nil"/>
            </w:tcBorders>
            <w:shd w:val="clear" w:color="auto" w:fill="auto"/>
            <w:noWrap/>
            <w:vAlign w:val="center"/>
            <w:hideMark/>
          </w:tcPr>
          <w:p w14:paraId="27BF8BF2" w14:textId="77777777" w:rsidR="00CB3C45" w:rsidRPr="009F1299" w:rsidRDefault="00CB3C45" w:rsidP="00842F2E">
            <w:pPr>
              <w:spacing w:after="0" w:line="240" w:lineRule="auto"/>
              <w:jc w:val="left"/>
              <w:rPr>
                <w:rFonts w:eastAsia="Times New Roman" w:cs="Times New Roman"/>
                <w:color w:val="000000"/>
                <w:sz w:val="18"/>
                <w:szCs w:val="18"/>
                <w:lang w:eastAsia="sk-SK"/>
              </w:rPr>
            </w:pPr>
            <w:r w:rsidRPr="009F1299">
              <w:rPr>
                <w:rFonts w:eastAsia="Times New Roman" w:cs="Times New Roman"/>
                <w:color w:val="000000"/>
                <w:sz w:val="18"/>
                <w:szCs w:val="18"/>
                <w:lang w:eastAsia="sk-SK"/>
              </w:rPr>
              <w:t xml:space="preserve">     - Minerálny olej</w:t>
            </w:r>
          </w:p>
        </w:tc>
        <w:tc>
          <w:tcPr>
            <w:tcW w:w="1134" w:type="dxa"/>
            <w:tcBorders>
              <w:top w:val="nil"/>
              <w:left w:val="nil"/>
              <w:bottom w:val="nil"/>
              <w:right w:val="nil"/>
            </w:tcBorders>
            <w:shd w:val="clear" w:color="auto" w:fill="auto"/>
            <w:noWrap/>
            <w:vAlign w:val="center"/>
            <w:hideMark/>
          </w:tcPr>
          <w:p w14:paraId="7A688E83"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1 165 746</w:t>
            </w:r>
          </w:p>
        </w:tc>
        <w:tc>
          <w:tcPr>
            <w:tcW w:w="1276" w:type="dxa"/>
            <w:tcBorders>
              <w:top w:val="nil"/>
              <w:left w:val="nil"/>
              <w:bottom w:val="nil"/>
              <w:right w:val="nil"/>
            </w:tcBorders>
            <w:shd w:val="clear" w:color="auto" w:fill="BFBFBF" w:themeFill="background1" w:themeFillShade="BF"/>
            <w:noWrap/>
            <w:vAlign w:val="center"/>
            <w:hideMark/>
          </w:tcPr>
          <w:p w14:paraId="1830425C"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1 196 254</w:t>
            </w:r>
          </w:p>
        </w:tc>
        <w:tc>
          <w:tcPr>
            <w:tcW w:w="992" w:type="dxa"/>
            <w:tcBorders>
              <w:top w:val="nil"/>
              <w:left w:val="nil"/>
              <w:bottom w:val="nil"/>
              <w:right w:val="nil"/>
            </w:tcBorders>
            <w:shd w:val="clear" w:color="auto" w:fill="auto"/>
            <w:noWrap/>
            <w:vAlign w:val="center"/>
            <w:hideMark/>
          </w:tcPr>
          <w:p w14:paraId="0E6E8630"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30 508</w:t>
            </w:r>
          </w:p>
        </w:tc>
      </w:tr>
      <w:tr w:rsidR="00CB3C45" w:rsidRPr="009F1299" w14:paraId="773EA437" w14:textId="77777777" w:rsidTr="00701B52">
        <w:trPr>
          <w:trHeight w:val="300"/>
          <w:jc w:val="center"/>
        </w:trPr>
        <w:tc>
          <w:tcPr>
            <w:tcW w:w="5103" w:type="dxa"/>
            <w:tcBorders>
              <w:top w:val="nil"/>
              <w:left w:val="nil"/>
              <w:bottom w:val="nil"/>
              <w:right w:val="nil"/>
            </w:tcBorders>
            <w:shd w:val="clear" w:color="auto" w:fill="auto"/>
            <w:noWrap/>
            <w:vAlign w:val="center"/>
            <w:hideMark/>
          </w:tcPr>
          <w:p w14:paraId="4C0E1728" w14:textId="77777777" w:rsidR="00CB3C45" w:rsidRPr="009F1299" w:rsidRDefault="00CB3C45" w:rsidP="00842F2E">
            <w:pPr>
              <w:spacing w:after="0" w:line="240" w:lineRule="auto"/>
              <w:jc w:val="left"/>
              <w:rPr>
                <w:rFonts w:eastAsia="Times New Roman" w:cs="Times New Roman"/>
                <w:color w:val="000000"/>
                <w:sz w:val="18"/>
                <w:szCs w:val="18"/>
                <w:lang w:eastAsia="sk-SK"/>
              </w:rPr>
            </w:pPr>
            <w:r w:rsidRPr="009F1299">
              <w:rPr>
                <w:rFonts w:eastAsia="Times New Roman" w:cs="Times New Roman"/>
                <w:color w:val="000000"/>
                <w:sz w:val="18"/>
                <w:szCs w:val="18"/>
                <w:lang w:eastAsia="sk-SK"/>
              </w:rPr>
              <w:t xml:space="preserve">     - Tabak a tabakové výrobky</w:t>
            </w:r>
          </w:p>
        </w:tc>
        <w:tc>
          <w:tcPr>
            <w:tcW w:w="1134" w:type="dxa"/>
            <w:tcBorders>
              <w:top w:val="nil"/>
              <w:left w:val="nil"/>
              <w:bottom w:val="nil"/>
              <w:right w:val="nil"/>
            </w:tcBorders>
            <w:shd w:val="clear" w:color="auto" w:fill="auto"/>
            <w:noWrap/>
            <w:vAlign w:val="center"/>
            <w:hideMark/>
          </w:tcPr>
          <w:p w14:paraId="539B2775"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744 214</w:t>
            </w:r>
          </w:p>
        </w:tc>
        <w:tc>
          <w:tcPr>
            <w:tcW w:w="1276" w:type="dxa"/>
            <w:tcBorders>
              <w:top w:val="nil"/>
              <w:left w:val="nil"/>
              <w:bottom w:val="nil"/>
              <w:right w:val="nil"/>
            </w:tcBorders>
            <w:shd w:val="clear" w:color="auto" w:fill="BFBFBF" w:themeFill="background1" w:themeFillShade="BF"/>
            <w:noWrap/>
            <w:vAlign w:val="center"/>
            <w:hideMark/>
          </w:tcPr>
          <w:p w14:paraId="024589C0"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732 026</w:t>
            </w:r>
          </w:p>
        </w:tc>
        <w:tc>
          <w:tcPr>
            <w:tcW w:w="992" w:type="dxa"/>
            <w:tcBorders>
              <w:top w:val="nil"/>
              <w:left w:val="nil"/>
              <w:bottom w:val="nil"/>
              <w:right w:val="nil"/>
            </w:tcBorders>
            <w:shd w:val="clear" w:color="auto" w:fill="auto"/>
            <w:noWrap/>
            <w:vAlign w:val="center"/>
            <w:hideMark/>
          </w:tcPr>
          <w:p w14:paraId="40C240D9"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-12 188</w:t>
            </w:r>
          </w:p>
        </w:tc>
      </w:tr>
      <w:tr w:rsidR="00CB3C45" w:rsidRPr="009F1299" w14:paraId="278117CD" w14:textId="77777777" w:rsidTr="00701B52">
        <w:trPr>
          <w:trHeight w:val="300"/>
          <w:jc w:val="center"/>
        </w:trPr>
        <w:tc>
          <w:tcPr>
            <w:tcW w:w="5103" w:type="dxa"/>
            <w:tcBorders>
              <w:top w:val="nil"/>
              <w:left w:val="nil"/>
              <w:bottom w:val="nil"/>
              <w:right w:val="nil"/>
            </w:tcBorders>
            <w:shd w:val="clear" w:color="auto" w:fill="auto"/>
            <w:noWrap/>
            <w:vAlign w:val="center"/>
            <w:hideMark/>
          </w:tcPr>
          <w:p w14:paraId="392ECB97" w14:textId="77777777" w:rsidR="00CB3C45" w:rsidRPr="009F1299" w:rsidRDefault="00CB3C45" w:rsidP="00842F2E">
            <w:pPr>
              <w:spacing w:after="0" w:line="240" w:lineRule="auto"/>
              <w:jc w:val="left"/>
              <w:rPr>
                <w:rFonts w:eastAsia="Times New Roman" w:cs="Times New Roman"/>
                <w:color w:val="000000"/>
                <w:sz w:val="18"/>
                <w:szCs w:val="18"/>
                <w:lang w:eastAsia="sk-SK"/>
              </w:rPr>
            </w:pPr>
            <w:r w:rsidRPr="009F1299">
              <w:rPr>
                <w:rFonts w:eastAsia="Times New Roman" w:cs="Times New Roman"/>
                <w:color w:val="000000"/>
                <w:sz w:val="18"/>
                <w:szCs w:val="18"/>
                <w:lang w:eastAsia="sk-SK"/>
              </w:rPr>
              <w:t xml:space="preserve">     - Ostatné spotrebné dane</w:t>
            </w:r>
          </w:p>
        </w:tc>
        <w:tc>
          <w:tcPr>
            <w:tcW w:w="1134" w:type="dxa"/>
            <w:tcBorders>
              <w:top w:val="nil"/>
              <w:left w:val="nil"/>
              <w:bottom w:val="nil"/>
              <w:right w:val="nil"/>
            </w:tcBorders>
            <w:shd w:val="clear" w:color="auto" w:fill="auto"/>
            <w:noWrap/>
            <w:vAlign w:val="center"/>
            <w:hideMark/>
          </w:tcPr>
          <w:p w14:paraId="53453233"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288 062</w:t>
            </w:r>
          </w:p>
        </w:tc>
        <w:tc>
          <w:tcPr>
            <w:tcW w:w="1276" w:type="dxa"/>
            <w:tcBorders>
              <w:top w:val="nil"/>
              <w:left w:val="nil"/>
              <w:bottom w:val="nil"/>
              <w:right w:val="nil"/>
            </w:tcBorders>
            <w:shd w:val="clear" w:color="auto" w:fill="BFBFBF" w:themeFill="background1" w:themeFillShade="BF"/>
            <w:noWrap/>
            <w:vAlign w:val="center"/>
            <w:hideMark/>
          </w:tcPr>
          <w:p w14:paraId="20A3C045"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305 262</w:t>
            </w:r>
          </w:p>
        </w:tc>
        <w:tc>
          <w:tcPr>
            <w:tcW w:w="992" w:type="dxa"/>
            <w:tcBorders>
              <w:top w:val="nil"/>
              <w:left w:val="nil"/>
              <w:bottom w:val="nil"/>
              <w:right w:val="nil"/>
            </w:tcBorders>
            <w:shd w:val="clear" w:color="auto" w:fill="auto"/>
            <w:noWrap/>
            <w:vAlign w:val="center"/>
            <w:hideMark/>
          </w:tcPr>
          <w:p w14:paraId="4513E691"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17 200</w:t>
            </w:r>
          </w:p>
        </w:tc>
      </w:tr>
      <w:tr w:rsidR="00CB3C45" w:rsidRPr="009F1299" w14:paraId="4DDD5975" w14:textId="77777777" w:rsidTr="00701B52">
        <w:trPr>
          <w:trHeight w:val="300"/>
          <w:jc w:val="center"/>
        </w:trPr>
        <w:tc>
          <w:tcPr>
            <w:tcW w:w="5103" w:type="dxa"/>
            <w:tcBorders>
              <w:top w:val="nil"/>
              <w:left w:val="nil"/>
              <w:bottom w:val="nil"/>
              <w:right w:val="nil"/>
            </w:tcBorders>
            <w:shd w:val="clear" w:color="auto" w:fill="auto"/>
            <w:noWrap/>
            <w:vAlign w:val="center"/>
            <w:hideMark/>
          </w:tcPr>
          <w:p w14:paraId="1E7AE61F" w14:textId="77777777" w:rsidR="00CB3C45" w:rsidRPr="009F1299" w:rsidRDefault="00CB3C45" w:rsidP="00842F2E">
            <w:pPr>
              <w:spacing w:after="0" w:line="240" w:lineRule="auto"/>
              <w:jc w:val="left"/>
              <w:rPr>
                <w:rFonts w:eastAsia="Times New Roman" w:cs="Times New Roman"/>
                <w:color w:val="000000"/>
                <w:sz w:val="18"/>
                <w:szCs w:val="18"/>
                <w:lang w:eastAsia="sk-SK"/>
              </w:rPr>
            </w:pPr>
            <w:r w:rsidRPr="009F1299">
              <w:rPr>
                <w:rFonts w:eastAsia="Times New Roman" w:cs="Times New Roman"/>
                <w:color w:val="000000"/>
                <w:sz w:val="18"/>
                <w:szCs w:val="18"/>
                <w:lang w:eastAsia="sk-SK"/>
              </w:rPr>
              <w:t>Dane z majetku (nehnuteľnosti)</w:t>
            </w:r>
          </w:p>
        </w:tc>
        <w:tc>
          <w:tcPr>
            <w:tcW w:w="1134" w:type="dxa"/>
            <w:tcBorders>
              <w:top w:val="nil"/>
              <w:left w:val="nil"/>
              <w:bottom w:val="nil"/>
              <w:right w:val="nil"/>
            </w:tcBorders>
            <w:shd w:val="clear" w:color="auto" w:fill="auto"/>
            <w:noWrap/>
            <w:vAlign w:val="center"/>
            <w:hideMark/>
          </w:tcPr>
          <w:p w14:paraId="6BDAF426"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441 827</w:t>
            </w:r>
          </w:p>
        </w:tc>
        <w:tc>
          <w:tcPr>
            <w:tcW w:w="1276" w:type="dxa"/>
            <w:tcBorders>
              <w:top w:val="nil"/>
              <w:left w:val="nil"/>
              <w:bottom w:val="nil"/>
              <w:right w:val="nil"/>
            </w:tcBorders>
            <w:shd w:val="clear" w:color="auto" w:fill="BFBFBF" w:themeFill="background1" w:themeFillShade="BF"/>
            <w:noWrap/>
            <w:vAlign w:val="center"/>
            <w:hideMark/>
          </w:tcPr>
          <w:p w14:paraId="49D53B2F"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427 774</w:t>
            </w:r>
          </w:p>
        </w:tc>
        <w:tc>
          <w:tcPr>
            <w:tcW w:w="992" w:type="dxa"/>
            <w:tcBorders>
              <w:top w:val="nil"/>
              <w:left w:val="nil"/>
              <w:bottom w:val="nil"/>
              <w:right w:val="nil"/>
            </w:tcBorders>
            <w:shd w:val="clear" w:color="auto" w:fill="auto"/>
            <w:noWrap/>
            <w:vAlign w:val="center"/>
            <w:hideMark/>
          </w:tcPr>
          <w:p w14:paraId="144C4AC6"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-14 053</w:t>
            </w:r>
          </w:p>
        </w:tc>
      </w:tr>
      <w:tr w:rsidR="00CB3C45" w:rsidRPr="009F1299" w14:paraId="1426A721" w14:textId="77777777" w:rsidTr="00701B52">
        <w:trPr>
          <w:trHeight w:val="300"/>
          <w:jc w:val="center"/>
        </w:trPr>
        <w:tc>
          <w:tcPr>
            <w:tcW w:w="5103" w:type="dxa"/>
            <w:tcBorders>
              <w:top w:val="nil"/>
              <w:left w:val="nil"/>
              <w:bottom w:val="nil"/>
              <w:right w:val="nil"/>
            </w:tcBorders>
            <w:shd w:val="clear" w:color="auto" w:fill="auto"/>
            <w:noWrap/>
            <w:vAlign w:val="center"/>
            <w:hideMark/>
          </w:tcPr>
          <w:p w14:paraId="3FBDBAF1" w14:textId="77777777" w:rsidR="00CB3C45" w:rsidRPr="009F1299" w:rsidRDefault="00CB3C45" w:rsidP="00842F2E">
            <w:pPr>
              <w:spacing w:after="0" w:line="240" w:lineRule="auto"/>
              <w:jc w:val="left"/>
              <w:rPr>
                <w:rFonts w:eastAsia="Times New Roman" w:cs="Times New Roman"/>
                <w:color w:val="000000"/>
                <w:sz w:val="18"/>
                <w:szCs w:val="18"/>
                <w:lang w:eastAsia="sk-SK"/>
              </w:rPr>
            </w:pPr>
            <w:r w:rsidRPr="009F1299">
              <w:rPr>
                <w:rFonts w:eastAsia="Times New Roman" w:cs="Times New Roman"/>
                <w:color w:val="000000"/>
                <w:sz w:val="18"/>
                <w:szCs w:val="18"/>
                <w:lang w:eastAsia="sk-SK"/>
              </w:rPr>
              <w:t>Dane z medzinárodného obchodu</w:t>
            </w:r>
          </w:p>
        </w:tc>
        <w:tc>
          <w:tcPr>
            <w:tcW w:w="1134" w:type="dxa"/>
            <w:tcBorders>
              <w:top w:val="nil"/>
              <w:left w:val="nil"/>
              <w:bottom w:val="nil"/>
              <w:right w:val="nil"/>
            </w:tcBorders>
            <w:shd w:val="clear" w:color="auto" w:fill="auto"/>
            <w:noWrap/>
            <w:vAlign w:val="center"/>
            <w:hideMark/>
          </w:tcPr>
          <w:p w14:paraId="6CB9766E"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20 408</w:t>
            </w:r>
          </w:p>
        </w:tc>
        <w:tc>
          <w:tcPr>
            <w:tcW w:w="1276" w:type="dxa"/>
            <w:tcBorders>
              <w:top w:val="nil"/>
              <w:left w:val="nil"/>
              <w:bottom w:val="nil"/>
              <w:right w:val="nil"/>
            </w:tcBorders>
            <w:shd w:val="clear" w:color="auto" w:fill="BFBFBF" w:themeFill="background1" w:themeFillShade="BF"/>
            <w:noWrap/>
            <w:vAlign w:val="center"/>
            <w:hideMark/>
          </w:tcPr>
          <w:p w14:paraId="220153B9"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19 904</w:t>
            </w:r>
          </w:p>
        </w:tc>
        <w:tc>
          <w:tcPr>
            <w:tcW w:w="992" w:type="dxa"/>
            <w:tcBorders>
              <w:top w:val="nil"/>
              <w:left w:val="nil"/>
              <w:bottom w:val="nil"/>
              <w:right w:val="nil"/>
            </w:tcBorders>
            <w:shd w:val="clear" w:color="auto" w:fill="auto"/>
            <w:noWrap/>
            <w:vAlign w:val="center"/>
            <w:hideMark/>
          </w:tcPr>
          <w:p w14:paraId="27F59A21"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-504</w:t>
            </w:r>
          </w:p>
        </w:tc>
      </w:tr>
      <w:tr w:rsidR="00CB3C45" w:rsidRPr="009F1299" w14:paraId="21B048B3" w14:textId="77777777" w:rsidTr="00701B52">
        <w:trPr>
          <w:trHeight w:val="300"/>
          <w:jc w:val="center"/>
        </w:trPr>
        <w:tc>
          <w:tcPr>
            <w:tcW w:w="5103" w:type="dxa"/>
            <w:tcBorders>
              <w:top w:val="nil"/>
              <w:left w:val="nil"/>
              <w:bottom w:val="nil"/>
              <w:right w:val="nil"/>
            </w:tcBorders>
            <w:shd w:val="clear" w:color="auto" w:fill="auto"/>
            <w:noWrap/>
            <w:vAlign w:val="center"/>
            <w:hideMark/>
          </w:tcPr>
          <w:p w14:paraId="29E646E0" w14:textId="77777777" w:rsidR="00CB3C45" w:rsidRPr="009F1299" w:rsidRDefault="00CB3C45" w:rsidP="00842F2E">
            <w:pPr>
              <w:spacing w:after="0" w:line="240" w:lineRule="auto"/>
              <w:jc w:val="left"/>
              <w:rPr>
                <w:rFonts w:eastAsia="Times New Roman" w:cs="Times New Roman"/>
                <w:color w:val="000000"/>
                <w:sz w:val="18"/>
                <w:szCs w:val="18"/>
                <w:lang w:eastAsia="sk-SK"/>
              </w:rPr>
            </w:pPr>
            <w:r w:rsidRPr="009F1299">
              <w:rPr>
                <w:rFonts w:eastAsia="Times New Roman" w:cs="Times New Roman"/>
                <w:color w:val="000000"/>
                <w:sz w:val="18"/>
                <w:szCs w:val="18"/>
                <w:lang w:eastAsia="sk-SK"/>
              </w:rPr>
              <w:t>Ostatné dane</w:t>
            </w:r>
          </w:p>
        </w:tc>
        <w:tc>
          <w:tcPr>
            <w:tcW w:w="1134" w:type="dxa"/>
            <w:tcBorders>
              <w:top w:val="nil"/>
              <w:left w:val="nil"/>
              <w:bottom w:val="nil"/>
              <w:right w:val="nil"/>
            </w:tcBorders>
            <w:shd w:val="clear" w:color="auto" w:fill="auto"/>
            <w:noWrap/>
            <w:vAlign w:val="center"/>
            <w:hideMark/>
          </w:tcPr>
          <w:p w14:paraId="0239C776"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820 021</w:t>
            </w:r>
          </w:p>
        </w:tc>
        <w:tc>
          <w:tcPr>
            <w:tcW w:w="1276" w:type="dxa"/>
            <w:tcBorders>
              <w:top w:val="nil"/>
              <w:left w:val="nil"/>
              <w:bottom w:val="nil"/>
              <w:right w:val="nil"/>
            </w:tcBorders>
            <w:shd w:val="clear" w:color="auto" w:fill="BFBFBF" w:themeFill="background1" w:themeFillShade="BF"/>
            <w:noWrap/>
            <w:vAlign w:val="center"/>
            <w:hideMark/>
          </w:tcPr>
          <w:p w14:paraId="7DA5A34D"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807 257</w:t>
            </w:r>
          </w:p>
        </w:tc>
        <w:tc>
          <w:tcPr>
            <w:tcW w:w="992" w:type="dxa"/>
            <w:tcBorders>
              <w:top w:val="nil"/>
              <w:left w:val="nil"/>
              <w:bottom w:val="nil"/>
              <w:right w:val="nil"/>
            </w:tcBorders>
            <w:shd w:val="clear" w:color="auto" w:fill="auto"/>
            <w:noWrap/>
            <w:vAlign w:val="center"/>
            <w:hideMark/>
          </w:tcPr>
          <w:p w14:paraId="5676ABF9"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-12 764</w:t>
            </w:r>
          </w:p>
        </w:tc>
      </w:tr>
      <w:tr w:rsidR="00CB3C45" w:rsidRPr="009F1299" w14:paraId="614C0168" w14:textId="77777777" w:rsidTr="00701B52">
        <w:trPr>
          <w:trHeight w:val="300"/>
          <w:jc w:val="center"/>
        </w:trPr>
        <w:tc>
          <w:tcPr>
            <w:tcW w:w="5103" w:type="dxa"/>
            <w:tcBorders>
              <w:top w:val="nil"/>
              <w:left w:val="nil"/>
              <w:bottom w:val="nil"/>
              <w:right w:val="nil"/>
            </w:tcBorders>
            <w:shd w:val="clear" w:color="auto" w:fill="auto"/>
            <w:noWrap/>
            <w:vAlign w:val="center"/>
            <w:hideMark/>
          </w:tcPr>
          <w:p w14:paraId="02E1BB52" w14:textId="77777777" w:rsidR="00CB3C45" w:rsidRPr="009F1299" w:rsidRDefault="00CB3C45" w:rsidP="00842F2E">
            <w:pPr>
              <w:spacing w:after="0" w:line="240" w:lineRule="auto"/>
              <w:jc w:val="left"/>
              <w:rPr>
                <w:rFonts w:eastAsia="Times New Roman" w:cs="Times New Roman"/>
                <w:color w:val="000000"/>
                <w:sz w:val="18"/>
                <w:szCs w:val="18"/>
                <w:lang w:eastAsia="sk-SK"/>
              </w:rPr>
            </w:pPr>
            <w:r w:rsidRPr="009F1299">
              <w:rPr>
                <w:rFonts w:eastAsia="Times New Roman" w:cs="Times New Roman"/>
                <w:color w:val="000000"/>
                <w:sz w:val="18"/>
                <w:szCs w:val="18"/>
                <w:lang w:eastAsia="sk-SK"/>
              </w:rPr>
              <w:t xml:space="preserve">     - Daň z motorových vozidiel</w:t>
            </w:r>
          </w:p>
        </w:tc>
        <w:tc>
          <w:tcPr>
            <w:tcW w:w="1134" w:type="dxa"/>
            <w:tcBorders>
              <w:top w:val="nil"/>
              <w:left w:val="nil"/>
              <w:bottom w:val="nil"/>
              <w:right w:val="nil"/>
            </w:tcBorders>
            <w:shd w:val="clear" w:color="auto" w:fill="auto"/>
            <w:noWrap/>
            <w:vAlign w:val="center"/>
            <w:hideMark/>
          </w:tcPr>
          <w:p w14:paraId="28DBE66C"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146 622</w:t>
            </w:r>
          </w:p>
        </w:tc>
        <w:tc>
          <w:tcPr>
            <w:tcW w:w="1276" w:type="dxa"/>
            <w:tcBorders>
              <w:top w:val="nil"/>
              <w:left w:val="nil"/>
              <w:bottom w:val="nil"/>
              <w:right w:val="nil"/>
            </w:tcBorders>
            <w:shd w:val="clear" w:color="auto" w:fill="BFBFBF" w:themeFill="background1" w:themeFillShade="BF"/>
            <w:noWrap/>
            <w:vAlign w:val="center"/>
            <w:hideMark/>
          </w:tcPr>
          <w:p w14:paraId="17238878"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112 990</w:t>
            </w:r>
          </w:p>
        </w:tc>
        <w:tc>
          <w:tcPr>
            <w:tcW w:w="992" w:type="dxa"/>
            <w:tcBorders>
              <w:top w:val="nil"/>
              <w:left w:val="nil"/>
              <w:bottom w:val="nil"/>
              <w:right w:val="nil"/>
            </w:tcBorders>
            <w:shd w:val="clear" w:color="auto" w:fill="auto"/>
            <w:noWrap/>
            <w:vAlign w:val="center"/>
            <w:hideMark/>
          </w:tcPr>
          <w:p w14:paraId="493715CC"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-33 632</w:t>
            </w:r>
          </w:p>
        </w:tc>
      </w:tr>
      <w:tr w:rsidR="00CB3C45" w:rsidRPr="009F1299" w14:paraId="3CF1E61F" w14:textId="77777777" w:rsidTr="00701B52">
        <w:trPr>
          <w:trHeight w:val="300"/>
          <w:jc w:val="center"/>
        </w:trPr>
        <w:tc>
          <w:tcPr>
            <w:tcW w:w="5103" w:type="dxa"/>
            <w:tcBorders>
              <w:top w:val="nil"/>
              <w:left w:val="nil"/>
              <w:bottom w:val="nil"/>
              <w:right w:val="nil"/>
            </w:tcBorders>
            <w:shd w:val="clear" w:color="auto" w:fill="auto"/>
            <w:noWrap/>
            <w:vAlign w:val="center"/>
            <w:hideMark/>
          </w:tcPr>
          <w:p w14:paraId="3BDEEBDE" w14:textId="77777777" w:rsidR="00CB3C45" w:rsidRPr="009F1299" w:rsidRDefault="00CB3C45" w:rsidP="00842F2E">
            <w:pPr>
              <w:spacing w:after="0" w:line="240" w:lineRule="auto"/>
              <w:jc w:val="left"/>
              <w:rPr>
                <w:rFonts w:eastAsia="Times New Roman" w:cs="Times New Roman"/>
                <w:color w:val="000000"/>
                <w:sz w:val="18"/>
                <w:szCs w:val="18"/>
                <w:lang w:eastAsia="sk-SK"/>
              </w:rPr>
            </w:pPr>
            <w:r w:rsidRPr="009F1299">
              <w:rPr>
                <w:rFonts w:eastAsia="Times New Roman" w:cs="Times New Roman"/>
                <w:color w:val="000000"/>
                <w:sz w:val="18"/>
                <w:szCs w:val="18"/>
                <w:lang w:eastAsia="sk-SK"/>
              </w:rPr>
              <w:t xml:space="preserve">     - Osobitný odvod z podnikania v regulovaných odvetviach </w:t>
            </w:r>
          </w:p>
        </w:tc>
        <w:tc>
          <w:tcPr>
            <w:tcW w:w="1134" w:type="dxa"/>
            <w:tcBorders>
              <w:top w:val="nil"/>
              <w:left w:val="nil"/>
              <w:bottom w:val="nil"/>
              <w:right w:val="nil"/>
            </w:tcBorders>
            <w:shd w:val="clear" w:color="auto" w:fill="auto"/>
            <w:noWrap/>
            <w:vAlign w:val="center"/>
            <w:hideMark/>
          </w:tcPr>
          <w:p w14:paraId="720B6B80"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116 674</w:t>
            </w:r>
          </w:p>
        </w:tc>
        <w:tc>
          <w:tcPr>
            <w:tcW w:w="1276" w:type="dxa"/>
            <w:tcBorders>
              <w:top w:val="nil"/>
              <w:left w:val="nil"/>
              <w:bottom w:val="nil"/>
              <w:right w:val="nil"/>
            </w:tcBorders>
            <w:shd w:val="clear" w:color="auto" w:fill="BFBFBF" w:themeFill="background1" w:themeFillShade="BF"/>
            <w:noWrap/>
            <w:vAlign w:val="center"/>
            <w:hideMark/>
          </w:tcPr>
          <w:p w14:paraId="3B28151F"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120 982</w:t>
            </w:r>
          </w:p>
        </w:tc>
        <w:tc>
          <w:tcPr>
            <w:tcW w:w="992" w:type="dxa"/>
            <w:tcBorders>
              <w:top w:val="nil"/>
              <w:left w:val="nil"/>
              <w:bottom w:val="nil"/>
              <w:right w:val="nil"/>
            </w:tcBorders>
            <w:shd w:val="clear" w:color="auto" w:fill="auto"/>
            <w:noWrap/>
            <w:vAlign w:val="center"/>
            <w:hideMark/>
          </w:tcPr>
          <w:p w14:paraId="0BBF176A"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4 308</w:t>
            </w:r>
          </w:p>
        </w:tc>
      </w:tr>
      <w:tr w:rsidR="00CB3C45" w:rsidRPr="009F1299" w14:paraId="3BAD38DE" w14:textId="77777777" w:rsidTr="00701B52">
        <w:trPr>
          <w:trHeight w:val="300"/>
          <w:jc w:val="center"/>
        </w:trPr>
        <w:tc>
          <w:tcPr>
            <w:tcW w:w="5103" w:type="dxa"/>
            <w:tcBorders>
              <w:top w:val="nil"/>
              <w:left w:val="nil"/>
              <w:bottom w:val="nil"/>
              <w:right w:val="nil"/>
            </w:tcBorders>
            <w:shd w:val="clear" w:color="auto" w:fill="auto"/>
            <w:noWrap/>
            <w:vAlign w:val="center"/>
            <w:hideMark/>
          </w:tcPr>
          <w:p w14:paraId="2715F7F9" w14:textId="77777777" w:rsidR="00CB3C45" w:rsidRPr="009F1299" w:rsidRDefault="00CB3C45" w:rsidP="00842F2E">
            <w:pPr>
              <w:spacing w:after="0" w:line="240" w:lineRule="auto"/>
              <w:jc w:val="left"/>
              <w:rPr>
                <w:rFonts w:eastAsia="Times New Roman" w:cs="Times New Roman"/>
                <w:color w:val="000000"/>
                <w:sz w:val="18"/>
                <w:szCs w:val="18"/>
                <w:lang w:eastAsia="sk-SK"/>
              </w:rPr>
            </w:pPr>
            <w:r w:rsidRPr="009F1299">
              <w:rPr>
                <w:rFonts w:eastAsia="Times New Roman" w:cs="Times New Roman"/>
                <w:color w:val="000000"/>
                <w:sz w:val="18"/>
                <w:szCs w:val="18"/>
                <w:lang w:eastAsia="sk-SK"/>
              </w:rPr>
              <w:t xml:space="preserve">     - Osobitný odvod vybraných finančných inštitúcií</w:t>
            </w:r>
          </w:p>
        </w:tc>
        <w:tc>
          <w:tcPr>
            <w:tcW w:w="1134" w:type="dxa"/>
            <w:tcBorders>
              <w:top w:val="nil"/>
              <w:left w:val="nil"/>
              <w:bottom w:val="nil"/>
              <w:right w:val="nil"/>
            </w:tcBorders>
            <w:shd w:val="clear" w:color="auto" w:fill="auto"/>
            <w:noWrap/>
            <w:vAlign w:val="center"/>
            <w:hideMark/>
          </w:tcPr>
          <w:p w14:paraId="10D6D497"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148 950</w:t>
            </w:r>
          </w:p>
        </w:tc>
        <w:tc>
          <w:tcPr>
            <w:tcW w:w="1276" w:type="dxa"/>
            <w:tcBorders>
              <w:top w:val="nil"/>
              <w:left w:val="nil"/>
              <w:bottom w:val="nil"/>
              <w:right w:val="nil"/>
            </w:tcBorders>
            <w:shd w:val="clear" w:color="auto" w:fill="BFBFBF" w:themeFill="background1" w:themeFillShade="BF"/>
            <w:noWrap/>
            <w:vAlign w:val="center"/>
            <w:hideMark/>
          </w:tcPr>
          <w:p w14:paraId="1CA66320"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148 950</w:t>
            </w:r>
          </w:p>
        </w:tc>
        <w:tc>
          <w:tcPr>
            <w:tcW w:w="992" w:type="dxa"/>
            <w:tcBorders>
              <w:top w:val="nil"/>
              <w:left w:val="nil"/>
              <w:bottom w:val="nil"/>
              <w:right w:val="nil"/>
            </w:tcBorders>
            <w:shd w:val="clear" w:color="auto" w:fill="auto"/>
            <w:noWrap/>
            <w:vAlign w:val="center"/>
            <w:hideMark/>
          </w:tcPr>
          <w:p w14:paraId="363573EE"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0</w:t>
            </w:r>
          </w:p>
        </w:tc>
      </w:tr>
      <w:tr w:rsidR="00CB3C45" w:rsidRPr="009F1299" w14:paraId="776F5631" w14:textId="77777777" w:rsidTr="00701B52">
        <w:trPr>
          <w:trHeight w:val="300"/>
          <w:jc w:val="center"/>
        </w:trPr>
        <w:tc>
          <w:tcPr>
            <w:tcW w:w="5103" w:type="dxa"/>
            <w:tcBorders>
              <w:top w:val="nil"/>
              <w:left w:val="nil"/>
              <w:bottom w:val="nil"/>
              <w:right w:val="nil"/>
            </w:tcBorders>
            <w:shd w:val="clear" w:color="auto" w:fill="auto"/>
            <w:noWrap/>
            <w:vAlign w:val="center"/>
            <w:hideMark/>
          </w:tcPr>
          <w:p w14:paraId="7F6B7A75" w14:textId="77777777" w:rsidR="00CB3C45" w:rsidRPr="009F1299" w:rsidRDefault="00CB3C45" w:rsidP="00842F2E">
            <w:pPr>
              <w:spacing w:after="0" w:line="240" w:lineRule="auto"/>
              <w:jc w:val="left"/>
              <w:rPr>
                <w:rFonts w:eastAsia="Times New Roman" w:cs="Times New Roman"/>
                <w:color w:val="000000"/>
                <w:sz w:val="18"/>
                <w:szCs w:val="18"/>
                <w:lang w:eastAsia="sk-SK"/>
              </w:rPr>
            </w:pPr>
            <w:r w:rsidRPr="009F1299">
              <w:rPr>
                <w:rFonts w:eastAsia="Times New Roman" w:cs="Times New Roman"/>
                <w:color w:val="000000"/>
                <w:sz w:val="18"/>
                <w:szCs w:val="18"/>
                <w:lang w:eastAsia="sk-SK"/>
              </w:rPr>
              <w:t xml:space="preserve">     - Dane za špecifické služby</w:t>
            </w:r>
          </w:p>
        </w:tc>
        <w:tc>
          <w:tcPr>
            <w:tcW w:w="1134" w:type="dxa"/>
            <w:tcBorders>
              <w:top w:val="nil"/>
              <w:left w:val="nil"/>
              <w:bottom w:val="nil"/>
              <w:right w:val="nil"/>
            </w:tcBorders>
            <w:shd w:val="clear" w:color="auto" w:fill="auto"/>
            <w:noWrap/>
            <w:vAlign w:val="center"/>
            <w:hideMark/>
          </w:tcPr>
          <w:p w14:paraId="5945C43A"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205 210</w:t>
            </w:r>
          </w:p>
        </w:tc>
        <w:tc>
          <w:tcPr>
            <w:tcW w:w="1276" w:type="dxa"/>
            <w:tcBorders>
              <w:top w:val="nil"/>
              <w:left w:val="nil"/>
              <w:bottom w:val="nil"/>
              <w:right w:val="nil"/>
            </w:tcBorders>
            <w:shd w:val="clear" w:color="auto" w:fill="BFBFBF" w:themeFill="background1" w:themeFillShade="BF"/>
            <w:noWrap/>
            <w:vAlign w:val="center"/>
            <w:hideMark/>
          </w:tcPr>
          <w:p w14:paraId="6485CA4C"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225 575</w:t>
            </w:r>
          </w:p>
        </w:tc>
        <w:tc>
          <w:tcPr>
            <w:tcW w:w="992" w:type="dxa"/>
            <w:tcBorders>
              <w:top w:val="nil"/>
              <w:left w:val="nil"/>
              <w:bottom w:val="nil"/>
              <w:right w:val="nil"/>
            </w:tcBorders>
            <w:shd w:val="clear" w:color="auto" w:fill="auto"/>
            <w:noWrap/>
            <w:vAlign w:val="center"/>
            <w:hideMark/>
          </w:tcPr>
          <w:p w14:paraId="7BAEAEA8"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20 365</w:t>
            </w:r>
          </w:p>
        </w:tc>
      </w:tr>
      <w:tr w:rsidR="00CB3C45" w:rsidRPr="009F1299" w14:paraId="3F8E917A" w14:textId="77777777" w:rsidTr="00701B52">
        <w:trPr>
          <w:trHeight w:val="315"/>
          <w:jc w:val="center"/>
        </w:trPr>
        <w:tc>
          <w:tcPr>
            <w:tcW w:w="5103" w:type="dxa"/>
            <w:tcBorders>
              <w:top w:val="nil"/>
              <w:left w:val="nil"/>
              <w:bottom w:val="single" w:sz="8" w:space="0" w:color="auto"/>
              <w:right w:val="nil"/>
            </w:tcBorders>
            <w:shd w:val="clear" w:color="auto" w:fill="auto"/>
            <w:noWrap/>
            <w:vAlign w:val="center"/>
            <w:hideMark/>
          </w:tcPr>
          <w:p w14:paraId="054A9D0D" w14:textId="77777777" w:rsidR="00CB3C45" w:rsidRPr="009F1299" w:rsidRDefault="00CB3C45" w:rsidP="00842F2E">
            <w:pPr>
              <w:spacing w:after="0" w:line="240" w:lineRule="auto"/>
              <w:jc w:val="left"/>
              <w:rPr>
                <w:rFonts w:eastAsia="Times New Roman" w:cs="Times New Roman"/>
                <w:color w:val="000000"/>
                <w:sz w:val="18"/>
                <w:szCs w:val="18"/>
                <w:lang w:eastAsia="sk-SK"/>
              </w:rPr>
            </w:pPr>
            <w:r w:rsidRPr="009F1299">
              <w:rPr>
                <w:rFonts w:eastAsia="Times New Roman" w:cs="Times New Roman"/>
                <w:color w:val="000000"/>
                <w:sz w:val="18"/>
                <w:szCs w:val="18"/>
                <w:lang w:eastAsia="sk-SK"/>
              </w:rPr>
              <w:t xml:space="preserve">     - Ostatné</w:t>
            </w:r>
          </w:p>
        </w:tc>
        <w:tc>
          <w:tcPr>
            <w:tcW w:w="1134" w:type="dxa"/>
            <w:tcBorders>
              <w:top w:val="nil"/>
              <w:left w:val="nil"/>
              <w:bottom w:val="single" w:sz="8" w:space="0" w:color="auto"/>
              <w:right w:val="nil"/>
            </w:tcBorders>
            <w:shd w:val="clear" w:color="auto" w:fill="auto"/>
            <w:noWrap/>
            <w:vAlign w:val="center"/>
            <w:hideMark/>
          </w:tcPr>
          <w:p w14:paraId="1A77A9F5"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202 565</w:t>
            </w:r>
          </w:p>
        </w:tc>
        <w:tc>
          <w:tcPr>
            <w:tcW w:w="1276" w:type="dxa"/>
            <w:tcBorders>
              <w:top w:val="nil"/>
              <w:left w:val="nil"/>
              <w:bottom w:val="single" w:sz="8" w:space="0" w:color="auto"/>
              <w:right w:val="nil"/>
            </w:tcBorders>
            <w:shd w:val="clear" w:color="auto" w:fill="BFBFBF" w:themeFill="background1" w:themeFillShade="BF"/>
            <w:noWrap/>
            <w:vAlign w:val="center"/>
            <w:hideMark/>
          </w:tcPr>
          <w:p w14:paraId="7BBFD240"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198 760</w:t>
            </w:r>
          </w:p>
        </w:tc>
        <w:tc>
          <w:tcPr>
            <w:tcW w:w="992" w:type="dxa"/>
            <w:tcBorders>
              <w:top w:val="nil"/>
              <w:left w:val="nil"/>
              <w:bottom w:val="single" w:sz="8" w:space="0" w:color="auto"/>
              <w:right w:val="nil"/>
            </w:tcBorders>
            <w:shd w:val="clear" w:color="auto" w:fill="auto"/>
            <w:noWrap/>
            <w:vAlign w:val="center"/>
            <w:hideMark/>
          </w:tcPr>
          <w:p w14:paraId="08F1CE93"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-3 805</w:t>
            </w:r>
          </w:p>
        </w:tc>
      </w:tr>
      <w:tr w:rsidR="00CB3C45" w:rsidRPr="009F1299" w14:paraId="43DD688F" w14:textId="77777777" w:rsidTr="00701B52">
        <w:trPr>
          <w:trHeight w:val="315"/>
          <w:jc w:val="center"/>
        </w:trPr>
        <w:tc>
          <w:tcPr>
            <w:tcW w:w="5103" w:type="dxa"/>
            <w:tcBorders>
              <w:top w:val="nil"/>
              <w:left w:val="nil"/>
              <w:bottom w:val="single" w:sz="8" w:space="0" w:color="auto"/>
              <w:right w:val="nil"/>
            </w:tcBorders>
            <w:shd w:val="clear" w:color="auto" w:fill="auto"/>
            <w:noWrap/>
            <w:vAlign w:val="center"/>
            <w:hideMark/>
          </w:tcPr>
          <w:p w14:paraId="5B6FD860" w14:textId="77777777" w:rsidR="00CB3C45" w:rsidRPr="009F1299" w:rsidRDefault="00CB3C45" w:rsidP="00842F2E">
            <w:pPr>
              <w:spacing w:after="0" w:line="240" w:lineRule="auto"/>
              <w:jc w:val="left"/>
              <w:rPr>
                <w:rFonts w:eastAsia="Times New Roman" w:cs="Times New Roman"/>
                <w:b/>
                <w:bCs/>
                <w:color w:val="000000"/>
                <w:sz w:val="18"/>
                <w:szCs w:val="18"/>
                <w:lang w:eastAsia="sk-SK"/>
              </w:rPr>
            </w:pPr>
            <w:r w:rsidRPr="009F1299">
              <w:rPr>
                <w:rFonts w:eastAsia="Times New Roman" w:cs="Times New Roman"/>
                <w:b/>
                <w:bCs/>
                <w:color w:val="000000"/>
                <w:sz w:val="18"/>
                <w:szCs w:val="18"/>
                <w:lang w:eastAsia="sk-SK"/>
              </w:rPr>
              <w:t>Daňové príjmy vrátane sankcií</w:t>
            </w:r>
          </w:p>
        </w:tc>
        <w:tc>
          <w:tcPr>
            <w:tcW w:w="1134" w:type="dxa"/>
            <w:tcBorders>
              <w:top w:val="nil"/>
              <w:left w:val="nil"/>
              <w:bottom w:val="single" w:sz="8" w:space="0" w:color="auto"/>
              <w:right w:val="nil"/>
            </w:tcBorders>
            <w:shd w:val="clear" w:color="auto" w:fill="auto"/>
            <w:noWrap/>
            <w:vAlign w:val="center"/>
            <w:hideMark/>
          </w:tcPr>
          <w:p w14:paraId="6CCCB9A8" w14:textId="77777777" w:rsidR="00CB3C45" w:rsidRPr="009F1299" w:rsidRDefault="00CB3C45" w:rsidP="00842F2E">
            <w:pPr>
              <w:spacing w:after="0" w:line="240" w:lineRule="auto"/>
              <w:jc w:val="right"/>
              <w:rPr>
                <w:rFonts w:eastAsia="Times New Roman" w:cs="Times New Roman"/>
                <w:b/>
                <w:bCs/>
                <w:color w:val="000000"/>
                <w:sz w:val="18"/>
                <w:szCs w:val="18"/>
                <w:lang w:eastAsia="sk-SK"/>
              </w:rPr>
            </w:pPr>
            <w:r w:rsidRPr="009F1299">
              <w:rPr>
                <w:rFonts w:eastAsia="Times New Roman" w:cs="Times New Roman"/>
                <w:b/>
                <w:bCs/>
                <w:color w:val="000000"/>
                <w:sz w:val="18"/>
                <w:szCs w:val="18"/>
                <w:lang w:eastAsia="sk-SK"/>
              </w:rPr>
              <w:t>15 384 214</w:t>
            </w:r>
          </w:p>
        </w:tc>
        <w:tc>
          <w:tcPr>
            <w:tcW w:w="1276" w:type="dxa"/>
            <w:tcBorders>
              <w:top w:val="nil"/>
              <w:left w:val="nil"/>
              <w:bottom w:val="single" w:sz="8" w:space="0" w:color="auto"/>
              <w:right w:val="nil"/>
            </w:tcBorders>
            <w:shd w:val="clear" w:color="auto" w:fill="BFBFBF" w:themeFill="background1" w:themeFillShade="BF"/>
            <w:noWrap/>
            <w:vAlign w:val="center"/>
            <w:hideMark/>
          </w:tcPr>
          <w:p w14:paraId="04FB599F" w14:textId="77777777" w:rsidR="00CB3C45" w:rsidRPr="009F1299" w:rsidRDefault="00CB3C45" w:rsidP="00842F2E">
            <w:pPr>
              <w:spacing w:after="0" w:line="240" w:lineRule="auto"/>
              <w:jc w:val="right"/>
              <w:rPr>
                <w:rFonts w:eastAsia="Times New Roman" w:cs="Times New Roman"/>
                <w:b/>
                <w:bCs/>
                <w:color w:val="000000"/>
                <w:sz w:val="18"/>
                <w:szCs w:val="18"/>
                <w:lang w:eastAsia="sk-SK"/>
              </w:rPr>
            </w:pPr>
            <w:r w:rsidRPr="009F1299">
              <w:rPr>
                <w:rFonts w:eastAsia="Times New Roman" w:cs="Times New Roman"/>
                <w:b/>
                <w:bCs/>
                <w:color w:val="000000"/>
                <w:sz w:val="18"/>
                <w:szCs w:val="18"/>
                <w:lang w:eastAsia="sk-SK"/>
              </w:rPr>
              <w:t>16 201 384</w:t>
            </w:r>
          </w:p>
        </w:tc>
        <w:tc>
          <w:tcPr>
            <w:tcW w:w="992" w:type="dxa"/>
            <w:tcBorders>
              <w:top w:val="nil"/>
              <w:left w:val="nil"/>
              <w:bottom w:val="single" w:sz="8" w:space="0" w:color="auto"/>
              <w:right w:val="nil"/>
            </w:tcBorders>
            <w:shd w:val="clear" w:color="auto" w:fill="auto"/>
            <w:noWrap/>
            <w:vAlign w:val="center"/>
            <w:hideMark/>
          </w:tcPr>
          <w:p w14:paraId="39A9D858" w14:textId="77777777" w:rsidR="00CB3C45" w:rsidRPr="009F1299" w:rsidRDefault="00CB3C45" w:rsidP="00842F2E">
            <w:pPr>
              <w:spacing w:after="0" w:line="240" w:lineRule="auto"/>
              <w:jc w:val="right"/>
              <w:rPr>
                <w:rFonts w:eastAsia="Times New Roman" w:cs="Times New Roman"/>
                <w:b/>
                <w:bCs/>
                <w:color w:val="000000"/>
                <w:sz w:val="18"/>
                <w:szCs w:val="18"/>
                <w:lang w:eastAsia="sk-SK"/>
              </w:rPr>
            </w:pPr>
            <w:r w:rsidRPr="009F1299">
              <w:rPr>
                <w:rFonts w:eastAsia="Times New Roman" w:cs="Times New Roman"/>
                <w:b/>
                <w:bCs/>
                <w:color w:val="000000"/>
                <w:sz w:val="18"/>
                <w:szCs w:val="18"/>
                <w:lang w:eastAsia="sk-SK"/>
              </w:rPr>
              <w:t>817 170</w:t>
            </w:r>
          </w:p>
        </w:tc>
      </w:tr>
      <w:tr w:rsidR="00CB3C45" w:rsidRPr="009F1299" w14:paraId="57D5122B" w14:textId="77777777" w:rsidTr="00701B52">
        <w:trPr>
          <w:trHeight w:val="300"/>
          <w:jc w:val="center"/>
        </w:trPr>
        <w:tc>
          <w:tcPr>
            <w:tcW w:w="5103" w:type="dxa"/>
            <w:tcBorders>
              <w:top w:val="nil"/>
              <w:left w:val="nil"/>
              <w:bottom w:val="nil"/>
              <w:right w:val="nil"/>
            </w:tcBorders>
            <w:shd w:val="clear" w:color="auto" w:fill="auto"/>
            <w:noWrap/>
            <w:vAlign w:val="center"/>
            <w:hideMark/>
          </w:tcPr>
          <w:p w14:paraId="2000FF75" w14:textId="77777777" w:rsidR="00CB3C45" w:rsidRPr="009F1299" w:rsidRDefault="00CB3C45" w:rsidP="00842F2E">
            <w:pPr>
              <w:spacing w:after="0" w:line="240" w:lineRule="auto"/>
              <w:jc w:val="left"/>
              <w:rPr>
                <w:rFonts w:eastAsia="Times New Roman" w:cs="Times New Roman"/>
                <w:color w:val="000000"/>
                <w:sz w:val="18"/>
                <w:szCs w:val="18"/>
                <w:lang w:eastAsia="sk-SK"/>
              </w:rPr>
            </w:pPr>
            <w:r w:rsidRPr="009F1299">
              <w:rPr>
                <w:rFonts w:eastAsia="Times New Roman" w:cs="Times New Roman"/>
                <w:color w:val="000000"/>
                <w:sz w:val="18"/>
                <w:szCs w:val="18"/>
                <w:lang w:eastAsia="sk-SK"/>
              </w:rPr>
              <w:t>Sociálne odvody (EAO + dlžné)</w:t>
            </w:r>
          </w:p>
        </w:tc>
        <w:tc>
          <w:tcPr>
            <w:tcW w:w="1134" w:type="dxa"/>
            <w:tcBorders>
              <w:top w:val="nil"/>
              <w:left w:val="nil"/>
              <w:bottom w:val="nil"/>
              <w:right w:val="nil"/>
            </w:tcBorders>
            <w:shd w:val="clear" w:color="auto" w:fill="auto"/>
            <w:noWrap/>
            <w:vAlign w:val="center"/>
            <w:hideMark/>
          </w:tcPr>
          <w:p w14:paraId="6154E63F"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8 069 791</w:t>
            </w:r>
          </w:p>
        </w:tc>
        <w:tc>
          <w:tcPr>
            <w:tcW w:w="1276" w:type="dxa"/>
            <w:tcBorders>
              <w:top w:val="nil"/>
              <w:left w:val="nil"/>
              <w:bottom w:val="nil"/>
              <w:right w:val="nil"/>
            </w:tcBorders>
            <w:shd w:val="clear" w:color="auto" w:fill="BFBFBF" w:themeFill="background1" w:themeFillShade="BF"/>
            <w:noWrap/>
            <w:vAlign w:val="center"/>
            <w:hideMark/>
          </w:tcPr>
          <w:p w14:paraId="1111E850"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8 258 146</w:t>
            </w:r>
          </w:p>
        </w:tc>
        <w:tc>
          <w:tcPr>
            <w:tcW w:w="992" w:type="dxa"/>
            <w:tcBorders>
              <w:top w:val="nil"/>
              <w:left w:val="nil"/>
              <w:bottom w:val="nil"/>
              <w:right w:val="nil"/>
            </w:tcBorders>
            <w:shd w:val="clear" w:color="auto" w:fill="auto"/>
            <w:noWrap/>
            <w:vAlign w:val="center"/>
            <w:hideMark/>
          </w:tcPr>
          <w:p w14:paraId="770A0E57"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188 355</w:t>
            </w:r>
          </w:p>
        </w:tc>
      </w:tr>
      <w:tr w:rsidR="00CB3C45" w:rsidRPr="009F1299" w14:paraId="6CA5B209" w14:textId="77777777" w:rsidTr="00701B52">
        <w:trPr>
          <w:trHeight w:val="315"/>
          <w:jc w:val="center"/>
        </w:trPr>
        <w:tc>
          <w:tcPr>
            <w:tcW w:w="5103" w:type="dxa"/>
            <w:tcBorders>
              <w:top w:val="nil"/>
              <w:left w:val="nil"/>
              <w:bottom w:val="single" w:sz="8" w:space="0" w:color="auto"/>
              <w:right w:val="nil"/>
            </w:tcBorders>
            <w:shd w:val="clear" w:color="auto" w:fill="auto"/>
            <w:noWrap/>
            <w:vAlign w:val="center"/>
            <w:hideMark/>
          </w:tcPr>
          <w:p w14:paraId="2426F17C" w14:textId="77777777" w:rsidR="00CB3C45" w:rsidRPr="009F1299" w:rsidRDefault="00CB3C45" w:rsidP="00842F2E">
            <w:pPr>
              <w:spacing w:after="0" w:line="240" w:lineRule="auto"/>
              <w:jc w:val="left"/>
              <w:rPr>
                <w:rFonts w:eastAsia="Times New Roman" w:cs="Times New Roman"/>
                <w:color w:val="000000"/>
                <w:sz w:val="18"/>
                <w:szCs w:val="18"/>
                <w:lang w:eastAsia="sk-SK"/>
              </w:rPr>
            </w:pPr>
            <w:r w:rsidRPr="009F1299">
              <w:rPr>
                <w:rFonts w:eastAsia="Times New Roman" w:cs="Times New Roman"/>
                <w:color w:val="000000"/>
                <w:sz w:val="18"/>
                <w:szCs w:val="18"/>
                <w:lang w:eastAsia="sk-SK"/>
              </w:rPr>
              <w:t>Zdravotné odvody (EAO + dlžné)</w:t>
            </w:r>
          </w:p>
        </w:tc>
        <w:tc>
          <w:tcPr>
            <w:tcW w:w="1134" w:type="dxa"/>
            <w:tcBorders>
              <w:top w:val="nil"/>
              <w:left w:val="nil"/>
              <w:bottom w:val="single" w:sz="8" w:space="0" w:color="auto"/>
              <w:right w:val="nil"/>
            </w:tcBorders>
            <w:shd w:val="clear" w:color="auto" w:fill="auto"/>
            <w:noWrap/>
            <w:vAlign w:val="center"/>
            <w:hideMark/>
          </w:tcPr>
          <w:p w14:paraId="050AF12D"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3 973 589</w:t>
            </w:r>
          </w:p>
        </w:tc>
        <w:tc>
          <w:tcPr>
            <w:tcW w:w="1276" w:type="dxa"/>
            <w:tcBorders>
              <w:top w:val="nil"/>
              <w:left w:val="nil"/>
              <w:bottom w:val="single" w:sz="8" w:space="0" w:color="auto"/>
              <w:right w:val="nil"/>
            </w:tcBorders>
            <w:shd w:val="clear" w:color="auto" w:fill="BFBFBF" w:themeFill="background1" w:themeFillShade="BF"/>
            <w:noWrap/>
            <w:vAlign w:val="center"/>
            <w:hideMark/>
          </w:tcPr>
          <w:p w14:paraId="0FD2F7A2"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4 070 876</w:t>
            </w:r>
          </w:p>
        </w:tc>
        <w:tc>
          <w:tcPr>
            <w:tcW w:w="992" w:type="dxa"/>
            <w:tcBorders>
              <w:top w:val="nil"/>
              <w:left w:val="nil"/>
              <w:bottom w:val="single" w:sz="8" w:space="0" w:color="auto"/>
              <w:right w:val="nil"/>
            </w:tcBorders>
            <w:shd w:val="clear" w:color="auto" w:fill="auto"/>
            <w:noWrap/>
            <w:vAlign w:val="center"/>
            <w:hideMark/>
          </w:tcPr>
          <w:p w14:paraId="2B72C2BE" w14:textId="77777777" w:rsidR="00CB3C45" w:rsidRPr="009F1299" w:rsidRDefault="00CB3C45" w:rsidP="00842F2E">
            <w:pPr>
              <w:spacing w:after="0" w:line="240" w:lineRule="auto"/>
              <w:jc w:val="right"/>
              <w:rPr>
                <w:rFonts w:eastAsia="Times New Roman" w:cs="Times New Roman"/>
                <w:color w:val="000000"/>
                <w:sz w:val="18"/>
                <w:szCs w:val="18"/>
                <w:lang w:eastAsia="sk-SK"/>
              </w:rPr>
            </w:pPr>
            <w:r w:rsidRPr="009F1299">
              <w:rPr>
                <w:rFonts w:eastAsia="Times New Roman" w:cs="Times New Roman"/>
                <w:color w:val="000000"/>
                <w:sz w:val="18"/>
                <w:szCs w:val="18"/>
                <w:lang w:eastAsia="sk-SK"/>
              </w:rPr>
              <w:t>97 287</w:t>
            </w:r>
          </w:p>
        </w:tc>
      </w:tr>
      <w:tr w:rsidR="00CB3C45" w:rsidRPr="009F1299" w14:paraId="518718D6" w14:textId="77777777" w:rsidTr="00701B52">
        <w:trPr>
          <w:trHeight w:val="315"/>
          <w:jc w:val="center"/>
        </w:trPr>
        <w:tc>
          <w:tcPr>
            <w:tcW w:w="5103" w:type="dxa"/>
            <w:tcBorders>
              <w:top w:val="nil"/>
              <w:left w:val="nil"/>
              <w:bottom w:val="single" w:sz="8" w:space="0" w:color="auto"/>
              <w:right w:val="nil"/>
            </w:tcBorders>
            <w:shd w:val="clear" w:color="auto" w:fill="auto"/>
            <w:noWrap/>
            <w:vAlign w:val="center"/>
            <w:hideMark/>
          </w:tcPr>
          <w:p w14:paraId="2BABFA42" w14:textId="77777777" w:rsidR="00CB3C45" w:rsidRPr="009F1299" w:rsidRDefault="00CB3C45" w:rsidP="00842F2E">
            <w:pPr>
              <w:spacing w:after="0" w:line="240" w:lineRule="auto"/>
              <w:jc w:val="left"/>
              <w:rPr>
                <w:rFonts w:eastAsia="Times New Roman" w:cs="Times New Roman"/>
                <w:b/>
                <w:bCs/>
                <w:color w:val="000000"/>
                <w:sz w:val="18"/>
                <w:szCs w:val="18"/>
                <w:lang w:eastAsia="sk-SK"/>
              </w:rPr>
            </w:pPr>
            <w:r w:rsidRPr="009F1299">
              <w:rPr>
                <w:rFonts w:eastAsia="Times New Roman" w:cs="Times New Roman"/>
                <w:b/>
                <w:bCs/>
                <w:color w:val="000000"/>
                <w:sz w:val="18"/>
                <w:szCs w:val="18"/>
                <w:lang w:eastAsia="sk-SK"/>
              </w:rPr>
              <w:t xml:space="preserve">Fondy sociálneho zabezpečenia </w:t>
            </w:r>
          </w:p>
        </w:tc>
        <w:tc>
          <w:tcPr>
            <w:tcW w:w="1134" w:type="dxa"/>
            <w:tcBorders>
              <w:top w:val="nil"/>
              <w:left w:val="nil"/>
              <w:bottom w:val="single" w:sz="8" w:space="0" w:color="auto"/>
              <w:right w:val="nil"/>
            </w:tcBorders>
            <w:shd w:val="clear" w:color="auto" w:fill="auto"/>
            <w:noWrap/>
            <w:vAlign w:val="center"/>
            <w:hideMark/>
          </w:tcPr>
          <w:p w14:paraId="7FAC7A88" w14:textId="77777777" w:rsidR="00CB3C45" w:rsidRPr="009F1299" w:rsidRDefault="00CB3C45" w:rsidP="00842F2E">
            <w:pPr>
              <w:spacing w:after="0" w:line="240" w:lineRule="auto"/>
              <w:jc w:val="right"/>
              <w:rPr>
                <w:rFonts w:eastAsia="Times New Roman" w:cs="Times New Roman"/>
                <w:b/>
                <w:bCs/>
                <w:color w:val="000000"/>
                <w:sz w:val="18"/>
                <w:szCs w:val="18"/>
                <w:lang w:eastAsia="sk-SK"/>
              </w:rPr>
            </w:pPr>
            <w:r w:rsidRPr="009F1299">
              <w:rPr>
                <w:rFonts w:eastAsia="Times New Roman" w:cs="Times New Roman"/>
                <w:b/>
                <w:bCs/>
                <w:color w:val="000000"/>
                <w:sz w:val="18"/>
                <w:szCs w:val="18"/>
                <w:lang w:eastAsia="sk-SK"/>
              </w:rPr>
              <w:t>12 043 380</w:t>
            </w:r>
          </w:p>
        </w:tc>
        <w:tc>
          <w:tcPr>
            <w:tcW w:w="1276" w:type="dxa"/>
            <w:tcBorders>
              <w:top w:val="nil"/>
              <w:left w:val="nil"/>
              <w:bottom w:val="single" w:sz="8" w:space="0" w:color="auto"/>
              <w:right w:val="nil"/>
            </w:tcBorders>
            <w:shd w:val="clear" w:color="auto" w:fill="BFBFBF" w:themeFill="background1" w:themeFillShade="BF"/>
            <w:noWrap/>
            <w:vAlign w:val="center"/>
            <w:hideMark/>
          </w:tcPr>
          <w:p w14:paraId="16E5BB54" w14:textId="77777777" w:rsidR="00CB3C45" w:rsidRPr="009F1299" w:rsidRDefault="00CB3C45" w:rsidP="00842F2E">
            <w:pPr>
              <w:spacing w:after="0" w:line="240" w:lineRule="auto"/>
              <w:jc w:val="right"/>
              <w:rPr>
                <w:rFonts w:eastAsia="Times New Roman" w:cs="Times New Roman"/>
                <w:b/>
                <w:bCs/>
                <w:color w:val="000000"/>
                <w:sz w:val="18"/>
                <w:szCs w:val="18"/>
                <w:lang w:eastAsia="sk-SK"/>
              </w:rPr>
            </w:pPr>
            <w:r w:rsidRPr="009F1299">
              <w:rPr>
                <w:rFonts w:eastAsia="Times New Roman" w:cs="Times New Roman"/>
                <w:b/>
                <w:bCs/>
                <w:color w:val="000000"/>
                <w:sz w:val="18"/>
                <w:szCs w:val="18"/>
                <w:lang w:eastAsia="sk-SK"/>
              </w:rPr>
              <w:t>12 329 022</w:t>
            </w:r>
          </w:p>
        </w:tc>
        <w:tc>
          <w:tcPr>
            <w:tcW w:w="992" w:type="dxa"/>
            <w:tcBorders>
              <w:top w:val="nil"/>
              <w:left w:val="nil"/>
              <w:bottom w:val="single" w:sz="8" w:space="0" w:color="auto"/>
              <w:right w:val="nil"/>
            </w:tcBorders>
            <w:shd w:val="clear" w:color="auto" w:fill="auto"/>
            <w:noWrap/>
            <w:vAlign w:val="center"/>
            <w:hideMark/>
          </w:tcPr>
          <w:p w14:paraId="06504C2D" w14:textId="77777777" w:rsidR="00CB3C45" w:rsidRPr="009F1299" w:rsidRDefault="00CB3C45" w:rsidP="00842F2E">
            <w:pPr>
              <w:spacing w:after="0" w:line="240" w:lineRule="auto"/>
              <w:jc w:val="right"/>
              <w:rPr>
                <w:rFonts w:eastAsia="Times New Roman" w:cs="Times New Roman"/>
                <w:b/>
                <w:bCs/>
                <w:color w:val="000000"/>
                <w:sz w:val="18"/>
                <w:szCs w:val="18"/>
                <w:lang w:eastAsia="sk-SK"/>
              </w:rPr>
            </w:pPr>
            <w:r w:rsidRPr="009F1299">
              <w:rPr>
                <w:rFonts w:eastAsia="Times New Roman" w:cs="Times New Roman"/>
                <w:b/>
                <w:bCs/>
                <w:color w:val="000000"/>
                <w:sz w:val="18"/>
                <w:szCs w:val="18"/>
                <w:lang w:eastAsia="sk-SK"/>
              </w:rPr>
              <w:t>285 642</w:t>
            </w:r>
          </w:p>
        </w:tc>
      </w:tr>
      <w:tr w:rsidR="00CB3C45" w:rsidRPr="009F1299" w14:paraId="10AD2098" w14:textId="77777777" w:rsidTr="00701B52">
        <w:trPr>
          <w:trHeight w:val="345"/>
          <w:jc w:val="center"/>
        </w:trPr>
        <w:tc>
          <w:tcPr>
            <w:tcW w:w="5103" w:type="dxa"/>
            <w:tcBorders>
              <w:top w:val="nil"/>
              <w:left w:val="nil"/>
              <w:bottom w:val="single" w:sz="8" w:space="0" w:color="auto"/>
              <w:right w:val="nil"/>
            </w:tcBorders>
            <w:shd w:val="clear" w:color="auto" w:fill="auto"/>
            <w:noWrap/>
            <w:vAlign w:val="center"/>
            <w:hideMark/>
          </w:tcPr>
          <w:p w14:paraId="46D0B650" w14:textId="77777777" w:rsidR="00CB3C45" w:rsidRPr="009F1299" w:rsidRDefault="00CB3C45" w:rsidP="00842F2E">
            <w:pPr>
              <w:spacing w:after="0" w:line="240" w:lineRule="auto"/>
              <w:jc w:val="left"/>
              <w:rPr>
                <w:rFonts w:eastAsia="Times New Roman" w:cs="Times New Roman"/>
                <w:b/>
                <w:bCs/>
                <w:color w:val="000000"/>
                <w:sz w:val="18"/>
                <w:szCs w:val="18"/>
                <w:lang w:eastAsia="sk-SK"/>
              </w:rPr>
            </w:pPr>
            <w:r w:rsidRPr="009F1299">
              <w:rPr>
                <w:rFonts w:eastAsia="Times New Roman" w:cs="Times New Roman"/>
                <w:b/>
                <w:bCs/>
                <w:color w:val="000000"/>
                <w:sz w:val="18"/>
                <w:szCs w:val="18"/>
                <w:lang w:eastAsia="sk-SK"/>
              </w:rPr>
              <w:t>Daňové a odvodové príjmy spolu</w:t>
            </w:r>
          </w:p>
        </w:tc>
        <w:tc>
          <w:tcPr>
            <w:tcW w:w="1134" w:type="dxa"/>
            <w:tcBorders>
              <w:top w:val="nil"/>
              <w:left w:val="nil"/>
              <w:bottom w:val="single" w:sz="8" w:space="0" w:color="auto"/>
              <w:right w:val="nil"/>
            </w:tcBorders>
            <w:shd w:val="clear" w:color="auto" w:fill="auto"/>
            <w:noWrap/>
            <w:vAlign w:val="center"/>
            <w:hideMark/>
          </w:tcPr>
          <w:p w14:paraId="4FEEFC78" w14:textId="77777777" w:rsidR="00CB3C45" w:rsidRPr="009F1299" w:rsidRDefault="00CB3C45" w:rsidP="00842F2E">
            <w:pPr>
              <w:spacing w:after="0" w:line="240" w:lineRule="auto"/>
              <w:jc w:val="right"/>
              <w:rPr>
                <w:rFonts w:eastAsia="Times New Roman" w:cs="Times New Roman"/>
                <w:b/>
                <w:bCs/>
                <w:color w:val="000000"/>
                <w:sz w:val="18"/>
                <w:szCs w:val="18"/>
                <w:lang w:eastAsia="sk-SK"/>
              </w:rPr>
            </w:pPr>
            <w:r w:rsidRPr="009F1299">
              <w:rPr>
                <w:rFonts w:eastAsia="Times New Roman" w:cs="Times New Roman"/>
                <w:b/>
                <w:bCs/>
                <w:color w:val="000000"/>
                <w:sz w:val="18"/>
                <w:szCs w:val="18"/>
                <w:lang w:eastAsia="sk-SK"/>
              </w:rPr>
              <w:t>27 427 594</w:t>
            </w:r>
          </w:p>
        </w:tc>
        <w:tc>
          <w:tcPr>
            <w:tcW w:w="1276" w:type="dxa"/>
            <w:tcBorders>
              <w:top w:val="nil"/>
              <w:left w:val="nil"/>
              <w:bottom w:val="single" w:sz="8" w:space="0" w:color="auto"/>
              <w:right w:val="nil"/>
            </w:tcBorders>
            <w:shd w:val="clear" w:color="auto" w:fill="BFBFBF" w:themeFill="background1" w:themeFillShade="BF"/>
            <w:noWrap/>
            <w:vAlign w:val="center"/>
            <w:hideMark/>
          </w:tcPr>
          <w:p w14:paraId="1E586688" w14:textId="77777777" w:rsidR="00CB3C45" w:rsidRPr="009F1299" w:rsidRDefault="00CB3C45" w:rsidP="00842F2E">
            <w:pPr>
              <w:spacing w:after="0" w:line="240" w:lineRule="auto"/>
              <w:jc w:val="right"/>
              <w:rPr>
                <w:rFonts w:eastAsia="Times New Roman" w:cs="Times New Roman"/>
                <w:b/>
                <w:bCs/>
                <w:color w:val="000000"/>
                <w:sz w:val="18"/>
                <w:szCs w:val="18"/>
                <w:lang w:eastAsia="sk-SK"/>
              </w:rPr>
            </w:pPr>
            <w:r w:rsidRPr="009F1299">
              <w:rPr>
                <w:rFonts w:eastAsia="Times New Roman" w:cs="Times New Roman"/>
                <w:b/>
                <w:bCs/>
                <w:color w:val="000000"/>
                <w:sz w:val="18"/>
                <w:szCs w:val="18"/>
                <w:lang w:eastAsia="sk-SK"/>
              </w:rPr>
              <w:t>28 530 406</w:t>
            </w:r>
          </w:p>
        </w:tc>
        <w:tc>
          <w:tcPr>
            <w:tcW w:w="992" w:type="dxa"/>
            <w:tcBorders>
              <w:top w:val="nil"/>
              <w:left w:val="nil"/>
              <w:bottom w:val="single" w:sz="8" w:space="0" w:color="auto"/>
              <w:right w:val="nil"/>
            </w:tcBorders>
            <w:shd w:val="clear" w:color="auto" w:fill="auto"/>
            <w:noWrap/>
            <w:vAlign w:val="center"/>
            <w:hideMark/>
          </w:tcPr>
          <w:p w14:paraId="40622834" w14:textId="77777777" w:rsidR="00CB3C45" w:rsidRPr="009F1299" w:rsidRDefault="00CB3C45" w:rsidP="00842F2E">
            <w:pPr>
              <w:spacing w:after="0" w:line="240" w:lineRule="auto"/>
              <w:jc w:val="right"/>
              <w:rPr>
                <w:rFonts w:eastAsia="Times New Roman" w:cs="Times New Roman"/>
                <w:b/>
                <w:bCs/>
                <w:color w:val="000000"/>
                <w:sz w:val="18"/>
                <w:szCs w:val="18"/>
                <w:lang w:eastAsia="sk-SK"/>
              </w:rPr>
            </w:pPr>
            <w:r w:rsidRPr="009F1299">
              <w:rPr>
                <w:rFonts w:eastAsia="Times New Roman" w:cs="Times New Roman"/>
                <w:b/>
                <w:bCs/>
                <w:color w:val="000000"/>
                <w:sz w:val="18"/>
                <w:szCs w:val="18"/>
                <w:lang w:eastAsia="sk-SK"/>
              </w:rPr>
              <w:t>1 102 812</w:t>
            </w:r>
          </w:p>
        </w:tc>
      </w:tr>
    </w:tbl>
    <w:p w14:paraId="5CC8288E" w14:textId="2A3192CA" w:rsidR="00CB3C45" w:rsidRPr="009F1299" w:rsidRDefault="00CB3C45" w:rsidP="00CB3C45">
      <w:pPr>
        <w:spacing w:after="0" w:line="240" w:lineRule="auto"/>
        <w:jc w:val="left"/>
        <w:rPr>
          <w:rFonts w:cs="Times New Roman"/>
          <w:sz w:val="18"/>
          <w:szCs w:val="18"/>
        </w:rPr>
      </w:pPr>
      <w:r w:rsidRPr="009F1299">
        <w:rPr>
          <w:rFonts w:cs="Times New Roman"/>
          <w:sz w:val="18"/>
          <w:szCs w:val="18"/>
        </w:rPr>
        <w:t xml:space="preserve">1) Príspevky na sociálne zabezpečenie neobsahujú okrem štátom plateného poistného            </w:t>
      </w:r>
      <w:r w:rsidR="00AB488C">
        <w:rPr>
          <w:rFonts w:cs="Times New Roman"/>
          <w:sz w:val="18"/>
          <w:szCs w:val="18"/>
        </w:rPr>
        <w:t xml:space="preserve">        </w:t>
      </w:r>
      <w:r w:rsidRPr="009F1299">
        <w:rPr>
          <w:rFonts w:cs="Times New Roman"/>
          <w:sz w:val="18"/>
          <w:szCs w:val="18"/>
        </w:rPr>
        <w:t xml:space="preserve">         Zdroj: IFP, MF SR</w:t>
      </w:r>
    </w:p>
    <w:p w14:paraId="05C8B86A" w14:textId="77777777" w:rsidR="00CB3C45" w:rsidRPr="009F1299" w:rsidRDefault="00CB3C45" w:rsidP="00CB3C45">
      <w:pPr>
        <w:spacing w:after="0" w:line="240" w:lineRule="auto"/>
        <w:jc w:val="left"/>
        <w:rPr>
          <w:rFonts w:cs="Times New Roman"/>
          <w:sz w:val="18"/>
          <w:szCs w:val="18"/>
        </w:rPr>
      </w:pPr>
      <w:r w:rsidRPr="009F1299">
        <w:rPr>
          <w:rFonts w:cs="Times New Roman"/>
          <w:sz w:val="18"/>
          <w:szCs w:val="18"/>
        </w:rPr>
        <w:t xml:space="preserve">      aj príjmy z odvodov za ozbrojené zložky, poistné na starobné poistenie zo SP, </w:t>
      </w:r>
    </w:p>
    <w:p w14:paraId="00577269" w14:textId="77777777" w:rsidR="00CB3C45" w:rsidRPr="009F1299" w:rsidRDefault="00CB3C45" w:rsidP="00CB3C45">
      <w:pPr>
        <w:spacing w:after="0" w:line="240" w:lineRule="auto"/>
        <w:jc w:val="left"/>
        <w:rPr>
          <w:rFonts w:cs="Times New Roman"/>
          <w:sz w:val="18"/>
          <w:szCs w:val="18"/>
        </w:rPr>
      </w:pPr>
      <w:r w:rsidRPr="009F1299">
        <w:rPr>
          <w:rFonts w:cs="Times New Roman"/>
          <w:sz w:val="18"/>
          <w:szCs w:val="18"/>
        </w:rPr>
        <w:t xml:space="preserve">      penále a imputované poistné.</w:t>
      </w:r>
    </w:p>
    <w:p w14:paraId="35CCC697" w14:textId="77777777" w:rsidR="00CB3C45" w:rsidRPr="009F1299" w:rsidRDefault="00CB3C45" w:rsidP="00CB3C45">
      <w:pPr>
        <w:spacing w:line="240" w:lineRule="auto"/>
        <w:jc w:val="left"/>
        <w:rPr>
          <w:rFonts w:cs="Times New Roman"/>
          <w:sz w:val="18"/>
          <w:szCs w:val="18"/>
        </w:rPr>
      </w:pPr>
      <w:r w:rsidRPr="009F1299">
        <w:rPr>
          <w:rFonts w:cs="Times New Roman"/>
          <w:sz w:val="18"/>
          <w:szCs w:val="18"/>
        </w:rPr>
        <w:t>2) Zdravotné odvody neobsahujú štátom platené poistné</w:t>
      </w:r>
    </w:p>
    <w:p w14:paraId="0BEB5B4A" w14:textId="77777777" w:rsidR="00CB3C45" w:rsidRPr="004A5951" w:rsidRDefault="00CB3C45" w:rsidP="004A5951">
      <w:pPr>
        <w:spacing w:before="120" w:line="240" w:lineRule="auto"/>
        <w:rPr>
          <w:sz w:val="24"/>
          <w:szCs w:val="24"/>
        </w:rPr>
      </w:pPr>
      <w:r w:rsidRPr="004A5951">
        <w:rPr>
          <w:sz w:val="24"/>
          <w:szCs w:val="24"/>
        </w:rPr>
        <w:t xml:space="preserve">V prípade </w:t>
      </w:r>
      <w:r w:rsidRPr="004A5951">
        <w:rPr>
          <w:b/>
          <w:sz w:val="24"/>
          <w:szCs w:val="24"/>
        </w:rPr>
        <w:t>dane z príjmov fyzických osôb</w:t>
      </w:r>
      <w:r w:rsidRPr="004A5951">
        <w:rPr>
          <w:sz w:val="24"/>
          <w:szCs w:val="24"/>
        </w:rPr>
        <w:t xml:space="preserve"> (DPFO) sa na celkovom rozdiele oproti rozpočtu vo výške 118 571 tis. eur podieľal najmä výber DPFO zo závislej činnosti v sume 119 864 tis. eur. K vyššiemu výnosu prispel najmä odolnejší trh práce aj vyšší výber dane spôsobený tichým zdanením. Výnos DPFO z podnikania</w:t>
      </w:r>
      <w:r w:rsidRPr="004A5951">
        <w:rPr>
          <w:rStyle w:val="Odkaznapoznmkupodiarou"/>
          <w:sz w:val="24"/>
          <w:szCs w:val="24"/>
        </w:rPr>
        <w:footnoteReference w:id="10"/>
      </w:r>
      <w:r w:rsidRPr="004A5951">
        <w:rPr>
          <w:sz w:val="24"/>
          <w:szCs w:val="24"/>
        </w:rPr>
        <w:t xml:space="preserve"> je mierne pod úrovňou rozpočtu 2020 z dôvodu ekonomickej neistoty v tejto dani spôsobenej pandémiou. </w:t>
      </w:r>
    </w:p>
    <w:p w14:paraId="5F19CBDF" w14:textId="77777777" w:rsidR="00CB3C45" w:rsidRPr="004A5951" w:rsidRDefault="00CB3C45" w:rsidP="004A5951">
      <w:pPr>
        <w:spacing w:line="240" w:lineRule="auto"/>
        <w:rPr>
          <w:sz w:val="24"/>
          <w:szCs w:val="24"/>
        </w:rPr>
      </w:pPr>
      <w:r w:rsidRPr="004A5951">
        <w:rPr>
          <w:sz w:val="24"/>
          <w:szCs w:val="24"/>
        </w:rPr>
        <w:t xml:space="preserve">Výnos </w:t>
      </w:r>
      <w:r w:rsidRPr="004A5951">
        <w:rPr>
          <w:b/>
          <w:sz w:val="24"/>
          <w:szCs w:val="24"/>
        </w:rPr>
        <w:t>dane z príjmov právnických osôb</w:t>
      </w:r>
      <w:r w:rsidRPr="004A5951">
        <w:rPr>
          <w:sz w:val="24"/>
          <w:szCs w:val="24"/>
          <w:vertAlign w:val="superscript"/>
        </w:rPr>
        <w:footnoteReference w:id="11"/>
      </w:r>
      <w:r w:rsidRPr="004A5951">
        <w:rPr>
          <w:sz w:val="24"/>
          <w:szCs w:val="24"/>
          <w:vertAlign w:val="superscript"/>
        </w:rPr>
        <w:t xml:space="preserve"> </w:t>
      </w:r>
      <w:r w:rsidRPr="004A5951">
        <w:rPr>
          <w:sz w:val="24"/>
          <w:szCs w:val="24"/>
        </w:rPr>
        <w:t xml:space="preserve">za rok 2020 je oproti rozpočtu vyšší o 215 082 tis. eur. Dôvodom je revízia makroekonomických predpokladov na rok 2020. Prepad ekonomiky v roku 2020 sa javí byť nižší ako sa pôvodne očakávalo. To má pozitívny vplyv na očakávaný výnos DPPO. </w:t>
      </w:r>
    </w:p>
    <w:p w14:paraId="7BAF075E" w14:textId="77777777" w:rsidR="00CB3C45" w:rsidRPr="004A5951" w:rsidRDefault="00CB3C45" w:rsidP="004A5951">
      <w:pPr>
        <w:spacing w:line="240" w:lineRule="auto"/>
        <w:rPr>
          <w:sz w:val="24"/>
          <w:szCs w:val="24"/>
          <w:highlight w:val="yellow"/>
        </w:rPr>
      </w:pPr>
      <w:r w:rsidRPr="004A5951">
        <w:rPr>
          <w:sz w:val="24"/>
          <w:szCs w:val="24"/>
        </w:rPr>
        <w:t xml:space="preserve">Výnos </w:t>
      </w:r>
      <w:r w:rsidRPr="004A5951">
        <w:rPr>
          <w:b/>
          <w:sz w:val="24"/>
          <w:szCs w:val="24"/>
        </w:rPr>
        <w:t>dane z pridanej hodnoty</w:t>
      </w:r>
      <w:r w:rsidRPr="004A5951">
        <w:rPr>
          <w:rStyle w:val="Odkaznapoznmkupodiarou"/>
          <w:sz w:val="24"/>
          <w:szCs w:val="24"/>
        </w:rPr>
        <w:footnoteReference w:id="12"/>
      </w:r>
      <w:r w:rsidRPr="004A5951">
        <w:rPr>
          <w:sz w:val="24"/>
          <w:szCs w:val="24"/>
        </w:rPr>
        <w:t xml:space="preserve"> je oproti rozpočtu vyšší o 473 107 tis. eur. Vyšší výnos ide plne na vrub spotreby domácností. Tá sa napriek pandémii neprepadla na rozdiel od susedných krajín alebo ďalších krajín EÚ. K stabilnému výnosu DPH prispela pokračujúca úspešnosť výberu, kde nenastal podobný pokles ako v kríze 2009. Rovnako aj daňová medzera DPH za rok 2020, ktorá je indikátorom efektivity výberu, ostala medzi rokmi 2019 a 2020 stabilná.</w:t>
      </w:r>
    </w:p>
    <w:p w14:paraId="04BAADCB" w14:textId="77777777" w:rsidR="00CB3C45" w:rsidRPr="004A5951" w:rsidRDefault="00CB3C45" w:rsidP="004A5951">
      <w:pPr>
        <w:spacing w:line="240" w:lineRule="auto"/>
        <w:rPr>
          <w:sz w:val="24"/>
          <w:szCs w:val="24"/>
        </w:rPr>
      </w:pPr>
      <w:r w:rsidRPr="004A5951">
        <w:rPr>
          <w:sz w:val="24"/>
          <w:szCs w:val="24"/>
        </w:rPr>
        <w:t xml:space="preserve">Výnos </w:t>
      </w:r>
      <w:r w:rsidRPr="004A5951">
        <w:rPr>
          <w:b/>
          <w:sz w:val="24"/>
          <w:szCs w:val="24"/>
        </w:rPr>
        <w:t>spotrebných daní</w:t>
      </w:r>
      <w:r w:rsidRPr="004A5951">
        <w:rPr>
          <w:sz w:val="24"/>
          <w:szCs w:val="24"/>
        </w:rPr>
        <w:t xml:space="preserve"> za rok 2020 je oproti rozpočtu vyšší o 35 520 tis. eur. Jedinou spotrebnou daňou, ktorá nepresiahla rozpočtovanú úroveň, je spotrebná daň z tabakových výrobkov. Jej výnos je o 12 188 tis. eur nižší, čo súvisí najmä s nezaplatením dane na konci roka približne vo výške 20 000 tis. eur. Spotrebná daň z minerálneho oleja zaznamenala výnos vyšší o 30 508 tis. eur. Ekonomická aktivita bola v 2. polroku silnejšia než sa očakávalo pri tvorbe rozpočtu. Ostatné spotrebné dane sa vyvíjali približne v súlade s rozpočtom.</w:t>
      </w:r>
    </w:p>
    <w:p w14:paraId="08A9F5FA" w14:textId="77777777" w:rsidR="00CB3C45" w:rsidRPr="004A5951" w:rsidRDefault="00CB3C45" w:rsidP="004A5951">
      <w:pPr>
        <w:spacing w:line="240" w:lineRule="auto"/>
        <w:rPr>
          <w:sz w:val="24"/>
          <w:szCs w:val="24"/>
        </w:rPr>
      </w:pPr>
      <w:r w:rsidRPr="004A5951">
        <w:rPr>
          <w:b/>
          <w:sz w:val="24"/>
          <w:szCs w:val="24"/>
        </w:rPr>
        <w:t>Osobitný odvod z regulovaných odvetví</w:t>
      </w:r>
      <w:r w:rsidRPr="004A5951">
        <w:rPr>
          <w:rStyle w:val="Odkaznapoznmkupodiarou"/>
          <w:sz w:val="24"/>
          <w:szCs w:val="24"/>
        </w:rPr>
        <w:footnoteReference w:id="13"/>
      </w:r>
      <w:r w:rsidRPr="004A5951">
        <w:rPr>
          <w:sz w:val="24"/>
          <w:szCs w:val="24"/>
        </w:rPr>
        <w:t xml:space="preserve"> sa vyvíjal takmer v súlade s rozpočtovanou hodnotou a </w:t>
      </w:r>
      <w:r w:rsidRPr="004A5951">
        <w:rPr>
          <w:b/>
          <w:sz w:val="24"/>
          <w:szCs w:val="24"/>
        </w:rPr>
        <w:t xml:space="preserve">osobitný odvod z vybraných finančných inštitúcií </w:t>
      </w:r>
      <w:r w:rsidRPr="004A5951">
        <w:rPr>
          <w:sz w:val="24"/>
          <w:szCs w:val="24"/>
        </w:rPr>
        <w:t>bol od druhej polovice roka 2020 zrušený.</w:t>
      </w:r>
    </w:p>
    <w:p w14:paraId="7B4E3841" w14:textId="77777777" w:rsidR="00CB3C45" w:rsidRPr="004A5951" w:rsidRDefault="00CB3C45" w:rsidP="004A5951">
      <w:pPr>
        <w:spacing w:line="240" w:lineRule="auto"/>
        <w:rPr>
          <w:sz w:val="24"/>
          <w:szCs w:val="24"/>
        </w:rPr>
      </w:pPr>
      <w:r w:rsidRPr="004A5951">
        <w:rPr>
          <w:sz w:val="24"/>
          <w:szCs w:val="24"/>
        </w:rPr>
        <w:t xml:space="preserve">Výnos </w:t>
      </w:r>
      <w:r w:rsidRPr="00F01243">
        <w:rPr>
          <w:b/>
          <w:color w:val="5B9BD5" w:themeColor="accent1"/>
          <w:sz w:val="24"/>
          <w:szCs w:val="24"/>
        </w:rPr>
        <w:t>sociálnych aj zdravotných odvodov</w:t>
      </w:r>
      <w:r w:rsidRPr="00F01243">
        <w:rPr>
          <w:color w:val="5B9BD5" w:themeColor="accent1"/>
          <w:sz w:val="24"/>
          <w:szCs w:val="24"/>
        </w:rPr>
        <w:t xml:space="preserve"> </w:t>
      </w:r>
      <w:r w:rsidRPr="004A5951">
        <w:rPr>
          <w:sz w:val="24"/>
          <w:szCs w:val="24"/>
        </w:rPr>
        <w:t>bol pozitívne ovplyvnený najmä silnejším vývojom na trhu práce. Pri zdravotných odvodoch sa lepšie makroekonomické prostredie premietlo do skutočného plnenia, ktoré bolo v roku 2020 vyššie o 97 287 tis. eur oproti rozpočtovým predpokladom. Akruálny výnos sociálnych odvodov prevýšil rozpočtovanú sumu o 188 355 tis. eur. Z toho 26 214 tis. eur tvorí predpokladaná suma odložených sociálnych odvodov za mesiace roka 2020, ktoré sa splatia až v roku 2021. Tento výnos je akruálne priradený do roku 2020 napriek hotovostnému plneniu v roku 2021.</w:t>
      </w:r>
    </w:p>
    <w:p w14:paraId="02D11DE9" w14:textId="77777777" w:rsidR="00CB3C45" w:rsidRPr="004A5951" w:rsidRDefault="00CB3C45" w:rsidP="004A5951">
      <w:pPr>
        <w:spacing w:line="240" w:lineRule="auto"/>
        <w:rPr>
          <w:sz w:val="24"/>
          <w:szCs w:val="24"/>
        </w:rPr>
      </w:pPr>
      <w:r w:rsidRPr="004A5951">
        <w:rPr>
          <w:sz w:val="24"/>
          <w:szCs w:val="24"/>
          <w:u w:val="single"/>
        </w:rPr>
        <w:t>Pre základný obraz o vývoji ostatných príjmov ako aj výdavkov sú opisované nedaňové príjmy, granty a transfery, bežné výdavky a kapitálové výdavky na konsolidovanej báze. Vyčíslenie konsolidácie vzájomných príjmov a výdavkov medzi subjektmi verejnej správy sa uvádza na úrovni celej verejnej správy, bez konsolidácie na konkrétne subjekty verejnej správy.</w:t>
      </w:r>
      <w:r w:rsidRPr="004A5951">
        <w:rPr>
          <w:rStyle w:val="Odkaznapoznmkupodiarou"/>
          <w:sz w:val="24"/>
          <w:szCs w:val="24"/>
        </w:rPr>
        <w:footnoteReference w:id="14"/>
      </w:r>
      <w:r w:rsidRPr="004A5951">
        <w:rPr>
          <w:sz w:val="24"/>
          <w:szCs w:val="24"/>
        </w:rPr>
        <w:t xml:space="preserve"> </w:t>
      </w:r>
    </w:p>
    <w:p w14:paraId="2B7536B5" w14:textId="5031F157" w:rsidR="00CB3C45" w:rsidRPr="004A5951" w:rsidRDefault="00CB3C45" w:rsidP="004A5951">
      <w:pPr>
        <w:spacing w:line="240" w:lineRule="auto"/>
        <w:rPr>
          <w:sz w:val="24"/>
          <w:szCs w:val="24"/>
          <w:highlight w:val="yellow"/>
        </w:rPr>
      </w:pPr>
      <w:r w:rsidRPr="004A5951">
        <w:rPr>
          <w:b/>
          <w:sz w:val="24"/>
          <w:szCs w:val="24"/>
        </w:rPr>
        <w:t>Nedaňové príjmy</w:t>
      </w:r>
      <w:r w:rsidRPr="004A5951">
        <w:rPr>
          <w:sz w:val="24"/>
          <w:szCs w:val="24"/>
        </w:rPr>
        <w:t xml:space="preserve"> verejnej správy boli oproti rozpočtu na rok 2020 nižšie o 206 437 tis. eur. Na pokles nedaňových príjmov oproti rozpočtu malo negatívny vplyv zníženie hotovostných príjmov z podnikania a vlastníctva majetku (o 33 817 tis. eur), kapitálových príjmov (o 21</w:t>
      </w:r>
      <w:r w:rsidR="007B03D6">
        <w:rPr>
          <w:sz w:val="24"/>
          <w:szCs w:val="24"/>
        </w:rPr>
        <w:t> </w:t>
      </w:r>
      <w:r w:rsidRPr="004A5951">
        <w:rPr>
          <w:sz w:val="24"/>
          <w:szCs w:val="24"/>
        </w:rPr>
        <w:t>563</w:t>
      </w:r>
      <w:r w:rsidR="007B03D6">
        <w:rPr>
          <w:sz w:val="24"/>
          <w:szCs w:val="24"/>
        </w:rPr>
        <w:t> </w:t>
      </w:r>
      <w:r w:rsidRPr="004A5951">
        <w:rPr>
          <w:sz w:val="24"/>
          <w:szCs w:val="24"/>
        </w:rPr>
        <w:t>tis.</w:t>
      </w:r>
      <w:r w:rsidR="007B03D6">
        <w:rPr>
          <w:sz w:val="24"/>
          <w:szCs w:val="24"/>
        </w:rPr>
        <w:t> </w:t>
      </w:r>
      <w:r w:rsidRPr="004A5951">
        <w:rPr>
          <w:sz w:val="24"/>
          <w:szCs w:val="24"/>
        </w:rPr>
        <w:t>eur) a iných nedaňových príjmov (o</w:t>
      </w:r>
      <w:r w:rsidR="007B03D6">
        <w:rPr>
          <w:sz w:val="24"/>
          <w:szCs w:val="24"/>
        </w:rPr>
        <w:t> </w:t>
      </w:r>
      <w:r w:rsidRPr="004A5951">
        <w:rPr>
          <w:sz w:val="24"/>
          <w:szCs w:val="24"/>
        </w:rPr>
        <w:t>142 636 tis. eur). Naopak, vyššie ako rozpočtované boli príjmy z administratívnych a iných poplatkov (o 95 312 tis. eur) a úrokové príjmy (o</w:t>
      </w:r>
      <w:r w:rsidR="007B03D6">
        <w:rPr>
          <w:sz w:val="24"/>
          <w:szCs w:val="24"/>
        </w:rPr>
        <w:t> </w:t>
      </w:r>
      <w:r w:rsidRPr="004A5951">
        <w:rPr>
          <w:sz w:val="24"/>
          <w:szCs w:val="24"/>
        </w:rPr>
        <w:t>471 265 tis. eur). Negatívne na nedaňové príjmy vplývali aj úpravy v súlade s metodikou ESA 2010. Išlo najmä o transakcie so štátnym dlhom, napríklad časovo rozlíšené prijaté úroky v sume 336 833 tis. eur a úroky zo swapov v sume 77 504 tis. eur, ako aj vylúčenie príspevkov prevádzkovateľov jadrových zariadení z príjmov Národného jadrového fondu v sume 69 590 tis. eur, vylúčenie príjmov z predaja emisných kvót v sume 241 826 tis. eur, vylúčenie superdividendy z príjmov z vlastníctva majetku v sume 171 757 tis. eur.</w:t>
      </w:r>
    </w:p>
    <w:p w14:paraId="4AC08709" w14:textId="77777777" w:rsidR="00CB3C45" w:rsidRPr="004A5951" w:rsidRDefault="00CB3C45" w:rsidP="004A5951">
      <w:pPr>
        <w:spacing w:line="240" w:lineRule="auto"/>
        <w:rPr>
          <w:sz w:val="24"/>
          <w:szCs w:val="24"/>
        </w:rPr>
      </w:pPr>
      <w:r w:rsidRPr="004A5951">
        <w:rPr>
          <w:b/>
          <w:sz w:val="24"/>
          <w:szCs w:val="24"/>
        </w:rPr>
        <w:t>Granty a transfery</w:t>
      </w:r>
      <w:r w:rsidRPr="004A5951">
        <w:rPr>
          <w:sz w:val="24"/>
          <w:szCs w:val="24"/>
        </w:rPr>
        <w:t xml:space="preserve"> verejnej správy boli v porovnaní s rozpočtom nižšie o 410 338 tis. eur. Nekonsolidované granty a transfery vzrástli oproti rozpočtu o 376 670 tis. eur. Na tejto hodnote sa podieľali najmä obce sumou 399 533 tis. eur, zdravotnícke zariadenia sumou 147 930 tis. eur a verejné zdravotné poistenie sumou 197 800 tis. eur.  Naopak oproti rozpočtu klesli granty a transfery štátnych príspevkových organizácií o 135 160 tis. eur a Sociálnej poisťovne o 182 904 tis. eur. Obchodné spoločnosti štátu Národná diaľničná spoločnosť, a. s., Železničná spoločnosť Slovensko, a. s. a Železnice slovenskej republiky zaznamenali nižšie granty a transfery oproti rozpočtu spolu o 183 232 tis. eur v dôsledku nižšej refundácie investičných výdavkov v roku 2020.</w:t>
      </w:r>
    </w:p>
    <w:p w14:paraId="57094779" w14:textId="77777777" w:rsidR="00CB3C45" w:rsidRPr="004A5951" w:rsidRDefault="00CB3C45" w:rsidP="004A5951">
      <w:pPr>
        <w:spacing w:line="240" w:lineRule="auto"/>
        <w:rPr>
          <w:sz w:val="24"/>
          <w:szCs w:val="24"/>
        </w:rPr>
      </w:pPr>
      <w:r w:rsidRPr="004A5951">
        <w:rPr>
          <w:b/>
          <w:sz w:val="24"/>
          <w:szCs w:val="24"/>
        </w:rPr>
        <w:t>Bežné výdavky</w:t>
      </w:r>
      <w:r w:rsidRPr="004A5951">
        <w:rPr>
          <w:sz w:val="24"/>
          <w:szCs w:val="24"/>
        </w:rPr>
        <w:t xml:space="preserve"> verejnej správy boli nižšie o 3 673 177 tis. eur oproti rozpočtu. Pri výdavkoch na mzdy, ktoré dosiahli nárast oproti rozpočtu o 195 132 tis. eur, zaznamenali najväčší nárast zdravotnícke zariadenia o 50 936 tis. eur (z toho v ústrednej správe 37 133 tis. eur), obce o 34 278 tis. eur a VÚC o 11 919 tis. eur. S tým súvisel aj nárast výdavkov na poistné o 4 023 tis. eur v rámci celej verejnej správy. Na vývoj výdavkov na tovary a služby, ktoré v hotovostnom vyjadrení zaznamenali zníženie o 5 195 863 tis. eur oproti rozpočtu, malo do veľkej mieri vplyv čerpanie výdavkov v rámci konkrétnych výdavkových titulov, pričom sú rozpočtované v rámci bežných výdavkov (napr. zálohové platby na projekty EU a prostriedky štátneho rozpočtu na spolufinancovanie, ktorých zúčtovanie sa vykonáva na príslušných výdavkoch). Taktiež sa v rozpočte na rok 2020 očakávalo vyššie čerpanie výdavkov na krytie opatrení na boj proti pandémii COVID-19, ako sa skutočne dosiahlo. Na vývoj bežných výdavkov  vplýval aj odvod do rozpočtu EÚ v sume 877 392 tis. eur, ktorý bol oproti rozpočtu nižší o 35 810 tis. eur.</w:t>
      </w:r>
    </w:p>
    <w:p w14:paraId="1A07D9AE" w14:textId="77777777" w:rsidR="00CB3C45" w:rsidRPr="004A5951" w:rsidRDefault="00CB3C45" w:rsidP="004A5951">
      <w:pPr>
        <w:spacing w:line="240" w:lineRule="auto"/>
        <w:rPr>
          <w:sz w:val="24"/>
          <w:szCs w:val="24"/>
          <w:highlight w:val="yellow"/>
        </w:rPr>
      </w:pPr>
      <w:r w:rsidRPr="004A5951">
        <w:rPr>
          <w:b/>
          <w:sz w:val="24"/>
          <w:szCs w:val="24"/>
        </w:rPr>
        <w:t>Kapitálové výdavky</w:t>
      </w:r>
      <w:r w:rsidRPr="004A5951">
        <w:rPr>
          <w:sz w:val="24"/>
          <w:szCs w:val="24"/>
        </w:rPr>
        <w:t xml:space="preserve"> verejnej správy oproti rozpočtu na rok 2020 klesli o 500 443 tis. eur. Z toho výdavky na obstaranie kapitálových aktív klesli o 220 870 tis. eur, a to okrem štátneho rozpočtu aj u Národnej diaľničnej spoločnosti, a. s. o 122 202 tis. eur, u Železničnej spoločnosti Slovensko, a. s. o 69 044 tis. eur a u dopravných podnikov o 36 725 tis. eur.</w:t>
      </w:r>
    </w:p>
    <w:p w14:paraId="3A36B131" w14:textId="77777777" w:rsidR="00CB3C45" w:rsidRPr="004A5951" w:rsidRDefault="00CB3C45" w:rsidP="004A5951">
      <w:pPr>
        <w:spacing w:line="240" w:lineRule="auto"/>
        <w:rPr>
          <w:sz w:val="24"/>
          <w:szCs w:val="24"/>
        </w:rPr>
      </w:pPr>
      <w:r w:rsidRPr="004A5951">
        <w:rPr>
          <w:sz w:val="24"/>
          <w:szCs w:val="24"/>
        </w:rPr>
        <w:t>Nasledujúca tabuľka poskytuje prehľad najvýznamnejších položiek (príjmov, výdavkov resp. výsledok hospodárenie subjektov verejnej správy) a ich vplyv na dosiahnuté saldo verejnej správy za rok 2020 oproti rozpočtu.</w:t>
      </w:r>
    </w:p>
    <w:p w14:paraId="5F387B7E" w14:textId="2CCC5B02" w:rsidR="00CB3C45" w:rsidRPr="004A5951" w:rsidRDefault="00CB3C45" w:rsidP="004A5951">
      <w:pPr>
        <w:spacing w:line="240" w:lineRule="auto"/>
        <w:rPr>
          <w:sz w:val="24"/>
          <w:szCs w:val="24"/>
          <w:highlight w:val="yellow"/>
        </w:rPr>
      </w:pPr>
      <w:r w:rsidRPr="004A5951">
        <w:rPr>
          <w:sz w:val="24"/>
          <w:szCs w:val="24"/>
        </w:rPr>
        <w:t xml:space="preserve">Vysvetlenie pozitívnej či negatívnej odchýlky od rozpočtu je v nasledujúcom texte pomocou opisu hotovostného plnenia rozpočtu resp. pri významných úpravách hotovostného plnenia aj pomocou vysvetlenia </w:t>
      </w:r>
      <w:proofErr w:type="spellStart"/>
      <w:r w:rsidRPr="004A5951">
        <w:rPr>
          <w:sz w:val="24"/>
          <w:szCs w:val="24"/>
        </w:rPr>
        <w:t>akrualizácie</w:t>
      </w:r>
      <w:proofErr w:type="spellEnd"/>
      <w:r w:rsidRPr="004A5951">
        <w:rPr>
          <w:sz w:val="24"/>
          <w:szCs w:val="24"/>
        </w:rPr>
        <w:t xml:space="preserve"> podľa metodiky ESA 2010.</w:t>
      </w:r>
      <w:r w:rsidRPr="004A5951">
        <w:rPr>
          <w:color w:val="FF0000"/>
          <w:sz w:val="24"/>
          <w:szCs w:val="24"/>
        </w:rPr>
        <w:t xml:space="preserve"> </w:t>
      </w:r>
      <w:r w:rsidRPr="004A5951">
        <w:rPr>
          <w:sz w:val="24"/>
          <w:szCs w:val="24"/>
        </w:rPr>
        <w:t xml:space="preserve">Výsledky hospodárenia podľa zložiek verejnej správy ako aj rozdiel medzi rozpočtom a skutočnosťou za rok 2020 sú uvedené v tabuľke na </w:t>
      </w:r>
      <w:r w:rsidRPr="008B1B98">
        <w:rPr>
          <w:sz w:val="24"/>
          <w:szCs w:val="24"/>
        </w:rPr>
        <w:t>strane 2</w:t>
      </w:r>
      <w:r w:rsidR="008B1B98" w:rsidRPr="008B1B98">
        <w:rPr>
          <w:sz w:val="24"/>
          <w:szCs w:val="24"/>
        </w:rPr>
        <w:t>8</w:t>
      </w:r>
      <w:r w:rsidRPr="008B1B98">
        <w:rPr>
          <w:sz w:val="24"/>
          <w:szCs w:val="24"/>
        </w:rPr>
        <w:t xml:space="preserve">. </w:t>
      </w:r>
    </w:p>
    <w:tbl>
      <w:tblPr>
        <w:tblW w:w="8538" w:type="dxa"/>
        <w:jc w:val="center"/>
        <w:tblCellMar>
          <w:left w:w="70" w:type="dxa"/>
          <w:right w:w="70" w:type="dxa"/>
        </w:tblCellMar>
        <w:tblLook w:val="04A0" w:firstRow="1" w:lastRow="0" w:firstColumn="1" w:lastColumn="0" w:noHBand="0" w:noVBand="1"/>
      </w:tblPr>
      <w:tblGrid>
        <w:gridCol w:w="5670"/>
        <w:gridCol w:w="1652"/>
        <w:gridCol w:w="1216"/>
      </w:tblGrid>
      <w:tr w:rsidR="00CB3C45" w:rsidRPr="004D3FB1" w14:paraId="677DB03B" w14:textId="77777777" w:rsidTr="00427D0F">
        <w:trPr>
          <w:trHeight w:val="330"/>
          <w:tblHeader/>
          <w:jc w:val="center"/>
        </w:trPr>
        <w:tc>
          <w:tcPr>
            <w:tcW w:w="8538" w:type="dxa"/>
            <w:gridSpan w:val="3"/>
            <w:tcBorders>
              <w:top w:val="nil"/>
              <w:left w:val="nil"/>
              <w:bottom w:val="nil"/>
              <w:right w:val="nil"/>
            </w:tcBorders>
            <w:shd w:val="clear" w:color="000000" w:fill="000000"/>
            <w:noWrap/>
            <w:vAlign w:val="center"/>
            <w:hideMark/>
          </w:tcPr>
          <w:p w14:paraId="14E670AF" w14:textId="2F172650" w:rsidR="00CB3C45" w:rsidRPr="004D3FB1" w:rsidRDefault="00CB3C45" w:rsidP="0016220A">
            <w:pPr>
              <w:spacing w:after="0" w:line="240" w:lineRule="auto"/>
              <w:jc w:val="left"/>
              <w:rPr>
                <w:rFonts w:eastAsia="Times New Roman" w:cs="Times New Roman"/>
                <w:b/>
                <w:bCs/>
                <w:color w:val="FFFFFF"/>
                <w:sz w:val="18"/>
                <w:szCs w:val="18"/>
                <w:lang w:eastAsia="sk-SK"/>
              </w:rPr>
            </w:pPr>
            <w:r w:rsidRPr="004D3FB1">
              <w:rPr>
                <w:rFonts w:eastAsia="Times New Roman" w:cs="Times New Roman"/>
                <w:b/>
                <w:bCs/>
                <w:color w:val="FFFFFF"/>
                <w:sz w:val="18"/>
                <w:szCs w:val="18"/>
                <w:lang w:eastAsia="sk-SK"/>
              </w:rPr>
              <w:t>Saldo verejnej správy v roku 2020 podľa ESA</w:t>
            </w:r>
            <w:r w:rsidR="0016220A">
              <w:rPr>
                <w:rFonts w:eastAsia="Times New Roman" w:cs="Times New Roman"/>
                <w:b/>
                <w:bCs/>
                <w:color w:val="FFFFFF"/>
                <w:sz w:val="18"/>
                <w:szCs w:val="18"/>
                <w:lang w:eastAsia="sk-SK"/>
              </w:rPr>
              <w:t xml:space="preserve"> </w:t>
            </w:r>
            <w:r w:rsidRPr="004D3FB1">
              <w:rPr>
                <w:rFonts w:eastAsia="Times New Roman" w:cs="Times New Roman"/>
                <w:b/>
                <w:bCs/>
                <w:color w:val="FFFFFF"/>
                <w:sz w:val="18"/>
                <w:szCs w:val="18"/>
                <w:lang w:eastAsia="sk-SK"/>
              </w:rPr>
              <w:t xml:space="preserve">2010  - rozdiel oproti </w:t>
            </w:r>
            <w:r w:rsidR="0016220A">
              <w:rPr>
                <w:rFonts w:eastAsia="Times New Roman" w:cs="Times New Roman"/>
                <w:b/>
                <w:bCs/>
                <w:color w:val="FFFFFF"/>
                <w:sz w:val="18"/>
                <w:szCs w:val="18"/>
                <w:lang w:eastAsia="sk-SK"/>
              </w:rPr>
              <w:t xml:space="preserve">novele </w:t>
            </w:r>
            <w:r w:rsidRPr="004D3FB1">
              <w:rPr>
                <w:rFonts w:eastAsia="Times New Roman" w:cs="Times New Roman"/>
                <w:b/>
                <w:bCs/>
                <w:color w:val="FFFFFF"/>
                <w:sz w:val="18"/>
                <w:szCs w:val="18"/>
                <w:lang w:eastAsia="sk-SK"/>
              </w:rPr>
              <w:t xml:space="preserve">rozpočtu  </w:t>
            </w:r>
            <w:r w:rsidR="004A5951" w:rsidRPr="004D3FB1">
              <w:rPr>
                <w:rFonts w:eastAsia="Times New Roman" w:cs="Times New Roman"/>
                <w:b/>
                <w:bCs/>
                <w:color w:val="FFFFFF"/>
                <w:sz w:val="18"/>
                <w:szCs w:val="18"/>
                <w:lang w:eastAsia="sk-SK"/>
              </w:rPr>
              <w:t xml:space="preserve">                       </w:t>
            </w:r>
            <w:r w:rsidRPr="004D3FB1">
              <w:rPr>
                <w:rFonts w:eastAsia="Times New Roman" w:cs="Times New Roman"/>
                <w:b/>
                <w:bCs/>
                <w:color w:val="FFFFFF"/>
                <w:sz w:val="18"/>
                <w:szCs w:val="18"/>
                <w:lang w:eastAsia="sk-SK"/>
              </w:rPr>
              <w:t xml:space="preserve">v  tis. eur </w:t>
            </w:r>
          </w:p>
        </w:tc>
      </w:tr>
      <w:tr w:rsidR="00CB3C45" w:rsidRPr="004D3FB1" w14:paraId="09F84DD9" w14:textId="77777777" w:rsidTr="00427D0F">
        <w:trPr>
          <w:trHeight w:val="330"/>
          <w:tblHeader/>
          <w:jc w:val="center"/>
        </w:trPr>
        <w:tc>
          <w:tcPr>
            <w:tcW w:w="5670" w:type="dxa"/>
            <w:tcBorders>
              <w:top w:val="nil"/>
              <w:left w:val="nil"/>
              <w:bottom w:val="nil"/>
              <w:right w:val="nil"/>
            </w:tcBorders>
            <w:shd w:val="clear" w:color="000000" w:fill="BFBFBF"/>
            <w:vAlign w:val="center"/>
            <w:hideMark/>
          </w:tcPr>
          <w:p w14:paraId="5BDEAC49" w14:textId="77777777" w:rsidR="00CB3C45" w:rsidRPr="004D3FB1" w:rsidRDefault="00CB3C45" w:rsidP="00842F2E">
            <w:pPr>
              <w:spacing w:after="0" w:line="240" w:lineRule="auto"/>
              <w:jc w:val="left"/>
              <w:rPr>
                <w:rFonts w:eastAsia="Times New Roman" w:cs="Times New Roman"/>
                <w:b/>
                <w:bCs/>
                <w:color w:val="000000"/>
                <w:sz w:val="18"/>
                <w:szCs w:val="18"/>
                <w:lang w:eastAsia="sk-SK"/>
              </w:rPr>
            </w:pPr>
            <w:r w:rsidRPr="004D3FB1">
              <w:rPr>
                <w:rFonts w:eastAsia="Times New Roman" w:cs="Times New Roman"/>
                <w:b/>
                <w:bCs/>
                <w:color w:val="000000"/>
                <w:sz w:val="18"/>
                <w:szCs w:val="18"/>
                <w:lang w:eastAsia="sk-SK"/>
              </w:rPr>
              <w:t> </w:t>
            </w:r>
          </w:p>
        </w:tc>
        <w:tc>
          <w:tcPr>
            <w:tcW w:w="1652" w:type="dxa"/>
            <w:tcBorders>
              <w:top w:val="nil"/>
              <w:left w:val="nil"/>
              <w:bottom w:val="nil"/>
              <w:right w:val="nil"/>
            </w:tcBorders>
            <w:shd w:val="clear" w:color="000000" w:fill="BFBFBF"/>
            <w:noWrap/>
            <w:vAlign w:val="center"/>
            <w:hideMark/>
          </w:tcPr>
          <w:p w14:paraId="08845918" w14:textId="77777777" w:rsidR="00CB3C45" w:rsidRPr="004D3FB1" w:rsidRDefault="00CB3C45" w:rsidP="00842F2E">
            <w:pPr>
              <w:spacing w:after="0" w:line="240" w:lineRule="auto"/>
              <w:ind w:left="676"/>
              <w:jc w:val="center"/>
              <w:rPr>
                <w:rFonts w:eastAsia="Times New Roman" w:cs="Times New Roman"/>
                <w:b/>
                <w:bCs/>
                <w:color w:val="000000"/>
                <w:sz w:val="18"/>
                <w:szCs w:val="18"/>
                <w:lang w:eastAsia="sk-SK"/>
              </w:rPr>
            </w:pPr>
            <w:r w:rsidRPr="004D3FB1">
              <w:rPr>
                <w:rFonts w:eastAsia="Times New Roman" w:cs="Times New Roman"/>
                <w:b/>
                <w:bCs/>
                <w:color w:val="000000"/>
                <w:sz w:val="18"/>
                <w:szCs w:val="18"/>
                <w:lang w:eastAsia="sk-SK"/>
              </w:rPr>
              <w:t>2020</w:t>
            </w:r>
          </w:p>
        </w:tc>
        <w:tc>
          <w:tcPr>
            <w:tcW w:w="1216" w:type="dxa"/>
            <w:vMerge w:val="restart"/>
            <w:tcBorders>
              <w:top w:val="nil"/>
              <w:left w:val="nil"/>
              <w:bottom w:val="nil"/>
              <w:right w:val="nil"/>
            </w:tcBorders>
            <w:shd w:val="clear" w:color="000000" w:fill="BFBFBF"/>
            <w:vAlign w:val="center"/>
            <w:hideMark/>
          </w:tcPr>
          <w:tbl>
            <w:tblPr>
              <w:tblW w:w="1076" w:type="dxa"/>
              <w:tblCellMar>
                <w:left w:w="70" w:type="dxa"/>
                <w:right w:w="70" w:type="dxa"/>
              </w:tblCellMar>
              <w:tblLook w:val="04A0" w:firstRow="1" w:lastRow="0" w:firstColumn="1" w:lastColumn="0" w:noHBand="0" w:noVBand="1"/>
            </w:tblPr>
            <w:tblGrid>
              <w:gridCol w:w="1076"/>
            </w:tblGrid>
            <w:tr w:rsidR="00CB3C45" w:rsidRPr="004D3FB1" w14:paraId="29091FC7" w14:textId="77777777" w:rsidTr="00842F2E">
              <w:trPr>
                <w:trHeight w:val="330"/>
              </w:trPr>
              <w:tc>
                <w:tcPr>
                  <w:tcW w:w="1076" w:type="dxa"/>
                  <w:tcBorders>
                    <w:top w:val="nil"/>
                    <w:left w:val="nil"/>
                    <w:bottom w:val="nil"/>
                    <w:right w:val="nil"/>
                  </w:tcBorders>
                  <w:shd w:val="clear" w:color="000000" w:fill="BFBFBF"/>
                  <w:noWrap/>
                  <w:vAlign w:val="center"/>
                  <w:hideMark/>
                </w:tcPr>
                <w:p w14:paraId="585AA8C3" w14:textId="77777777" w:rsidR="00CB3C45" w:rsidRPr="004D3FB1" w:rsidRDefault="00CB3C45" w:rsidP="00842F2E">
                  <w:pPr>
                    <w:spacing w:after="0" w:line="240" w:lineRule="auto"/>
                    <w:jc w:val="center"/>
                    <w:rPr>
                      <w:rFonts w:eastAsia="Times New Roman" w:cs="Times New Roman"/>
                      <w:b/>
                      <w:bCs/>
                      <w:color w:val="000000"/>
                      <w:sz w:val="18"/>
                      <w:szCs w:val="18"/>
                      <w:lang w:eastAsia="sk-SK"/>
                    </w:rPr>
                  </w:pPr>
                  <w:r w:rsidRPr="004D3FB1">
                    <w:rPr>
                      <w:rFonts w:eastAsia="Times New Roman" w:cs="Times New Roman"/>
                      <w:b/>
                      <w:bCs/>
                      <w:color w:val="000000"/>
                      <w:sz w:val="18"/>
                      <w:szCs w:val="18"/>
                      <w:lang w:eastAsia="sk-SK"/>
                    </w:rPr>
                    <w:t>Rozdiel</w:t>
                  </w:r>
                </w:p>
              </w:tc>
            </w:tr>
            <w:tr w:rsidR="00CB3C45" w:rsidRPr="004D3FB1" w14:paraId="5F33160E" w14:textId="77777777" w:rsidTr="00842F2E">
              <w:trPr>
                <w:trHeight w:val="330"/>
              </w:trPr>
              <w:tc>
                <w:tcPr>
                  <w:tcW w:w="1076" w:type="dxa"/>
                  <w:tcBorders>
                    <w:top w:val="nil"/>
                    <w:left w:val="nil"/>
                    <w:bottom w:val="nil"/>
                    <w:right w:val="nil"/>
                  </w:tcBorders>
                  <w:shd w:val="clear" w:color="000000" w:fill="BFBFBF"/>
                  <w:noWrap/>
                  <w:vAlign w:val="center"/>
                  <w:hideMark/>
                </w:tcPr>
                <w:p w14:paraId="5E14CE16" w14:textId="77777777" w:rsidR="00CB3C45" w:rsidRPr="004D3FB1" w:rsidRDefault="00CB3C45" w:rsidP="00842F2E">
                  <w:pPr>
                    <w:spacing w:after="0" w:line="240" w:lineRule="auto"/>
                    <w:jc w:val="center"/>
                    <w:rPr>
                      <w:rFonts w:eastAsia="Times New Roman" w:cs="Times New Roman"/>
                      <w:b/>
                      <w:bCs/>
                      <w:color w:val="000000"/>
                      <w:sz w:val="18"/>
                      <w:szCs w:val="18"/>
                      <w:lang w:eastAsia="sk-SK"/>
                    </w:rPr>
                  </w:pPr>
                  <w:r w:rsidRPr="004D3FB1">
                    <w:rPr>
                      <w:rFonts w:eastAsia="Times New Roman" w:cs="Times New Roman"/>
                      <w:b/>
                      <w:bCs/>
                      <w:color w:val="000000"/>
                      <w:sz w:val="18"/>
                      <w:szCs w:val="18"/>
                      <w:lang w:eastAsia="sk-SK"/>
                    </w:rPr>
                    <w:t>(% HDP)</w:t>
                  </w:r>
                </w:p>
              </w:tc>
            </w:tr>
          </w:tbl>
          <w:p w14:paraId="45E1FEC9" w14:textId="77777777" w:rsidR="00CB3C45" w:rsidRPr="004D3FB1" w:rsidRDefault="00CB3C45" w:rsidP="00842F2E">
            <w:pPr>
              <w:spacing w:after="0" w:line="240" w:lineRule="auto"/>
              <w:ind w:left="-41"/>
              <w:jc w:val="center"/>
              <w:rPr>
                <w:rFonts w:eastAsia="Times New Roman" w:cs="Times New Roman"/>
                <w:b/>
                <w:bCs/>
                <w:color w:val="000000"/>
                <w:sz w:val="18"/>
                <w:szCs w:val="18"/>
                <w:lang w:eastAsia="sk-SK"/>
              </w:rPr>
            </w:pPr>
          </w:p>
        </w:tc>
      </w:tr>
      <w:tr w:rsidR="00CB3C45" w:rsidRPr="004D3FB1" w14:paraId="3C72661B" w14:textId="77777777" w:rsidTr="00427D0F">
        <w:trPr>
          <w:trHeight w:val="75"/>
          <w:tblHeader/>
          <w:jc w:val="center"/>
        </w:trPr>
        <w:tc>
          <w:tcPr>
            <w:tcW w:w="5670" w:type="dxa"/>
            <w:tcBorders>
              <w:top w:val="nil"/>
              <w:left w:val="nil"/>
              <w:bottom w:val="nil"/>
              <w:right w:val="nil"/>
            </w:tcBorders>
            <w:shd w:val="clear" w:color="000000" w:fill="BFBFBF"/>
            <w:vAlign w:val="center"/>
            <w:hideMark/>
          </w:tcPr>
          <w:p w14:paraId="15CF35BB" w14:textId="77777777" w:rsidR="00CB3C45" w:rsidRPr="004D3FB1" w:rsidRDefault="00CB3C45" w:rsidP="00842F2E">
            <w:pPr>
              <w:spacing w:after="0" w:line="240" w:lineRule="auto"/>
              <w:jc w:val="left"/>
              <w:rPr>
                <w:rFonts w:eastAsia="Times New Roman" w:cs="Times New Roman"/>
                <w:b/>
                <w:bCs/>
                <w:color w:val="000000"/>
                <w:sz w:val="18"/>
                <w:szCs w:val="18"/>
                <w:lang w:eastAsia="sk-SK"/>
              </w:rPr>
            </w:pPr>
            <w:r w:rsidRPr="004D3FB1">
              <w:rPr>
                <w:rFonts w:eastAsia="Times New Roman" w:cs="Times New Roman"/>
                <w:b/>
                <w:bCs/>
                <w:color w:val="000000"/>
                <w:sz w:val="18"/>
                <w:szCs w:val="18"/>
                <w:lang w:eastAsia="sk-SK"/>
              </w:rPr>
              <w:t> </w:t>
            </w:r>
          </w:p>
        </w:tc>
        <w:tc>
          <w:tcPr>
            <w:tcW w:w="1652" w:type="dxa"/>
            <w:tcBorders>
              <w:top w:val="nil"/>
              <w:left w:val="nil"/>
              <w:bottom w:val="nil"/>
              <w:right w:val="nil"/>
            </w:tcBorders>
            <w:shd w:val="clear" w:color="000000" w:fill="BFBFBF"/>
            <w:noWrap/>
            <w:vAlign w:val="center"/>
            <w:hideMark/>
          </w:tcPr>
          <w:p w14:paraId="494D0DBE" w14:textId="77777777" w:rsidR="00CB3C45" w:rsidRPr="004D3FB1" w:rsidRDefault="00CB3C45" w:rsidP="00842F2E">
            <w:pPr>
              <w:spacing w:after="0" w:line="240" w:lineRule="auto"/>
              <w:ind w:left="676"/>
              <w:jc w:val="center"/>
              <w:rPr>
                <w:rFonts w:eastAsia="Times New Roman" w:cs="Times New Roman"/>
                <w:b/>
                <w:bCs/>
                <w:color w:val="000000"/>
                <w:sz w:val="18"/>
                <w:szCs w:val="18"/>
                <w:lang w:eastAsia="sk-SK"/>
              </w:rPr>
            </w:pPr>
            <w:r w:rsidRPr="004D3FB1">
              <w:rPr>
                <w:rFonts w:eastAsia="Times New Roman" w:cs="Times New Roman"/>
                <w:b/>
                <w:bCs/>
                <w:color w:val="000000"/>
                <w:sz w:val="18"/>
                <w:szCs w:val="18"/>
                <w:lang w:eastAsia="sk-SK"/>
              </w:rPr>
              <w:t>(S - R)</w:t>
            </w:r>
          </w:p>
        </w:tc>
        <w:tc>
          <w:tcPr>
            <w:tcW w:w="1216" w:type="dxa"/>
            <w:vMerge/>
            <w:tcBorders>
              <w:top w:val="nil"/>
              <w:left w:val="nil"/>
              <w:bottom w:val="nil"/>
              <w:right w:val="nil"/>
            </w:tcBorders>
            <w:vAlign w:val="center"/>
            <w:hideMark/>
          </w:tcPr>
          <w:p w14:paraId="2C14FE74" w14:textId="77777777" w:rsidR="00CB3C45" w:rsidRPr="004D3FB1" w:rsidRDefault="00CB3C45" w:rsidP="00842F2E">
            <w:pPr>
              <w:spacing w:after="0" w:line="240" w:lineRule="auto"/>
              <w:jc w:val="left"/>
              <w:rPr>
                <w:rFonts w:eastAsia="Times New Roman" w:cs="Times New Roman"/>
                <w:b/>
                <w:bCs/>
                <w:color w:val="000000"/>
                <w:sz w:val="18"/>
                <w:szCs w:val="18"/>
                <w:lang w:eastAsia="sk-SK"/>
              </w:rPr>
            </w:pPr>
          </w:p>
        </w:tc>
      </w:tr>
      <w:tr w:rsidR="00CB3C45" w:rsidRPr="004D3FB1" w14:paraId="2F43745A" w14:textId="77777777" w:rsidTr="00427D0F">
        <w:trPr>
          <w:trHeight w:val="330"/>
          <w:jc w:val="center"/>
        </w:trPr>
        <w:tc>
          <w:tcPr>
            <w:tcW w:w="5670" w:type="dxa"/>
            <w:tcBorders>
              <w:top w:val="nil"/>
              <w:left w:val="nil"/>
              <w:bottom w:val="nil"/>
              <w:right w:val="nil"/>
            </w:tcBorders>
            <w:shd w:val="clear" w:color="auto" w:fill="auto"/>
            <w:vAlign w:val="center"/>
            <w:hideMark/>
          </w:tcPr>
          <w:p w14:paraId="0BC3FBF8" w14:textId="77777777" w:rsidR="00CB3C45" w:rsidRPr="004D3FB1" w:rsidRDefault="00CB3C45" w:rsidP="00842F2E">
            <w:pPr>
              <w:spacing w:after="0" w:line="240" w:lineRule="auto"/>
              <w:jc w:val="left"/>
              <w:rPr>
                <w:rFonts w:eastAsia="Times New Roman" w:cs="Times New Roman"/>
                <w:b/>
                <w:bCs/>
                <w:color w:val="000000"/>
                <w:sz w:val="18"/>
                <w:szCs w:val="18"/>
                <w:lang w:eastAsia="sk-SK"/>
              </w:rPr>
            </w:pPr>
            <w:r w:rsidRPr="004D3FB1">
              <w:rPr>
                <w:rFonts w:eastAsia="Times New Roman" w:cs="Times New Roman"/>
                <w:b/>
                <w:bCs/>
                <w:color w:val="000000"/>
                <w:sz w:val="18"/>
                <w:szCs w:val="18"/>
                <w:lang w:eastAsia="sk-SK"/>
              </w:rPr>
              <w:t xml:space="preserve">Saldo verejnej správy - rozpočet </w:t>
            </w:r>
          </w:p>
        </w:tc>
        <w:tc>
          <w:tcPr>
            <w:tcW w:w="1652" w:type="dxa"/>
            <w:tcBorders>
              <w:top w:val="nil"/>
              <w:left w:val="nil"/>
              <w:bottom w:val="nil"/>
              <w:right w:val="nil"/>
            </w:tcBorders>
            <w:shd w:val="clear" w:color="auto" w:fill="auto"/>
            <w:noWrap/>
            <w:vAlign w:val="center"/>
            <w:hideMark/>
          </w:tcPr>
          <w:p w14:paraId="78A60A9E" w14:textId="77777777" w:rsidR="00CB3C45" w:rsidRPr="004D3FB1" w:rsidRDefault="00CB3C45" w:rsidP="00842F2E">
            <w:pPr>
              <w:spacing w:after="0" w:line="240" w:lineRule="auto"/>
              <w:jc w:val="right"/>
              <w:rPr>
                <w:rFonts w:eastAsia="Times New Roman" w:cs="Times New Roman"/>
                <w:b/>
                <w:bCs/>
                <w:color w:val="000000"/>
                <w:sz w:val="18"/>
                <w:szCs w:val="18"/>
                <w:lang w:eastAsia="sk-SK"/>
              </w:rPr>
            </w:pPr>
            <w:r w:rsidRPr="004D3FB1">
              <w:rPr>
                <w:rFonts w:eastAsia="Times New Roman" w:cs="Times New Roman"/>
                <w:b/>
                <w:bCs/>
                <w:color w:val="000000"/>
                <w:sz w:val="18"/>
                <w:szCs w:val="18"/>
                <w:lang w:eastAsia="sk-SK"/>
              </w:rPr>
              <w:t>-10 025 377</w:t>
            </w:r>
          </w:p>
        </w:tc>
        <w:tc>
          <w:tcPr>
            <w:tcW w:w="1216" w:type="dxa"/>
            <w:tcBorders>
              <w:top w:val="nil"/>
              <w:left w:val="nil"/>
              <w:bottom w:val="nil"/>
              <w:right w:val="nil"/>
            </w:tcBorders>
            <w:shd w:val="clear" w:color="auto" w:fill="auto"/>
            <w:noWrap/>
            <w:vAlign w:val="center"/>
            <w:hideMark/>
          </w:tcPr>
          <w:p w14:paraId="14F25214" w14:textId="77777777" w:rsidR="00CB3C45" w:rsidRPr="004D3FB1" w:rsidRDefault="00CB3C45" w:rsidP="00842F2E">
            <w:pPr>
              <w:spacing w:after="0" w:line="240" w:lineRule="auto"/>
              <w:jc w:val="right"/>
              <w:rPr>
                <w:rFonts w:eastAsia="Times New Roman" w:cs="Times New Roman"/>
                <w:b/>
                <w:bCs/>
                <w:color w:val="000000"/>
                <w:sz w:val="18"/>
                <w:szCs w:val="18"/>
                <w:lang w:eastAsia="sk-SK"/>
              </w:rPr>
            </w:pPr>
            <w:r w:rsidRPr="004D3FB1">
              <w:rPr>
                <w:rFonts w:eastAsia="Times New Roman" w:cs="Times New Roman"/>
                <w:b/>
                <w:bCs/>
                <w:color w:val="000000"/>
                <w:sz w:val="18"/>
                <w:szCs w:val="18"/>
                <w:lang w:eastAsia="sk-SK"/>
              </w:rPr>
              <w:t>-11,58</w:t>
            </w:r>
          </w:p>
        </w:tc>
      </w:tr>
      <w:tr w:rsidR="00CB3C45" w:rsidRPr="004D3FB1" w14:paraId="3DFF5E7D" w14:textId="77777777" w:rsidTr="00427D0F">
        <w:trPr>
          <w:trHeight w:val="330"/>
          <w:jc w:val="center"/>
        </w:trPr>
        <w:tc>
          <w:tcPr>
            <w:tcW w:w="5670" w:type="dxa"/>
            <w:tcBorders>
              <w:top w:val="nil"/>
              <w:left w:val="nil"/>
              <w:bottom w:val="nil"/>
              <w:right w:val="nil"/>
            </w:tcBorders>
            <w:shd w:val="clear" w:color="auto" w:fill="auto"/>
            <w:vAlign w:val="center"/>
            <w:hideMark/>
          </w:tcPr>
          <w:p w14:paraId="49D3652E" w14:textId="77777777" w:rsidR="00CB3C45" w:rsidRPr="004D3FB1" w:rsidRDefault="00CB3C45" w:rsidP="00842F2E">
            <w:pPr>
              <w:spacing w:after="0" w:line="240" w:lineRule="auto"/>
              <w:jc w:val="left"/>
              <w:rPr>
                <w:rFonts w:eastAsia="Times New Roman" w:cs="Times New Roman"/>
                <w:b/>
                <w:bCs/>
                <w:color w:val="000000"/>
                <w:sz w:val="18"/>
                <w:szCs w:val="18"/>
                <w:lang w:eastAsia="sk-SK"/>
              </w:rPr>
            </w:pPr>
            <w:r w:rsidRPr="004D3FB1">
              <w:rPr>
                <w:rFonts w:eastAsia="Times New Roman" w:cs="Times New Roman"/>
                <w:b/>
                <w:bCs/>
                <w:color w:val="000000"/>
                <w:sz w:val="18"/>
                <w:szCs w:val="18"/>
                <w:lang w:eastAsia="sk-SK"/>
              </w:rPr>
              <w:t>1. Daňové a odvodové príjmy verejnej správy</w:t>
            </w:r>
          </w:p>
        </w:tc>
        <w:tc>
          <w:tcPr>
            <w:tcW w:w="1652" w:type="dxa"/>
            <w:tcBorders>
              <w:top w:val="nil"/>
              <w:left w:val="nil"/>
              <w:bottom w:val="nil"/>
              <w:right w:val="nil"/>
            </w:tcBorders>
            <w:shd w:val="clear" w:color="auto" w:fill="auto"/>
            <w:noWrap/>
            <w:vAlign w:val="center"/>
            <w:hideMark/>
          </w:tcPr>
          <w:p w14:paraId="4DDD704C" w14:textId="77777777" w:rsidR="00CB3C45" w:rsidRPr="004D3FB1" w:rsidRDefault="00CB3C45" w:rsidP="00842F2E">
            <w:pPr>
              <w:spacing w:after="0" w:line="240" w:lineRule="auto"/>
              <w:jc w:val="right"/>
              <w:rPr>
                <w:rFonts w:eastAsia="Times New Roman" w:cs="Times New Roman"/>
                <w:b/>
                <w:bCs/>
                <w:i/>
                <w:iCs/>
                <w:color w:val="000000"/>
                <w:sz w:val="18"/>
                <w:szCs w:val="18"/>
                <w:lang w:eastAsia="sk-SK"/>
              </w:rPr>
            </w:pPr>
            <w:r w:rsidRPr="004D3FB1">
              <w:rPr>
                <w:rFonts w:eastAsia="Times New Roman" w:cs="Times New Roman"/>
                <w:b/>
                <w:bCs/>
                <w:i/>
                <w:iCs/>
                <w:color w:val="000000"/>
                <w:sz w:val="18"/>
                <w:szCs w:val="18"/>
                <w:lang w:eastAsia="sk-SK"/>
              </w:rPr>
              <w:t>859 766</w:t>
            </w:r>
          </w:p>
        </w:tc>
        <w:tc>
          <w:tcPr>
            <w:tcW w:w="1216" w:type="dxa"/>
            <w:tcBorders>
              <w:top w:val="nil"/>
              <w:left w:val="nil"/>
              <w:bottom w:val="nil"/>
              <w:right w:val="nil"/>
            </w:tcBorders>
            <w:shd w:val="clear" w:color="auto" w:fill="auto"/>
            <w:noWrap/>
            <w:vAlign w:val="center"/>
            <w:hideMark/>
          </w:tcPr>
          <w:p w14:paraId="432A049A"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0,94</w:t>
            </w:r>
          </w:p>
        </w:tc>
      </w:tr>
      <w:tr w:rsidR="00CB3C45" w:rsidRPr="004D3FB1" w14:paraId="5025FE8F" w14:textId="77777777" w:rsidTr="00427D0F">
        <w:trPr>
          <w:trHeight w:val="330"/>
          <w:jc w:val="center"/>
        </w:trPr>
        <w:tc>
          <w:tcPr>
            <w:tcW w:w="5670" w:type="dxa"/>
            <w:tcBorders>
              <w:top w:val="nil"/>
              <w:left w:val="nil"/>
              <w:bottom w:val="nil"/>
              <w:right w:val="nil"/>
            </w:tcBorders>
            <w:shd w:val="clear" w:color="auto" w:fill="auto"/>
            <w:vAlign w:val="center"/>
            <w:hideMark/>
          </w:tcPr>
          <w:p w14:paraId="08D8B363" w14:textId="77777777" w:rsidR="00CB3C45" w:rsidRPr="004D3FB1" w:rsidRDefault="00CB3C45" w:rsidP="00842F2E">
            <w:pPr>
              <w:spacing w:after="0" w:line="240" w:lineRule="auto"/>
              <w:jc w:val="left"/>
              <w:rPr>
                <w:rFonts w:eastAsia="Times New Roman" w:cs="Times New Roman"/>
                <w:color w:val="000000"/>
                <w:sz w:val="18"/>
                <w:szCs w:val="18"/>
                <w:lang w:eastAsia="sk-SK"/>
              </w:rPr>
            </w:pPr>
            <w:r w:rsidRPr="004D3FB1">
              <w:rPr>
                <w:rFonts w:eastAsia="Times New Roman" w:cs="Times New Roman"/>
                <w:color w:val="000000"/>
                <w:sz w:val="18"/>
                <w:szCs w:val="18"/>
                <w:lang w:eastAsia="sk-SK"/>
              </w:rPr>
              <w:t xml:space="preserve">     - daňové príjmy</w:t>
            </w:r>
          </w:p>
        </w:tc>
        <w:tc>
          <w:tcPr>
            <w:tcW w:w="1652" w:type="dxa"/>
            <w:tcBorders>
              <w:top w:val="nil"/>
              <w:left w:val="nil"/>
              <w:bottom w:val="nil"/>
              <w:right w:val="nil"/>
            </w:tcBorders>
            <w:shd w:val="clear" w:color="auto" w:fill="auto"/>
            <w:noWrap/>
            <w:vAlign w:val="center"/>
            <w:hideMark/>
          </w:tcPr>
          <w:p w14:paraId="7C66857F"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929 403</w:t>
            </w:r>
          </w:p>
        </w:tc>
        <w:tc>
          <w:tcPr>
            <w:tcW w:w="1216" w:type="dxa"/>
            <w:tcBorders>
              <w:top w:val="nil"/>
              <w:left w:val="nil"/>
              <w:bottom w:val="nil"/>
              <w:right w:val="nil"/>
            </w:tcBorders>
            <w:shd w:val="clear" w:color="auto" w:fill="auto"/>
            <w:noWrap/>
            <w:vAlign w:val="center"/>
            <w:hideMark/>
          </w:tcPr>
          <w:p w14:paraId="041C639C"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1,02</w:t>
            </w:r>
          </w:p>
        </w:tc>
      </w:tr>
      <w:tr w:rsidR="00CB3C45" w:rsidRPr="004D3FB1" w14:paraId="0C125CBC" w14:textId="77777777" w:rsidTr="00427D0F">
        <w:trPr>
          <w:trHeight w:val="330"/>
          <w:jc w:val="center"/>
        </w:trPr>
        <w:tc>
          <w:tcPr>
            <w:tcW w:w="5670" w:type="dxa"/>
            <w:tcBorders>
              <w:top w:val="nil"/>
              <w:left w:val="nil"/>
              <w:bottom w:val="nil"/>
              <w:right w:val="nil"/>
            </w:tcBorders>
            <w:shd w:val="clear" w:color="auto" w:fill="auto"/>
            <w:vAlign w:val="center"/>
            <w:hideMark/>
          </w:tcPr>
          <w:p w14:paraId="5CA39834" w14:textId="77777777" w:rsidR="00CB3C45" w:rsidRPr="004D3FB1" w:rsidRDefault="00CB3C45" w:rsidP="00842F2E">
            <w:pPr>
              <w:spacing w:after="0" w:line="240" w:lineRule="auto"/>
              <w:jc w:val="left"/>
              <w:rPr>
                <w:rFonts w:eastAsia="Times New Roman" w:cs="Times New Roman"/>
                <w:color w:val="000000"/>
                <w:sz w:val="18"/>
                <w:szCs w:val="18"/>
                <w:lang w:eastAsia="sk-SK"/>
              </w:rPr>
            </w:pPr>
            <w:r w:rsidRPr="004D3FB1">
              <w:rPr>
                <w:rFonts w:eastAsia="Times New Roman" w:cs="Times New Roman"/>
                <w:color w:val="000000"/>
                <w:sz w:val="18"/>
                <w:szCs w:val="18"/>
                <w:lang w:eastAsia="sk-SK"/>
              </w:rPr>
              <w:t xml:space="preserve">               z toho: imputácia daňových príjmov za zelenú energiu</w:t>
            </w:r>
          </w:p>
        </w:tc>
        <w:tc>
          <w:tcPr>
            <w:tcW w:w="1652" w:type="dxa"/>
            <w:tcBorders>
              <w:top w:val="nil"/>
              <w:left w:val="nil"/>
              <w:bottom w:val="nil"/>
              <w:right w:val="nil"/>
            </w:tcBorders>
            <w:shd w:val="clear" w:color="auto" w:fill="auto"/>
            <w:noWrap/>
            <w:vAlign w:val="center"/>
            <w:hideMark/>
          </w:tcPr>
          <w:p w14:paraId="0B12DE15"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518 727</w:t>
            </w:r>
          </w:p>
        </w:tc>
        <w:tc>
          <w:tcPr>
            <w:tcW w:w="1216" w:type="dxa"/>
            <w:tcBorders>
              <w:top w:val="nil"/>
              <w:left w:val="nil"/>
              <w:bottom w:val="nil"/>
              <w:right w:val="nil"/>
            </w:tcBorders>
            <w:shd w:val="clear" w:color="auto" w:fill="auto"/>
            <w:noWrap/>
            <w:vAlign w:val="center"/>
            <w:hideMark/>
          </w:tcPr>
          <w:p w14:paraId="6DDE8146"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0,57</w:t>
            </w:r>
          </w:p>
        </w:tc>
      </w:tr>
      <w:tr w:rsidR="00CB3C45" w:rsidRPr="004D3FB1" w14:paraId="6FEB597D" w14:textId="77777777" w:rsidTr="00427D0F">
        <w:trPr>
          <w:trHeight w:val="330"/>
          <w:jc w:val="center"/>
        </w:trPr>
        <w:tc>
          <w:tcPr>
            <w:tcW w:w="5670" w:type="dxa"/>
            <w:tcBorders>
              <w:top w:val="nil"/>
              <w:left w:val="nil"/>
              <w:bottom w:val="nil"/>
              <w:right w:val="nil"/>
            </w:tcBorders>
            <w:shd w:val="clear" w:color="auto" w:fill="auto"/>
            <w:vAlign w:val="center"/>
            <w:hideMark/>
          </w:tcPr>
          <w:p w14:paraId="377C46FA" w14:textId="77777777" w:rsidR="00CB3C45" w:rsidRPr="004D3FB1" w:rsidRDefault="00CB3C45" w:rsidP="00842F2E">
            <w:pPr>
              <w:spacing w:after="0" w:line="240" w:lineRule="auto"/>
              <w:jc w:val="left"/>
              <w:rPr>
                <w:rFonts w:eastAsia="Times New Roman" w:cs="Times New Roman"/>
                <w:color w:val="000000"/>
                <w:sz w:val="18"/>
                <w:szCs w:val="18"/>
                <w:lang w:eastAsia="sk-SK"/>
              </w:rPr>
            </w:pPr>
            <w:r w:rsidRPr="004D3FB1">
              <w:rPr>
                <w:rFonts w:eastAsia="Times New Roman" w:cs="Times New Roman"/>
                <w:color w:val="000000"/>
                <w:sz w:val="18"/>
                <w:szCs w:val="18"/>
                <w:lang w:eastAsia="sk-SK"/>
              </w:rPr>
              <w:t xml:space="preserve">     - odvodové príjmy</w:t>
            </w:r>
          </w:p>
        </w:tc>
        <w:tc>
          <w:tcPr>
            <w:tcW w:w="1652" w:type="dxa"/>
            <w:tcBorders>
              <w:top w:val="nil"/>
              <w:left w:val="nil"/>
              <w:bottom w:val="nil"/>
              <w:right w:val="nil"/>
            </w:tcBorders>
            <w:shd w:val="clear" w:color="auto" w:fill="auto"/>
            <w:noWrap/>
            <w:vAlign w:val="center"/>
            <w:hideMark/>
          </w:tcPr>
          <w:p w14:paraId="35BBC4E1" w14:textId="77777777" w:rsidR="00CB3C45" w:rsidRPr="004D3FB1" w:rsidRDefault="00CB3C45" w:rsidP="00842F2E">
            <w:pPr>
              <w:spacing w:after="0" w:line="240" w:lineRule="auto"/>
              <w:jc w:val="right"/>
              <w:rPr>
                <w:rFonts w:eastAsia="Times New Roman" w:cs="Times New Roman"/>
                <w:sz w:val="18"/>
                <w:szCs w:val="18"/>
                <w:lang w:eastAsia="sk-SK"/>
              </w:rPr>
            </w:pPr>
            <w:r w:rsidRPr="004D3FB1">
              <w:rPr>
                <w:rFonts w:eastAsia="Times New Roman" w:cs="Times New Roman"/>
                <w:sz w:val="18"/>
                <w:szCs w:val="18"/>
                <w:lang w:eastAsia="sk-SK"/>
              </w:rPr>
              <w:t>-69 637</w:t>
            </w:r>
          </w:p>
        </w:tc>
        <w:tc>
          <w:tcPr>
            <w:tcW w:w="1216" w:type="dxa"/>
            <w:tcBorders>
              <w:top w:val="nil"/>
              <w:left w:val="nil"/>
              <w:bottom w:val="nil"/>
              <w:right w:val="nil"/>
            </w:tcBorders>
            <w:shd w:val="clear" w:color="auto" w:fill="auto"/>
            <w:noWrap/>
            <w:vAlign w:val="center"/>
            <w:hideMark/>
          </w:tcPr>
          <w:p w14:paraId="7F7CC054"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-0,08</w:t>
            </w:r>
          </w:p>
        </w:tc>
      </w:tr>
      <w:tr w:rsidR="00CB3C45" w:rsidRPr="004D3FB1" w14:paraId="05DFAD77" w14:textId="77777777" w:rsidTr="00427D0F">
        <w:trPr>
          <w:trHeight w:val="330"/>
          <w:jc w:val="center"/>
        </w:trPr>
        <w:tc>
          <w:tcPr>
            <w:tcW w:w="5670" w:type="dxa"/>
            <w:tcBorders>
              <w:top w:val="nil"/>
              <w:left w:val="nil"/>
              <w:bottom w:val="nil"/>
              <w:right w:val="nil"/>
            </w:tcBorders>
            <w:shd w:val="clear" w:color="auto" w:fill="auto"/>
            <w:vAlign w:val="center"/>
            <w:hideMark/>
          </w:tcPr>
          <w:p w14:paraId="32D4FDBB" w14:textId="77777777" w:rsidR="00CB3C45" w:rsidRPr="004D3FB1" w:rsidRDefault="00CB3C45" w:rsidP="00842F2E">
            <w:pPr>
              <w:spacing w:after="0" w:line="240" w:lineRule="auto"/>
              <w:jc w:val="left"/>
              <w:rPr>
                <w:rFonts w:eastAsia="Times New Roman" w:cs="Times New Roman"/>
                <w:b/>
                <w:bCs/>
                <w:color w:val="000000"/>
                <w:sz w:val="18"/>
                <w:szCs w:val="18"/>
                <w:lang w:eastAsia="sk-SK"/>
              </w:rPr>
            </w:pPr>
            <w:r w:rsidRPr="004D3FB1">
              <w:rPr>
                <w:rFonts w:eastAsia="Times New Roman" w:cs="Times New Roman"/>
                <w:b/>
                <w:bCs/>
                <w:color w:val="000000"/>
                <w:sz w:val="18"/>
                <w:szCs w:val="18"/>
                <w:lang w:eastAsia="sk-SK"/>
              </w:rPr>
              <w:t>2. Vplyv iných ako daňových príjmov štátneho rozpočtu</w:t>
            </w:r>
          </w:p>
        </w:tc>
        <w:tc>
          <w:tcPr>
            <w:tcW w:w="1652" w:type="dxa"/>
            <w:tcBorders>
              <w:top w:val="nil"/>
              <w:left w:val="nil"/>
              <w:bottom w:val="nil"/>
              <w:right w:val="nil"/>
            </w:tcBorders>
            <w:shd w:val="clear" w:color="auto" w:fill="auto"/>
            <w:noWrap/>
            <w:vAlign w:val="center"/>
            <w:hideMark/>
          </w:tcPr>
          <w:p w14:paraId="3016C960" w14:textId="77777777" w:rsidR="00CB3C45" w:rsidRPr="004D3FB1" w:rsidRDefault="00CB3C45" w:rsidP="00842F2E">
            <w:pPr>
              <w:spacing w:after="0" w:line="240" w:lineRule="auto"/>
              <w:jc w:val="right"/>
              <w:rPr>
                <w:rFonts w:eastAsia="Times New Roman" w:cs="Times New Roman"/>
                <w:b/>
                <w:bCs/>
                <w:i/>
                <w:iCs/>
                <w:color w:val="000000"/>
                <w:sz w:val="18"/>
                <w:szCs w:val="18"/>
                <w:lang w:eastAsia="sk-SK"/>
              </w:rPr>
            </w:pPr>
            <w:r w:rsidRPr="004D3FB1">
              <w:rPr>
                <w:rFonts w:eastAsia="Times New Roman" w:cs="Times New Roman"/>
                <w:b/>
                <w:bCs/>
                <w:i/>
                <w:iCs/>
                <w:color w:val="000000"/>
                <w:sz w:val="18"/>
                <w:szCs w:val="18"/>
                <w:lang w:eastAsia="sk-SK"/>
              </w:rPr>
              <w:t>-1 118 255</w:t>
            </w:r>
          </w:p>
        </w:tc>
        <w:tc>
          <w:tcPr>
            <w:tcW w:w="1216" w:type="dxa"/>
            <w:tcBorders>
              <w:top w:val="nil"/>
              <w:left w:val="nil"/>
              <w:bottom w:val="nil"/>
              <w:right w:val="nil"/>
            </w:tcBorders>
            <w:shd w:val="clear" w:color="auto" w:fill="auto"/>
            <w:noWrap/>
            <w:vAlign w:val="center"/>
            <w:hideMark/>
          </w:tcPr>
          <w:p w14:paraId="75382490"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-1,23</w:t>
            </w:r>
          </w:p>
        </w:tc>
      </w:tr>
      <w:tr w:rsidR="00CB3C45" w:rsidRPr="004D3FB1" w14:paraId="4BE1FE67" w14:textId="77777777" w:rsidTr="00427D0F">
        <w:trPr>
          <w:trHeight w:val="330"/>
          <w:jc w:val="center"/>
        </w:trPr>
        <w:tc>
          <w:tcPr>
            <w:tcW w:w="5670" w:type="dxa"/>
            <w:tcBorders>
              <w:top w:val="nil"/>
              <w:left w:val="nil"/>
              <w:bottom w:val="nil"/>
              <w:right w:val="nil"/>
            </w:tcBorders>
            <w:shd w:val="clear" w:color="auto" w:fill="auto"/>
            <w:vAlign w:val="center"/>
            <w:hideMark/>
          </w:tcPr>
          <w:p w14:paraId="710E5929" w14:textId="77777777" w:rsidR="00CB3C45" w:rsidRPr="004D3FB1" w:rsidRDefault="00CB3C45" w:rsidP="00842F2E">
            <w:pPr>
              <w:spacing w:after="0" w:line="240" w:lineRule="auto"/>
              <w:jc w:val="left"/>
              <w:rPr>
                <w:rFonts w:eastAsia="Times New Roman" w:cs="Times New Roman"/>
                <w:color w:val="000000"/>
                <w:sz w:val="18"/>
                <w:szCs w:val="18"/>
                <w:lang w:eastAsia="sk-SK"/>
              </w:rPr>
            </w:pPr>
            <w:r w:rsidRPr="004D3FB1">
              <w:rPr>
                <w:rFonts w:eastAsia="Times New Roman" w:cs="Times New Roman"/>
                <w:color w:val="000000"/>
                <w:sz w:val="18"/>
                <w:szCs w:val="18"/>
                <w:lang w:eastAsia="sk-SK"/>
              </w:rPr>
              <w:t xml:space="preserve">     - príjmy z dividend a z odvodov zo zisku (vrátane časového           </w:t>
            </w:r>
          </w:p>
          <w:p w14:paraId="4E7F7D2B" w14:textId="77777777" w:rsidR="00CB3C45" w:rsidRPr="004D3FB1" w:rsidRDefault="00CB3C45" w:rsidP="00842F2E">
            <w:pPr>
              <w:spacing w:after="0" w:line="240" w:lineRule="auto"/>
              <w:jc w:val="left"/>
              <w:rPr>
                <w:rFonts w:eastAsia="Times New Roman" w:cs="Times New Roman"/>
                <w:color w:val="000000"/>
                <w:sz w:val="18"/>
                <w:szCs w:val="18"/>
                <w:lang w:eastAsia="sk-SK"/>
              </w:rPr>
            </w:pPr>
            <w:r w:rsidRPr="004D3FB1">
              <w:rPr>
                <w:rFonts w:eastAsia="Times New Roman" w:cs="Times New Roman"/>
                <w:color w:val="000000"/>
                <w:sz w:val="18"/>
                <w:szCs w:val="18"/>
                <w:lang w:eastAsia="sk-SK"/>
              </w:rPr>
              <w:t xml:space="preserve">       rozlíšenia)</w:t>
            </w:r>
          </w:p>
        </w:tc>
        <w:tc>
          <w:tcPr>
            <w:tcW w:w="1652" w:type="dxa"/>
            <w:tcBorders>
              <w:top w:val="nil"/>
              <w:left w:val="nil"/>
              <w:bottom w:val="nil"/>
              <w:right w:val="nil"/>
            </w:tcBorders>
            <w:shd w:val="clear" w:color="auto" w:fill="auto"/>
            <w:noWrap/>
            <w:vAlign w:val="center"/>
            <w:hideMark/>
          </w:tcPr>
          <w:p w14:paraId="0BF1BD74"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-177 808</w:t>
            </w:r>
          </w:p>
        </w:tc>
        <w:tc>
          <w:tcPr>
            <w:tcW w:w="1216" w:type="dxa"/>
            <w:tcBorders>
              <w:top w:val="nil"/>
              <w:left w:val="nil"/>
              <w:bottom w:val="nil"/>
              <w:right w:val="nil"/>
            </w:tcBorders>
            <w:shd w:val="clear" w:color="auto" w:fill="auto"/>
            <w:noWrap/>
            <w:vAlign w:val="center"/>
            <w:hideMark/>
          </w:tcPr>
          <w:p w14:paraId="53FDD505"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-0,20</w:t>
            </w:r>
          </w:p>
        </w:tc>
      </w:tr>
      <w:tr w:rsidR="00CB3C45" w:rsidRPr="004D3FB1" w14:paraId="34159A4E" w14:textId="77777777" w:rsidTr="00427D0F">
        <w:trPr>
          <w:trHeight w:val="330"/>
          <w:jc w:val="center"/>
        </w:trPr>
        <w:tc>
          <w:tcPr>
            <w:tcW w:w="5670" w:type="dxa"/>
            <w:tcBorders>
              <w:top w:val="nil"/>
              <w:left w:val="nil"/>
              <w:bottom w:val="nil"/>
              <w:right w:val="nil"/>
            </w:tcBorders>
            <w:shd w:val="clear" w:color="auto" w:fill="auto"/>
            <w:vAlign w:val="center"/>
            <w:hideMark/>
          </w:tcPr>
          <w:p w14:paraId="37E98A3D" w14:textId="77777777" w:rsidR="00CB3C45" w:rsidRPr="004D3FB1" w:rsidRDefault="00CB3C45" w:rsidP="00842F2E">
            <w:pPr>
              <w:spacing w:after="0" w:line="240" w:lineRule="auto"/>
              <w:jc w:val="left"/>
              <w:rPr>
                <w:rFonts w:eastAsia="Times New Roman" w:cs="Times New Roman"/>
                <w:color w:val="000000"/>
                <w:sz w:val="18"/>
                <w:szCs w:val="18"/>
                <w:lang w:eastAsia="sk-SK"/>
              </w:rPr>
            </w:pPr>
            <w:r w:rsidRPr="004D3FB1">
              <w:rPr>
                <w:rFonts w:eastAsia="Times New Roman" w:cs="Times New Roman"/>
                <w:color w:val="000000"/>
                <w:sz w:val="18"/>
                <w:szCs w:val="18"/>
                <w:lang w:eastAsia="sk-SK"/>
              </w:rPr>
              <w:t xml:space="preserve">     - zmena stavu pohľadávok</w:t>
            </w:r>
          </w:p>
        </w:tc>
        <w:tc>
          <w:tcPr>
            <w:tcW w:w="1652" w:type="dxa"/>
            <w:tcBorders>
              <w:top w:val="nil"/>
              <w:left w:val="nil"/>
              <w:bottom w:val="nil"/>
              <w:right w:val="nil"/>
            </w:tcBorders>
            <w:shd w:val="clear" w:color="auto" w:fill="auto"/>
            <w:noWrap/>
            <w:vAlign w:val="center"/>
            <w:hideMark/>
          </w:tcPr>
          <w:p w14:paraId="15691151"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169 617</w:t>
            </w:r>
          </w:p>
        </w:tc>
        <w:tc>
          <w:tcPr>
            <w:tcW w:w="1216" w:type="dxa"/>
            <w:tcBorders>
              <w:top w:val="nil"/>
              <w:left w:val="nil"/>
              <w:bottom w:val="nil"/>
              <w:right w:val="nil"/>
            </w:tcBorders>
            <w:shd w:val="clear" w:color="auto" w:fill="auto"/>
            <w:noWrap/>
            <w:vAlign w:val="center"/>
            <w:hideMark/>
          </w:tcPr>
          <w:p w14:paraId="7ACA0B04"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0,19</w:t>
            </w:r>
          </w:p>
        </w:tc>
      </w:tr>
      <w:tr w:rsidR="00CB3C45" w:rsidRPr="004D3FB1" w14:paraId="14805A2D" w14:textId="77777777" w:rsidTr="00427D0F">
        <w:trPr>
          <w:trHeight w:val="330"/>
          <w:jc w:val="center"/>
        </w:trPr>
        <w:tc>
          <w:tcPr>
            <w:tcW w:w="5670" w:type="dxa"/>
            <w:tcBorders>
              <w:top w:val="nil"/>
              <w:left w:val="nil"/>
              <w:bottom w:val="nil"/>
              <w:right w:val="nil"/>
            </w:tcBorders>
            <w:shd w:val="clear" w:color="auto" w:fill="auto"/>
            <w:vAlign w:val="center"/>
            <w:hideMark/>
          </w:tcPr>
          <w:p w14:paraId="3BCD73EF" w14:textId="77777777" w:rsidR="00CB3C45" w:rsidRPr="004D3FB1" w:rsidRDefault="00CB3C45" w:rsidP="00842F2E">
            <w:pPr>
              <w:spacing w:after="0" w:line="240" w:lineRule="auto"/>
              <w:jc w:val="left"/>
              <w:rPr>
                <w:rFonts w:eastAsia="Times New Roman" w:cs="Times New Roman"/>
                <w:color w:val="000000"/>
                <w:sz w:val="18"/>
                <w:szCs w:val="18"/>
                <w:lang w:eastAsia="sk-SK"/>
              </w:rPr>
            </w:pPr>
            <w:r w:rsidRPr="004D3FB1">
              <w:rPr>
                <w:rFonts w:eastAsia="Times New Roman" w:cs="Times New Roman"/>
                <w:color w:val="000000"/>
                <w:sz w:val="18"/>
                <w:szCs w:val="18"/>
                <w:lang w:eastAsia="sk-SK"/>
              </w:rPr>
              <w:t xml:space="preserve">     - ostatné</w:t>
            </w:r>
          </w:p>
        </w:tc>
        <w:tc>
          <w:tcPr>
            <w:tcW w:w="1652" w:type="dxa"/>
            <w:tcBorders>
              <w:top w:val="nil"/>
              <w:left w:val="nil"/>
              <w:bottom w:val="nil"/>
              <w:right w:val="nil"/>
            </w:tcBorders>
            <w:shd w:val="clear" w:color="auto" w:fill="auto"/>
            <w:noWrap/>
            <w:vAlign w:val="center"/>
            <w:hideMark/>
          </w:tcPr>
          <w:p w14:paraId="53E56A3F"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463 919</w:t>
            </w:r>
          </w:p>
        </w:tc>
        <w:tc>
          <w:tcPr>
            <w:tcW w:w="1216" w:type="dxa"/>
            <w:tcBorders>
              <w:top w:val="nil"/>
              <w:left w:val="nil"/>
              <w:bottom w:val="nil"/>
              <w:right w:val="nil"/>
            </w:tcBorders>
            <w:shd w:val="clear" w:color="auto" w:fill="auto"/>
            <w:noWrap/>
            <w:vAlign w:val="center"/>
            <w:hideMark/>
          </w:tcPr>
          <w:p w14:paraId="2329C53C"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0,51</w:t>
            </w:r>
          </w:p>
        </w:tc>
      </w:tr>
      <w:tr w:rsidR="00CB3C45" w:rsidRPr="004D3FB1" w14:paraId="35E0F28F" w14:textId="77777777" w:rsidTr="00427D0F">
        <w:trPr>
          <w:trHeight w:val="330"/>
          <w:jc w:val="center"/>
        </w:trPr>
        <w:tc>
          <w:tcPr>
            <w:tcW w:w="5670" w:type="dxa"/>
            <w:tcBorders>
              <w:top w:val="nil"/>
              <w:left w:val="nil"/>
              <w:bottom w:val="nil"/>
              <w:right w:val="nil"/>
            </w:tcBorders>
            <w:shd w:val="clear" w:color="auto" w:fill="auto"/>
            <w:vAlign w:val="center"/>
            <w:hideMark/>
          </w:tcPr>
          <w:p w14:paraId="1B103FD9" w14:textId="77777777" w:rsidR="00CB3C45" w:rsidRPr="004D3FB1" w:rsidRDefault="00CB3C45" w:rsidP="00842F2E">
            <w:pPr>
              <w:spacing w:after="0" w:line="240" w:lineRule="auto"/>
              <w:jc w:val="left"/>
              <w:rPr>
                <w:rFonts w:eastAsia="Times New Roman" w:cs="Times New Roman"/>
                <w:color w:val="000000"/>
                <w:sz w:val="18"/>
                <w:szCs w:val="18"/>
                <w:lang w:eastAsia="sk-SK"/>
              </w:rPr>
            </w:pPr>
            <w:r w:rsidRPr="004D3FB1">
              <w:rPr>
                <w:rFonts w:eastAsia="Times New Roman" w:cs="Times New Roman"/>
                <w:color w:val="000000"/>
                <w:sz w:val="18"/>
                <w:szCs w:val="18"/>
                <w:lang w:eastAsia="sk-SK"/>
              </w:rPr>
              <w:t xml:space="preserve">     - EÚ príjmy</w:t>
            </w:r>
          </w:p>
        </w:tc>
        <w:tc>
          <w:tcPr>
            <w:tcW w:w="1652" w:type="dxa"/>
            <w:tcBorders>
              <w:top w:val="nil"/>
              <w:left w:val="nil"/>
              <w:bottom w:val="nil"/>
              <w:right w:val="nil"/>
            </w:tcBorders>
            <w:shd w:val="clear" w:color="auto" w:fill="auto"/>
            <w:noWrap/>
            <w:vAlign w:val="center"/>
            <w:hideMark/>
          </w:tcPr>
          <w:p w14:paraId="596E36F5"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-1 573 983</w:t>
            </w:r>
          </w:p>
        </w:tc>
        <w:tc>
          <w:tcPr>
            <w:tcW w:w="1216" w:type="dxa"/>
            <w:tcBorders>
              <w:top w:val="nil"/>
              <w:left w:val="nil"/>
              <w:bottom w:val="nil"/>
              <w:right w:val="nil"/>
            </w:tcBorders>
            <w:shd w:val="clear" w:color="auto" w:fill="auto"/>
            <w:noWrap/>
            <w:vAlign w:val="center"/>
            <w:hideMark/>
          </w:tcPr>
          <w:p w14:paraId="743F27A6"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-1,73</w:t>
            </w:r>
          </w:p>
        </w:tc>
      </w:tr>
      <w:tr w:rsidR="00CB3C45" w:rsidRPr="004D3FB1" w14:paraId="71507C6F" w14:textId="77777777" w:rsidTr="00427D0F">
        <w:trPr>
          <w:trHeight w:val="330"/>
          <w:jc w:val="center"/>
        </w:trPr>
        <w:tc>
          <w:tcPr>
            <w:tcW w:w="5670" w:type="dxa"/>
            <w:tcBorders>
              <w:top w:val="nil"/>
              <w:left w:val="nil"/>
              <w:bottom w:val="nil"/>
              <w:right w:val="nil"/>
            </w:tcBorders>
            <w:shd w:val="clear" w:color="auto" w:fill="auto"/>
            <w:vAlign w:val="center"/>
            <w:hideMark/>
          </w:tcPr>
          <w:p w14:paraId="11C6171E" w14:textId="77777777" w:rsidR="00CB3C45" w:rsidRPr="004D3FB1" w:rsidRDefault="00CB3C45" w:rsidP="00842F2E">
            <w:pPr>
              <w:spacing w:after="0" w:line="240" w:lineRule="auto"/>
              <w:jc w:val="left"/>
              <w:rPr>
                <w:rFonts w:eastAsia="Times New Roman" w:cs="Times New Roman"/>
                <w:b/>
                <w:bCs/>
                <w:color w:val="000000"/>
                <w:sz w:val="18"/>
                <w:szCs w:val="18"/>
                <w:lang w:eastAsia="sk-SK"/>
              </w:rPr>
            </w:pPr>
            <w:r w:rsidRPr="004D3FB1">
              <w:rPr>
                <w:rFonts w:eastAsia="Times New Roman" w:cs="Times New Roman"/>
                <w:b/>
                <w:bCs/>
                <w:color w:val="000000"/>
                <w:sz w:val="18"/>
                <w:szCs w:val="18"/>
                <w:lang w:eastAsia="sk-SK"/>
              </w:rPr>
              <w:t>3. Vplyv vybraných výdavkov štátneho rozpočtu</w:t>
            </w:r>
          </w:p>
        </w:tc>
        <w:tc>
          <w:tcPr>
            <w:tcW w:w="1652" w:type="dxa"/>
            <w:tcBorders>
              <w:top w:val="nil"/>
              <w:left w:val="nil"/>
              <w:bottom w:val="nil"/>
              <w:right w:val="nil"/>
            </w:tcBorders>
            <w:shd w:val="clear" w:color="auto" w:fill="auto"/>
            <w:noWrap/>
            <w:vAlign w:val="center"/>
            <w:hideMark/>
          </w:tcPr>
          <w:p w14:paraId="77719217" w14:textId="77777777" w:rsidR="00CB3C45" w:rsidRPr="004D3FB1" w:rsidRDefault="00CB3C45" w:rsidP="00842F2E">
            <w:pPr>
              <w:spacing w:after="0" w:line="240" w:lineRule="auto"/>
              <w:jc w:val="right"/>
              <w:rPr>
                <w:rFonts w:eastAsia="Times New Roman" w:cs="Times New Roman"/>
                <w:b/>
                <w:bCs/>
                <w:i/>
                <w:iCs/>
                <w:color w:val="000000"/>
                <w:sz w:val="18"/>
                <w:szCs w:val="18"/>
                <w:lang w:eastAsia="sk-SK"/>
              </w:rPr>
            </w:pPr>
            <w:r w:rsidRPr="004D3FB1">
              <w:rPr>
                <w:rFonts w:eastAsia="Times New Roman" w:cs="Times New Roman"/>
                <w:b/>
                <w:bCs/>
                <w:i/>
                <w:iCs/>
                <w:color w:val="000000"/>
                <w:sz w:val="18"/>
                <w:szCs w:val="18"/>
                <w:lang w:eastAsia="sk-SK"/>
              </w:rPr>
              <w:t>3 859 876</w:t>
            </w:r>
          </w:p>
        </w:tc>
        <w:tc>
          <w:tcPr>
            <w:tcW w:w="1216" w:type="dxa"/>
            <w:tcBorders>
              <w:top w:val="nil"/>
              <w:left w:val="nil"/>
              <w:bottom w:val="nil"/>
              <w:right w:val="nil"/>
            </w:tcBorders>
            <w:shd w:val="clear" w:color="auto" w:fill="auto"/>
            <w:noWrap/>
            <w:vAlign w:val="center"/>
            <w:hideMark/>
          </w:tcPr>
          <w:p w14:paraId="5AFE8566"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4,24</w:t>
            </w:r>
          </w:p>
        </w:tc>
      </w:tr>
      <w:tr w:rsidR="00CB3C45" w:rsidRPr="004D3FB1" w14:paraId="5C63F7B8" w14:textId="77777777" w:rsidTr="00427D0F">
        <w:trPr>
          <w:trHeight w:val="330"/>
          <w:jc w:val="center"/>
        </w:trPr>
        <w:tc>
          <w:tcPr>
            <w:tcW w:w="5670" w:type="dxa"/>
            <w:tcBorders>
              <w:top w:val="nil"/>
              <w:left w:val="nil"/>
              <w:bottom w:val="nil"/>
              <w:right w:val="nil"/>
            </w:tcBorders>
            <w:shd w:val="clear" w:color="auto" w:fill="auto"/>
            <w:vAlign w:val="center"/>
            <w:hideMark/>
          </w:tcPr>
          <w:p w14:paraId="37C29B1F" w14:textId="77777777" w:rsidR="00CB3C45" w:rsidRPr="004D3FB1" w:rsidRDefault="00CB3C45" w:rsidP="00842F2E">
            <w:pPr>
              <w:spacing w:after="0" w:line="240" w:lineRule="auto"/>
              <w:jc w:val="left"/>
              <w:rPr>
                <w:rFonts w:eastAsia="Times New Roman" w:cs="Times New Roman"/>
                <w:color w:val="000000"/>
                <w:sz w:val="18"/>
                <w:szCs w:val="18"/>
                <w:lang w:eastAsia="sk-SK"/>
              </w:rPr>
            </w:pPr>
            <w:r w:rsidRPr="004D3FB1">
              <w:rPr>
                <w:rFonts w:eastAsia="Times New Roman" w:cs="Times New Roman"/>
                <w:color w:val="000000"/>
                <w:sz w:val="18"/>
                <w:szCs w:val="18"/>
                <w:lang w:eastAsia="sk-SK"/>
              </w:rPr>
              <w:t xml:space="preserve">     - spolufinancovanie</w:t>
            </w:r>
          </w:p>
        </w:tc>
        <w:tc>
          <w:tcPr>
            <w:tcW w:w="1652" w:type="dxa"/>
            <w:tcBorders>
              <w:top w:val="nil"/>
              <w:left w:val="nil"/>
              <w:bottom w:val="nil"/>
              <w:right w:val="nil"/>
            </w:tcBorders>
            <w:shd w:val="clear" w:color="auto" w:fill="auto"/>
            <w:noWrap/>
            <w:vAlign w:val="center"/>
            <w:hideMark/>
          </w:tcPr>
          <w:p w14:paraId="3FC5C436"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226 360</w:t>
            </w:r>
          </w:p>
        </w:tc>
        <w:tc>
          <w:tcPr>
            <w:tcW w:w="1216" w:type="dxa"/>
            <w:tcBorders>
              <w:top w:val="nil"/>
              <w:left w:val="nil"/>
              <w:bottom w:val="nil"/>
              <w:right w:val="nil"/>
            </w:tcBorders>
            <w:shd w:val="clear" w:color="auto" w:fill="auto"/>
            <w:noWrap/>
            <w:vAlign w:val="center"/>
            <w:hideMark/>
          </w:tcPr>
          <w:p w14:paraId="21051E31"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0,25</w:t>
            </w:r>
          </w:p>
        </w:tc>
      </w:tr>
      <w:tr w:rsidR="00CB3C45" w:rsidRPr="004D3FB1" w14:paraId="72684B66" w14:textId="77777777" w:rsidTr="00427D0F">
        <w:trPr>
          <w:trHeight w:val="330"/>
          <w:jc w:val="center"/>
        </w:trPr>
        <w:tc>
          <w:tcPr>
            <w:tcW w:w="5670" w:type="dxa"/>
            <w:tcBorders>
              <w:top w:val="nil"/>
              <w:left w:val="nil"/>
              <w:bottom w:val="nil"/>
              <w:right w:val="nil"/>
            </w:tcBorders>
            <w:shd w:val="clear" w:color="auto" w:fill="auto"/>
            <w:vAlign w:val="center"/>
            <w:hideMark/>
          </w:tcPr>
          <w:p w14:paraId="02233759" w14:textId="77777777" w:rsidR="00CB3C45" w:rsidRPr="004D3FB1" w:rsidRDefault="00CB3C45" w:rsidP="00842F2E">
            <w:pPr>
              <w:spacing w:after="0" w:line="240" w:lineRule="auto"/>
              <w:jc w:val="left"/>
              <w:rPr>
                <w:rFonts w:eastAsia="Times New Roman" w:cs="Times New Roman"/>
                <w:color w:val="000000"/>
                <w:sz w:val="18"/>
                <w:szCs w:val="18"/>
                <w:lang w:eastAsia="sk-SK"/>
              </w:rPr>
            </w:pPr>
            <w:r w:rsidRPr="004D3FB1">
              <w:rPr>
                <w:rFonts w:eastAsia="Times New Roman" w:cs="Times New Roman"/>
                <w:color w:val="000000"/>
                <w:sz w:val="18"/>
                <w:szCs w:val="18"/>
                <w:lang w:eastAsia="sk-SK"/>
              </w:rPr>
              <w:t xml:space="preserve">     - odvod do rozpočtu EÚ</w:t>
            </w:r>
          </w:p>
        </w:tc>
        <w:tc>
          <w:tcPr>
            <w:tcW w:w="1652" w:type="dxa"/>
            <w:tcBorders>
              <w:top w:val="nil"/>
              <w:left w:val="nil"/>
              <w:bottom w:val="nil"/>
              <w:right w:val="nil"/>
            </w:tcBorders>
            <w:shd w:val="clear" w:color="auto" w:fill="auto"/>
            <w:noWrap/>
            <w:vAlign w:val="center"/>
            <w:hideMark/>
          </w:tcPr>
          <w:p w14:paraId="1C0EFB38"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35 810</w:t>
            </w:r>
          </w:p>
        </w:tc>
        <w:tc>
          <w:tcPr>
            <w:tcW w:w="1216" w:type="dxa"/>
            <w:tcBorders>
              <w:top w:val="nil"/>
              <w:left w:val="nil"/>
              <w:bottom w:val="nil"/>
              <w:right w:val="nil"/>
            </w:tcBorders>
            <w:shd w:val="clear" w:color="auto" w:fill="auto"/>
            <w:noWrap/>
            <w:vAlign w:val="center"/>
            <w:hideMark/>
          </w:tcPr>
          <w:p w14:paraId="05C85B6E"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0,04</w:t>
            </w:r>
          </w:p>
        </w:tc>
      </w:tr>
      <w:tr w:rsidR="00CB3C45" w:rsidRPr="004D3FB1" w14:paraId="1DA292FC" w14:textId="77777777" w:rsidTr="00427D0F">
        <w:trPr>
          <w:trHeight w:val="330"/>
          <w:jc w:val="center"/>
        </w:trPr>
        <w:tc>
          <w:tcPr>
            <w:tcW w:w="5670" w:type="dxa"/>
            <w:tcBorders>
              <w:top w:val="nil"/>
              <w:left w:val="nil"/>
              <w:bottom w:val="nil"/>
              <w:right w:val="nil"/>
            </w:tcBorders>
            <w:shd w:val="clear" w:color="auto" w:fill="auto"/>
            <w:vAlign w:val="center"/>
            <w:hideMark/>
          </w:tcPr>
          <w:p w14:paraId="26454987" w14:textId="77777777" w:rsidR="00CB3C45" w:rsidRPr="004D3FB1" w:rsidRDefault="00CB3C45" w:rsidP="00842F2E">
            <w:pPr>
              <w:spacing w:after="0" w:line="240" w:lineRule="auto"/>
              <w:jc w:val="left"/>
              <w:rPr>
                <w:rFonts w:eastAsia="Times New Roman" w:cs="Times New Roman"/>
                <w:color w:val="000000"/>
                <w:sz w:val="18"/>
                <w:szCs w:val="18"/>
                <w:lang w:eastAsia="sk-SK"/>
              </w:rPr>
            </w:pPr>
            <w:r w:rsidRPr="004D3FB1">
              <w:rPr>
                <w:rFonts w:eastAsia="Times New Roman" w:cs="Times New Roman"/>
                <w:color w:val="000000"/>
                <w:sz w:val="18"/>
                <w:szCs w:val="18"/>
                <w:lang w:eastAsia="sk-SK"/>
              </w:rPr>
              <w:t xml:space="preserve">     - korekcie k fondom EÚ </w:t>
            </w:r>
          </w:p>
        </w:tc>
        <w:tc>
          <w:tcPr>
            <w:tcW w:w="1652" w:type="dxa"/>
            <w:tcBorders>
              <w:top w:val="nil"/>
              <w:left w:val="nil"/>
              <w:bottom w:val="nil"/>
              <w:right w:val="nil"/>
            </w:tcBorders>
            <w:shd w:val="clear" w:color="auto" w:fill="auto"/>
            <w:noWrap/>
            <w:vAlign w:val="center"/>
            <w:hideMark/>
          </w:tcPr>
          <w:p w14:paraId="4B2286ED"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61 855</w:t>
            </w:r>
          </w:p>
        </w:tc>
        <w:tc>
          <w:tcPr>
            <w:tcW w:w="1216" w:type="dxa"/>
            <w:tcBorders>
              <w:top w:val="nil"/>
              <w:left w:val="nil"/>
              <w:bottom w:val="nil"/>
              <w:right w:val="nil"/>
            </w:tcBorders>
            <w:shd w:val="clear" w:color="auto" w:fill="auto"/>
            <w:noWrap/>
            <w:vAlign w:val="center"/>
            <w:hideMark/>
          </w:tcPr>
          <w:p w14:paraId="069F057F"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0,07</w:t>
            </w:r>
          </w:p>
        </w:tc>
      </w:tr>
      <w:tr w:rsidR="00CB3C45" w:rsidRPr="004D3FB1" w14:paraId="0623D3BE" w14:textId="77777777" w:rsidTr="00427D0F">
        <w:trPr>
          <w:trHeight w:val="510"/>
          <w:jc w:val="center"/>
        </w:trPr>
        <w:tc>
          <w:tcPr>
            <w:tcW w:w="5670" w:type="dxa"/>
            <w:tcBorders>
              <w:top w:val="nil"/>
              <w:left w:val="nil"/>
              <w:bottom w:val="nil"/>
              <w:right w:val="nil"/>
            </w:tcBorders>
            <w:shd w:val="clear" w:color="auto" w:fill="auto"/>
            <w:vAlign w:val="center"/>
            <w:hideMark/>
          </w:tcPr>
          <w:p w14:paraId="00ED89B8" w14:textId="77777777" w:rsidR="00CB3C45" w:rsidRPr="004D3FB1" w:rsidRDefault="00CB3C45" w:rsidP="00842F2E">
            <w:pPr>
              <w:spacing w:after="0" w:line="240" w:lineRule="auto"/>
              <w:jc w:val="left"/>
              <w:rPr>
                <w:rFonts w:eastAsia="Times New Roman" w:cs="Times New Roman"/>
                <w:color w:val="000000"/>
                <w:sz w:val="18"/>
                <w:szCs w:val="18"/>
                <w:lang w:eastAsia="sk-SK"/>
              </w:rPr>
            </w:pPr>
            <w:r w:rsidRPr="004D3FB1">
              <w:rPr>
                <w:rFonts w:eastAsia="Times New Roman" w:cs="Times New Roman"/>
                <w:color w:val="000000"/>
                <w:sz w:val="18"/>
                <w:szCs w:val="18"/>
                <w:lang w:eastAsia="sk-SK"/>
              </w:rPr>
              <w:t xml:space="preserve">     - upravujúca položka-očistenie vplyvu príjmov PJ za prostriedky EÚ </w:t>
            </w:r>
            <w:r w:rsidRPr="004D3FB1">
              <w:rPr>
                <w:rFonts w:eastAsia="Times New Roman" w:cs="Times New Roman"/>
                <w:color w:val="000000"/>
                <w:sz w:val="18"/>
                <w:szCs w:val="18"/>
                <w:lang w:eastAsia="sk-SK"/>
              </w:rPr>
              <w:br/>
              <w:t xml:space="preserve">       z uhradených korekcií nahlásených v roku rozhodnutia </w:t>
            </w:r>
          </w:p>
        </w:tc>
        <w:tc>
          <w:tcPr>
            <w:tcW w:w="1652" w:type="dxa"/>
            <w:tcBorders>
              <w:top w:val="nil"/>
              <w:left w:val="nil"/>
              <w:bottom w:val="nil"/>
              <w:right w:val="nil"/>
            </w:tcBorders>
            <w:shd w:val="clear" w:color="auto" w:fill="auto"/>
            <w:noWrap/>
            <w:vAlign w:val="center"/>
            <w:hideMark/>
          </w:tcPr>
          <w:p w14:paraId="33C905DA"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289 540</w:t>
            </w:r>
          </w:p>
        </w:tc>
        <w:tc>
          <w:tcPr>
            <w:tcW w:w="1216" w:type="dxa"/>
            <w:tcBorders>
              <w:top w:val="nil"/>
              <w:left w:val="nil"/>
              <w:bottom w:val="nil"/>
              <w:right w:val="nil"/>
            </w:tcBorders>
            <w:shd w:val="clear" w:color="auto" w:fill="auto"/>
            <w:noWrap/>
            <w:vAlign w:val="center"/>
            <w:hideMark/>
          </w:tcPr>
          <w:p w14:paraId="41F243E7"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0,32</w:t>
            </w:r>
          </w:p>
        </w:tc>
      </w:tr>
      <w:tr w:rsidR="00427D0F" w:rsidRPr="004D3FB1" w14:paraId="2B220221" w14:textId="77777777" w:rsidTr="00427D0F">
        <w:trPr>
          <w:trHeight w:val="330"/>
          <w:jc w:val="center"/>
        </w:trPr>
        <w:tc>
          <w:tcPr>
            <w:tcW w:w="5670" w:type="dxa"/>
            <w:tcBorders>
              <w:top w:val="nil"/>
              <w:left w:val="nil"/>
              <w:bottom w:val="nil"/>
              <w:right w:val="nil"/>
            </w:tcBorders>
            <w:shd w:val="clear" w:color="auto" w:fill="auto"/>
            <w:vAlign w:val="center"/>
            <w:hideMark/>
          </w:tcPr>
          <w:p w14:paraId="7E636375" w14:textId="77777777" w:rsidR="00427D0F" w:rsidRPr="004D3FB1" w:rsidRDefault="00427D0F" w:rsidP="000379CA">
            <w:pPr>
              <w:spacing w:after="0" w:line="240" w:lineRule="auto"/>
              <w:jc w:val="left"/>
              <w:rPr>
                <w:rFonts w:eastAsia="Times New Roman" w:cs="Times New Roman"/>
                <w:color w:val="000000"/>
                <w:sz w:val="18"/>
                <w:szCs w:val="18"/>
                <w:lang w:eastAsia="sk-SK"/>
              </w:rPr>
            </w:pPr>
            <w:r w:rsidRPr="004D3FB1">
              <w:rPr>
                <w:rFonts w:eastAsia="Times New Roman" w:cs="Times New Roman"/>
                <w:color w:val="000000"/>
                <w:sz w:val="18"/>
                <w:szCs w:val="18"/>
                <w:lang w:eastAsia="sk-SK"/>
              </w:rPr>
              <w:t xml:space="preserve">     - transfer Sociálnej poisťovni a zdravotnej poisťovni</w:t>
            </w:r>
          </w:p>
        </w:tc>
        <w:tc>
          <w:tcPr>
            <w:tcW w:w="1652" w:type="dxa"/>
            <w:tcBorders>
              <w:top w:val="nil"/>
              <w:left w:val="nil"/>
              <w:bottom w:val="nil"/>
              <w:right w:val="nil"/>
            </w:tcBorders>
            <w:shd w:val="clear" w:color="auto" w:fill="auto"/>
            <w:noWrap/>
            <w:vAlign w:val="center"/>
            <w:hideMark/>
          </w:tcPr>
          <w:p w14:paraId="45EB7C2F" w14:textId="77777777" w:rsidR="00427D0F" w:rsidRPr="004D3FB1" w:rsidRDefault="00427D0F" w:rsidP="000379CA">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361 526</w:t>
            </w:r>
          </w:p>
        </w:tc>
        <w:tc>
          <w:tcPr>
            <w:tcW w:w="1216" w:type="dxa"/>
            <w:tcBorders>
              <w:top w:val="nil"/>
              <w:left w:val="nil"/>
              <w:bottom w:val="nil"/>
              <w:right w:val="nil"/>
            </w:tcBorders>
            <w:shd w:val="clear" w:color="auto" w:fill="auto"/>
            <w:noWrap/>
            <w:vAlign w:val="center"/>
            <w:hideMark/>
          </w:tcPr>
          <w:p w14:paraId="7607FA80" w14:textId="77777777" w:rsidR="00427D0F" w:rsidRPr="004D3FB1" w:rsidRDefault="00427D0F" w:rsidP="000379CA">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0,40</w:t>
            </w:r>
          </w:p>
        </w:tc>
      </w:tr>
      <w:tr w:rsidR="00CB3C45" w:rsidRPr="004D3FB1" w14:paraId="6C21F304" w14:textId="77777777" w:rsidTr="00427D0F">
        <w:trPr>
          <w:trHeight w:val="330"/>
          <w:jc w:val="center"/>
        </w:trPr>
        <w:tc>
          <w:tcPr>
            <w:tcW w:w="5670" w:type="dxa"/>
            <w:tcBorders>
              <w:top w:val="nil"/>
              <w:left w:val="nil"/>
              <w:bottom w:val="nil"/>
              <w:right w:val="nil"/>
            </w:tcBorders>
            <w:shd w:val="clear" w:color="auto" w:fill="auto"/>
            <w:vAlign w:val="center"/>
            <w:hideMark/>
          </w:tcPr>
          <w:p w14:paraId="277EE183" w14:textId="77777777" w:rsidR="00CB3C45" w:rsidRPr="004D3FB1" w:rsidRDefault="00CB3C45" w:rsidP="00842F2E">
            <w:pPr>
              <w:spacing w:after="0" w:line="240" w:lineRule="auto"/>
              <w:jc w:val="left"/>
              <w:rPr>
                <w:rFonts w:eastAsia="Times New Roman" w:cs="Times New Roman"/>
                <w:color w:val="000000"/>
                <w:sz w:val="18"/>
                <w:szCs w:val="18"/>
                <w:lang w:eastAsia="sk-SK"/>
              </w:rPr>
            </w:pPr>
            <w:r w:rsidRPr="004D3FB1">
              <w:rPr>
                <w:rFonts w:eastAsia="Times New Roman" w:cs="Times New Roman"/>
                <w:color w:val="000000"/>
                <w:sz w:val="18"/>
                <w:szCs w:val="18"/>
                <w:lang w:eastAsia="sk-SK"/>
              </w:rPr>
              <w:t xml:space="preserve">     - imputácia výdavkových subvencií na zelenú energiu</w:t>
            </w:r>
          </w:p>
        </w:tc>
        <w:tc>
          <w:tcPr>
            <w:tcW w:w="1652" w:type="dxa"/>
            <w:tcBorders>
              <w:top w:val="nil"/>
              <w:left w:val="nil"/>
              <w:bottom w:val="nil"/>
              <w:right w:val="nil"/>
            </w:tcBorders>
            <w:shd w:val="clear" w:color="auto" w:fill="auto"/>
            <w:noWrap/>
            <w:vAlign w:val="center"/>
            <w:hideMark/>
          </w:tcPr>
          <w:p w14:paraId="499E2EFD"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-67 738</w:t>
            </w:r>
          </w:p>
        </w:tc>
        <w:tc>
          <w:tcPr>
            <w:tcW w:w="1216" w:type="dxa"/>
            <w:tcBorders>
              <w:top w:val="nil"/>
              <w:left w:val="nil"/>
              <w:bottom w:val="nil"/>
              <w:right w:val="nil"/>
            </w:tcBorders>
            <w:shd w:val="clear" w:color="auto" w:fill="auto"/>
            <w:noWrap/>
            <w:vAlign w:val="center"/>
            <w:hideMark/>
          </w:tcPr>
          <w:p w14:paraId="547D75ED"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-0,07</w:t>
            </w:r>
          </w:p>
        </w:tc>
      </w:tr>
      <w:tr w:rsidR="00CB3C45" w:rsidRPr="004D3FB1" w14:paraId="2B9F0B2E" w14:textId="77777777" w:rsidTr="00427D0F">
        <w:trPr>
          <w:trHeight w:val="330"/>
          <w:jc w:val="center"/>
        </w:trPr>
        <w:tc>
          <w:tcPr>
            <w:tcW w:w="5670" w:type="dxa"/>
            <w:tcBorders>
              <w:top w:val="nil"/>
              <w:left w:val="nil"/>
              <w:bottom w:val="nil"/>
              <w:right w:val="nil"/>
            </w:tcBorders>
            <w:shd w:val="clear" w:color="auto" w:fill="auto"/>
            <w:vAlign w:val="center"/>
            <w:hideMark/>
          </w:tcPr>
          <w:p w14:paraId="6D74CC33" w14:textId="77777777" w:rsidR="00CB3C45" w:rsidRPr="004D3FB1" w:rsidRDefault="00CB3C45" w:rsidP="00842F2E">
            <w:pPr>
              <w:spacing w:after="0" w:line="240" w:lineRule="auto"/>
              <w:jc w:val="left"/>
              <w:rPr>
                <w:rFonts w:eastAsia="Times New Roman" w:cs="Times New Roman"/>
                <w:color w:val="000000"/>
                <w:sz w:val="18"/>
                <w:szCs w:val="18"/>
                <w:lang w:eastAsia="sk-SK"/>
              </w:rPr>
            </w:pPr>
            <w:r w:rsidRPr="004D3FB1">
              <w:rPr>
                <w:rFonts w:eastAsia="Times New Roman" w:cs="Times New Roman"/>
                <w:color w:val="000000"/>
                <w:sz w:val="18"/>
                <w:szCs w:val="18"/>
                <w:lang w:eastAsia="sk-SK"/>
              </w:rPr>
              <w:t xml:space="preserve">     - zmena stavu záväzkov</w:t>
            </w:r>
          </w:p>
        </w:tc>
        <w:tc>
          <w:tcPr>
            <w:tcW w:w="1652" w:type="dxa"/>
            <w:tcBorders>
              <w:top w:val="nil"/>
              <w:left w:val="nil"/>
              <w:bottom w:val="nil"/>
              <w:right w:val="nil"/>
            </w:tcBorders>
            <w:shd w:val="clear" w:color="auto" w:fill="auto"/>
            <w:noWrap/>
            <w:vAlign w:val="center"/>
            <w:hideMark/>
          </w:tcPr>
          <w:p w14:paraId="34CAA229"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64 199</w:t>
            </w:r>
          </w:p>
        </w:tc>
        <w:tc>
          <w:tcPr>
            <w:tcW w:w="1216" w:type="dxa"/>
            <w:tcBorders>
              <w:top w:val="nil"/>
              <w:left w:val="nil"/>
              <w:bottom w:val="nil"/>
              <w:right w:val="nil"/>
            </w:tcBorders>
            <w:shd w:val="clear" w:color="auto" w:fill="auto"/>
            <w:noWrap/>
            <w:vAlign w:val="center"/>
            <w:hideMark/>
          </w:tcPr>
          <w:p w14:paraId="5CBBCC72"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0,07</w:t>
            </w:r>
          </w:p>
        </w:tc>
      </w:tr>
      <w:tr w:rsidR="00CB3C45" w:rsidRPr="004D3FB1" w14:paraId="54B2CE65" w14:textId="77777777" w:rsidTr="00427D0F">
        <w:trPr>
          <w:trHeight w:val="330"/>
          <w:jc w:val="center"/>
        </w:trPr>
        <w:tc>
          <w:tcPr>
            <w:tcW w:w="5670" w:type="dxa"/>
            <w:tcBorders>
              <w:top w:val="nil"/>
              <w:left w:val="nil"/>
              <w:bottom w:val="nil"/>
              <w:right w:val="nil"/>
            </w:tcBorders>
            <w:shd w:val="clear" w:color="auto" w:fill="auto"/>
            <w:vAlign w:val="center"/>
            <w:hideMark/>
          </w:tcPr>
          <w:p w14:paraId="0F7CAE6B" w14:textId="77777777" w:rsidR="00CB3C45" w:rsidRPr="004D3FB1" w:rsidRDefault="00CB3C45" w:rsidP="00842F2E">
            <w:pPr>
              <w:spacing w:after="0" w:line="240" w:lineRule="auto"/>
              <w:jc w:val="left"/>
              <w:rPr>
                <w:rFonts w:eastAsia="Times New Roman" w:cs="Times New Roman"/>
                <w:color w:val="000000"/>
                <w:sz w:val="18"/>
                <w:szCs w:val="18"/>
                <w:lang w:eastAsia="sk-SK"/>
              </w:rPr>
            </w:pPr>
            <w:r w:rsidRPr="004D3FB1">
              <w:rPr>
                <w:rFonts w:eastAsia="Times New Roman" w:cs="Times New Roman"/>
                <w:color w:val="000000"/>
                <w:sz w:val="18"/>
                <w:szCs w:val="18"/>
                <w:lang w:eastAsia="sk-SK"/>
              </w:rPr>
              <w:t xml:space="preserve">     - TPS - splatenie starého dlhu</w:t>
            </w:r>
          </w:p>
        </w:tc>
        <w:tc>
          <w:tcPr>
            <w:tcW w:w="1652" w:type="dxa"/>
            <w:tcBorders>
              <w:top w:val="nil"/>
              <w:left w:val="nil"/>
              <w:bottom w:val="nil"/>
              <w:right w:val="nil"/>
            </w:tcBorders>
            <w:shd w:val="clear" w:color="auto" w:fill="auto"/>
            <w:noWrap/>
            <w:vAlign w:val="center"/>
            <w:hideMark/>
          </w:tcPr>
          <w:p w14:paraId="3D3BF605"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-158 115</w:t>
            </w:r>
          </w:p>
        </w:tc>
        <w:tc>
          <w:tcPr>
            <w:tcW w:w="1216" w:type="dxa"/>
            <w:tcBorders>
              <w:top w:val="nil"/>
              <w:left w:val="nil"/>
              <w:bottom w:val="nil"/>
              <w:right w:val="nil"/>
            </w:tcBorders>
            <w:shd w:val="clear" w:color="auto" w:fill="auto"/>
            <w:noWrap/>
            <w:vAlign w:val="center"/>
            <w:hideMark/>
          </w:tcPr>
          <w:p w14:paraId="4059EBAB"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-0,17</w:t>
            </w:r>
          </w:p>
        </w:tc>
      </w:tr>
      <w:tr w:rsidR="00CB3C45" w:rsidRPr="004D3FB1" w14:paraId="3ECBCA81" w14:textId="77777777" w:rsidTr="00427D0F">
        <w:trPr>
          <w:trHeight w:val="330"/>
          <w:jc w:val="center"/>
        </w:trPr>
        <w:tc>
          <w:tcPr>
            <w:tcW w:w="5670" w:type="dxa"/>
            <w:tcBorders>
              <w:top w:val="nil"/>
              <w:left w:val="nil"/>
              <w:bottom w:val="nil"/>
              <w:right w:val="nil"/>
            </w:tcBorders>
            <w:shd w:val="clear" w:color="auto" w:fill="auto"/>
            <w:vAlign w:val="center"/>
            <w:hideMark/>
          </w:tcPr>
          <w:p w14:paraId="6AA4D946" w14:textId="77777777" w:rsidR="00CB3C45" w:rsidRPr="004D3FB1" w:rsidRDefault="00CB3C45" w:rsidP="00842F2E">
            <w:pPr>
              <w:spacing w:after="0" w:line="240" w:lineRule="auto"/>
              <w:jc w:val="left"/>
              <w:rPr>
                <w:rFonts w:eastAsia="Times New Roman" w:cs="Times New Roman"/>
                <w:color w:val="000000"/>
                <w:sz w:val="18"/>
                <w:szCs w:val="18"/>
                <w:lang w:eastAsia="sk-SK"/>
              </w:rPr>
            </w:pPr>
            <w:r w:rsidRPr="004D3FB1">
              <w:rPr>
                <w:rFonts w:eastAsia="Times New Roman" w:cs="Times New Roman"/>
                <w:color w:val="000000"/>
                <w:sz w:val="18"/>
                <w:szCs w:val="18"/>
                <w:lang w:eastAsia="sk-SK"/>
              </w:rPr>
              <w:t xml:space="preserve">     - ostatné</w:t>
            </w:r>
          </w:p>
        </w:tc>
        <w:tc>
          <w:tcPr>
            <w:tcW w:w="1652" w:type="dxa"/>
            <w:tcBorders>
              <w:top w:val="nil"/>
              <w:left w:val="nil"/>
              <w:bottom w:val="nil"/>
              <w:right w:val="nil"/>
            </w:tcBorders>
            <w:shd w:val="clear" w:color="auto" w:fill="auto"/>
            <w:noWrap/>
            <w:vAlign w:val="center"/>
            <w:hideMark/>
          </w:tcPr>
          <w:p w14:paraId="51303170" w14:textId="77777777" w:rsidR="00CB3C45" w:rsidRPr="00412EB1" w:rsidRDefault="00CB3C45" w:rsidP="00842F2E">
            <w:pPr>
              <w:spacing w:after="0" w:line="240" w:lineRule="auto"/>
              <w:jc w:val="right"/>
              <w:rPr>
                <w:rFonts w:eastAsia="Times New Roman" w:cs="Times New Roman"/>
                <w:color w:val="000000"/>
                <w:sz w:val="18"/>
                <w:szCs w:val="18"/>
                <w:lang w:eastAsia="sk-SK"/>
              </w:rPr>
            </w:pPr>
            <w:r w:rsidRPr="00412EB1">
              <w:rPr>
                <w:rFonts w:eastAsia="Times New Roman" w:cs="Times New Roman"/>
                <w:color w:val="000000"/>
                <w:sz w:val="18"/>
                <w:szCs w:val="18"/>
                <w:lang w:eastAsia="sk-SK"/>
              </w:rPr>
              <w:t>1 472 456</w:t>
            </w:r>
          </w:p>
        </w:tc>
        <w:tc>
          <w:tcPr>
            <w:tcW w:w="1216" w:type="dxa"/>
            <w:tcBorders>
              <w:top w:val="nil"/>
              <w:left w:val="nil"/>
              <w:bottom w:val="nil"/>
              <w:right w:val="nil"/>
            </w:tcBorders>
            <w:shd w:val="clear" w:color="auto" w:fill="auto"/>
            <w:noWrap/>
            <w:vAlign w:val="center"/>
            <w:hideMark/>
          </w:tcPr>
          <w:p w14:paraId="40E57BD1"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1,62</w:t>
            </w:r>
          </w:p>
        </w:tc>
      </w:tr>
      <w:tr w:rsidR="00CB3C45" w:rsidRPr="004D3FB1" w14:paraId="65F035A4" w14:textId="77777777" w:rsidTr="00427D0F">
        <w:trPr>
          <w:trHeight w:val="330"/>
          <w:jc w:val="center"/>
        </w:trPr>
        <w:tc>
          <w:tcPr>
            <w:tcW w:w="5670" w:type="dxa"/>
            <w:tcBorders>
              <w:top w:val="nil"/>
              <w:left w:val="nil"/>
              <w:bottom w:val="nil"/>
              <w:right w:val="nil"/>
            </w:tcBorders>
            <w:shd w:val="clear" w:color="auto" w:fill="auto"/>
            <w:vAlign w:val="center"/>
            <w:hideMark/>
          </w:tcPr>
          <w:p w14:paraId="2B249EF1" w14:textId="77777777" w:rsidR="00CB3C45" w:rsidRPr="004D3FB1" w:rsidRDefault="00CB3C45" w:rsidP="00842F2E">
            <w:pPr>
              <w:spacing w:after="0" w:line="240" w:lineRule="auto"/>
              <w:jc w:val="left"/>
              <w:rPr>
                <w:rFonts w:eastAsia="Times New Roman" w:cs="Times New Roman"/>
                <w:color w:val="000000"/>
                <w:sz w:val="18"/>
                <w:szCs w:val="18"/>
                <w:lang w:eastAsia="sk-SK"/>
              </w:rPr>
            </w:pPr>
            <w:r w:rsidRPr="004D3FB1">
              <w:rPr>
                <w:rFonts w:eastAsia="Times New Roman" w:cs="Times New Roman"/>
                <w:color w:val="000000"/>
                <w:sz w:val="18"/>
                <w:szCs w:val="18"/>
                <w:lang w:eastAsia="sk-SK"/>
              </w:rPr>
              <w:t xml:space="preserve">     - EÚ výdavky</w:t>
            </w:r>
          </w:p>
        </w:tc>
        <w:tc>
          <w:tcPr>
            <w:tcW w:w="1652" w:type="dxa"/>
            <w:tcBorders>
              <w:top w:val="nil"/>
              <w:left w:val="nil"/>
              <w:bottom w:val="nil"/>
              <w:right w:val="nil"/>
            </w:tcBorders>
            <w:shd w:val="clear" w:color="auto" w:fill="auto"/>
            <w:noWrap/>
            <w:vAlign w:val="center"/>
            <w:hideMark/>
          </w:tcPr>
          <w:p w14:paraId="36F2427E" w14:textId="77777777" w:rsidR="00CB3C45" w:rsidRPr="00412EB1" w:rsidRDefault="00CB3C45" w:rsidP="00842F2E">
            <w:pPr>
              <w:spacing w:after="0" w:line="240" w:lineRule="auto"/>
              <w:jc w:val="right"/>
              <w:rPr>
                <w:rFonts w:eastAsia="Times New Roman" w:cs="Times New Roman"/>
                <w:color w:val="000000"/>
                <w:sz w:val="18"/>
                <w:szCs w:val="18"/>
                <w:lang w:eastAsia="sk-SK"/>
              </w:rPr>
            </w:pPr>
            <w:r w:rsidRPr="00412EB1">
              <w:rPr>
                <w:rFonts w:eastAsia="Times New Roman" w:cs="Times New Roman"/>
                <w:color w:val="000000"/>
                <w:sz w:val="18"/>
                <w:szCs w:val="18"/>
                <w:lang w:eastAsia="sk-SK"/>
              </w:rPr>
              <w:t>1 573 983</w:t>
            </w:r>
          </w:p>
        </w:tc>
        <w:tc>
          <w:tcPr>
            <w:tcW w:w="1216" w:type="dxa"/>
            <w:tcBorders>
              <w:top w:val="nil"/>
              <w:left w:val="nil"/>
              <w:bottom w:val="nil"/>
              <w:right w:val="nil"/>
            </w:tcBorders>
            <w:shd w:val="clear" w:color="auto" w:fill="auto"/>
            <w:noWrap/>
            <w:vAlign w:val="center"/>
            <w:hideMark/>
          </w:tcPr>
          <w:p w14:paraId="06EDA56F"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1,73</w:t>
            </w:r>
          </w:p>
        </w:tc>
      </w:tr>
      <w:tr w:rsidR="00CB3C45" w:rsidRPr="004D3FB1" w14:paraId="1039EFA4" w14:textId="77777777" w:rsidTr="00427D0F">
        <w:trPr>
          <w:trHeight w:val="330"/>
          <w:jc w:val="center"/>
        </w:trPr>
        <w:tc>
          <w:tcPr>
            <w:tcW w:w="5670" w:type="dxa"/>
            <w:tcBorders>
              <w:top w:val="nil"/>
              <w:left w:val="nil"/>
              <w:bottom w:val="nil"/>
              <w:right w:val="nil"/>
            </w:tcBorders>
            <w:shd w:val="clear" w:color="auto" w:fill="auto"/>
            <w:vAlign w:val="center"/>
            <w:hideMark/>
          </w:tcPr>
          <w:p w14:paraId="4B46B5C2" w14:textId="77777777" w:rsidR="00CB3C45" w:rsidRPr="004D3FB1" w:rsidRDefault="00CB3C45" w:rsidP="00842F2E">
            <w:pPr>
              <w:spacing w:after="0" w:line="240" w:lineRule="auto"/>
              <w:jc w:val="left"/>
              <w:rPr>
                <w:rFonts w:eastAsia="Times New Roman" w:cs="Times New Roman"/>
                <w:b/>
                <w:bCs/>
                <w:color w:val="000000"/>
                <w:sz w:val="18"/>
                <w:szCs w:val="18"/>
                <w:lang w:eastAsia="sk-SK"/>
              </w:rPr>
            </w:pPr>
            <w:r w:rsidRPr="004D3FB1">
              <w:rPr>
                <w:rFonts w:eastAsia="Times New Roman" w:cs="Times New Roman"/>
                <w:b/>
                <w:bCs/>
                <w:color w:val="000000"/>
                <w:sz w:val="18"/>
                <w:szCs w:val="18"/>
                <w:lang w:eastAsia="sk-SK"/>
              </w:rPr>
              <w:t>4. Vplyv hospodárenia samostatných účtov (vrátane ŠFA) bez daní</w:t>
            </w:r>
          </w:p>
        </w:tc>
        <w:tc>
          <w:tcPr>
            <w:tcW w:w="1652" w:type="dxa"/>
            <w:tcBorders>
              <w:top w:val="nil"/>
              <w:left w:val="nil"/>
              <w:bottom w:val="nil"/>
              <w:right w:val="nil"/>
            </w:tcBorders>
            <w:shd w:val="clear" w:color="auto" w:fill="auto"/>
            <w:noWrap/>
            <w:vAlign w:val="center"/>
            <w:hideMark/>
          </w:tcPr>
          <w:p w14:paraId="72B7C3DE" w14:textId="77777777" w:rsidR="00CB3C45" w:rsidRPr="004D3FB1" w:rsidRDefault="00CB3C45" w:rsidP="00842F2E">
            <w:pPr>
              <w:spacing w:after="0" w:line="240" w:lineRule="auto"/>
              <w:jc w:val="right"/>
              <w:rPr>
                <w:rFonts w:eastAsia="Times New Roman" w:cs="Times New Roman"/>
                <w:b/>
                <w:bCs/>
                <w:i/>
                <w:iCs/>
                <w:color w:val="000000"/>
                <w:sz w:val="18"/>
                <w:szCs w:val="18"/>
                <w:lang w:eastAsia="sk-SK"/>
              </w:rPr>
            </w:pPr>
            <w:r w:rsidRPr="004D3FB1">
              <w:rPr>
                <w:rFonts w:eastAsia="Times New Roman" w:cs="Times New Roman"/>
                <w:b/>
                <w:bCs/>
                <w:i/>
                <w:iCs/>
                <w:color w:val="000000"/>
                <w:sz w:val="18"/>
                <w:szCs w:val="18"/>
                <w:lang w:eastAsia="sk-SK"/>
              </w:rPr>
              <w:t>232 892</w:t>
            </w:r>
          </w:p>
        </w:tc>
        <w:tc>
          <w:tcPr>
            <w:tcW w:w="1216" w:type="dxa"/>
            <w:tcBorders>
              <w:top w:val="nil"/>
              <w:left w:val="nil"/>
              <w:bottom w:val="nil"/>
              <w:right w:val="nil"/>
            </w:tcBorders>
            <w:shd w:val="clear" w:color="auto" w:fill="auto"/>
            <w:noWrap/>
            <w:vAlign w:val="center"/>
            <w:hideMark/>
          </w:tcPr>
          <w:p w14:paraId="0EE2072D"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0,26</w:t>
            </w:r>
          </w:p>
        </w:tc>
      </w:tr>
      <w:tr w:rsidR="00CB3C45" w:rsidRPr="004D3FB1" w14:paraId="71B08B03" w14:textId="77777777" w:rsidTr="00427D0F">
        <w:trPr>
          <w:trHeight w:val="510"/>
          <w:jc w:val="center"/>
        </w:trPr>
        <w:tc>
          <w:tcPr>
            <w:tcW w:w="5670" w:type="dxa"/>
            <w:tcBorders>
              <w:top w:val="nil"/>
              <w:left w:val="nil"/>
              <w:bottom w:val="nil"/>
              <w:right w:val="nil"/>
            </w:tcBorders>
            <w:shd w:val="clear" w:color="auto" w:fill="auto"/>
            <w:vAlign w:val="center"/>
            <w:hideMark/>
          </w:tcPr>
          <w:p w14:paraId="19AB1317" w14:textId="77777777" w:rsidR="00CB3C45" w:rsidRPr="004D3FB1" w:rsidRDefault="00CB3C45" w:rsidP="00842F2E">
            <w:pPr>
              <w:spacing w:after="0" w:line="240" w:lineRule="auto"/>
              <w:jc w:val="left"/>
              <w:rPr>
                <w:rFonts w:eastAsia="Times New Roman" w:cs="Times New Roman"/>
                <w:b/>
                <w:bCs/>
                <w:color w:val="000000"/>
                <w:sz w:val="18"/>
                <w:szCs w:val="18"/>
                <w:lang w:eastAsia="sk-SK"/>
              </w:rPr>
            </w:pPr>
            <w:r w:rsidRPr="004D3FB1">
              <w:rPr>
                <w:rFonts w:eastAsia="Times New Roman" w:cs="Times New Roman"/>
                <w:b/>
                <w:bCs/>
                <w:color w:val="000000"/>
                <w:sz w:val="18"/>
                <w:szCs w:val="18"/>
                <w:lang w:eastAsia="sk-SK"/>
              </w:rPr>
              <w:t xml:space="preserve">5. Vplyv akruálnych príjmov a výdavkov súvisiacich s obsluhou </w:t>
            </w:r>
            <w:r w:rsidRPr="004D3FB1">
              <w:rPr>
                <w:rFonts w:eastAsia="Times New Roman" w:cs="Times New Roman"/>
                <w:b/>
                <w:bCs/>
                <w:color w:val="000000"/>
                <w:sz w:val="18"/>
                <w:szCs w:val="18"/>
                <w:lang w:eastAsia="sk-SK"/>
              </w:rPr>
              <w:br/>
              <w:t xml:space="preserve">    štátneho dlhu</w:t>
            </w:r>
          </w:p>
        </w:tc>
        <w:tc>
          <w:tcPr>
            <w:tcW w:w="1652" w:type="dxa"/>
            <w:tcBorders>
              <w:top w:val="nil"/>
              <w:left w:val="nil"/>
              <w:bottom w:val="nil"/>
              <w:right w:val="nil"/>
            </w:tcBorders>
            <w:shd w:val="clear" w:color="auto" w:fill="auto"/>
            <w:noWrap/>
            <w:vAlign w:val="center"/>
            <w:hideMark/>
          </w:tcPr>
          <w:p w14:paraId="530808C9" w14:textId="77777777" w:rsidR="00CB3C45" w:rsidRPr="004D3FB1" w:rsidRDefault="00CB3C45" w:rsidP="00842F2E">
            <w:pPr>
              <w:spacing w:after="0" w:line="240" w:lineRule="auto"/>
              <w:jc w:val="right"/>
              <w:rPr>
                <w:rFonts w:eastAsia="Times New Roman" w:cs="Times New Roman"/>
                <w:b/>
                <w:bCs/>
                <w:i/>
                <w:iCs/>
                <w:color w:val="000000"/>
                <w:sz w:val="18"/>
                <w:szCs w:val="18"/>
                <w:lang w:eastAsia="sk-SK"/>
              </w:rPr>
            </w:pPr>
            <w:r w:rsidRPr="004D3FB1">
              <w:rPr>
                <w:rFonts w:eastAsia="Times New Roman" w:cs="Times New Roman"/>
                <w:b/>
                <w:bCs/>
                <w:i/>
                <w:iCs/>
                <w:color w:val="000000"/>
                <w:sz w:val="18"/>
                <w:szCs w:val="18"/>
                <w:lang w:eastAsia="sk-SK"/>
              </w:rPr>
              <w:t>-306 216</w:t>
            </w:r>
          </w:p>
        </w:tc>
        <w:tc>
          <w:tcPr>
            <w:tcW w:w="1216" w:type="dxa"/>
            <w:tcBorders>
              <w:top w:val="nil"/>
              <w:left w:val="nil"/>
              <w:bottom w:val="nil"/>
              <w:right w:val="nil"/>
            </w:tcBorders>
            <w:shd w:val="clear" w:color="auto" w:fill="auto"/>
            <w:noWrap/>
            <w:vAlign w:val="center"/>
            <w:hideMark/>
          </w:tcPr>
          <w:p w14:paraId="7645E008"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-0,34</w:t>
            </w:r>
          </w:p>
        </w:tc>
      </w:tr>
      <w:tr w:rsidR="00CB3C45" w:rsidRPr="004D3FB1" w14:paraId="33E48ACD" w14:textId="77777777" w:rsidTr="00427D0F">
        <w:trPr>
          <w:trHeight w:val="330"/>
          <w:jc w:val="center"/>
        </w:trPr>
        <w:tc>
          <w:tcPr>
            <w:tcW w:w="5670" w:type="dxa"/>
            <w:tcBorders>
              <w:top w:val="nil"/>
              <w:left w:val="nil"/>
              <w:bottom w:val="nil"/>
              <w:right w:val="nil"/>
            </w:tcBorders>
            <w:shd w:val="clear" w:color="auto" w:fill="auto"/>
            <w:vAlign w:val="center"/>
            <w:hideMark/>
          </w:tcPr>
          <w:p w14:paraId="1CD1F8E3" w14:textId="77777777" w:rsidR="00CB3C45" w:rsidRPr="004D3FB1" w:rsidRDefault="00CB3C45" w:rsidP="00842F2E">
            <w:pPr>
              <w:spacing w:after="0" w:line="240" w:lineRule="auto"/>
              <w:jc w:val="left"/>
              <w:rPr>
                <w:rFonts w:eastAsia="Times New Roman" w:cs="Times New Roman"/>
                <w:b/>
                <w:bCs/>
                <w:color w:val="000000"/>
                <w:sz w:val="18"/>
                <w:szCs w:val="18"/>
                <w:lang w:eastAsia="sk-SK"/>
              </w:rPr>
            </w:pPr>
            <w:r w:rsidRPr="004D3FB1">
              <w:rPr>
                <w:rFonts w:eastAsia="Times New Roman" w:cs="Times New Roman"/>
                <w:b/>
                <w:bCs/>
                <w:color w:val="000000"/>
                <w:sz w:val="18"/>
                <w:szCs w:val="18"/>
                <w:lang w:eastAsia="sk-SK"/>
              </w:rPr>
              <w:t>6. Výdavky sociálneho a zdravotného poistenia</w:t>
            </w:r>
          </w:p>
        </w:tc>
        <w:tc>
          <w:tcPr>
            <w:tcW w:w="1652" w:type="dxa"/>
            <w:tcBorders>
              <w:top w:val="nil"/>
              <w:left w:val="nil"/>
              <w:bottom w:val="nil"/>
              <w:right w:val="nil"/>
            </w:tcBorders>
            <w:shd w:val="clear" w:color="auto" w:fill="auto"/>
            <w:noWrap/>
            <w:vAlign w:val="center"/>
            <w:hideMark/>
          </w:tcPr>
          <w:p w14:paraId="3E45ED9D" w14:textId="77777777" w:rsidR="00CB3C45" w:rsidRPr="004D3FB1" w:rsidRDefault="00CB3C45" w:rsidP="00842F2E">
            <w:pPr>
              <w:spacing w:after="0" w:line="240" w:lineRule="auto"/>
              <w:jc w:val="right"/>
              <w:rPr>
                <w:rFonts w:eastAsia="Times New Roman" w:cs="Times New Roman"/>
                <w:b/>
                <w:bCs/>
                <w:i/>
                <w:iCs/>
                <w:color w:val="000000"/>
                <w:sz w:val="18"/>
                <w:szCs w:val="18"/>
                <w:lang w:eastAsia="sk-SK"/>
              </w:rPr>
            </w:pPr>
            <w:r w:rsidRPr="004D3FB1">
              <w:rPr>
                <w:rFonts w:eastAsia="Times New Roman" w:cs="Times New Roman"/>
                <w:b/>
                <w:bCs/>
                <w:i/>
                <w:iCs/>
                <w:color w:val="000000"/>
                <w:sz w:val="18"/>
                <w:szCs w:val="18"/>
                <w:lang w:eastAsia="sk-SK"/>
              </w:rPr>
              <w:t>588 664</w:t>
            </w:r>
          </w:p>
        </w:tc>
        <w:tc>
          <w:tcPr>
            <w:tcW w:w="1216" w:type="dxa"/>
            <w:tcBorders>
              <w:top w:val="nil"/>
              <w:left w:val="nil"/>
              <w:bottom w:val="nil"/>
              <w:right w:val="nil"/>
            </w:tcBorders>
            <w:shd w:val="clear" w:color="auto" w:fill="auto"/>
            <w:noWrap/>
            <w:vAlign w:val="center"/>
            <w:hideMark/>
          </w:tcPr>
          <w:p w14:paraId="1BB96F03"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0,65</w:t>
            </w:r>
          </w:p>
        </w:tc>
      </w:tr>
      <w:tr w:rsidR="00CB3C45" w:rsidRPr="004D3FB1" w14:paraId="71E663F1" w14:textId="77777777" w:rsidTr="00427D0F">
        <w:trPr>
          <w:trHeight w:val="330"/>
          <w:jc w:val="center"/>
        </w:trPr>
        <w:tc>
          <w:tcPr>
            <w:tcW w:w="5670" w:type="dxa"/>
            <w:tcBorders>
              <w:top w:val="nil"/>
              <w:left w:val="nil"/>
              <w:bottom w:val="nil"/>
              <w:right w:val="nil"/>
            </w:tcBorders>
            <w:shd w:val="clear" w:color="auto" w:fill="auto"/>
            <w:noWrap/>
            <w:vAlign w:val="center"/>
            <w:hideMark/>
          </w:tcPr>
          <w:p w14:paraId="61ADA39A" w14:textId="77777777" w:rsidR="00CB3C45" w:rsidRPr="004D3FB1" w:rsidRDefault="00CB3C45" w:rsidP="00842F2E">
            <w:pPr>
              <w:spacing w:after="0" w:line="240" w:lineRule="auto"/>
              <w:jc w:val="left"/>
              <w:rPr>
                <w:rFonts w:eastAsia="Times New Roman" w:cs="Times New Roman"/>
                <w:color w:val="000000"/>
                <w:sz w:val="18"/>
                <w:szCs w:val="18"/>
                <w:lang w:eastAsia="sk-SK"/>
              </w:rPr>
            </w:pPr>
            <w:r w:rsidRPr="004D3FB1">
              <w:rPr>
                <w:rFonts w:eastAsia="Times New Roman" w:cs="Times New Roman"/>
                <w:color w:val="000000"/>
                <w:sz w:val="18"/>
                <w:szCs w:val="18"/>
                <w:lang w:eastAsia="sk-SK"/>
              </w:rPr>
              <w:t xml:space="preserve">     - výdavky zo sociálneho poistenia</w:t>
            </w:r>
          </w:p>
        </w:tc>
        <w:tc>
          <w:tcPr>
            <w:tcW w:w="1652" w:type="dxa"/>
            <w:tcBorders>
              <w:top w:val="nil"/>
              <w:left w:val="nil"/>
              <w:bottom w:val="nil"/>
              <w:right w:val="nil"/>
            </w:tcBorders>
            <w:shd w:val="clear" w:color="auto" w:fill="auto"/>
            <w:noWrap/>
            <w:vAlign w:val="center"/>
            <w:hideMark/>
          </w:tcPr>
          <w:p w14:paraId="5D6A2F93"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355 905</w:t>
            </w:r>
          </w:p>
        </w:tc>
        <w:tc>
          <w:tcPr>
            <w:tcW w:w="1216" w:type="dxa"/>
            <w:tcBorders>
              <w:top w:val="nil"/>
              <w:left w:val="nil"/>
              <w:bottom w:val="nil"/>
              <w:right w:val="nil"/>
            </w:tcBorders>
            <w:shd w:val="clear" w:color="auto" w:fill="auto"/>
            <w:noWrap/>
            <w:vAlign w:val="center"/>
            <w:hideMark/>
          </w:tcPr>
          <w:p w14:paraId="4DAFF211"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0,39</w:t>
            </w:r>
          </w:p>
        </w:tc>
      </w:tr>
      <w:tr w:rsidR="00CB3C45" w:rsidRPr="004D3FB1" w14:paraId="0D2D061F" w14:textId="77777777" w:rsidTr="00427D0F">
        <w:trPr>
          <w:trHeight w:val="330"/>
          <w:jc w:val="center"/>
        </w:trPr>
        <w:tc>
          <w:tcPr>
            <w:tcW w:w="5670" w:type="dxa"/>
            <w:tcBorders>
              <w:top w:val="nil"/>
              <w:left w:val="nil"/>
              <w:bottom w:val="nil"/>
              <w:right w:val="nil"/>
            </w:tcBorders>
            <w:shd w:val="clear" w:color="auto" w:fill="auto"/>
            <w:noWrap/>
            <w:vAlign w:val="center"/>
            <w:hideMark/>
          </w:tcPr>
          <w:p w14:paraId="2E9518BA" w14:textId="77777777" w:rsidR="00CB3C45" w:rsidRPr="004D3FB1" w:rsidRDefault="00CB3C45" w:rsidP="00842F2E">
            <w:pPr>
              <w:spacing w:after="0" w:line="240" w:lineRule="auto"/>
              <w:jc w:val="left"/>
              <w:rPr>
                <w:rFonts w:eastAsia="Times New Roman" w:cs="Times New Roman"/>
                <w:color w:val="000000"/>
                <w:sz w:val="18"/>
                <w:szCs w:val="18"/>
                <w:lang w:eastAsia="sk-SK"/>
              </w:rPr>
            </w:pPr>
            <w:r w:rsidRPr="004D3FB1">
              <w:rPr>
                <w:rFonts w:eastAsia="Times New Roman" w:cs="Times New Roman"/>
                <w:color w:val="000000"/>
                <w:sz w:val="18"/>
                <w:szCs w:val="18"/>
                <w:lang w:eastAsia="sk-SK"/>
              </w:rPr>
              <w:t xml:space="preserve">     - výdavky zdravotníckym zariadeniam (výdavky poistenia)</w:t>
            </w:r>
          </w:p>
        </w:tc>
        <w:tc>
          <w:tcPr>
            <w:tcW w:w="1652" w:type="dxa"/>
            <w:tcBorders>
              <w:top w:val="nil"/>
              <w:left w:val="nil"/>
              <w:bottom w:val="nil"/>
              <w:right w:val="nil"/>
            </w:tcBorders>
            <w:shd w:val="clear" w:color="auto" w:fill="auto"/>
            <w:noWrap/>
            <w:vAlign w:val="center"/>
            <w:hideMark/>
          </w:tcPr>
          <w:p w14:paraId="28E25AEF" w14:textId="77777777" w:rsidR="00CB3C45" w:rsidRPr="004D3FB1" w:rsidRDefault="00CB3C45" w:rsidP="00842F2E">
            <w:pPr>
              <w:spacing w:after="0" w:line="240" w:lineRule="auto"/>
              <w:jc w:val="right"/>
              <w:rPr>
                <w:rFonts w:eastAsia="Times New Roman" w:cs="Times New Roman"/>
                <w:sz w:val="18"/>
                <w:szCs w:val="18"/>
                <w:lang w:eastAsia="sk-SK"/>
              </w:rPr>
            </w:pPr>
            <w:r w:rsidRPr="004D3FB1">
              <w:rPr>
                <w:rFonts w:eastAsia="Times New Roman" w:cs="Times New Roman"/>
                <w:sz w:val="18"/>
                <w:szCs w:val="18"/>
                <w:lang w:eastAsia="sk-SK"/>
              </w:rPr>
              <w:t>232 759</w:t>
            </w:r>
          </w:p>
        </w:tc>
        <w:tc>
          <w:tcPr>
            <w:tcW w:w="1216" w:type="dxa"/>
            <w:tcBorders>
              <w:top w:val="nil"/>
              <w:left w:val="nil"/>
              <w:bottom w:val="nil"/>
              <w:right w:val="nil"/>
            </w:tcBorders>
            <w:shd w:val="clear" w:color="auto" w:fill="auto"/>
            <w:noWrap/>
            <w:vAlign w:val="center"/>
            <w:hideMark/>
          </w:tcPr>
          <w:p w14:paraId="0EC7419E"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0,26</w:t>
            </w:r>
          </w:p>
        </w:tc>
      </w:tr>
      <w:tr w:rsidR="00CB3C45" w:rsidRPr="004D3FB1" w14:paraId="01513D2B" w14:textId="77777777" w:rsidTr="00427D0F">
        <w:trPr>
          <w:trHeight w:val="765"/>
          <w:jc w:val="center"/>
        </w:trPr>
        <w:tc>
          <w:tcPr>
            <w:tcW w:w="5670" w:type="dxa"/>
            <w:tcBorders>
              <w:top w:val="nil"/>
              <w:left w:val="nil"/>
              <w:bottom w:val="nil"/>
              <w:right w:val="nil"/>
            </w:tcBorders>
            <w:shd w:val="clear" w:color="auto" w:fill="auto"/>
            <w:vAlign w:val="center"/>
            <w:hideMark/>
          </w:tcPr>
          <w:p w14:paraId="13507DD3" w14:textId="77777777" w:rsidR="00CB3C45" w:rsidRPr="004D3FB1" w:rsidRDefault="00CB3C45" w:rsidP="00842F2E">
            <w:pPr>
              <w:spacing w:after="0" w:line="240" w:lineRule="auto"/>
              <w:jc w:val="left"/>
              <w:rPr>
                <w:rFonts w:eastAsia="Times New Roman" w:cs="Times New Roman"/>
                <w:b/>
                <w:bCs/>
                <w:color w:val="000000"/>
                <w:sz w:val="18"/>
                <w:szCs w:val="18"/>
                <w:lang w:eastAsia="sk-SK"/>
              </w:rPr>
            </w:pPr>
            <w:r w:rsidRPr="004D3FB1">
              <w:rPr>
                <w:rFonts w:eastAsia="Times New Roman" w:cs="Times New Roman"/>
                <w:b/>
                <w:bCs/>
                <w:color w:val="000000"/>
                <w:sz w:val="18"/>
                <w:szCs w:val="18"/>
                <w:lang w:eastAsia="sk-SK"/>
              </w:rPr>
              <w:t>7. Rozdiel v hospodárení fondov sociálneho zabezpečenia (okrem</w:t>
            </w:r>
            <w:r w:rsidRPr="004D3FB1">
              <w:rPr>
                <w:rFonts w:eastAsia="Times New Roman" w:cs="Times New Roman"/>
                <w:b/>
                <w:bCs/>
                <w:color w:val="000000"/>
                <w:sz w:val="18"/>
                <w:szCs w:val="18"/>
                <w:lang w:eastAsia="sk-SK"/>
              </w:rPr>
              <w:br/>
              <w:t xml:space="preserve">   odvodových príjmov a výdavkov poistenia  verejného zdravotného</w:t>
            </w:r>
            <w:r w:rsidRPr="004D3FB1">
              <w:rPr>
                <w:rFonts w:eastAsia="Times New Roman" w:cs="Times New Roman"/>
                <w:b/>
                <w:bCs/>
                <w:color w:val="000000"/>
                <w:sz w:val="18"/>
                <w:szCs w:val="18"/>
                <w:lang w:eastAsia="sk-SK"/>
              </w:rPr>
              <w:br/>
              <w:t xml:space="preserve">   poistenia a sociálneho poistenia)</w:t>
            </w:r>
          </w:p>
        </w:tc>
        <w:tc>
          <w:tcPr>
            <w:tcW w:w="1652" w:type="dxa"/>
            <w:tcBorders>
              <w:top w:val="nil"/>
              <w:left w:val="nil"/>
              <w:bottom w:val="nil"/>
              <w:right w:val="nil"/>
            </w:tcBorders>
            <w:shd w:val="clear" w:color="auto" w:fill="auto"/>
            <w:noWrap/>
            <w:vAlign w:val="center"/>
            <w:hideMark/>
          </w:tcPr>
          <w:p w14:paraId="11F7C1BA" w14:textId="77777777" w:rsidR="00CB3C45" w:rsidRPr="004D3FB1" w:rsidRDefault="00CB3C45" w:rsidP="00842F2E">
            <w:pPr>
              <w:spacing w:after="0" w:line="240" w:lineRule="auto"/>
              <w:jc w:val="right"/>
              <w:rPr>
                <w:rFonts w:eastAsia="Times New Roman" w:cs="Times New Roman"/>
                <w:b/>
                <w:bCs/>
                <w:i/>
                <w:iCs/>
                <w:sz w:val="18"/>
                <w:szCs w:val="18"/>
                <w:lang w:eastAsia="sk-SK"/>
              </w:rPr>
            </w:pPr>
            <w:r w:rsidRPr="004D3FB1">
              <w:rPr>
                <w:rFonts w:eastAsia="Times New Roman" w:cs="Times New Roman"/>
                <w:b/>
                <w:bCs/>
                <w:i/>
                <w:iCs/>
                <w:sz w:val="18"/>
                <w:szCs w:val="18"/>
                <w:lang w:eastAsia="sk-SK"/>
              </w:rPr>
              <w:t>-255 805</w:t>
            </w:r>
          </w:p>
        </w:tc>
        <w:tc>
          <w:tcPr>
            <w:tcW w:w="1216" w:type="dxa"/>
            <w:tcBorders>
              <w:top w:val="nil"/>
              <w:left w:val="nil"/>
              <w:bottom w:val="nil"/>
              <w:right w:val="nil"/>
            </w:tcBorders>
            <w:shd w:val="clear" w:color="auto" w:fill="auto"/>
            <w:noWrap/>
            <w:vAlign w:val="center"/>
            <w:hideMark/>
          </w:tcPr>
          <w:p w14:paraId="68CFA747"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-0,28</w:t>
            </w:r>
          </w:p>
        </w:tc>
      </w:tr>
      <w:tr w:rsidR="00CB3C45" w:rsidRPr="004D3FB1" w14:paraId="0A0F682D" w14:textId="77777777" w:rsidTr="00427D0F">
        <w:trPr>
          <w:trHeight w:val="330"/>
          <w:jc w:val="center"/>
        </w:trPr>
        <w:tc>
          <w:tcPr>
            <w:tcW w:w="5670" w:type="dxa"/>
            <w:tcBorders>
              <w:top w:val="nil"/>
              <w:left w:val="nil"/>
              <w:bottom w:val="nil"/>
              <w:right w:val="nil"/>
            </w:tcBorders>
            <w:shd w:val="clear" w:color="auto" w:fill="auto"/>
            <w:noWrap/>
            <w:vAlign w:val="center"/>
            <w:hideMark/>
          </w:tcPr>
          <w:p w14:paraId="24A43D17" w14:textId="77777777" w:rsidR="00CB3C45" w:rsidRPr="004D3FB1" w:rsidRDefault="00CB3C45" w:rsidP="00842F2E">
            <w:pPr>
              <w:spacing w:after="0" w:line="240" w:lineRule="auto"/>
              <w:jc w:val="left"/>
              <w:rPr>
                <w:rFonts w:eastAsia="Times New Roman" w:cs="Times New Roman"/>
                <w:color w:val="000000"/>
                <w:sz w:val="18"/>
                <w:szCs w:val="18"/>
                <w:lang w:eastAsia="sk-SK"/>
              </w:rPr>
            </w:pPr>
            <w:r w:rsidRPr="004D3FB1">
              <w:rPr>
                <w:rFonts w:eastAsia="Times New Roman" w:cs="Times New Roman"/>
                <w:color w:val="000000"/>
                <w:sz w:val="18"/>
                <w:szCs w:val="18"/>
                <w:lang w:eastAsia="sk-SK"/>
              </w:rPr>
              <w:t xml:space="preserve">     - transfer Sociálnej poisťovni zo štátneho rozpočtu</w:t>
            </w:r>
          </w:p>
        </w:tc>
        <w:tc>
          <w:tcPr>
            <w:tcW w:w="1652" w:type="dxa"/>
            <w:tcBorders>
              <w:top w:val="nil"/>
              <w:left w:val="nil"/>
              <w:bottom w:val="nil"/>
              <w:right w:val="nil"/>
            </w:tcBorders>
            <w:shd w:val="clear" w:color="auto" w:fill="auto"/>
            <w:noWrap/>
            <w:vAlign w:val="center"/>
            <w:hideMark/>
          </w:tcPr>
          <w:p w14:paraId="4BC8641D" w14:textId="77777777" w:rsidR="00CB3C45" w:rsidRPr="004D3FB1" w:rsidRDefault="00CB3C45" w:rsidP="00842F2E">
            <w:pPr>
              <w:spacing w:after="0" w:line="240" w:lineRule="auto"/>
              <w:jc w:val="right"/>
              <w:rPr>
                <w:rFonts w:eastAsia="Times New Roman" w:cs="Times New Roman"/>
                <w:sz w:val="18"/>
                <w:szCs w:val="18"/>
                <w:lang w:eastAsia="sk-SK"/>
              </w:rPr>
            </w:pPr>
            <w:r w:rsidRPr="004D3FB1">
              <w:rPr>
                <w:rFonts w:eastAsia="Times New Roman" w:cs="Times New Roman"/>
                <w:sz w:val="18"/>
                <w:szCs w:val="18"/>
                <w:lang w:eastAsia="sk-SK"/>
              </w:rPr>
              <w:t>-361 694</w:t>
            </w:r>
          </w:p>
        </w:tc>
        <w:tc>
          <w:tcPr>
            <w:tcW w:w="1216" w:type="dxa"/>
            <w:tcBorders>
              <w:top w:val="nil"/>
              <w:left w:val="nil"/>
              <w:bottom w:val="nil"/>
              <w:right w:val="nil"/>
            </w:tcBorders>
            <w:shd w:val="clear" w:color="auto" w:fill="auto"/>
            <w:noWrap/>
            <w:vAlign w:val="center"/>
            <w:hideMark/>
          </w:tcPr>
          <w:p w14:paraId="61B579D2"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-0,40</w:t>
            </w:r>
          </w:p>
        </w:tc>
      </w:tr>
      <w:tr w:rsidR="00CB3C45" w:rsidRPr="004D3FB1" w14:paraId="741EA95D" w14:textId="77777777" w:rsidTr="00427D0F">
        <w:trPr>
          <w:trHeight w:val="765"/>
          <w:jc w:val="center"/>
        </w:trPr>
        <w:tc>
          <w:tcPr>
            <w:tcW w:w="5670" w:type="dxa"/>
            <w:tcBorders>
              <w:top w:val="nil"/>
              <w:left w:val="nil"/>
              <w:bottom w:val="nil"/>
              <w:right w:val="nil"/>
            </w:tcBorders>
            <w:shd w:val="clear" w:color="auto" w:fill="auto"/>
            <w:vAlign w:val="center"/>
            <w:hideMark/>
          </w:tcPr>
          <w:p w14:paraId="0C1C35A2" w14:textId="77777777" w:rsidR="00CB3C45" w:rsidRPr="004D3FB1" w:rsidRDefault="00CB3C45" w:rsidP="00842F2E">
            <w:pPr>
              <w:spacing w:after="0" w:line="240" w:lineRule="auto"/>
              <w:jc w:val="left"/>
              <w:rPr>
                <w:rFonts w:eastAsia="Times New Roman" w:cs="Times New Roman"/>
                <w:color w:val="000000"/>
                <w:sz w:val="18"/>
                <w:szCs w:val="18"/>
                <w:lang w:eastAsia="sk-SK"/>
              </w:rPr>
            </w:pPr>
            <w:r w:rsidRPr="004D3FB1">
              <w:rPr>
                <w:rFonts w:eastAsia="Times New Roman" w:cs="Times New Roman"/>
                <w:color w:val="000000"/>
                <w:sz w:val="18"/>
                <w:szCs w:val="18"/>
                <w:lang w:eastAsia="sk-SK"/>
              </w:rPr>
              <w:t xml:space="preserve">     - výdavkový transfer z verejnej časti ZP do súkromnej časti ZP </w:t>
            </w:r>
            <w:r w:rsidRPr="004D3FB1">
              <w:rPr>
                <w:rFonts w:eastAsia="Times New Roman" w:cs="Times New Roman"/>
                <w:color w:val="000000"/>
                <w:sz w:val="18"/>
                <w:szCs w:val="18"/>
                <w:lang w:eastAsia="sk-SK"/>
              </w:rPr>
              <w:br/>
              <w:t xml:space="preserve">        na splátku istiny úveru súkromnej časti ZP súkromným zdrav. </w:t>
            </w:r>
            <w:r w:rsidRPr="004D3FB1">
              <w:rPr>
                <w:rFonts w:eastAsia="Times New Roman" w:cs="Times New Roman"/>
                <w:color w:val="000000"/>
                <w:sz w:val="18"/>
                <w:szCs w:val="18"/>
                <w:lang w:eastAsia="sk-SK"/>
              </w:rPr>
              <w:br/>
              <w:t xml:space="preserve">        poisťovniam</w:t>
            </w:r>
          </w:p>
        </w:tc>
        <w:tc>
          <w:tcPr>
            <w:tcW w:w="1652" w:type="dxa"/>
            <w:tcBorders>
              <w:top w:val="nil"/>
              <w:left w:val="nil"/>
              <w:bottom w:val="nil"/>
              <w:right w:val="nil"/>
            </w:tcBorders>
            <w:shd w:val="clear" w:color="auto" w:fill="auto"/>
            <w:noWrap/>
            <w:vAlign w:val="center"/>
            <w:hideMark/>
          </w:tcPr>
          <w:p w14:paraId="31422C91"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-21 655</w:t>
            </w:r>
          </w:p>
        </w:tc>
        <w:tc>
          <w:tcPr>
            <w:tcW w:w="1216" w:type="dxa"/>
            <w:tcBorders>
              <w:top w:val="nil"/>
              <w:left w:val="nil"/>
              <w:bottom w:val="nil"/>
              <w:right w:val="nil"/>
            </w:tcBorders>
            <w:shd w:val="clear" w:color="auto" w:fill="auto"/>
            <w:noWrap/>
            <w:vAlign w:val="center"/>
            <w:hideMark/>
          </w:tcPr>
          <w:p w14:paraId="52B490AA"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-0,02</w:t>
            </w:r>
          </w:p>
        </w:tc>
      </w:tr>
      <w:tr w:rsidR="00CB3C45" w:rsidRPr="004D3FB1" w14:paraId="45719EE9" w14:textId="77777777" w:rsidTr="00427D0F">
        <w:trPr>
          <w:trHeight w:val="510"/>
          <w:jc w:val="center"/>
        </w:trPr>
        <w:tc>
          <w:tcPr>
            <w:tcW w:w="5670" w:type="dxa"/>
            <w:tcBorders>
              <w:top w:val="nil"/>
              <w:left w:val="nil"/>
              <w:bottom w:val="nil"/>
              <w:right w:val="nil"/>
            </w:tcBorders>
            <w:shd w:val="clear" w:color="auto" w:fill="auto"/>
            <w:vAlign w:val="center"/>
            <w:hideMark/>
          </w:tcPr>
          <w:p w14:paraId="57544C4B" w14:textId="77777777" w:rsidR="00CB3C45" w:rsidRPr="004D3FB1" w:rsidRDefault="00CB3C45" w:rsidP="00842F2E">
            <w:pPr>
              <w:spacing w:after="0" w:line="240" w:lineRule="auto"/>
              <w:jc w:val="left"/>
              <w:rPr>
                <w:rFonts w:eastAsia="Times New Roman" w:cs="Times New Roman"/>
                <w:color w:val="000000"/>
                <w:sz w:val="18"/>
                <w:szCs w:val="18"/>
                <w:lang w:eastAsia="sk-SK"/>
              </w:rPr>
            </w:pPr>
            <w:r w:rsidRPr="004D3FB1">
              <w:rPr>
                <w:rFonts w:eastAsia="Times New Roman" w:cs="Times New Roman"/>
                <w:color w:val="000000"/>
                <w:sz w:val="18"/>
                <w:szCs w:val="18"/>
                <w:lang w:eastAsia="sk-SK"/>
              </w:rPr>
              <w:t xml:space="preserve">     - platba za správu verejného zdravotného poistenia súkromným </w:t>
            </w:r>
            <w:r w:rsidRPr="004D3FB1">
              <w:rPr>
                <w:rFonts w:eastAsia="Times New Roman" w:cs="Times New Roman"/>
                <w:color w:val="000000"/>
                <w:sz w:val="18"/>
                <w:szCs w:val="18"/>
                <w:lang w:eastAsia="sk-SK"/>
              </w:rPr>
              <w:br/>
              <w:t xml:space="preserve">       zdrav. poisťovniam</w:t>
            </w:r>
          </w:p>
        </w:tc>
        <w:tc>
          <w:tcPr>
            <w:tcW w:w="1652" w:type="dxa"/>
            <w:tcBorders>
              <w:top w:val="nil"/>
              <w:left w:val="nil"/>
              <w:bottom w:val="nil"/>
              <w:right w:val="nil"/>
            </w:tcBorders>
            <w:shd w:val="clear" w:color="auto" w:fill="auto"/>
            <w:noWrap/>
            <w:vAlign w:val="center"/>
            <w:hideMark/>
          </w:tcPr>
          <w:p w14:paraId="57FFCEA8"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-81 702</w:t>
            </w:r>
          </w:p>
        </w:tc>
        <w:tc>
          <w:tcPr>
            <w:tcW w:w="1216" w:type="dxa"/>
            <w:tcBorders>
              <w:top w:val="nil"/>
              <w:left w:val="nil"/>
              <w:bottom w:val="nil"/>
              <w:right w:val="nil"/>
            </w:tcBorders>
            <w:shd w:val="clear" w:color="auto" w:fill="auto"/>
            <w:noWrap/>
            <w:vAlign w:val="center"/>
            <w:hideMark/>
          </w:tcPr>
          <w:p w14:paraId="0BA7F513"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-0,09</w:t>
            </w:r>
          </w:p>
        </w:tc>
      </w:tr>
      <w:tr w:rsidR="00CB3C45" w:rsidRPr="004D3FB1" w14:paraId="058F9E3D" w14:textId="77777777" w:rsidTr="00427D0F">
        <w:trPr>
          <w:trHeight w:val="330"/>
          <w:jc w:val="center"/>
        </w:trPr>
        <w:tc>
          <w:tcPr>
            <w:tcW w:w="5670" w:type="dxa"/>
            <w:tcBorders>
              <w:top w:val="nil"/>
              <w:left w:val="nil"/>
              <w:bottom w:val="nil"/>
              <w:right w:val="nil"/>
            </w:tcBorders>
            <w:shd w:val="clear" w:color="auto" w:fill="auto"/>
            <w:vAlign w:val="center"/>
            <w:hideMark/>
          </w:tcPr>
          <w:p w14:paraId="32EA35A6" w14:textId="77777777" w:rsidR="00CB3C45" w:rsidRPr="004D3FB1" w:rsidRDefault="00CB3C45" w:rsidP="00842F2E">
            <w:pPr>
              <w:spacing w:after="0" w:line="240" w:lineRule="auto"/>
              <w:jc w:val="left"/>
              <w:rPr>
                <w:rFonts w:eastAsia="Times New Roman" w:cs="Times New Roman"/>
                <w:color w:val="000000"/>
                <w:sz w:val="18"/>
                <w:szCs w:val="18"/>
                <w:lang w:eastAsia="sk-SK"/>
              </w:rPr>
            </w:pPr>
            <w:r w:rsidRPr="004D3FB1">
              <w:rPr>
                <w:rFonts w:eastAsia="Times New Roman" w:cs="Times New Roman"/>
                <w:color w:val="000000"/>
                <w:sz w:val="18"/>
                <w:szCs w:val="18"/>
                <w:lang w:eastAsia="sk-SK"/>
              </w:rPr>
              <w:t xml:space="preserve">     - transfer VŠZP vložený formou vkladu do základného imania</w:t>
            </w:r>
          </w:p>
        </w:tc>
        <w:tc>
          <w:tcPr>
            <w:tcW w:w="1652" w:type="dxa"/>
            <w:tcBorders>
              <w:top w:val="nil"/>
              <w:left w:val="nil"/>
              <w:bottom w:val="nil"/>
              <w:right w:val="nil"/>
            </w:tcBorders>
            <w:shd w:val="clear" w:color="auto" w:fill="auto"/>
            <w:noWrap/>
            <w:vAlign w:val="center"/>
            <w:hideMark/>
          </w:tcPr>
          <w:p w14:paraId="5E18F573"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198 000</w:t>
            </w:r>
          </w:p>
        </w:tc>
        <w:tc>
          <w:tcPr>
            <w:tcW w:w="1216" w:type="dxa"/>
            <w:tcBorders>
              <w:top w:val="nil"/>
              <w:left w:val="nil"/>
              <w:bottom w:val="nil"/>
              <w:right w:val="nil"/>
            </w:tcBorders>
            <w:shd w:val="clear" w:color="auto" w:fill="auto"/>
            <w:noWrap/>
            <w:vAlign w:val="center"/>
            <w:hideMark/>
          </w:tcPr>
          <w:p w14:paraId="7E8D15F0"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0,22</w:t>
            </w:r>
          </w:p>
        </w:tc>
      </w:tr>
      <w:tr w:rsidR="00CB3C45" w:rsidRPr="004D3FB1" w14:paraId="17ADE367" w14:textId="77777777" w:rsidTr="00427D0F">
        <w:trPr>
          <w:trHeight w:val="330"/>
          <w:jc w:val="center"/>
        </w:trPr>
        <w:tc>
          <w:tcPr>
            <w:tcW w:w="5670" w:type="dxa"/>
            <w:tcBorders>
              <w:top w:val="nil"/>
              <w:left w:val="nil"/>
              <w:bottom w:val="nil"/>
              <w:right w:val="nil"/>
            </w:tcBorders>
            <w:shd w:val="clear" w:color="auto" w:fill="auto"/>
            <w:noWrap/>
            <w:vAlign w:val="center"/>
            <w:hideMark/>
          </w:tcPr>
          <w:p w14:paraId="71B63BFC" w14:textId="77777777" w:rsidR="00CB3C45" w:rsidRPr="004D3FB1" w:rsidRDefault="00CB3C45" w:rsidP="00842F2E">
            <w:pPr>
              <w:spacing w:after="0" w:line="240" w:lineRule="auto"/>
              <w:jc w:val="left"/>
              <w:rPr>
                <w:rFonts w:eastAsia="Times New Roman" w:cs="Times New Roman"/>
                <w:color w:val="000000"/>
                <w:sz w:val="18"/>
                <w:szCs w:val="18"/>
                <w:lang w:eastAsia="sk-SK"/>
              </w:rPr>
            </w:pPr>
            <w:r w:rsidRPr="004D3FB1">
              <w:rPr>
                <w:rFonts w:eastAsia="Times New Roman" w:cs="Times New Roman"/>
                <w:color w:val="000000"/>
                <w:sz w:val="18"/>
                <w:szCs w:val="18"/>
                <w:lang w:eastAsia="sk-SK"/>
              </w:rPr>
              <w:t xml:space="preserve">     - ostatné</w:t>
            </w:r>
          </w:p>
        </w:tc>
        <w:tc>
          <w:tcPr>
            <w:tcW w:w="1652" w:type="dxa"/>
            <w:tcBorders>
              <w:top w:val="nil"/>
              <w:left w:val="nil"/>
              <w:bottom w:val="nil"/>
              <w:right w:val="nil"/>
            </w:tcBorders>
            <w:shd w:val="clear" w:color="auto" w:fill="auto"/>
            <w:noWrap/>
            <w:vAlign w:val="center"/>
            <w:hideMark/>
          </w:tcPr>
          <w:p w14:paraId="77282ABB" w14:textId="77777777" w:rsidR="00CB3C45" w:rsidRPr="004D3FB1" w:rsidRDefault="00CB3C45" w:rsidP="00842F2E">
            <w:pPr>
              <w:spacing w:after="0" w:line="240" w:lineRule="auto"/>
              <w:jc w:val="right"/>
              <w:rPr>
                <w:rFonts w:eastAsia="Times New Roman" w:cs="Times New Roman"/>
                <w:sz w:val="18"/>
                <w:szCs w:val="18"/>
                <w:lang w:eastAsia="sk-SK"/>
              </w:rPr>
            </w:pPr>
            <w:r w:rsidRPr="004D3FB1">
              <w:rPr>
                <w:rFonts w:eastAsia="Times New Roman" w:cs="Times New Roman"/>
                <w:sz w:val="18"/>
                <w:szCs w:val="18"/>
                <w:lang w:eastAsia="sk-SK"/>
              </w:rPr>
              <w:t>11 246</w:t>
            </w:r>
          </w:p>
        </w:tc>
        <w:tc>
          <w:tcPr>
            <w:tcW w:w="1216" w:type="dxa"/>
            <w:tcBorders>
              <w:top w:val="nil"/>
              <w:left w:val="nil"/>
              <w:bottom w:val="nil"/>
              <w:right w:val="nil"/>
            </w:tcBorders>
            <w:shd w:val="clear" w:color="auto" w:fill="auto"/>
            <w:noWrap/>
            <w:vAlign w:val="center"/>
            <w:hideMark/>
          </w:tcPr>
          <w:p w14:paraId="5AFC2F42"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0,01</w:t>
            </w:r>
          </w:p>
        </w:tc>
      </w:tr>
      <w:tr w:rsidR="00CB3C45" w:rsidRPr="004D3FB1" w14:paraId="6AB083D6" w14:textId="77777777" w:rsidTr="00427D0F">
        <w:trPr>
          <w:trHeight w:val="585"/>
          <w:jc w:val="center"/>
        </w:trPr>
        <w:tc>
          <w:tcPr>
            <w:tcW w:w="5670" w:type="dxa"/>
            <w:tcBorders>
              <w:top w:val="nil"/>
              <w:left w:val="nil"/>
              <w:bottom w:val="nil"/>
              <w:right w:val="nil"/>
            </w:tcBorders>
            <w:shd w:val="clear" w:color="auto" w:fill="auto"/>
            <w:vAlign w:val="center"/>
            <w:hideMark/>
          </w:tcPr>
          <w:p w14:paraId="04F99387" w14:textId="77777777" w:rsidR="00CB3C45" w:rsidRPr="004D3FB1" w:rsidRDefault="00CB3C45" w:rsidP="00842F2E">
            <w:pPr>
              <w:spacing w:after="0" w:line="240" w:lineRule="auto"/>
              <w:jc w:val="left"/>
              <w:rPr>
                <w:rFonts w:eastAsia="Times New Roman" w:cs="Times New Roman"/>
                <w:b/>
                <w:bCs/>
                <w:color w:val="000000"/>
                <w:sz w:val="18"/>
                <w:szCs w:val="18"/>
                <w:lang w:eastAsia="sk-SK"/>
              </w:rPr>
            </w:pPr>
            <w:r w:rsidRPr="004D3FB1">
              <w:rPr>
                <w:rFonts w:eastAsia="Times New Roman" w:cs="Times New Roman"/>
                <w:b/>
                <w:bCs/>
                <w:color w:val="000000"/>
                <w:sz w:val="18"/>
                <w:szCs w:val="18"/>
                <w:lang w:eastAsia="sk-SK"/>
              </w:rPr>
              <w:t xml:space="preserve">8. Rozdiel v hospodárení subjektov ústrednej správy </w:t>
            </w:r>
            <w:r w:rsidRPr="004D3FB1">
              <w:rPr>
                <w:rFonts w:eastAsia="Times New Roman" w:cs="Times New Roman"/>
                <w:b/>
                <w:bCs/>
                <w:color w:val="000000"/>
                <w:sz w:val="18"/>
                <w:szCs w:val="18"/>
                <w:lang w:eastAsia="sk-SK"/>
              </w:rPr>
              <w:br/>
              <w:t xml:space="preserve">    bez daňových príjmov</w:t>
            </w:r>
          </w:p>
        </w:tc>
        <w:tc>
          <w:tcPr>
            <w:tcW w:w="1652" w:type="dxa"/>
            <w:tcBorders>
              <w:top w:val="nil"/>
              <w:left w:val="nil"/>
              <w:bottom w:val="nil"/>
              <w:right w:val="nil"/>
            </w:tcBorders>
            <w:shd w:val="clear" w:color="auto" w:fill="auto"/>
            <w:noWrap/>
            <w:vAlign w:val="center"/>
            <w:hideMark/>
          </w:tcPr>
          <w:p w14:paraId="759D62DA" w14:textId="77777777" w:rsidR="00CB3C45" w:rsidRPr="004D3FB1" w:rsidRDefault="00CB3C45" w:rsidP="00842F2E">
            <w:pPr>
              <w:spacing w:after="0" w:line="240" w:lineRule="auto"/>
              <w:jc w:val="right"/>
              <w:rPr>
                <w:rFonts w:eastAsia="Times New Roman" w:cs="Times New Roman"/>
                <w:b/>
                <w:bCs/>
                <w:i/>
                <w:iCs/>
                <w:color w:val="000000"/>
                <w:sz w:val="18"/>
                <w:szCs w:val="18"/>
                <w:lang w:eastAsia="sk-SK"/>
              </w:rPr>
            </w:pPr>
            <w:r w:rsidRPr="004D3FB1">
              <w:rPr>
                <w:rFonts w:eastAsia="Times New Roman" w:cs="Times New Roman"/>
                <w:b/>
                <w:bCs/>
                <w:i/>
                <w:iCs/>
                <w:color w:val="000000"/>
                <w:sz w:val="18"/>
                <w:szCs w:val="18"/>
                <w:lang w:eastAsia="sk-SK"/>
              </w:rPr>
              <w:t>183 085</w:t>
            </w:r>
          </w:p>
        </w:tc>
        <w:tc>
          <w:tcPr>
            <w:tcW w:w="1216" w:type="dxa"/>
            <w:tcBorders>
              <w:top w:val="nil"/>
              <w:left w:val="nil"/>
              <w:bottom w:val="nil"/>
              <w:right w:val="nil"/>
            </w:tcBorders>
            <w:shd w:val="clear" w:color="auto" w:fill="auto"/>
            <w:noWrap/>
            <w:vAlign w:val="center"/>
            <w:hideMark/>
          </w:tcPr>
          <w:p w14:paraId="31E649F8"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0,20</w:t>
            </w:r>
          </w:p>
        </w:tc>
      </w:tr>
      <w:tr w:rsidR="00CB3C45" w:rsidRPr="004D3FB1" w14:paraId="7C330DB9" w14:textId="77777777" w:rsidTr="00427D0F">
        <w:trPr>
          <w:trHeight w:val="330"/>
          <w:jc w:val="center"/>
        </w:trPr>
        <w:tc>
          <w:tcPr>
            <w:tcW w:w="5670" w:type="dxa"/>
            <w:tcBorders>
              <w:top w:val="nil"/>
              <w:left w:val="nil"/>
              <w:bottom w:val="nil"/>
              <w:right w:val="nil"/>
            </w:tcBorders>
            <w:shd w:val="clear" w:color="auto" w:fill="auto"/>
            <w:vAlign w:val="center"/>
            <w:hideMark/>
          </w:tcPr>
          <w:p w14:paraId="10BE934B" w14:textId="77777777" w:rsidR="00CB3C45" w:rsidRPr="004D3FB1" w:rsidRDefault="00CB3C45" w:rsidP="00842F2E">
            <w:pPr>
              <w:spacing w:after="0" w:line="240" w:lineRule="auto"/>
              <w:jc w:val="left"/>
              <w:rPr>
                <w:rFonts w:eastAsia="Times New Roman" w:cs="Times New Roman"/>
                <w:color w:val="000000"/>
                <w:sz w:val="18"/>
                <w:szCs w:val="18"/>
                <w:lang w:eastAsia="sk-SK"/>
              </w:rPr>
            </w:pPr>
            <w:r w:rsidRPr="004D3FB1">
              <w:rPr>
                <w:rFonts w:eastAsia="Times New Roman" w:cs="Times New Roman"/>
                <w:color w:val="000000"/>
                <w:sz w:val="18"/>
                <w:szCs w:val="18"/>
                <w:lang w:eastAsia="sk-SK"/>
              </w:rPr>
              <w:t xml:space="preserve">     - obchodné spoločnosti štátu</w:t>
            </w:r>
          </w:p>
        </w:tc>
        <w:tc>
          <w:tcPr>
            <w:tcW w:w="1652" w:type="dxa"/>
            <w:tcBorders>
              <w:top w:val="nil"/>
              <w:left w:val="nil"/>
              <w:bottom w:val="nil"/>
              <w:right w:val="nil"/>
            </w:tcBorders>
            <w:shd w:val="clear" w:color="auto" w:fill="auto"/>
            <w:noWrap/>
            <w:vAlign w:val="center"/>
            <w:hideMark/>
          </w:tcPr>
          <w:p w14:paraId="7A2562F5"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122 381</w:t>
            </w:r>
          </w:p>
        </w:tc>
        <w:tc>
          <w:tcPr>
            <w:tcW w:w="1216" w:type="dxa"/>
            <w:tcBorders>
              <w:top w:val="nil"/>
              <w:left w:val="nil"/>
              <w:bottom w:val="nil"/>
              <w:right w:val="nil"/>
            </w:tcBorders>
            <w:shd w:val="clear" w:color="auto" w:fill="auto"/>
            <w:noWrap/>
            <w:vAlign w:val="center"/>
            <w:hideMark/>
          </w:tcPr>
          <w:p w14:paraId="0752527C"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0,13</w:t>
            </w:r>
          </w:p>
        </w:tc>
      </w:tr>
      <w:tr w:rsidR="00CB3C45" w:rsidRPr="004D3FB1" w14:paraId="6A915469" w14:textId="77777777" w:rsidTr="00427D0F">
        <w:trPr>
          <w:trHeight w:val="330"/>
          <w:jc w:val="center"/>
        </w:trPr>
        <w:tc>
          <w:tcPr>
            <w:tcW w:w="5670" w:type="dxa"/>
            <w:tcBorders>
              <w:top w:val="nil"/>
              <w:left w:val="nil"/>
              <w:bottom w:val="nil"/>
              <w:right w:val="nil"/>
            </w:tcBorders>
            <w:shd w:val="clear" w:color="auto" w:fill="auto"/>
            <w:vAlign w:val="center"/>
            <w:hideMark/>
          </w:tcPr>
          <w:p w14:paraId="4DA278A1" w14:textId="77777777" w:rsidR="00CB3C45" w:rsidRPr="004D3FB1" w:rsidRDefault="00CB3C45" w:rsidP="00842F2E">
            <w:pPr>
              <w:spacing w:after="0" w:line="240" w:lineRule="auto"/>
              <w:jc w:val="left"/>
              <w:rPr>
                <w:rFonts w:eastAsia="Times New Roman" w:cs="Times New Roman"/>
                <w:color w:val="000000"/>
                <w:sz w:val="18"/>
                <w:szCs w:val="18"/>
                <w:lang w:eastAsia="sk-SK"/>
              </w:rPr>
            </w:pPr>
            <w:r w:rsidRPr="004D3FB1">
              <w:rPr>
                <w:rFonts w:eastAsia="Times New Roman" w:cs="Times New Roman"/>
                <w:color w:val="000000"/>
                <w:sz w:val="18"/>
                <w:szCs w:val="18"/>
                <w:lang w:eastAsia="sk-SK"/>
              </w:rPr>
              <w:t xml:space="preserve">     - Slovak </w:t>
            </w:r>
            <w:proofErr w:type="spellStart"/>
            <w:r w:rsidRPr="004D3FB1">
              <w:rPr>
                <w:rFonts w:eastAsia="Times New Roman" w:cs="Times New Roman"/>
                <w:color w:val="000000"/>
                <w:sz w:val="18"/>
                <w:szCs w:val="18"/>
                <w:lang w:eastAsia="sk-SK"/>
              </w:rPr>
              <w:t>Investment</w:t>
            </w:r>
            <w:proofErr w:type="spellEnd"/>
            <w:r w:rsidRPr="004D3FB1">
              <w:rPr>
                <w:rFonts w:eastAsia="Times New Roman" w:cs="Times New Roman"/>
                <w:color w:val="000000"/>
                <w:sz w:val="18"/>
                <w:szCs w:val="18"/>
                <w:lang w:eastAsia="sk-SK"/>
              </w:rPr>
              <w:t xml:space="preserve"> Holding (SIH)</w:t>
            </w:r>
          </w:p>
        </w:tc>
        <w:tc>
          <w:tcPr>
            <w:tcW w:w="1652" w:type="dxa"/>
            <w:tcBorders>
              <w:top w:val="nil"/>
              <w:left w:val="nil"/>
              <w:bottom w:val="nil"/>
              <w:right w:val="nil"/>
            </w:tcBorders>
            <w:shd w:val="clear" w:color="auto" w:fill="auto"/>
            <w:noWrap/>
            <w:vAlign w:val="center"/>
            <w:hideMark/>
          </w:tcPr>
          <w:p w14:paraId="6CFA8D3B"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-6 120</w:t>
            </w:r>
          </w:p>
        </w:tc>
        <w:tc>
          <w:tcPr>
            <w:tcW w:w="1216" w:type="dxa"/>
            <w:tcBorders>
              <w:top w:val="nil"/>
              <w:left w:val="nil"/>
              <w:bottom w:val="nil"/>
              <w:right w:val="nil"/>
            </w:tcBorders>
            <w:shd w:val="clear" w:color="auto" w:fill="auto"/>
            <w:noWrap/>
            <w:vAlign w:val="center"/>
            <w:hideMark/>
          </w:tcPr>
          <w:p w14:paraId="6308FAFB"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-0,01</w:t>
            </w:r>
          </w:p>
        </w:tc>
      </w:tr>
      <w:tr w:rsidR="00CB3C45" w:rsidRPr="004D3FB1" w14:paraId="389236AF" w14:textId="77777777" w:rsidTr="00427D0F">
        <w:trPr>
          <w:trHeight w:val="330"/>
          <w:jc w:val="center"/>
        </w:trPr>
        <w:tc>
          <w:tcPr>
            <w:tcW w:w="5670" w:type="dxa"/>
            <w:tcBorders>
              <w:top w:val="nil"/>
              <w:left w:val="nil"/>
              <w:bottom w:val="nil"/>
              <w:right w:val="nil"/>
            </w:tcBorders>
            <w:shd w:val="clear" w:color="auto" w:fill="auto"/>
            <w:noWrap/>
            <w:vAlign w:val="center"/>
            <w:hideMark/>
          </w:tcPr>
          <w:p w14:paraId="64602931" w14:textId="77777777" w:rsidR="00CB3C45" w:rsidRPr="004D3FB1" w:rsidRDefault="00CB3C45" w:rsidP="00842F2E">
            <w:pPr>
              <w:spacing w:after="0" w:line="240" w:lineRule="auto"/>
              <w:jc w:val="left"/>
              <w:rPr>
                <w:rFonts w:eastAsia="Times New Roman" w:cs="Times New Roman"/>
                <w:sz w:val="18"/>
                <w:szCs w:val="18"/>
                <w:lang w:eastAsia="sk-SK"/>
              </w:rPr>
            </w:pPr>
            <w:r w:rsidRPr="004D3FB1">
              <w:rPr>
                <w:rFonts w:eastAsia="Times New Roman" w:cs="Times New Roman"/>
                <w:sz w:val="18"/>
                <w:szCs w:val="18"/>
                <w:lang w:eastAsia="sk-SK"/>
              </w:rPr>
              <w:t xml:space="preserve">     - PO štátu</w:t>
            </w:r>
          </w:p>
        </w:tc>
        <w:tc>
          <w:tcPr>
            <w:tcW w:w="1652" w:type="dxa"/>
            <w:tcBorders>
              <w:top w:val="nil"/>
              <w:left w:val="nil"/>
              <w:bottom w:val="nil"/>
              <w:right w:val="nil"/>
            </w:tcBorders>
            <w:shd w:val="clear" w:color="auto" w:fill="auto"/>
            <w:noWrap/>
            <w:vAlign w:val="center"/>
            <w:hideMark/>
          </w:tcPr>
          <w:p w14:paraId="58192FF7"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40 016</w:t>
            </w:r>
          </w:p>
        </w:tc>
        <w:tc>
          <w:tcPr>
            <w:tcW w:w="1216" w:type="dxa"/>
            <w:tcBorders>
              <w:top w:val="nil"/>
              <w:left w:val="nil"/>
              <w:bottom w:val="nil"/>
              <w:right w:val="nil"/>
            </w:tcBorders>
            <w:shd w:val="clear" w:color="auto" w:fill="auto"/>
            <w:noWrap/>
            <w:vAlign w:val="center"/>
            <w:hideMark/>
          </w:tcPr>
          <w:p w14:paraId="5951F789"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0,04</w:t>
            </w:r>
          </w:p>
        </w:tc>
      </w:tr>
      <w:tr w:rsidR="00CB3C45" w:rsidRPr="004D3FB1" w14:paraId="1D453278" w14:textId="77777777" w:rsidTr="00427D0F">
        <w:trPr>
          <w:trHeight w:val="330"/>
          <w:jc w:val="center"/>
        </w:trPr>
        <w:tc>
          <w:tcPr>
            <w:tcW w:w="5670" w:type="dxa"/>
            <w:tcBorders>
              <w:top w:val="nil"/>
              <w:left w:val="nil"/>
              <w:bottom w:val="nil"/>
              <w:right w:val="nil"/>
            </w:tcBorders>
            <w:shd w:val="clear" w:color="auto" w:fill="auto"/>
            <w:noWrap/>
            <w:vAlign w:val="center"/>
            <w:hideMark/>
          </w:tcPr>
          <w:p w14:paraId="5C48B156" w14:textId="77777777" w:rsidR="00CB3C45" w:rsidRPr="004D3FB1" w:rsidRDefault="00CB3C45" w:rsidP="00842F2E">
            <w:pPr>
              <w:spacing w:after="0" w:line="240" w:lineRule="auto"/>
              <w:jc w:val="left"/>
              <w:rPr>
                <w:rFonts w:eastAsia="Times New Roman" w:cs="Times New Roman"/>
                <w:sz w:val="18"/>
                <w:szCs w:val="18"/>
                <w:lang w:eastAsia="sk-SK"/>
              </w:rPr>
            </w:pPr>
            <w:r w:rsidRPr="004D3FB1">
              <w:rPr>
                <w:rFonts w:eastAsia="Times New Roman" w:cs="Times New Roman"/>
                <w:sz w:val="18"/>
                <w:szCs w:val="18"/>
                <w:lang w:eastAsia="sk-SK"/>
              </w:rPr>
              <w:t xml:space="preserve">     - VVŠ</w:t>
            </w:r>
          </w:p>
        </w:tc>
        <w:tc>
          <w:tcPr>
            <w:tcW w:w="1652" w:type="dxa"/>
            <w:tcBorders>
              <w:top w:val="nil"/>
              <w:left w:val="nil"/>
              <w:bottom w:val="nil"/>
              <w:right w:val="nil"/>
            </w:tcBorders>
            <w:shd w:val="clear" w:color="auto" w:fill="auto"/>
            <w:noWrap/>
            <w:vAlign w:val="center"/>
            <w:hideMark/>
          </w:tcPr>
          <w:p w14:paraId="6BC8214E" w14:textId="77777777" w:rsidR="00CB3C45" w:rsidRPr="004D3FB1" w:rsidRDefault="00CB3C45" w:rsidP="00842F2E">
            <w:pPr>
              <w:spacing w:after="0" w:line="240" w:lineRule="auto"/>
              <w:jc w:val="right"/>
              <w:rPr>
                <w:rFonts w:eastAsia="Times New Roman" w:cs="Times New Roman"/>
                <w:sz w:val="18"/>
                <w:szCs w:val="18"/>
                <w:lang w:eastAsia="sk-SK"/>
              </w:rPr>
            </w:pPr>
            <w:r w:rsidRPr="004D3FB1">
              <w:rPr>
                <w:rFonts w:eastAsia="Times New Roman" w:cs="Times New Roman"/>
                <w:sz w:val="18"/>
                <w:szCs w:val="18"/>
                <w:lang w:eastAsia="sk-SK"/>
              </w:rPr>
              <w:t>151 538</w:t>
            </w:r>
          </w:p>
        </w:tc>
        <w:tc>
          <w:tcPr>
            <w:tcW w:w="1216" w:type="dxa"/>
            <w:tcBorders>
              <w:top w:val="nil"/>
              <w:left w:val="nil"/>
              <w:bottom w:val="nil"/>
              <w:right w:val="nil"/>
            </w:tcBorders>
            <w:shd w:val="clear" w:color="auto" w:fill="auto"/>
            <w:noWrap/>
            <w:vAlign w:val="center"/>
            <w:hideMark/>
          </w:tcPr>
          <w:p w14:paraId="77B2B135"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0,17</w:t>
            </w:r>
          </w:p>
        </w:tc>
      </w:tr>
      <w:tr w:rsidR="00CB3C45" w:rsidRPr="004D3FB1" w14:paraId="41E32B62" w14:textId="77777777" w:rsidTr="00427D0F">
        <w:trPr>
          <w:trHeight w:val="330"/>
          <w:jc w:val="center"/>
        </w:trPr>
        <w:tc>
          <w:tcPr>
            <w:tcW w:w="5670" w:type="dxa"/>
            <w:tcBorders>
              <w:top w:val="nil"/>
              <w:left w:val="nil"/>
              <w:bottom w:val="nil"/>
              <w:right w:val="nil"/>
            </w:tcBorders>
            <w:shd w:val="clear" w:color="auto" w:fill="auto"/>
            <w:noWrap/>
            <w:vAlign w:val="center"/>
            <w:hideMark/>
          </w:tcPr>
          <w:p w14:paraId="02ADF4F2" w14:textId="77777777" w:rsidR="00CB3C45" w:rsidRPr="004D3FB1" w:rsidRDefault="00CB3C45" w:rsidP="00842F2E">
            <w:pPr>
              <w:spacing w:after="0" w:line="240" w:lineRule="auto"/>
              <w:jc w:val="left"/>
              <w:rPr>
                <w:rFonts w:eastAsia="Times New Roman" w:cs="Times New Roman"/>
                <w:color w:val="000000"/>
                <w:sz w:val="18"/>
                <w:szCs w:val="18"/>
                <w:lang w:eastAsia="sk-SK"/>
              </w:rPr>
            </w:pPr>
            <w:r w:rsidRPr="004D3FB1">
              <w:rPr>
                <w:rFonts w:eastAsia="Times New Roman" w:cs="Times New Roman"/>
                <w:color w:val="000000"/>
                <w:sz w:val="18"/>
                <w:szCs w:val="18"/>
                <w:lang w:eastAsia="sk-SK"/>
              </w:rPr>
              <w:t xml:space="preserve">     - štátne fondy bez vplyvu príjmov z emisných kvót</w:t>
            </w:r>
          </w:p>
        </w:tc>
        <w:tc>
          <w:tcPr>
            <w:tcW w:w="1652" w:type="dxa"/>
            <w:tcBorders>
              <w:top w:val="nil"/>
              <w:left w:val="nil"/>
              <w:bottom w:val="nil"/>
              <w:right w:val="nil"/>
            </w:tcBorders>
            <w:shd w:val="clear" w:color="auto" w:fill="auto"/>
            <w:noWrap/>
            <w:vAlign w:val="center"/>
            <w:hideMark/>
          </w:tcPr>
          <w:p w14:paraId="669AA91A"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-90 435</w:t>
            </w:r>
          </w:p>
        </w:tc>
        <w:tc>
          <w:tcPr>
            <w:tcW w:w="1216" w:type="dxa"/>
            <w:tcBorders>
              <w:top w:val="nil"/>
              <w:left w:val="nil"/>
              <w:bottom w:val="nil"/>
              <w:right w:val="nil"/>
            </w:tcBorders>
            <w:shd w:val="clear" w:color="auto" w:fill="auto"/>
            <w:noWrap/>
            <w:vAlign w:val="center"/>
            <w:hideMark/>
          </w:tcPr>
          <w:p w14:paraId="56562556"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-0,10</w:t>
            </w:r>
          </w:p>
        </w:tc>
      </w:tr>
      <w:tr w:rsidR="00CB3C45" w:rsidRPr="004D3FB1" w14:paraId="28D9178F" w14:textId="77777777" w:rsidTr="00427D0F">
        <w:trPr>
          <w:trHeight w:val="330"/>
          <w:jc w:val="center"/>
        </w:trPr>
        <w:tc>
          <w:tcPr>
            <w:tcW w:w="5670" w:type="dxa"/>
            <w:tcBorders>
              <w:top w:val="nil"/>
              <w:left w:val="nil"/>
              <w:bottom w:val="nil"/>
              <w:right w:val="nil"/>
            </w:tcBorders>
            <w:shd w:val="clear" w:color="auto" w:fill="auto"/>
            <w:noWrap/>
            <w:vAlign w:val="center"/>
            <w:hideMark/>
          </w:tcPr>
          <w:p w14:paraId="430431F5" w14:textId="77777777" w:rsidR="00CB3C45" w:rsidRPr="004D3FB1" w:rsidRDefault="00CB3C45" w:rsidP="00842F2E">
            <w:pPr>
              <w:spacing w:after="0" w:line="240" w:lineRule="auto"/>
              <w:jc w:val="left"/>
              <w:rPr>
                <w:rFonts w:eastAsia="Times New Roman" w:cs="Times New Roman"/>
                <w:sz w:val="18"/>
                <w:szCs w:val="18"/>
                <w:lang w:eastAsia="sk-SK"/>
              </w:rPr>
            </w:pPr>
            <w:r w:rsidRPr="004D3FB1">
              <w:rPr>
                <w:rFonts w:eastAsia="Times New Roman" w:cs="Times New Roman"/>
                <w:sz w:val="18"/>
                <w:szCs w:val="18"/>
                <w:lang w:eastAsia="sk-SK"/>
              </w:rPr>
              <w:t xml:space="preserve">     - Slovenský pozemkový fond</w:t>
            </w:r>
          </w:p>
        </w:tc>
        <w:tc>
          <w:tcPr>
            <w:tcW w:w="1652" w:type="dxa"/>
            <w:tcBorders>
              <w:top w:val="nil"/>
              <w:left w:val="nil"/>
              <w:bottom w:val="nil"/>
              <w:right w:val="nil"/>
            </w:tcBorders>
            <w:shd w:val="clear" w:color="auto" w:fill="auto"/>
            <w:noWrap/>
            <w:vAlign w:val="center"/>
            <w:hideMark/>
          </w:tcPr>
          <w:p w14:paraId="12FD584D"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12 201</w:t>
            </w:r>
          </w:p>
        </w:tc>
        <w:tc>
          <w:tcPr>
            <w:tcW w:w="1216" w:type="dxa"/>
            <w:tcBorders>
              <w:top w:val="nil"/>
              <w:left w:val="nil"/>
              <w:bottom w:val="nil"/>
              <w:right w:val="nil"/>
            </w:tcBorders>
            <w:shd w:val="clear" w:color="auto" w:fill="auto"/>
            <w:noWrap/>
            <w:vAlign w:val="center"/>
            <w:hideMark/>
          </w:tcPr>
          <w:p w14:paraId="1C3142B7"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0,01</w:t>
            </w:r>
          </w:p>
        </w:tc>
      </w:tr>
      <w:tr w:rsidR="00CB3C45" w:rsidRPr="004D3FB1" w14:paraId="300926E9" w14:textId="77777777" w:rsidTr="00427D0F">
        <w:trPr>
          <w:trHeight w:val="330"/>
          <w:jc w:val="center"/>
        </w:trPr>
        <w:tc>
          <w:tcPr>
            <w:tcW w:w="5670" w:type="dxa"/>
            <w:tcBorders>
              <w:top w:val="nil"/>
              <w:left w:val="nil"/>
              <w:bottom w:val="nil"/>
              <w:right w:val="nil"/>
            </w:tcBorders>
            <w:shd w:val="clear" w:color="auto" w:fill="auto"/>
            <w:noWrap/>
            <w:vAlign w:val="center"/>
            <w:hideMark/>
          </w:tcPr>
          <w:p w14:paraId="2B69A1D1" w14:textId="77777777" w:rsidR="00CB3C45" w:rsidRPr="004D3FB1" w:rsidRDefault="00CB3C45" w:rsidP="00842F2E">
            <w:pPr>
              <w:spacing w:after="0" w:line="240" w:lineRule="auto"/>
              <w:jc w:val="left"/>
              <w:rPr>
                <w:rFonts w:eastAsia="Times New Roman" w:cs="Times New Roman"/>
                <w:color w:val="000000"/>
                <w:sz w:val="18"/>
                <w:szCs w:val="18"/>
                <w:lang w:eastAsia="sk-SK"/>
              </w:rPr>
            </w:pPr>
            <w:r w:rsidRPr="004D3FB1">
              <w:rPr>
                <w:rFonts w:eastAsia="Times New Roman" w:cs="Times New Roman"/>
                <w:color w:val="000000"/>
                <w:sz w:val="18"/>
                <w:szCs w:val="18"/>
                <w:lang w:eastAsia="sk-SK"/>
              </w:rPr>
              <w:t xml:space="preserve">     - ostatné subjekty ústrednej správy</w:t>
            </w:r>
          </w:p>
        </w:tc>
        <w:tc>
          <w:tcPr>
            <w:tcW w:w="1652" w:type="dxa"/>
            <w:tcBorders>
              <w:top w:val="nil"/>
              <w:left w:val="nil"/>
              <w:bottom w:val="nil"/>
              <w:right w:val="nil"/>
            </w:tcBorders>
            <w:shd w:val="clear" w:color="auto" w:fill="auto"/>
            <w:noWrap/>
            <w:vAlign w:val="center"/>
            <w:hideMark/>
          </w:tcPr>
          <w:p w14:paraId="0E7192BD" w14:textId="77777777" w:rsidR="00CB3C45" w:rsidRPr="004D3FB1" w:rsidRDefault="00CB3C45" w:rsidP="00842F2E">
            <w:pPr>
              <w:spacing w:after="0" w:line="240" w:lineRule="auto"/>
              <w:jc w:val="right"/>
              <w:rPr>
                <w:rFonts w:eastAsia="Times New Roman" w:cs="Times New Roman"/>
                <w:sz w:val="18"/>
                <w:szCs w:val="18"/>
                <w:lang w:eastAsia="sk-SK"/>
              </w:rPr>
            </w:pPr>
            <w:r w:rsidRPr="004D3FB1">
              <w:rPr>
                <w:rFonts w:eastAsia="Times New Roman" w:cs="Times New Roman"/>
                <w:sz w:val="18"/>
                <w:szCs w:val="18"/>
                <w:lang w:eastAsia="sk-SK"/>
              </w:rPr>
              <w:t>-46 496</w:t>
            </w:r>
          </w:p>
        </w:tc>
        <w:tc>
          <w:tcPr>
            <w:tcW w:w="1216" w:type="dxa"/>
            <w:tcBorders>
              <w:top w:val="nil"/>
              <w:left w:val="nil"/>
              <w:bottom w:val="nil"/>
              <w:right w:val="nil"/>
            </w:tcBorders>
            <w:shd w:val="clear" w:color="auto" w:fill="auto"/>
            <w:noWrap/>
            <w:vAlign w:val="center"/>
            <w:hideMark/>
          </w:tcPr>
          <w:p w14:paraId="36171EE6" w14:textId="77777777" w:rsidR="00CB3C45" w:rsidRPr="004D3FB1" w:rsidRDefault="00CB3C45" w:rsidP="00842F2E">
            <w:pPr>
              <w:spacing w:after="0" w:line="240" w:lineRule="auto"/>
              <w:jc w:val="right"/>
              <w:rPr>
                <w:rFonts w:eastAsia="Times New Roman" w:cs="Times New Roman"/>
                <w:sz w:val="18"/>
                <w:szCs w:val="18"/>
                <w:lang w:eastAsia="sk-SK"/>
              </w:rPr>
            </w:pPr>
            <w:r w:rsidRPr="004D3FB1">
              <w:rPr>
                <w:rFonts w:eastAsia="Times New Roman" w:cs="Times New Roman"/>
                <w:sz w:val="18"/>
                <w:szCs w:val="18"/>
                <w:lang w:eastAsia="sk-SK"/>
              </w:rPr>
              <w:t>-0,05</w:t>
            </w:r>
          </w:p>
        </w:tc>
      </w:tr>
      <w:tr w:rsidR="00CB3C45" w:rsidRPr="004D3FB1" w14:paraId="720B15F9" w14:textId="77777777" w:rsidTr="00427D0F">
        <w:trPr>
          <w:trHeight w:val="330"/>
          <w:jc w:val="center"/>
        </w:trPr>
        <w:tc>
          <w:tcPr>
            <w:tcW w:w="5670" w:type="dxa"/>
            <w:tcBorders>
              <w:top w:val="nil"/>
              <w:left w:val="nil"/>
              <w:bottom w:val="nil"/>
              <w:right w:val="nil"/>
            </w:tcBorders>
            <w:shd w:val="clear" w:color="auto" w:fill="auto"/>
            <w:vAlign w:val="center"/>
            <w:hideMark/>
          </w:tcPr>
          <w:p w14:paraId="6A268BD0" w14:textId="77777777" w:rsidR="00CB3C45" w:rsidRPr="004D3FB1" w:rsidRDefault="00CB3C45" w:rsidP="00842F2E">
            <w:pPr>
              <w:spacing w:after="0" w:line="240" w:lineRule="auto"/>
              <w:jc w:val="left"/>
              <w:rPr>
                <w:rFonts w:eastAsia="Times New Roman" w:cs="Times New Roman"/>
                <w:b/>
                <w:bCs/>
                <w:color w:val="000000"/>
                <w:sz w:val="18"/>
                <w:szCs w:val="18"/>
                <w:lang w:eastAsia="sk-SK"/>
              </w:rPr>
            </w:pPr>
            <w:r w:rsidRPr="004D3FB1">
              <w:rPr>
                <w:rFonts w:eastAsia="Times New Roman" w:cs="Times New Roman"/>
                <w:b/>
                <w:bCs/>
                <w:color w:val="000000"/>
                <w:sz w:val="18"/>
                <w:szCs w:val="18"/>
                <w:lang w:eastAsia="sk-SK"/>
              </w:rPr>
              <w:t>9. Rozdiel v hospodárení územnej samosprávy bez daňových príjmov</w:t>
            </w:r>
          </w:p>
        </w:tc>
        <w:tc>
          <w:tcPr>
            <w:tcW w:w="1652" w:type="dxa"/>
            <w:tcBorders>
              <w:top w:val="nil"/>
              <w:left w:val="nil"/>
              <w:bottom w:val="nil"/>
              <w:right w:val="nil"/>
            </w:tcBorders>
            <w:shd w:val="clear" w:color="auto" w:fill="auto"/>
            <w:noWrap/>
            <w:vAlign w:val="center"/>
            <w:hideMark/>
          </w:tcPr>
          <w:p w14:paraId="63CE9C3A" w14:textId="77777777" w:rsidR="00CB3C45" w:rsidRPr="004D3FB1" w:rsidRDefault="00CB3C45" w:rsidP="00842F2E">
            <w:pPr>
              <w:spacing w:after="0" w:line="240" w:lineRule="auto"/>
              <w:jc w:val="right"/>
              <w:rPr>
                <w:rFonts w:eastAsia="Times New Roman" w:cs="Times New Roman"/>
                <w:b/>
                <w:bCs/>
                <w:i/>
                <w:iCs/>
                <w:color w:val="000000"/>
                <w:sz w:val="18"/>
                <w:szCs w:val="18"/>
                <w:lang w:eastAsia="sk-SK"/>
              </w:rPr>
            </w:pPr>
            <w:r w:rsidRPr="004D3FB1">
              <w:rPr>
                <w:rFonts w:eastAsia="Times New Roman" w:cs="Times New Roman"/>
                <w:b/>
                <w:bCs/>
                <w:i/>
                <w:iCs/>
                <w:color w:val="000000"/>
                <w:sz w:val="18"/>
                <w:szCs w:val="18"/>
                <w:lang w:eastAsia="sk-SK"/>
              </w:rPr>
              <w:t>372 604</w:t>
            </w:r>
          </w:p>
        </w:tc>
        <w:tc>
          <w:tcPr>
            <w:tcW w:w="1216" w:type="dxa"/>
            <w:tcBorders>
              <w:top w:val="nil"/>
              <w:left w:val="nil"/>
              <w:bottom w:val="nil"/>
              <w:right w:val="nil"/>
            </w:tcBorders>
            <w:shd w:val="clear" w:color="auto" w:fill="auto"/>
            <w:noWrap/>
            <w:vAlign w:val="center"/>
            <w:hideMark/>
          </w:tcPr>
          <w:p w14:paraId="084C4BF8"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0,41</w:t>
            </w:r>
          </w:p>
        </w:tc>
      </w:tr>
      <w:tr w:rsidR="00CB3C45" w:rsidRPr="004D3FB1" w14:paraId="54682B34" w14:textId="77777777" w:rsidTr="00427D0F">
        <w:trPr>
          <w:trHeight w:val="330"/>
          <w:jc w:val="center"/>
        </w:trPr>
        <w:tc>
          <w:tcPr>
            <w:tcW w:w="5670" w:type="dxa"/>
            <w:tcBorders>
              <w:top w:val="nil"/>
              <w:left w:val="nil"/>
              <w:bottom w:val="nil"/>
              <w:right w:val="nil"/>
            </w:tcBorders>
            <w:shd w:val="clear" w:color="auto" w:fill="auto"/>
            <w:vAlign w:val="center"/>
            <w:hideMark/>
          </w:tcPr>
          <w:p w14:paraId="2E56EA18" w14:textId="77777777" w:rsidR="00CB3C45" w:rsidRPr="004D3FB1" w:rsidRDefault="00CB3C45" w:rsidP="00842F2E">
            <w:pPr>
              <w:spacing w:after="0" w:line="240" w:lineRule="auto"/>
              <w:jc w:val="left"/>
              <w:rPr>
                <w:rFonts w:eastAsia="Times New Roman" w:cs="Times New Roman"/>
                <w:color w:val="000000"/>
                <w:sz w:val="18"/>
                <w:szCs w:val="18"/>
                <w:lang w:eastAsia="sk-SK"/>
              </w:rPr>
            </w:pPr>
            <w:r w:rsidRPr="004D3FB1">
              <w:rPr>
                <w:rFonts w:eastAsia="Times New Roman" w:cs="Times New Roman"/>
                <w:color w:val="000000"/>
                <w:sz w:val="18"/>
                <w:szCs w:val="18"/>
                <w:lang w:eastAsia="sk-SK"/>
              </w:rPr>
              <w:t xml:space="preserve">     - obce</w:t>
            </w:r>
          </w:p>
        </w:tc>
        <w:tc>
          <w:tcPr>
            <w:tcW w:w="1652" w:type="dxa"/>
            <w:tcBorders>
              <w:top w:val="nil"/>
              <w:left w:val="nil"/>
              <w:bottom w:val="nil"/>
              <w:right w:val="nil"/>
            </w:tcBorders>
            <w:shd w:val="clear" w:color="auto" w:fill="auto"/>
            <w:noWrap/>
            <w:vAlign w:val="center"/>
            <w:hideMark/>
          </w:tcPr>
          <w:p w14:paraId="575F5F47"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363 352</w:t>
            </w:r>
          </w:p>
        </w:tc>
        <w:tc>
          <w:tcPr>
            <w:tcW w:w="1216" w:type="dxa"/>
            <w:tcBorders>
              <w:top w:val="nil"/>
              <w:left w:val="nil"/>
              <w:bottom w:val="nil"/>
              <w:right w:val="nil"/>
            </w:tcBorders>
            <w:shd w:val="clear" w:color="auto" w:fill="auto"/>
            <w:noWrap/>
            <w:vAlign w:val="center"/>
            <w:hideMark/>
          </w:tcPr>
          <w:p w14:paraId="00D7085B"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0,40</w:t>
            </w:r>
          </w:p>
        </w:tc>
      </w:tr>
      <w:tr w:rsidR="00CB3C45" w:rsidRPr="004D3FB1" w14:paraId="2234B79E" w14:textId="77777777" w:rsidTr="00427D0F">
        <w:trPr>
          <w:trHeight w:val="330"/>
          <w:jc w:val="center"/>
        </w:trPr>
        <w:tc>
          <w:tcPr>
            <w:tcW w:w="5670" w:type="dxa"/>
            <w:tcBorders>
              <w:top w:val="nil"/>
              <w:left w:val="nil"/>
              <w:bottom w:val="nil"/>
              <w:right w:val="nil"/>
            </w:tcBorders>
            <w:shd w:val="clear" w:color="auto" w:fill="auto"/>
            <w:vAlign w:val="center"/>
            <w:hideMark/>
          </w:tcPr>
          <w:p w14:paraId="3B4E40CF" w14:textId="77777777" w:rsidR="00CB3C45" w:rsidRPr="004D3FB1" w:rsidRDefault="00CB3C45" w:rsidP="00842F2E">
            <w:pPr>
              <w:spacing w:after="0" w:line="240" w:lineRule="auto"/>
              <w:jc w:val="left"/>
              <w:rPr>
                <w:rFonts w:eastAsia="Times New Roman" w:cs="Times New Roman"/>
                <w:color w:val="000000"/>
                <w:sz w:val="18"/>
                <w:szCs w:val="18"/>
                <w:lang w:eastAsia="sk-SK"/>
              </w:rPr>
            </w:pPr>
            <w:r w:rsidRPr="004D3FB1">
              <w:rPr>
                <w:rFonts w:eastAsia="Times New Roman" w:cs="Times New Roman"/>
                <w:color w:val="000000"/>
                <w:sz w:val="18"/>
                <w:szCs w:val="18"/>
                <w:lang w:eastAsia="sk-SK"/>
              </w:rPr>
              <w:t xml:space="preserve">     - VÚC</w:t>
            </w:r>
          </w:p>
        </w:tc>
        <w:tc>
          <w:tcPr>
            <w:tcW w:w="1652" w:type="dxa"/>
            <w:tcBorders>
              <w:top w:val="nil"/>
              <w:left w:val="nil"/>
              <w:bottom w:val="nil"/>
              <w:right w:val="nil"/>
            </w:tcBorders>
            <w:shd w:val="clear" w:color="auto" w:fill="auto"/>
            <w:noWrap/>
            <w:vAlign w:val="center"/>
            <w:hideMark/>
          </w:tcPr>
          <w:p w14:paraId="44191F1D"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-5 084</w:t>
            </w:r>
          </w:p>
        </w:tc>
        <w:tc>
          <w:tcPr>
            <w:tcW w:w="1216" w:type="dxa"/>
            <w:tcBorders>
              <w:top w:val="nil"/>
              <w:left w:val="nil"/>
              <w:bottom w:val="nil"/>
              <w:right w:val="nil"/>
            </w:tcBorders>
            <w:shd w:val="clear" w:color="auto" w:fill="auto"/>
            <w:noWrap/>
            <w:vAlign w:val="center"/>
            <w:hideMark/>
          </w:tcPr>
          <w:p w14:paraId="12CB742E"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-0,01</w:t>
            </w:r>
          </w:p>
        </w:tc>
      </w:tr>
      <w:tr w:rsidR="00CB3C45" w:rsidRPr="004D3FB1" w14:paraId="4EC5F060" w14:textId="77777777" w:rsidTr="00427D0F">
        <w:trPr>
          <w:trHeight w:val="330"/>
          <w:jc w:val="center"/>
        </w:trPr>
        <w:tc>
          <w:tcPr>
            <w:tcW w:w="5670" w:type="dxa"/>
            <w:tcBorders>
              <w:top w:val="nil"/>
              <w:left w:val="nil"/>
              <w:bottom w:val="nil"/>
              <w:right w:val="nil"/>
            </w:tcBorders>
            <w:shd w:val="clear" w:color="auto" w:fill="auto"/>
            <w:vAlign w:val="center"/>
            <w:hideMark/>
          </w:tcPr>
          <w:p w14:paraId="5B74F6FF" w14:textId="77777777" w:rsidR="00CB3C45" w:rsidRPr="004D3FB1" w:rsidRDefault="00CB3C45" w:rsidP="00842F2E">
            <w:pPr>
              <w:spacing w:after="0" w:line="240" w:lineRule="auto"/>
              <w:jc w:val="left"/>
              <w:rPr>
                <w:rFonts w:eastAsia="Times New Roman" w:cs="Times New Roman"/>
                <w:color w:val="000000"/>
                <w:sz w:val="18"/>
                <w:szCs w:val="18"/>
                <w:lang w:eastAsia="sk-SK"/>
              </w:rPr>
            </w:pPr>
            <w:r w:rsidRPr="004D3FB1">
              <w:rPr>
                <w:rFonts w:eastAsia="Times New Roman" w:cs="Times New Roman"/>
                <w:color w:val="000000"/>
                <w:sz w:val="18"/>
                <w:szCs w:val="18"/>
                <w:lang w:eastAsia="sk-SK"/>
              </w:rPr>
              <w:t xml:space="preserve">     - dopravné podniky</w:t>
            </w:r>
          </w:p>
        </w:tc>
        <w:tc>
          <w:tcPr>
            <w:tcW w:w="1652" w:type="dxa"/>
            <w:tcBorders>
              <w:top w:val="nil"/>
              <w:left w:val="nil"/>
              <w:bottom w:val="nil"/>
              <w:right w:val="nil"/>
            </w:tcBorders>
            <w:shd w:val="clear" w:color="auto" w:fill="auto"/>
            <w:noWrap/>
            <w:vAlign w:val="center"/>
            <w:hideMark/>
          </w:tcPr>
          <w:p w14:paraId="3134833B"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-13 164</w:t>
            </w:r>
          </w:p>
        </w:tc>
        <w:tc>
          <w:tcPr>
            <w:tcW w:w="1216" w:type="dxa"/>
            <w:tcBorders>
              <w:top w:val="nil"/>
              <w:left w:val="nil"/>
              <w:bottom w:val="nil"/>
              <w:right w:val="nil"/>
            </w:tcBorders>
            <w:shd w:val="clear" w:color="auto" w:fill="auto"/>
            <w:noWrap/>
            <w:vAlign w:val="center"/>
            <w:hideMark/>
          </w:tcPr>
          <w:p w14:paraId="469B4C2B"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-0,01</w:t>
            </w:r>
          </w:p>
        </w:tc>
      </w:tr>
      <w:tr w:rsidR="00CB3C45" w:rsidRPr="004D3FB1" w14:paraId="5E8ADCF1" w14:textId="77777777" w:rsidTr="00427D0F">
        <w:trPr>
          <w:trHeight w:val="330"/>
          <w:jc w:val="center"/>
        </w:trPr>
        <w:tc>
          <w:tcPr>
            <w:tcW w:w="5670" w:type="dxa"/>
            <w:tcBorders>
              <w:top w:val="nil"/>
              <w:left w:val="nil"/>
              <w:bottom w:val="nil"/>
              <w:right w:val="nil"/>
            </w:tcBorders>
            <w:shd w:val="clear" w:color="auto" w:fill="auto"/>
            <w:vAlign w:val="center"/>
            <w:hideMark/>
          </w:tcPr>
          <w:p w14:paraId="1AA37C27" w14:textId="77777777" w:rsidR="00CB3C45" w:rsidRPr="004D3FB1" w:rsidRDefault="00CB3C45" w:rsidP="00842F2E">
            <w:pPr>
              <w:spacing w:after="0" w:line="240" w:lineRule="auto"/>
              <w:jc w:val="left"/>
              <w:rPr>
                <w:rFonts w:eastAsia="Times New Roman" w:cs="Times New Roman"/>
                <w:color w:val="000000"/>
                <w:sz w:val="18"/>
                <w:szCs w:val="18"/>
                <w:lang w:eastAsia="sk-SK"/>
              </w:rPr>
            </w:pPr>
            <w:r w:rsidRPr="004D3FB1">
              <w:rPr>
                <w:rFonts w:eastAsia="Times New Roman" w:cs="Times New Roman"/>
                <w:color w:val="000000"/>
                <w:sz w:val="18"/>
                <w:szCs w:val="18"/>
                <w:lang w:eastAsia="sk-SK"/>
              </w:rPr>
              <w:t xml:space="preserve">     - príspevkové organizácie obcí a VÚC</w:t>
            </w:r>
          </w:p>
        </w:tc>
        <w:tc>
          <w:tcPr>
            <w:tcW w:w="1652" w:type="dxa"/>
            <w:tcBorders>
              <w:top w:val="nil"/>
              <w:left w:val="nil"/>
              <w:bottom w:val="nil"/>
              <w:right w:val="nil"/>
            </w:tcBorders>
            <w:shd w:val="clear" w:color="auto" w:fill="auto"/>
            <w:noWrap/>
            <w:vAlign w:val="center"/>
            <w:hideMark/>
          </w:tcPr>
          <w:p w14:paraId="0CDE9F84"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-517</w:t>
            </w:r>
          </w:p>
        </w:tc>
        <w:tc>
          <w:tcPr>
            <w:tcW w:w="1216" w:type="dxa"/>
            <w:tcBorders>
              <w:top w:val="nil"/>
              <w:left w:val="nil"/>
              <w:bottom w:val="nil"/>
              <w:right w:val="nil"/>
            </w:tcBorders>
            <w:shd w:val="clear" w:color="auto" w:fill="auto"/>
            <w:noWrap/>
            <w:vAlign w:val="center"/>
            <w:hideMark/>
          </w:tcPr>
          <w:p w14:paraId="539A3908"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0,00</w:t>
            </w:r>
          </w:p>
        </w:tc>
      </w:tr>
      <w:tr w:rsidR="00CB3C45" w:rsidRPr="004D3FB1" w14:paraId="0901B795" w14:textId="77777777" w:rsidTr="00427D0F">
        <w:trPr>
          <w:trHeight w:val="330"/>
          <w:jc w:val="center"/>
        </w:trPr>
        <w:tc>
          <w:tcPr>
            <w:tcW w:w="5670" w:type="dxa"/>
            <w:tcBorders>
              <w:top w:val="nil"/>
              <w:left w:val="nil"/>
              <w:bottom w:val="nil"/>
              <w:right w:val="nil"/>
            </w:tcBorders>
            <w:shd w:val="clear" w:color="auto" w:fill="auto"/>
            <w:vAlign w:val="center"/>
            <w:hideMark/>
          </w:tcPr>
          <w:p w14:paraId="104AFF1E" w14:textId="77777777" w:rsidR="00CB3C45" w:rsidRPr="004D3FB1" w:rsidRDefault="00CB3C45" w:rsidP="00842F2E">
            <w:pPr>
              <w:spacing w:after="0" w:line="240" w:lineRule="auto"/>
              <w:jc w:val="left"/>
              <w:rPr>
                <w:rFonts w:eastAsia="Times New Roman" w:cs="Times New Roman"/>
                <w:color w:val="000000"/>
                <w:sz w:val="18"/>
                <w:szCs w:val="18"/>
                <w:lang w:eastAsia="sk-SK"/>
              </w:rPr>
            </w:pPr>
            <w:r w:rsidRPr="004D3FB1">
              <w:rPr>
                <w:rFonts w:eastAsia="Times New Roman" w:cs="Times New Roman"/>
                <w:color w:val="000000"/>
                <w:sz w:val="18"/>
                <w:szCs w:val="18"/>
                <w:lang w:eastAsia="sk-SK"/>
              </w:rPr>
              <w:t xml:space="preserve">     - zdravotnícke zariadenia územnej samosprávy</w:t>
            </w:r>
          </w:p>
        </w:tc>
        <w:tc>
          <w:tcPr>
            <w:tcW w:w="1652" w:type="dxa"/>
            <w:tcBorders>
              <w:top w:val="nil"/>
              <w:left w:val="nil"/>
              <w:bottom w:val="nil"/>
              <w:right w:val="nil"/>
            </w:tcBorders>
            <w:shd w:val="clear" w:color="auto" w:fill="auto"/>
            <w:noWrap/>
            <w:vAlign w:val="center"/>
            <w:hideMark/>
          </w:tcPr>
          <w:p w14:paraId="2829D527"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12 038</w:t>
            </w:r>
          </w:p>
        </w:tc>
        <w:tc>
          <w:tcPr>
            <w:tcW w:w="1216" w:type="dxa"/>
            <w:tcBorders>
              <w:top w:val="nil"/>
              <w:left w:val="nil"/>
              <w:bottom w:val="nil"/>
              <w:right w:val="nil"/>
            </w:tcBorders>
            <w:shd w:val="clear" w:color="auto" w:fill="auto"/>
            <w:noWrap/>
            <w:vAlign w:val="center"/>
            <w:hideMark/>
          </w:tcPr>
          <w:p w14:paraId="67E2F5EF"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0,01</w:t>
            </w:r>
          </w:p>
        </w:tc>
      </w:tr>
      <w:tr w:rsidR="00CB3C45" w:rsidRPr="004D3FB1" w14:paraId="7EE89E27" w14:textId="77777777" w:rsidTr="00427D0F">
        <w:trPr>
          <w:trHeight w:val="330"/>
          <w:jc w:val="center"/>
        </w:trPr>
        <w:tc>
          <w:tcPr>
            <w:tcW w:w="5670" w:type="dxa"/>
            <w:tcBorders>
              <w:top w:val="nil"/>
              <w:left w:val="nil"/>
              <w:bottom w:val="nil"/>
              <w:right w:val="nil"/>
            </w:tcBorders>
            <w:shd w:val="clear" w:color="auto" w:fill="auto"/>
            <w:vAlign w:val="center"/>
            <w:hideMark/>
          </w:tcPr>
          <w:p w14:paraId="21EC75DE" w14:textId="77777777" w:rsidR="00CB3C45" w:rsidRPr="004D3FB1" w:rsidRDefault="00CB3C45" w:rsidP="00842F2E">
            <w:pPr>
              <w:spacing w:after="0" w:line="240" w:lineRule="auto"/>
              <w:jc w:val="left"/>
              <w:rPr>
                <w:rFonts w:eastAsia="Times New Roman" w:cs="Times New Roman"/>
                <w:color w:val="000000"/>
                <w:sz w:val="18"/>
                <w:szCs w:val="18"/>
                <w:lang w:eastAsia="sk-SK"/>
              </w:rPr>
            </w:pPr>
            <w:r w:rsidRPr="004D3FB1">
              <w:rPr>
                <w:rFonts w:eastAsia="Times New Roman" w:cs="Times New Roman"/>
                <w:color w:val="000000"/>
                <w:sz w:val="18"/>
                <w:szCs w:val="18"/>
                <w:lang w:eastAsia="sk-SK"/>
              </w:rPr>
              <w:t xml:space="preserve">     - ostatné subjekty územnej samosprávy</w:t>
            </w:r>
          </w:p>
        </w:tc>
        <w:tc>
          <w:tcPr>
            <w:tcW w:w="1652" w:type="dxa"/>
            <w:tcBorders>
              <w:top w:val="nil"/>
              <w:left w:val="nil"/>
              <w:bottom w:val="nil"/>
              <w:right w:val="nil"/>
            </w:tcBorders>
            <w:shd w:val="clear" w:color="auto" w:fill="auto"/>
            <w:noWrap/>
            <w:vAlign w:val="center"/>
            <w:hideMark/>
          </w:tcPr>
          <w:p w14:paraId="07729BF8"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15 979</w:t>
            </w:r>
          </w:p>
        </w:tc>
        <w:tc>
          <w:tcPr>
            <w:tcW w:w="1216" w:type="dxa"/>
            <w:tcBorders>
              <w:top w:val="nil"/>
              <w:left w:val="nil"/>
              <w:bottom w:val="nil"/>
              <w:right w:val="nil"/>
            </w:tcBorders>
            <w:shd w:val="clear" w:color="auto" w:fill="auto"/>
            <w:noWrap/>
            <w:vAlign w:val="center"/>
            <w:hideMark/>
          </w:tcPr>
          <w:p w14:paraId="52D63629" w14:textId="77777777" w:rsidR="00CB3C45" w:rsidRPr="004D3FB1" w:rsidRDefault="00CB3C45" w:rsidP="00842F2E">
            <w:pPr>
              <w:spacing w:after="0" w:line="240" w:lineRule="auto"/>
              <w:jc w:val="right"/>
              <w:rPr>
                <w:rFonts w:eastAsia="Times New Roman" w:cs="Times New Roman"/>
                <w:color w:val="000000"/>
                <w:sz w:val="18"/>
                <w:szCs w:val="18"/>
                <w:lang w:eastAsia="sk-SK"/>
              </w:rPr>
            </w:pPr>
            <w:r w:rsidRPr="004D3FB1">
              <w:rPr>
                <w:rFonts w:eastAsia="Times New Roman" w:cs="Times New Roman"/>
                <w:color w:val="000000"/>
                <w:sz w:val="18"/>
                <w:szCs w:val="18"/>
                <w:lang w:eastAsia="sk-SK"/>
              </w:rPr>
              <w:t>0,02</w:t>
            </w:r>
          </w:p>
        </w:tc>
      </w:tr>
      <w:tr w:rsidR="00CB3C45" w:rsidRPr="004D3FB1" w14:paraId="55024E16" w14:textId="77777777" w:rsidTr="00427D0F">
        <w:trPr>
          <w:trHeight w:val="68"/>
          <w:jc w:val="center"/>
        </w:trPr>
        <w:tc>
          <w:tcPr>
            <w:tcW w:w="5670" w:type="dxa"/>
            <w:tcBorders>
              <w:top w:val="nil"/>
              <w:left w:val="nil"/>
              <w:bottom w:val="single" w:sz="4" w:space="0" w:color="auto"/>
              <w:right w:val="nil"/>
            </w:tcBorders>
            <w:shd w:val="clear" w:color="auto" w:fill="auto"/>
            <w:vAlign w:val="center"/>
            <w:hideMark/>
          </w:tcPr>
          <w:p w14:paraId="3D084783" w14:textId="77777777" w:rsidR="00CB3C45" w:rsidRPr="004D3FB1" w:rsidRDefault="00CB3C45" w:rsidP="00842F2E">
            <w:pPr>
              <w:spacing w:after="0" w:line="240" w:lineRule="auto"/>
              <w:jc w:val="left"/>
              <w:rPr>
                <w:rFonts w:eastAsia="Times New Roman" w:cs="Times New Roman"/>
                <w:b/>
                <w:bCs/>
                <w:color w:val="000000"/>
                <w:sz w:val="18"/>
                <w:szCs w:val="18"/>
                <w:lang w:eastAsia="sk-SK"/>
              </w:rPr>
            </w:pPr>
            <w:r w:rsidRPr="004D3FB1">
              <w:rPr>
                <w:rFonts w:eastAsia="Times New Roman" w:cs="Times New Roman"/>
                <w:b/>
                <w:bCs/>
                <w:color w:val="000000"/>
                <w:sz w:val="18"/>
                <w:szCs w:val="18"/>
                <w:lang w:eastAsia="sk-SK"/>
              </w:rPr>
              <w:t>Saldo verejnej správy - skutočnosť</w:t>
            </w:r>
          </w:p>
        </w:tc>
        <w:tc>
          <w:tcPr>
            <w:tcW w:w="1652" w:type="dxa"/>
            <w:tcBorders>
              <w:top w:val="nil"/>
              <w:left w:val="nil"/>
              <w:bottom w:val="single" w:sz="4" w:space="0" w:color="auto"/>
              <w:right w:val="nil"/>
            </w:tcBorders>
            <w:shd w:val="clear" w:color="auto" w:fill="auto"/>
            <w:noWrap/>
            <w:vAlign w:val="center"/>
            <w:hideMark/>
          </w:tcPr>
          <w:p w14:paraId="01AC447C" w14:textId="77777777" w:rsidR="00CB3C45" w:rsidRPr="004D3FB1" w:rsidRDefault="00CB3C45" w:rsidP="00842F2E">
            <w:pPr>
              <w:spacing w:after="0" w:line="240" w:lineRule="auto"/>
              <w:jc w:val="right"/>
              <w:rPr>
                <w:rFonts w:eastAsia="Times New Roman" w:cs="Times New Roman"/>
                <w:b/>
                <w:bCs/>
                <w:color w:val="000000"/>
                <w:sz w:val="18"/>
                <w:szCs w:val="18"/>
                <w:lang w:eastAsia="sk-SK"/>
              </w:rPr>
            </w:pPr>
            <w:r w:rsidRPr="004D3FB1">
              <w:rPr>
                <w:rFonts w:eastAsia="Times New Roman" w:cs="Times New Roman"/>
                <w:b/>
                <w:bCs/>
                <w:color w:val="000000"/>
                <w:sz w:val="18"/>
                <w:szCs w:val="18"/>
                <w:lang w:eastAsia="sk-SK"/>
              </w:rPr>
              <w:t>-5 608 766</w:t>
            </w:r>
          </w:p>
        </w:tc>
        <w:tc>
          <w:tcPr>
            <w:tcW w:w="1216" w:type="dxa"/>
            <w:tcBorders>
              <w:top w:val="nil"/>
              <w:left w:val="nil"/>
              <w:bottom w:val="single" w:sz="4" w:space="0" w:color="auto"/>
              <w:right w:val="nil"/>
            </w:tcBorders>
            <w:shd w:val="clear" w:color="auto" w:fill="auto"/>
            <w:noWrap/>
            <w:vAlign w:val="center"/>
            <w:hideMark/>
          </w:tcPr>
          <w:p w14:paraId="48CBFEFF" w14:textId="77777777" w:rsidR="00CB3C45" w:rsidRPr="004D3FB1" w:rsidRDefault="00CB3C45" w:rsidP="00842F2E">
            <w:pPr>
              <w:spacing w:after="0" w:line="240" w:lineRule="auto"/>
              <w:jc w:val="right"/>
              <w:rPr>
                <w:rFonts w:eastAsia="Times New Roman" w:cs="Times New Roman"/>
                <w:b/>
                <w:bCs/>
                <w:color w:val="000000"/>
                <w:sz w:val="18"/>
                <w:szCs w:val="18"/>
                <w:lang w:eastAsia="sk-SK"/>
              </w:rPr>
            </w:pPr>
            <w:r w:rsidRPr="004D3FB1">
              <w:rPr>
                <w:rFonts w:eastAsia="Times New Roman" w:cs="Times New Roman"/>
                <w:b/>
                <w:bCs/>
                <w:color w:val="000000"/>
                <w:sz w:val="18"/>
                <w:szCs w:val="18"/>
                <w:lang w:eastAsia="sk-SK"/>
              </w:rPr>
              <w:t>-6,16</w:t>
            </w:r>
          </w:p>
        </w:tc>
      </w:tr>
    </w:tbl>
    <w:p w14:paraId="547A7D7B" w14:textId="527AC239" w:rsidR="00CB3C45" w:rsidRPr="00FB5009" w:rsidRDefault="00CB3C45" w:rsidP="00791BC9">
      <w:pPr>
        <w:ind w:left="426"/>
        <w:rPr>
          <w:sz w:val="18"/>
          <w:szCs w:val="18"/>
        </w:rPr>
      </w:pPr>
      <w:r w:rsidRPr="00FB5009">
        <w:rPr>
          <w:rFonts w:eastAsia="Times New Roman" w:cs="Times New Roman"/>
          <w:iCs/>
          <w:color w:val="000000"/>
          <w:sz w:val="18"/>
          <w:szCs w:val="18"/>
          <w:lang w:eastAsia="sk-SK"/>
        </w:rPr>
        <w:t>Pozn.: (+) znamená pozitívny vplyv a (-) negatívny vplyv na saldo VS</w:t>
      </w:r>
      <w:r w:rsidRPr="00FB5009">
        <w:rPr>
          <w:rFonts w:eastAsia="Times New Roman" w:cs="Times New Roman"/>
          <w:sz w:val="18"/>
          <w:szCs w:val="18"/>
          <w:lang w:eastAsia="sk-SK"/>
        </w:rPr>
        <w:t xml:space="preserve"> </w:t>
      </w:r>
      <w:r w:rsidRPr="00FB5009">
        <w:rPr>
          <w:rFonts w:eastAsia="Times New Roman" w:cs="Times New Roman"/>
          <w:sz w:val="18"/>
          <w:szCs w:val="18"/>
          <w:lang w:eastAsia="sk-SK"/>
        </w:rPr>
        <w:tab/>
      </w:r>
      <w:r w:rsidRPr="00FB5009">
        <w:rPr>
          <w:rFonts w:eastAsia="Times New Roman" w:cs="Times New Roman"/>
          <w:sz w:val="18"/>
          <w:szCs w:val="18"/>
          <w:lang w:eastAsia="sk-SK"/>
        </w:rPr>
        <w:tab/>
      </w:r>
      <w:r w:rsidRPr="00FB5009">
        <w:rPr>
          <w:rFonts w:eastAsia="Times New Roman" w:cs="Times New Roman"/>
          <w:sz w:val="18"/>
          <w:szCs w:val="18"/>
          <w:lang w:eastAsia="sk-SK"/>
        </w:rPr>
        <w:tab/>
      </w:r>
      <w:r w:rsidR="00AB488C">
        <w:rPr>
          <w:rFonts w:eastAsia="Times New Roman" w:cs="Times New Roman"/>
          <w:sz w:val="18"/>
          <w:szCs w:val="18"/>
          <w:lang w:eastAsia="sk-SK"/>
        </w:rPr>
        <w:t xml:space="preserve">       </w:t>
      </w:r>
      <w:r w:rsidRPr="00FB5009">
        <w:rPr>
          <w:rFonts w:eastAsia="Times New Roman" w:cs="Times New Roman"/>
          <w:sz w:val="18"/>
          <w:szCs w:val="18"/>
          <w:lang w:eastAsia="sk-SK"/>
        </w:rPr>
        <w:t xml:space="preserve">        </w:t>
      </w:r>
      <w:r w:rsidR="00892C68">
        <w:rPr>
          <w:rFonts w:eastAsia="Times New Roman" w:cs="Times New Roman"/>
          <w:sz w:val="18"/>
          <w:szCs w:val="18"/>
          <w:lang w:eastAsia="sk-SK"/>
        </w:rPr>
        <w:t xml:space="preserve">            </w:t>
      </w:r>
      <w:r w:rsidRPr="00FB5009">
        <w:rPr>
          <w:rFonts w:eastAsia="Times New Roman" w:cs="Times New Roman"/>
          <w:sz w:val="18"/>
          <w:szCs w:val="18"/>
          <w:lang w:eastAsia="sk-SK"/>
        </w:rPr>
        <w:t>Zdroj: MF SR</w:t>
      </w:r>
    </w:p>
    <w:p w14:paraId="4C7F5FCC" w14:textId="77777777" w:rsidR="00412EB1" w:rsidRDefault="00412EB1">
      <w:pPr>
        <w:spacing w:after="160" w:line="259" w:lineRule="auto"/>
        <w:jc w:val="left"/>
        <w:rPr>
          <w:b/>
          <w:color w:val="5B9BD5" w:themeColor="accent1"/>
          <w:sz w:val="24"/>
          <w:szCs w:val="24"/>
        </w:rPr>
      </w:pPr>
      <w:r>
        <w:rPr>
          <w:b/>
          <w:color w:val="5B9BD5" w:themeColor="accent1"/>
          <w:sz w:val="24"/>
          <w:szCs w:val="24"/>
        </w:rPr>
        <w:br w:type="page"/>
      </w:r>
    </w:p>
    <w:p w14:paraId="7A2CA934" w14:textId="570DEE64" w:rsidR="00CB3C45" w:rsidRPr="0016220A" w:rsidRDefault="00CB3C45" w:rsidP="00CB3C45">
      <w:pPr>
        <w:spacing w:before="240"/>
        <w:rPr>
          <w:b/>
          <w:color w:val="5B9BD5" w:themeColor="accent1"/>
          <w:sz w:val="24"/>
          <w:szCs w:val="24"/>
        </w:rPr>
      </w:pPr>
      <w:r w:rsidRPr="0016220A">
        <w:rPr>
          <w:b/>
          <w:color w:val="5B9BD5" w:themeColor="accent1"/>
          <w:sz w:val="24"/>
          <w:szCs w:val="24"/>
        </w:rPr>
        <w:t xml:space="preserve">Dividendy </w:t>
      </w:r>
      <w:proofErr w:type="spellStart"/>
      <w:r w:rsidRPr="0016220A">
        <w:rPr>
          <w:b/>
          <w:color w:val="5B9BD5" w:themeColor="accent1"/>
          <w:sz w:val="24"/>
          <w:szCs w:val="24"/>
        </w:rPr>
        <w:t>vs</w:t>
      </w:r>
      <w:proofErr w:type="spellEnd"/>
      <w:r w:rsidRPr="0016220A">
        <w:rPr>
          <w:b/>
          <w:color w:val="5B9BD5" w:themeColor="accent1"/>
          <w:sz w:val="24"/>
          <w:szCs w:val="24"/>
        </w:rPr>
        <w:t>. superdividendy</w:t>
      </w:r>
    </w:p>
    <w:p w14:paraId="1E6421B6" w14:textId="77777777" w:rsidR="00CB3C45" w:rsidRPr="004A5951" w:rsidRDefault="00CB3C45" w:rsidP="004A5951">
      <w:pPr>
        <w:spacing w:before="120" w:line="240" w:lineRule="auto"/>
        <w:rPr>
          <w:sz w:val="24"/>
          <w:szCs w:val="24"/>
        </w:rPr>
      </w:pPr>
      <w:r w:rsidRPr="004A5951">
        <w:rPr>
          <w:b/>
          <w:sz w:val="24"/>
          <w:szCs w:val="24"/>
        </w:rPr>
        <w:t>Príjem štátneho rozpočtu z dividend</w:t>
      </w:r>
      <w:r w:rsidRPr="004A5951">
        <w:rPr>
          <w:sz w:val="24"/>
          <w:szCs w:val="24"/>
        </w:rPr>
        <w:t xml:space="preserve"> a odvodov zo zisku po vzájomnej konsolidácii bol rozpočtovaný vo výške 466 480  tis. eur. V skutočnosti dosiahol štátny rozpočet za rok 2020 hotovostný konsolidovaný príjem z dividend vo výške 423 012 tis. eur. Rozdiel tvorili odlišné výsledky hospodárenia dosiahnuté obchodnými spoločnosťami za rok 2019 ako sa predpokladalo v čase zostavovania rozpočtu na rok 2020.</w:t>
      </w:r>
    </w:p>
    <w:p w14:paraId="026DF34D" w14:textId="27048593" w:rsidR="00CB3C45" w:rsidRPr="008D4732" w:rsidRDefault="00CB3C45" w:rsidP="004A5951">
      <w:pPr>
        <w:spacing w:line="240" w:lineRule="auto"/>
        <w:rPr>
          <w:sz w:val="24"/>
          <w:szCs w:val="24"/>
        </w:rPr>
      </w:pPr>
      <w:r w:rsidRPr="004A5951">
        <w:rPr>
          <w:sz w:val="24"/>
          <w:szCs w:val="24"/>
        </w:rPr>
        <w:t>Dividendy, ktoré sú príjmom verejnej správy za príslušný rok, dosiahli výšku 251 488 tis. eur, čo je oproti rozpočtu menej o 177 808 tis. eur. Rozdiel medzi rozpočtovanou hodnotou a akruálnym príjmom z dividend tvorí najmä tzv. superdividenda</w:t>
      </w:r>
      <w:r w:rsidRPr="004A5951">
        <w:rPr>
          <w:rStyle w:val="Odkaznapoznmkupodiarou"/>
          <w:sz w:val="24"/>
          <w:szCs w:val="24"/>
        </w:rPr>
        <w:footnoteReference w:id="15"/>
      </w:r>
      <w:r w:rsidRPr="004A5951">
        <w:rPr>
          <w:sz w:val="24"/>
          <w:szCs w:val="24"/>
        </w:rPr>
        <w:t xml:space="preserve">. Úhrnom dosiahla výška konsolidovanej superdividendy sumu 171 524 tis. eur, z toho 82 150 tis. eur zaznamenal </w:t>
      </w:r>
      <w:r w:rsidRPr="008D4732">
        <w:rPr>
          <w:sz w:val="24"/>
          <w:szCs w:val="24"/>
        </w:rPr>
        <w:t>Slovenský plynárenský priemysel, a. s., 75 106 tis. eur Stredoslovenská energetika Holding, a. s.</w:t>
      </w:r>
      <w:r>
        <w:t xml:space="preserve"> </w:t>
      </w:r>
      <w:r w:rsidRPr="008D4732">
        <w:rPr>
          <w:sz w:val="24"/>
          <w:szCs w:val="24"/>
        </w:rPr>
        <w:t>a 13 697 tis. eur Východoslovenská energetika Holding, a.</w:t>
      </w:r>
      <w:r w:rsidR="007B03D6">
        <w:rPr>
          <w:sz w:val="24"/>
          <w:szCs w:val="24"/>
        </w:rPr>
        <w:t> </w:t>
      </w:r>
      <w:r w:rsidRPr="008D4732">
        <w:rPr>
          <w:sz w:val="24"/>
          <w:szCs w:val="24"/>
        </w:rPr>
        <w:t>s.</w:t>
      </w:r>
    </w:p>
    <w:tbl>
      <w:tblPr>
        <w:tblW w:w="8726" w:type="dxa"/>
        <w:tblCellMar>
          <w:left w:w="70" w:type="dxa"/>
          <w:right w:w="70" w:type="dxa"/>
        </w:tblCellMar>
        <w:tblLook w:val="04A0" w:firstRow="1" w:lastRow="0" w:firstColumn="1" w:lastColumn="0" w:noHBand="0" w:noVBand="1"/>
      </w:tblPr>
      <w:tblGrid>
        <w:gridCol w:w="196"/>
        <w:gridCol w:w="196"/>
        <w:gridCol w:w="3497"/>
        <w:gridCol w:w="792"/>
        <w:gridCol w:w="875"/>
        <w:gridCol w:w="1159"/>
        <w:gridCol w:w="1162"/>
        <w:gridCol w:w="849"/>
      </w:tblGrid>
      <w:tr w:rsidR="00CB3C45" w:rsidRPr="004A5951" w14:paraId="6C872F07" w14:textId="77777777" w:rsidTr="00842F2E">
        <w:trPr>
          <w:trHeight w:val="255"/>
          <w:tblHeader/>
        </w:trPr>
        <w:tc>
          <w:tcPr>
            <w:tcW w:w="8726" w:type="dxa"/>
            <w:gridSpan w:val="8"/>
            <w:tcBorders>
              <w:top w:val="nil"/>
              <w:left w:val="nil"/>
              <w:bottom w:val="nil"/>
              <w:right w:val="nil"/>
            </w:tcBorders>
            <w:shd w:val="clear" w:color="000000" w:fill="000000"/>
            <w:noWrap/>
            <w:vAlign w:val="center"/>
            <w:hideMark/>
          </w:tcPr>
          <w:p w14:paraId="4F1B7C95" w14:textId="144B952E" w:rsidR="00CB3C45" w:rsidRPr="004A5951" w:rsidRDefault="00CB3C45" w:rsidP="00842F2E">
            <w:pPr>
              <w:spacing w:after="0" w:line="240" w:lineRule="auto"/>
              <w:jc w:val="left"/>
              <w:rPr>
                <w:rFonts w:eastAsia="Times New Roman" w:cs="Times New Roman"/>
                <w:b/>
                <w:bCs/>
                <w:color w:val="FFFFFF"/>
                <w:sz w:val="16"/>
                <w:szCs w:val="16"/>
                <w:lang w:eastAsia="sk-SK"/>
              </w:rPr>
            </w:pPr>
            <w:r w:rsidRPr="004A5951">
              <w:rPr>
                <w:rFonts w:eastAsia="Times New Roman" w:cs="Times New Roman"/>
                <w:b/>
                <w:bCs/>
                <w:color w:val="FFFFFF"/>
                <w:sz w:val="16"/>
                <w:szCs w:val="16"/>
                <w:lang w:eastAsia="sk-SK"/>
              </w:rPr>
              <w:t>Konsolidované dividendy verejnej správy podľa subjektov</w:t>
            </w:r>
            <w:r w:rsidRPr="004A5951">
              <w:rPr>
                <w:rFonts w:eastAsia="Times New Roman" w:cs="Times New Roman"/>
                <w:sz w:val="16"/>
                <w:szCs w:val="16"/>
                <w:vertAlign w:val="superscript"/>
                <w:lang w:eastAsia="sk-SK"/>
              </w:rPr>
              <w:t>1</w:t>
            </w:r>
            <w:r w:rsidRPr="004A5951">
              <w:rPr>
                <w:rFonts w:eastAsia="Times New Roman" w:cs="Times New Roman"/>
                <w:color w:val="000000"/>
                <w:sz w:val="16"/>
                <w:szCs w:val="16"/>
                <w:vertAlign w:val="superscript"/>
                <w:lang w:eastAsia="sk-SK"/>
              </w:rPr>
              <w:t>)</w:t>
            </w:r>
            <w:r w:rsidRPr="004A5951">
              <w:rPr>
                <w:rFonts w:eastAsia="Times New Roman" w:cs="Times New Roman"/>
                <w:b/>
                <w:bCs/>
                <w:color w:val="FFFFFF"/>
                <w:sz w:val="16"/>
                <w:szCs w:val="16"/>
                <w:lang w:eastAsia="sk-SK"/>
              </w:rPr>
              <w:t xml:space="preserve">                                                       </w:t>
            </w:r>
            <w:r w:rsidR="004A5951">
              <w:rPr>
                <w:rFonts w:eastAsia="Times New Roman" w:cs="Times New Roman"/>
                <w:b/>
                <w:bCs/>
                <w:color w:val="FFFFFF"/>
                <w:sz w:val="16"/>
                <w:szCs w:val="16"/>
                <w:lang w:eastAsia="sk-SK"/>
              </w:rPr>
              <w:t xml:space="preserve">                                         </w:t>
            </w:r>
            <w:r w:rsidRPr="004A5951">
              <w:rPr>
                <w:rFonts w:eastAsia="Times New Roman" w:cs="Times New Roman"/>
                <w:b/>
                <w:bCs/>
                <w:color w:val="FFFFFF"/>
                <w:sz w:val="16"/>
                <w:szCs w:val="16"/>
                <w:lang w:eastAsia="sk-SK"/>
              </w:rPr>
              <w:t>v tis. eur</w:t>
            </w:r>
          </w:p>
        </w:tc>
      </w:tr>
      <w:tr w:rsidR="00CB3C45" w:rsidRPr="004A5951" w14:paraId="111D8A76" w14:textId="77777777" w:rsidTr="00842F2E">
        <w:trPr>
          <w:trHeight w:val="466"/>
          <w:tblHeader/>
        </w:trPr>
        <w:tc>
          <w:tcPr>
            <w:tcW w:w="196" w:type="dxa"/>
            <w:tcBorders>
              <w:top w:val="nil"/>
              <w:left w:val="nil"/>
              <w:bottom w:val="nil"/>
              <w:right w:val="nil"/>
            </w:tcBorders>
            <w:shd w:val="clear" w:color="000000" w:fill="BFBFBF"/>
            <w:noWrap/>
            <w:vAlign w:val="center"/>
            <w:hideMark/>
          </w:tcPr>
          <w:p w14:paraId="19241AA7" w14:textId="77777777" w:rsidR="00CB3C45" w:rsidRPr="004A5951" w:rsidRDefault="00CB3C45" w:rsidP="00842F2E">
            <w:pPr>
              <w:spacing w:after="0" w:line="240" w:lineRule="auto"/>
              <w:jc w:val="left"/>
              <w:rPr>
                <w:rFonts w:eastAsia="Times New Roman" w:cs="Times New Roman"/>
                <w:b/>
                <w:bCs/>
                <w:sz w:val="16"/>
                <w:szCs w:val="16"/>
                <w:lang w:eastAsia="sk-SK"/>
              </w:rPr>
            </w:pPr>
            <w:r w:rsidRPr="004A5951">
              <w:rPr>
                <w:rFonts w:eastAsia="Times New Roman" w:cs="Times New Roman"/>
                <w:b/>
                <w:bCs/>
                <w:sz w:val="16"/>
                <w:szCs w:val="16"/>
                <w:lang w:eastAsia="sk-SK"/>
              </w:rPr>
              <w:t> </w:t>
            </w:r>
          </w:p>
        </w:tc>
        <w:tc>
          <w:tcPr>
            <w:tcW w:w="196" w:type="dxa"/>
            <w:tcBorders>
              <w:top w:val="nil"/>
              <w:left w:val="nil"/>
              <w:bottom w:val="nil"/>
              <w:right w:val="nil"/>
            </w:tcBorders>
            <w:shd w:val="clear" w:color="000000" w:fill="BFBFBF"/>
            <w:noWrap/>
            <w:vAlign w:val="center"/>
            <w:hideMark/>
          </w:tcPr>
          <w:p w14:paraId="191F3CEE" w14:textId="77777777" w:rsidR="00CB3C45" w:rsidRPr="004A5951" w:rsidRDefault="00CB3C45" w:rsidP="00842F2E">
            <w:pPr>
              <w:spacing w:after="0" w:line="240" w:lineRule="auto"/>
              <w:jc w:val="left"/>
              <w:rPr>
                <w:rFonts w:eastAsia="Times New Roman" w:cs="Times New Roman"/>
                <w:b/>
                <w:bCs/>
                <w:sz w:val="16"/>
                <w:szCs w:val="16"/>
                <w:lang w:eastAsia="sk-SK"/>
              </w:rPr>
            </w:pPr>
            <w:r w:rsidRPr="004A5951">
              <w:rPr>
                <w:rFonts w:eastAsia="Times New Roman" w:cs="Times New Roman"/>
                <w:b/>
                <w:bCs/>
                <w:sz w:val="16"/>
                <w:szCs w:val="16"/>
                <w:lang w:eastAsia="sk-SK"/>
              </w:rPr>
              <w:t> </w:t>
            </w:r>
          </w:p>
        </w:tc>
        <w:tc>
          <w:tcPr>
            <w:tcW w:w="3497" w:type="dxa"/>
            <w:tcBorders>
              <w:top w:val="nil"/>
              <w:left w:val="nil"/>
              <w:bottom w:val="nil"/>
              <w:right w:val="nil"/>
            </w:tcBorders>
            <w:shd w:val="clear" w:color="000000" w:fill="BFBFBF"/>
            <w:noWrap/>
            <w:vAlign w:val="center"/>
            <w:hideMark/>
          </w:tcPr>
          <w:p w14:paraId="5E713C25" w14:textId="77777777" w:rsidR="00CB3C45" w:rsidRPr="004A5951" w:rsidRDefault="00CB3C45" w:rsidP="00842F2E">
            <w:pPr>
              <w:spacing w:after="0" w:line="240" w:lineRule="auto"/>
              <w:jc w:val="left"/>
              <w:rPr>
                <w:rFonts w:eastAsia="Times New Roman" w:cs="Times New Roman"/>
                <w:b/>
                <w:bCs/>
                <w:sz w:val="16"/>
                <w:szCs w:val="16"/>
                <w:lang w:eastAsia="sk-SK"/>
              </w:rPr>
            </w:pPr>
            <w:r w:rsidRPr="004A5951">
              <w:rPr>
                <w:rFonts w:eastAsia="Times New Roman" w:cs="Times New Roman"/>
                <w:b/>
                <w:bCs/>
                <w:sz w:val="16"/>
                <w:szCs w:val="16"/>
                <w:lang w:eastAsia="sk-SK"/>
              </w:rPr>
              <w:t> </w:t>
            </w:r>
          </w:p>
        </w:tc>
        <w:tc>
          <w:tcPr>
            <w:tcW w:w="1667" w:type="dxa"/>
            <w:gridSpan w:val="2"/>
            <w:tcBorders>
              <w:top w:val="nil"/>
              <w:left w:val="nil"/>
              <w:bottom w:val="nil"/>
              <w:right w:val="nil"/>
            </w:tcBorders>
            <w:shd w:val="clear" w:color="000000" w:fill="BFBFBF"/>
            <w:noWrap/>
            <w:vAlign w:val="center"/>
            <w:hideMark/>
          </w:tcPr>
          <w:p w14:paraId="391D2E6F" w14:textId="77777777" w:rsidR="00CB3C45" w:rsidRPr="004A5951" w:rsidRDefault="00CB3C45" w:rsidP="00842F2E">
            <w:pPr>
              <w:spacing w:after="0" w:line="240" w:lineRule="auto"/>
              <w:jc w:val="center"/>
              <w:rPr>
                <w:rFonts w:eastAsia="Times New Roman" w:cs="Times New Roman"/>
                <w:b/>
                <w:bCs/>
                <w:sz w:val="16"/>
                <w:szCs w:val="16"/>
                <w:lang w:eastAsia="sk-SK"/>
              </w:rPr>
            </w:pPr>
            <w:r w:rsidRPr="004A5951">
              <w:rPr>
                <w:rFonts w:eastAsia="Times New Roman" w:cs="Times New Roman"/>
                <w:b/>
                <w:bCs/>
                <w:sz w:val="16"/>
                <w:szCs w:val="16"/>
                <w:lang w:eastAsia="sk-SK"/>
              </w:rPr>
              <w:t>Skutočnosť</w:t>
            </w:r>
          </w:p>
        </w:tc>
        <w:tc>
          <w:tcPr>
            <w:tcW w:w="1159" w:type="dxa"/>
            <w:tcBorders>
              <w:top w:val="nil"/>
              <w:left w:val="nil"/>
              <w:bottom w:val="nil"/>
              <w:right w:val="nil"/>
            </w:tcBorders>
            <w:shd w:val="clear" w:color="000000" w:fill="BFBFBF"/>
            <w:vAlign w:val="center"/>
            <w:hideMark/>
          </w:tcPr>
          <w:p w14:paraId="2F8B2DBE" w14:textId="1C86877A" w:rsidR="00CB3C45" w:rsidRPr="004A5951" w:rsidRDefault="00CB3C45" w:rsidP="00F55A67">
            <w:pPr>
              <w:spacing w:after="0" w:line="240" w:lineRule="auto"/>
              <w:jc w:val="center"/>
              <w:rPr>
                <w:rFonts w:eastAsia="Times New Roman" w:cs="Times New Roman"/>
                <w:b/>
                <w:bCs/>
                <w:sz w:val="16"/>
                <w:szCs w:val="16"/>
                <w:lang w:eastAsia="sk-SK"/>
              </w:rPr>
            </w:pPr>
            <w:r w:rsidRPr="004A5951">
              <w:rPr>
                <w:rFonts w:eastAsia="Times New Roman" w:cs="Times New Roman"/>
                <w:b/>
                <w:bCs/>
                <w:sz w:val="16"/>
                <w:szCs w:val="16"/>
                <w:lang w:eastAsia="sk-SK"/>
              </w:rPr>
              <w:t xml:space="preserve">Rozpočet </w:t>
            </w:r>
            <w:r w:rsidR="00F55A67">
              <w:rPr>
                <w:rFonts w:eastAsia="Times New Roman" w:cs="Times New Roman"/>
                <w:b/>
                <w:bCs/>
                <w:sz w:val="16"/>
                <w:szCs w:val="16"/>
                <w:lang w:eastAsia="sk-SK"/>
              </w:rPr>
              <w:t>po</w:t>
            </w:r>
            <w:r w:rsidRPr="004A5951">
              <w:rPr>
                <w:rFonts w:eastAsia="Times New Roman" w:cs="Times New Roman"/>
                <w:b/>
                <w:bCs/>
                <w:sz w:val="16"/>
                <w:szCs w:val="16"/>
                <w:lang w:eastAsia="sk-SK"/>
              </w:rPr>
              <w:t xml:space="preserve"> novele ŠR</w:t>
            </w:r>
          </w:p>
        </w:tc>
        <w:tc>
          <w:tcPr>
            <w:tcW w:w="1162" w:type="dxa"/>
            <w:tcBorders>
              <w:top w:val="nil"/>
              <w:left w:val="nil"/>
              <w:bottom w:val="nil"/>
              <w:right w:val="nil"/>
            </w:tcBorders>
            <w:shd w:val="clear" w:color="000000" w:fill="BFBFBF"/>
            <w:noWrap/>
            <w:vAlign w:val="center"/>
            <w:hideMark/>
          </w:tcPr>
          <w:p w14:paraId="0966AE90" w14:textId="77777777" w:rsidR="00CB3C45" w:rsidRPr="004A5951" w:rsidRDefault="00CB3C45" w:rsidP="00842F2E">
            <w:pPr>
              <w:spacing w:after="0" w:line="240" w:lineRule="auto"/>
              <w:jc w:val="center"/>
              <w:rPr>
                <w:rFonts w:eastAsia="Times New Roman" w:cs="Times New Roman"/>
                <w:b/>
                <w:bCs/>
                <w:sz w:val="16"/>
                <w:szCs w:val="16"/>
                <w:lang w:eastAsia="sk-SK"/>
              </w:rPr>
            </w:pPr>
            <w:r w:rsidRPr="004A5951">
              <w:rPr>
                <w:rFonts w:eastAsia="Times New Roman" w:cs="Times New Roman"/>
                <w:b/>
                <w:bCs/>
                <w:sz w:val="16"/>
                <w:szCs w:val="16"/>
                <w:lang w:eastAsia="sk-SK"/>
              </w:rPr>
              <w:t>Skutočnosť</w:t>
            </w:r>
          </w:p>
        </w:tc>
        <w:tc>
          <w:tcPr>
            <w:tcW w:w="849" w:type="dxa"/>
            <w:tcBorders>
              <w:top w:val="nil"/>
              <w:left w:val="nil"/>
              <w:bottom w:val="nil"/>
              <w:right w:val="nil"/>
            </w:tcBorders>
            <w:shd w:val="clear" w:color="000000" w:fill="BFBFBF"/>
            <w:noWrap/>
            <w:vAlign w:val="center"/>
            <w:hideMark/>
          </w:tcPr>
          <w:p w14:paraId="43438A4D" w14:textId="77777777" w:rsidR="00CB3C45" w:rsidRPr="004A5951" w:rsidRDefault="00CB3C45" w:rsidP="00842F2E">
            <w:pPr>
              <w:spacing w:after="0" w:line="240" w:lineRule="auto"/>
              <w:jc w:val="center"/>
              <w:rPr>
                <w:rFonts w:eastAsia="Times New Roman" w:cs="Times New Roman"/>
                <w:b/>
                <w:bCs/>
                <w:sz w:val="16"/>
                <w:szCs w:val="16"/>
                <w:lang w:eastAsia="sk-SK"/>
              </w:rPr>
            </w:pPr>
            <w:r w:rsidRPr="004A5951">
              <w:rPr>
                <w:rFonts w:eastAsia="Times New Roman" w:cs="Times New Roman"/>
                <w:b/>
                <w:bCs/>
                <w:sz w:val="16"/>
                <w:szCs w:val="16"/>
                <w:lang w:eastAsia="sk-SK"/>
              </w:rPr>
              <w:t>Rozdiel</w:t>
            </w:r>
          </w:p>
        </w:tc>
      </w:tr>
      <w:tr w:rsidR="00CB3C45" w:rsidRPr="004A5951" w14:paraId="2C27B0B7" w14:textId="77777777" w:rsidTr="00842F2E">
        <w:trPr>
          <w:trHeight w:val="263"/>
          <w:tblHeader/>
        </w:trPr>
        <w:tc>
          <w:tcPr>
            <w:tcW w:w="196" w:type="dxa"/>
            <w:tcBorders>
              <w:top w:val="nil"/>
              <w:left w:val="nil"/>
              <w:bottom w:val="nil"/>
              <w:right w:val="nil"/>
            </w:tcBorders>
            <w:shd w:val="clear" w:color="000000" w:fill="BFBFBF"/>
            <w:noWrap/>
            <w:vAlign w:val="center"/>
            <w:hideMark/>
          </w:tcPr>
          <w:p w14:paraId="35558638" w14:textId="77777777" w:rsidR="00CB3C45" w:rsidRPr="004A5951" w:rsidRDefault="00CB3C45" w:rsidP="00842F2E">
            <w:pPr>
              <w:spacing w:after="0" w:line="240" w:lineRule="auto"/>
              <w:jc w:val="left"/>
              <w:rPr>
                <w:rFonts w:eastAsia="Times New Roman" w:cs="Times New Roman"/>
                <w:b/>
                <w:bCs/>
                <w:sz w:val="16"/>
                <w:szCs w:val="16"/>
                <w:lang w:eastAsia="sk-SK"/>
              </w:rPr>
            </w:pPr>
            <w:r w:rsidRPr="004A5951">
              <w:rPr>
                <w:rFonts w:eastAsia="Times New Roman" w:cs="Times New Roman"/>
                <w:b/>
                <w:bCs/>
                <w:sz w:val="16"/>
                <w:szCs w:val="16"/>
                <w:lang w:eastAsia="sk-SK"/>
              </w:rPr>
              <w:t> </w:t>
            </w:r>
          </w:p>
        </w:tc>
        <w:tc>
          <w:tcPr>
            <w:tcW w:w="196" w:type="dxa"/>
            <w:tcBorders>
              <w:top w:val="nil"/>
              <w:left w:val="nil"/>
              <w:bottom w:val="nil"/>
              <w:right w:val="nil"/>
            </w:tcBorders>
            <w:shd w:val="clear" w:color="000000" w:fill="BFBFBF"/>
            <w:noWrap/>
            <w:vAlign w:val="center"/>
            <w:hideMark/>
          </w:tcPr>
          <w:p w14:paraId="2D0AD269" w14:textId="77777777" w:rsidR="00CB3C45" w:rsidRPr="004A5951" w:rsidRDefault="00CB3C45" w:rsidP="00842F2E">
            <w:pPr>
              <w:spacing w:after="0" w:line="240" w:lineRule="auto"/>
              <w:jc w:val="left"/>
              <w:rPr>
                <w:rFonts w:eastAsia="Times New Roman" w:cs="Times New Roman"/>
                <w:b/>
                <w:bCs/>
                <w:sz w:val="16"/>
                <w:szCs w:val="16"/>
                <w:lang w:eastAsia="sk-SK"/>
              </w:rPr>
            </w:pPr>
            <w:r w:rsidRPr="004A5951">
              <w:rPr>
                <w:rFonts w:eastAsia="Times New Roman" w:cs="Times New Roman"/>
                <w:b/>
                <w:bCs/>
                <w:sz w:val="16"/>
                <w:szCs w:val="16"/>
                <w:lang w:eastAsia="sk-SK"/>
              </w:rPr>
              <w:t> </w:t>
            </w:r>
          </w:p>
        </w:tc>
        <w:tc>
          <w:tcPr>
            <w:tcW w:w="3497" w:type="dxa"/>
            <w:tcBorders>
              <w:top w:val="nil"/>
              <w:left w:val="nil"/>
              <w:bottom w:val="nil"/>
              <w:right w:val="nil"/>
            </w:tcBorders>
            <w:shd w:val="clear" w:color="000000" w:fill="BFBFBF"/>
            <w:noWrap/>
            <w:vAlign w:val="center"/>
            <w:hideMark/>
          </w:tcPr>
          <w:p w14:paraId="1336C53D" w14:textId="77777777" w:rsidR="00CB3C45" w:rsidRPr="004A5951" w:rsidRDefault="00CB3C45" w:rsidP="00842F2E">
            <w:pPr>
              <w:spacing w:after="0" w:line="240" w:lineRule="auto"/>
              <w:jc w:val="left"/>
              <w:rPr>
                <w:rFonts w:eastAsia="Times New Roman" w:cs="Times New Roman"/>
                <w:b/>
                <w:bCs/>
                <w:sz w:val="16"/>
                <w:szCs w:val="16"/>
                <w:lang w:eastAsia="sk-SK"/>
              </w:rPr>
            </w:pPr>
            <w:r w:rsidRPr="004A5951">
              <w:rPr>
                <w:rFonts w:eastAsia="Times New Roman" w:cs="Times New Roman"/>
                <w:b/>
                <w:bCs/>
                <w:sz w:val="16"/>
                <w:szCs w:val="16"/>
                <w:lang w:eastAsia="sk-SK"/>
              </w:rPr>
              <w:t> </w:t>
            </w:r>
          </w:p>
        </w:tc>
        <w:tc>
          <w:tcPr>
            <w:tcW w:w="792" w:type="dxa"/>
            <w:tcBorders>
              <w:top w:val="nil"/>
              <w:left w:val="nil"/>
              <w:bottom w:val="nil"/>
              <w:right w:val="nil"/>
            </w:tcBorders>
            <w:shd w:val="clear" w:color="000000" w:fill="BFBFBF"/>
            <w:noWrap/>
            <w:vAlign w:val="center"/>
            <w:hideMark/>
          </w:tcPr>
          <w:p w14:paraId="37396664" w14:textId="77777777" w:rsidR="00CB3C45" w:rsidRPr="004A5951" w:rsidRDefault="00CB3C45" w:rsidP="00842F2E">
            <w:pPr>
              <w:spacing w:after="0" w:line="240" w:lineRule="auto"/>
              <w:jc w:val="center"/>
              <w:rPr>
                <w:rFonts w:eastAsia="Times New Roman" w:cs="Times New Roman"/>
                <w:b/>
                <w:bCs/>
                <w:sz w:val="16"/>
                <w:szCs w:val="16"/>
                <w:lang w:eastAsia="sk-SK"/>
              </w:rPr>
            </w:pPr>
            <w:r w:rsidRPr="004A5951">
              <w:rPr>
                <w:rFonts w:eastAsia="Times New Roman" w:cs="Times New Roman"/>
                <w:b/>
                <w:bCs/>
                <w:sz w:val="16"/>
                <w:szCs w:val="16"/>
                <w:lang w:eastAsia="sk-SK"/>
              </w:rPr>
              <w:t>2018</w:t>
            </w:r>
          </w:p>
        </w:tc>
        <w:tc>
          <w:tcPr>
            <w:tcW w:w="875" w:type="dxa"/>
            <w:tcBorders>
              <w:top w:val="nil"/>
              <w:left w:val="nil"/>
              <w:bottom w:val="nil"/>
              <w:right w:val="nil"/>
            </w:tcBorders>
            <w:shd w:val="clear" w:color="000000" w:fill="BFBFBF"/>
            <w:noWrap/>
            <w:vAlign w:val="center"/>
            <w:hideMark/>
          </w:tcPr>
          <w:p w14:paraId="3019CAC5" w14:textId="77777777" w:rsidR="00CB3C45" w:rsidRPr="004A5951" w:rsidRDefault="00CB3C45" w:rsidP="00842F2E">
            <w:pPr>
              <w:spacing w:after="0" w:line="240" w:lineRule="auto"/>
              <w:jc w:val="center"/>
              <w:rPr>
                <w:rFonts w:eastAsia="Times New Roman" w:cs="Times New Roman"/>
                <w:b/>
                <w:bCs/>
                <w:sz w:val="16"/>
                <w:szCs w:val="16"/>
                <w:lang w:eastAsia="sk-SK"/>
              </w:rPr>
            </w:pPr>
            <w:r w:rsidRPr="004A5951">
              <w:rPr>
                <w:rFonts w:eastAsia="Times New Roman" w:cs="Times New Roman"/>
                <w:b/>
                <w:bCs/>
                <w:sz w:val="16"/>
                <w:szCs w:val="16"/>
                <w:lang w:eastAsia="sk-SK"/>
              </w:rPr>
              <w:t>2019</w:t>
            </w:r>
          </w:p>
        </w:tc>
        <w:tc>
          <w:tcPr>
            <w:tcW w:w="1159" w:type="dxa"/>
            <w:tcBorders>
              <w:top w:val="nil"/>
              <w:left w:val="nil"/>
              <w:bottom w:val="nil"/>
              <w:right w:val="nil"/>
            </w:tcBorders>
            <w:shd w:val="clear" w:color="000000" w:fill="BFBFBF"/>
            <w:noWrap/>
            <w:vAlign w:val="center"/>
            <w:hideMark/>
          </w:tcPr>
          <w:p w14:paraId="6884A322" w14:textId="77777777" w:rsidR="00CB3C45" w:rsidRPr="004A5951" w:rsidRDefault="00CB3C45" w:rsidP="00842F2E">
            <w:pPr>
              <w:spacing w:after="0" w:line="240" w:lineRule="auto"/>
              <w:jc w:val="center"/>
              <w:rPr>
                <w:rFonts w:eastAsia="Times New Roman" w:cs="Times New Roman"/>
                <w:b/>
                <w:bCs/>
                <w:sz w:val="16"/>
                <w:szCs w:val="16"/>
                <w:lang w:eastAsia="sk-SK"/>
              </w:rPr>
            </w:pPr>
            <w:r w:rsidRPr="004A5951">
              <w:rPr>
                <w:rFonts w:eastAsia="Times New Roman" w:cs="Times New Roman"/>
                <w:b/>
                <w:bCs/>
                <w:sz w:val="16"/>
                <w:szCs w:val="16"/>
                <w:lang w:eastAsia="sk-SK"/>
              </w:rPr>
              <w:t>2020</w:t>
            </w:r>
          </w:p>
        </w:tc>
        <w:tc>
          <w:tcPr>
            <w:tcW w:w="1162" w:type="dxa"/>
            <w:tcBorders>
              <w:top w:val="nil"/>
              <w:left w:val="nil"/>
              <w:bottom w:val="nil"/>
              <w:right w:val="nil"/>
            </w:tcBorders>
            <w:shd w:val="clear" w:color="000000" w:fill="BFBFBF"/>
            <w:noWrap/>
            <w:vAlign w:val="center"/>
            <w:hideMark/>
          </w:tcPr>
          <w:p w14:paraId="437338B3" w14:textId="77777777" w:rsidR="00CB3C45" w:rsidRPr="004A5951" w:rsidRDefault="00CB3C45" w:rsidP="00842F2E">
            <w:pPr>
              <w:spacing w:after="0" w:line="240" w:lineRule="auto"/>
              <w:jc w:val="center"/>
              <w:rPr>
                <w:rFonts w:eastAsia="Times New Roman" w:cs="Times New Roman"/>
                <w:b/>
                <w:bCs/>
                <w:sz w:val="16"/>
                <w:szCs w:val="16"/>
                <w:lang w:eastAsia="sk-SK"/>
              </w:rPr>
            </w:pPr>
            <w:r w:rsidRPr="004A5951">
              <w:rPr>
                <w:rFonts w:eastAsia="Times New Roman" w:cs="Times New Roman"/>
                <w:b/>
                <w:bCs/>
                <w:sz w:val="16"/>
                <w:szCs w:val="16"/>
                <w:lang w:eastAsia="sk-SK"/>
              </w:rPr>
              <w:t>2020</w:t>
            </w:r>
          </w:p>
        </w:tc>
        <w:tc>
          <w:tcPr>
            <w:tcW w:w="849" w:type="dxa"/>
            <w:tcBorders>
              <w:top w:val="nil"/>
              <w:left w:val="nil"/>
              <w:bottom w:val="nil"/>
              <w:right w:val="nil"/>
            </w:tcBorders>
            <w:shd w:val="clear" w:color="000000" w:fill="BFBFBF"/>
            <w:noWrap/>
            <w:vAlign w:val="center"/>
            <w:hideMark/>
          </w:tcPr>
          <w:p w14:paraId="365313B4" w14:textId="77777777" w:rsidR="00CB3C45" w:rsidRPr="004A5951" w:rsidRDefault="00CB3C45" w:rsidP="00842F2E">
            <w:pPr>
              <w:spacing w:after="0" w:line="240" w:lineRule="auto"/>
              <w:jc w:val="center"/>
              <w:rPr>
                <w:rFonts w:eastAsia="Times New Roman" w:cs="Times New Roman"/>
                <w:b/>
                <w:bCs/>
                <w:sz w:val="16"/>
                <w:szCs w:val="16"/>
                <w:lang w:eastAsia="sk-SK"/>
              </w:rPr>
            </w:pPr>
            <w:r w:rsidRPr="004A5951">
              <w:rPr>
                <w:rFonts w:eastAsia="Times New Roman" w:cs="Times New Roman"/>
                <w:b/>
                <w:bCs/>
                <w:sz w:val="16"/>
                <w:szCs w:val="16"/>
                <w:lang w:eastAsia="sk-SK"/>
              </w:rPr>
              <w:t>2020</w:t>
            </w:r>
          </w:p>
        </w:tc>
      </w:tr>
      <w:tr w:rsidR="00CB3C45" w:rsidRPr="004A5951" w14:paraId="59D8BAFA" w14:textId="77777777" w:rsidTr="00842F2E">
        <w:trPr>
          <w:trHeight w:val="263"/>
          <w:tblHeader/>
        </w:trPr>
        <w:tc>
          <w:tcPr>
            <w:tcW w:w="196" w:type="dxa"/>
            <w:tcBorders>
              <w:top w:val="nil"/>
              <w:left w:val="nil"/>
              <w:bottom w:val="nil"/>
              <w:right w:val="nil"/>
            </w:tcBorders>
            <w:shd w:val="clear" w:color="000000" w:fill="BFBFBF"/>
            <w:noWrap/>
            <w:vAlign w:val="center"/>
            <w:hideMark/>
          </w:tcPr>
          <w:p w14:paraId="09B32B89" w14:textId="77777777" w:rsidR="00CB3C45" w:rsidRPr="004A5951" w:rsidRDefault="00CB3C45" w:rsidP="00842F2E">
            <w:pPr>
              <w:spacing w:after="0" w:line="240" w:lineRule="auto"/>
              <w:jc w:val="left"/>
              <w:rPr>
                <w:rFonts w:eastAsia="Times New Roman" w:cs="Times New Roman"/>
                <w:b/>
                <w:bCs/>
                <w:sz w:val="16"/>
                <w:szCs w:val="16"/>
                <w:lang w:eastAsia="sk-SK"/>
              </w:rPr>
            </w:pPr>
            <w:r w:rsidRPr="004A5951">
              <w:rPr>
                <w:rFonts w:eastAsia="Times New Roman" w:cs="Times New Roman"/>
                <w:b/>
                <w:bCs/>
                <w:sz w:val="16"/>
                <w:szCs w:val="16"/>
                <w:lang w:eastAsia="sk-SK"/>
              </w:rPr>
              <w:t> </w:t>
            </w:r>
          </w:p>
        </w:tc>
        <w:tc>
          <w:tcPr>
            <w:tcW w:w="196" w:type="dxa"/>
            <w:tcBorders>
              <w:top w:val="nil"/>
              <w:left w:val="nil"/>
              <w:bottom w:val="nil"/>
              <w:right w:val="nil"/>
            </w:tcBorders>
            <w:shd w:val="clear" w:color="000000" w:fill="BFBFBF"/>
            <w:noWrap/>
            <w:vAlign w:val="center"/>
            <w:hideMark/>
          </w:tcPr>
          <w:p w14:paraId="3999CC16" w14:textId="77777777" w:rsidR="00CB3C45" w:rsidRPr="004A5951" w:rsidRDefault="00CB3C45" w:rsidP="00842F2E">
            <w:pPr>
              <w:spacing w:after="0" w:line="240" w:lineRule="auto"/>
              <w:jc w:val="left"/>
              <w:rPr>
                <w:rFonts w:eastAsia="Times New Roman" w:cs="Times New Roman"/>
                <w:b/>
                <w:bCs/>
                <w:sz w:val="16"/>
                <w:szCs w:val="16"/>
                <w:lang w:eastAsia="sk-SK"/>
              </w:rPr>
            </w:pPr>
            <w:r w:rsidRPr="004A5951">
              <w:rPr>
                <w:rFonts w:eastAsia="Times New Roman" w:cs="Times New Roman"/>
                <w:b/>
                <w:bCs/>
                <w:sz w:val="16"/>
                <w:szCs w:val="16"/>
                <w:lang w:eastAsia="sk-SK"/>
              </w:rPr>
              <w:t> </w:t>
            </w:r>
          </w:p>
        </w:tc>
        <w:tc>
          <w:tcPr>
            <w:tcW w:w="3497" w:type="dxa"/>
            <w:tcBorders>
              <w:top w:val="nil"/>
              <w:left w:val="nil"/>
              <w:bottom w:val="nil"/>
              <w:right w:val="nil"/>
            </w:tcBorders>
            <w:shd w:val="clear" w:color="000000" w:fill="BFBFBF"/>
            <w:noWrap/>
            <w:vAlign w:val="center"/>
            <w:hideMark/>
          </w:tcPr>
          <w:p w14:paraId="5C372D00" w14:textId="77777777" w:rsidR="00CB3C45" w:rsidRPr="004A5951" w:rsidRDefault="00CB3C45" w:rsidP="00842F2E">
            <w:pPr>
              <w:spacing w:after="0" w:line="240" w:lineRule="auto"/>
              <w:jc w:val="left"/>
              <w:rPr>
                <w:rFonts w:eastAsia="Times New Roman" w:cs="Times New Roman"/>
                <w:b/>
                <w:bCs/>
                <w:sz w:val="16"/>
                <w:szCs w:val="16"/>
                <w:lang w:eastAsia="sk-SK"/>
              </w:rPr>
            </w:pPr>
            <w:r w:rsidRPr="004A5951">
              <w:rPr>
                <w:rFonts w:eastAsia="Times New Roman" w:cs="Times New Roman"/>
                <w:b/>
                <w:bCs/>
                <w:sz w:val="16"/>
                <w:szCs w:val="16"/>
                <w:lang w:eastAsia="sk-SK"/>
              </w:rPr>
              <w:t> </w:t>
            </w:r>
          </w:p>
        </w:tc>
        <w:tc>
          <w:tcPr>
            <w:tcW w:w="792" w:type="dxa"/>
            <w:tcBorders>
              <w:top w:val="nil"/>
              <w:left w:val="nil"/>
              <w:bottom w:val="nil"/>
              <w:right w:val="nil"/>
            </w:tcBorders>
            <w:shd w:val="clear" w:color="000000" w:fill="BFBFBF"/>
            <w:noWrap/>
            <w:vAlign w:val="center"/>
            <w:hideMark/>
          </w:tcPr>
          <w:p w14:paraId="4BC63E01" w14:textId="77777777" w:rsidR="00CB3C45" w:rsidRPr="004A5951" w:rsidRDefault="00CB3C45" w:rsidP="00842F2E">
            <w:pPr>
              <w:spacing w:after="0" w:line="240" w:lineRule="auto"/>
              <w:jc w:val="center"/>
              <w:rPr>
                <w:rFonts w:eastAsia="Times New Roman" w:cs="Times New Roman"/>
                <w:b/>
                <w:bCs/>
                <w:sz w:val="16"/>
                <w:szCs w:val="16"/>
                <w:lang w:eastAsia="sk-SK"/>
              </w:rPr>
            </w:pPr>
            <w:r w:rsidRPr="004A5951">
              <w:rPr>
                <w:rFonts w:eastAsia="Times New Roman" w:cs="Times New Roman"/>
                <w:b/>
                <w:bCs/>
                <w:sz w:val="16"/>
                <w:szCs w:val="16"/>
                <w:lang w:eastAsia="sk-SK"/>
              </w:rPr>
              <w:t>1</w:t>
            </w:r>
          </w:p>
        </w:tc>
        <w:tc>
          <w:tcPr>
            <w:tcW w:w="875" w:type="dxa"/>
            <w:tcBorders>
              <w:top w:val="nil"/>
              <w:left w:val="nil"/>
              <w:bottom w:val="nil"/>
              <w:right w:val="nil"/>
            </w:tcBorders>
            <w:shd w:val="clear" w:color="000000" w:fill="BFBFBF"/>
            <w:noWrap/>
            <w:vAlign w:val="center"/>
            <w:hideMark/>
          </w:tcPr>
          <w:p w14:paraId="0F458083" w14:textId="77777777" w:rsidR="00CB3C45" w:rsidRPr="004A5951" w:rsidRDefault="00CB3C45" w:rsidP="00842F2E">
            <w:pPr>
              <w:spacing w:after="0" w:line="240" w:lineRule="auto"/>
              <w:jc w:val="center"/>
              <w:rPr>
                <w:rFonts w:eastAsia="Times New Roman" w:cs="Times New Roman"/>
                <w:b/>
                <w:bCs/>
                <w:sz w:val="16"/>
                <w:szCs w:val="16"/>
                <w:lang w:eastAsia="sk-SK"/>
              </w:rPr>
            </w:pPr>
            <w:r w:rsidRPr="004A5951">
              <w:rPr>
                <w:rFonts w:eastAsia="Times New Roman" w:cs="Times New Roman"/>
                <w:b/>
                <w:bCs/>
                <w:sz w:val="16"/>
                <w:szCs w:val="16"/>
                <w:lang w:eastAsia="sk-SK"/>
              </w:rPr>
              <w:t>2</w:t>
            </w:r>
          </w:p>
        </w:tc>
        <w:tc>
          <w:tcPr>
            <w:tcW w:w="1159" w:type="dxa"/>
            <w:tcBorders>
              <w:top w:val="nil"/>
              <w:left w:val="nil"/>
              <w:bottom w:val="nil"/>
              <w:right w:val="nil"/>
            </w:tcBorders>
            <w:shd w:val="clear" w:color="000000" w:fill="BFBFBF"/>
            <w:noWrap/>
            <w:vAlign w:val="center"/>
            <w:hideMark/>
          </w:tcPr>
          <w:p w14:paraId="785FD463" w14:textId="77777777" w:rsidR="00CB3C45" w:rsidRPr="004A5951" w:rsidRDefault="00CB3C45" w:rsidP="00842F2E">
            <w:pPr>
              <w:spacing w:after="0" w:line="240" w:lineRule="auto"/>
              <w:jc w:val="center"/>
              <w:rPr>
                <w:rFonts w:eastAsia="Times New Roman" w:cs="Times New Roman"/>
                <w:b/>
                <w:bCs/>
                <w:sz w:val="16"/>
                <w:szCs w:val="16"/>
                <w:lang w:eastAsia="sk-SK"/>
              </w:rPr>
            </w:pPr>
            <w:r w:rsidRPr="004A5951">
              <w:rPr>
                <w:rFonts w:eastAsia="Times New Roman" w:cs="Times New Roman"/>
                <w:b/>
                <w:bCs/>
                <w:sz w:val="16"/>
                <w:szCs w:val="16"/>
                <w:lang w:eastAsia="sk-SK"/>
              </w:rPr>
              <w:t>3</w:t>
            </w:r>
          </w:p>
        </w:tc>
        <w:tc>
          <w:tcPr>
            <w:tcW w:w="1162" w:type="dxa"/>
            <w:tcBorders>
              <w:top w:val="nil"/>
              <w:left w:val="nil"/>
              <w:bottom w:val="nil"/>
              <w:right w:val="nil"/>
            </w:tcBorders>
            <w:shd w:val="clear" w:color="000000" w:fill="BFBFBF"/>
            <w:noWrap/>
            <w:vAlign w:val="center"/>
            <w:hideMark/>
          </w:tcPr>
          <w:p w14:paraId="0F63E004" w14:textId="77777777" w:rsidR="00CB3C45" w:rsidRPr="004A5951" w:rsidRDefault="00CB3C45" w:rsidP="00842F2E">
            <w:pPr>
              <w:spacing w:after="0" w:line="240" w:lineRule="auto"/>
              <w:jc w:val="center"/>
              <w:rPr>
                <w:rFonts w:eastAsia="Times New Roman" w:cs="Times New Roman"/>
                <w:b/>
                <w:bCs/>
                <w:sz w:val="16"/>
                <w:szCs w:val="16"/>
                <w:lang w:eastAsia="sk-SK"/>
              </w:rPr>
            </w:pPr>
            <w:r w:rsidRPr="004A5951">
              <w:rPr>
                <w:rFonts w:eastAsia="Times New Roman" w:cs="Times New Roman"/>
                <w:b/>
                <w:bCs/>
                <w:sz w:val="16"/>
                <w:szCs w:val="16"/>
                <w:lang w:eastAsia="sk-SK"/>
              </w:rPr>
              <w:t>4</w:t>
            </w:r>
          </w:p>
        </w:tc>
        <w:tc>
          <w:tcPr>
            <w:tcW w:w="849" w:type="dxa"/>
            <w:tcBorders>
              <w:top w:val="nil"/>
              <w:left w:val="nil"/>
              <w:bottom w:val="nil"/>
              <w:right w:val="nil"/>
            </w:tcBorders>
            <w:shd w:val="clear" w:color="000000" w:fill="BFBFBF"/>
            <w:noWrap/>
            <w:vAlign w:val="center"/>
            <w:hideMark/>
          </w:tcPr>
          <w:p w14:paraId="0595AB49" w14:textId="77777777" w:rsidR="00CB3C45" w:rsidRPr="004A5951" w:rsidRDefault="00CB3C45" w:rsidP="00842F2E">
            <w:pPr>
              <w:spacing w:after="0" w:line="240" w:lineRule="auto"/>
              <w:jc w:val="center"/>
              <w:rPr>
                <w:rFonts w:eastAsia="Times New Roman" w:cs="Times New Roman"/>
                <w:b/>
                <w:bCs/>
                <w:sz w:val="16"/>
                <w:szCs w:val="16"/>
                <w:lang w:eastAsia="sk-SK"/>
              </w:rPr>
            </w:pPr>
            <w:r w:rsidRPr="004A5951">
              <w:rPr>
                <w:rFonts w:eastAsia="Times New Roman" w:cs="Times New Roman"/>
                <w:b/>
                <w:bCs/>
                <w:sz w:val="16"/>
                <w:szCs w:val="16"/>
                <w:lang w:eastAsia="sk-SK"/>
              </w:rPr>
              <w:t>5=4-3</w:t>
            </w:r>
          </w:p>
        </w:tc>
      </w:tr>
      <w:tr w:rsidR="00CB3C45" w:rsidRPr="004A5951" w14:paraId="13D7968E" w14:textId="77777777" w:rsidTr="00842F2E">
        <w:trPr>
          <w:trHeight w:val="255"/>
        </w:trPr>
        <w:tc>
          <w:tcPr>
            <w:tcW w:w="3889" w:type="dxa"/>
            <w:gridSpan w:val="3"/>
            <w:tcBorders>
              <w:top w:val="nil"/>
              <w:left w:val="nil"/>
              <w:bottom w:val="nil"/>
              <w:right w:val="nil"/>
            </w:tcBorders>
            <w:shd w:val="clear" w:color="000000" w:fill="F2F2F2"/>
            <w:noWrap/>
            <w:vAlign w:val="center"/>
            <w:hideMark/>
          </w:tcPr>
          <w:p w14:paraId="6A89F025" w14:textId="77777777" w:rsidR="00CB3C45" w:rsidRPr="004A5951" w:rsidRDefault="00CB3C45" w:rsidP="00842F2E">
            <w:pPr>
              <w:spacing w:after="0" w:line="240" w:lineRule="auto"/>
              <w:jc w:val="left"/>
              <w:rPr>
                <w:rFonts w:eastAsia="Times New Roman" w:cs="Times New Roman"/>
                <w:b/>
                <w:bCs/>
                <w:sz w:val="16"/>
                <w:szCs w:val="16"/>
                <w:lang w:eastAsia="sk-SK"/>
              </w:rPr>
            </w:pPr>
            <w:r w:rsidRPr="004A5951">
              <w:rPr>
                <w:rFonts w:eastAsia="Times New Roman" w:cs="Times New Roman"/>
                <w:b/>
                <w:bCs/>
                <w:sz w:val="16"/>
                <w:szCs w:val="16"/>
                <w:lang w:eastAsia="sk-SK"/>
              </w:rPr>
              <w:t>Dividendy verejnej správy</w:t>
            </w:r>
          </w:p>
        </w:tc>
        <w:tc>
          <w:tcPr>
            <w:tcW w:w="792" w:type="dxa"/>
            <w:tcBorders>
              <w:top w:val="nil"/>
              <w:left w:val="nil"/>
              <w:bottom w:val="nil"/>
              <w:right w:val="nil"/>
            </w:tcBorders>
            <w:shd w:val="clear" w:color="000000" w:fill="F2F2F2"/>
            <w:noWrap/>
            <w:vAlign w:val="center"/>
            <w:hideMark/>
          </w:tcPr>
          <w:p w14:paraId="48CEA7CA" w14:textId="77777777" w:rsidR="00CB3C45" w:rsidRPr="004A5951" w:rsidRDefault="00CB3C45" w:rsidP="00842F2E">
            <w:pPr>
              <w:spacing w:after="0" w:line="240" w:lineRule="auto"/>
              <w:jc w:val="right"/>
              <w:rPr>
                <w:rFonts w:eastAsia="Times New Roman" w:cs="Times New Roman"/>
                <w:b/>
                <w:bCs/>
                <w:sz w:val="16"/>
                <w:szCs w:val="16"/>
                <w:lang w:eastAsia="sk-SK"/>
              </w:rPr>
            </w:pPr>
            <w:r w:rsidRPr="004A5951">
              <w:rPr>
                <w:rFonts w:eastAsia="Times New Roman" w:cs="Times New Roman"/>
                <w:b/>
                <w:bCs/>
                <w:sz w:val="16"/>
                <w:szCs w:val="16"/>
                <w:lang w:eastAsia="sk-SK"/>
              </w:rPr>
              <w:t>441 834</w:t>
            </w:r>
          </w:p>
        </w:tc>
        <w:tc>
          <w:tcPr>
            <w:tcW w:w="875" w:type="dxa"/>
            <w:tcBorders>
              <w:top w:val="nil"/>
              <w:left w:val="nil"/>
              <w:bottom w:val="nil"/>
              <w:right w:val="nil"/>
            </w:tcBorders>
            <w:shd w:val="clear" w:color="000000" w:fill="F2F2F2"/>
            <w:noWrap/>
            <w:vAlign w:val="center"/>
            <w:hideMark/>
          </w:tcPr>
          <w:p w14:paraId="3B07BCE3" w14:textId="77777777" w:rsidR="00CB3C45" w:rsidRPr="004A5951" w:rsidRDefault="00CB3C45" w:rsidP="00842F2E">
            <w:pPr>
              <w:spacing w:after="0" w:line="240" w:lineRule="auto"/>
              <w:jc w:val="right"/>
              <w:rPr>
                <w:rFonts w:eastAsia="Times New Roman" w:cs="Times New Roman"/>
                <w:b/>
                <w:bCs/>
                <w:sz w:val="16"/>
                <w:szCs w:val="16"/>
                <w:lang w:eastAsia="sk-SK"/>
              </w:rPr>
            </w:pPr>
            <w:r w:rsidRPr="004A5951">
              <w:rPr>
                <w:rFonts w:eastAsia="Times New Roman" w:cs="Times New Roman"/>
                <w:b/>
                <w:bCs/>
                <w:sz w:val="16"/>
                <w:szCs w:val="16"/>
                <w:lang w:eastAsia="sk-SK"/>
              </w:rPr>
              <w:t>510 206</w:t>
            </w:r>
          </w:p>
        </w:tc>
        <w:tc>
          <w:tcPr>
            <w:tcW w:w="1159" w:type="dxa"/>
            <w:tcBorders>
              <w:top w:val="nil"/>
              <w:left w:val="nil"/>
              <w:bottom w:val="nil"/>
              <w:right w:val="nil"/>
            </w:tcBorders>
            <w:shd w:val="clear" w:color="000000" w:fill="F2F2F2"/>
            <w:noWrap/>
            <w:vAlign w:val="center"/>
            <w:hideMark/>
          </w:tcPr>
          <w:p w14:paraId="32E61566" w14:textId="77777777" w:rsidR="00CB3C45" w:rsidRPr="004A5951" w:rsidRDefault="00CB3C45" w:rsidP="00842F2E">
            <w:pPr>
              <w:spacing w:after="0" w:line="240" w:lineRule="auto"/>
              <w:jc w:val="right"/>
              <w:rPr>
                <w:rFonts w:eastAsia="Times New Roman" w:cs="Times New Roman"/>
                <w:b/>
                <w:bCs/>
                <w:sz w:val="16"/>
                <w:szCs w:val="16"/>
                <w:lang w:eastAsia="sk-SK"/>
              </w:rPr>
            </w:pPr>
            <w:r w:rsidRPr="004A5951">
              <w:rPr>
                <w:rFonts w:eastAsia="Times New Roman" w:cs="Times New Roman"/>
                <w:b/>
                <w:bCs/>
                <w:sz w:val="16"/>
                <w:szCs w:val="16"/>
                <w:lang w:eastAsia="sk-SK"/>
              </w:rPr>
              <w:t>466 888</w:t>
            </w:r>
          </w:p>
        </w:tc>
        <w:tc>
          <w:tcPr>
            <w:tcW w:w="1162" w:type="dxa"/>
            <w:tcBorders>
              <w:top w:val="nil"/>
              <w:left w:val="nil"/>
              <w:bottom w:val="nil"/>
              <w:right w:val="nil"/>
            </w:tcBorders>
            <w:shd w:val="clear" w:color="000000" w:fill="BFBFBF"/>
            <w:noWrap/>
            <w:vAlign w:val="center"/>
            <w:hideMark/>
          </w:tcPr>
          <w:p w14:paraId="3FCFC817" w14:textId="77777777" w:rsidR="00CB3C45" w:rsidRPr="004A5951" w:rsidRDefault="00CB3C45" w:rsidP="00842F2E">
            <w:pPr>
              <w:spacing w:after="0" w:line="240" w:lineRule="auto"/>
              <w:jc w:val="right"/>
              <w:rPr>
                <w:rFonts w:eastAsia="Times New Roman" w:cs="Times New Roman"/>
                <w:b/>
                <w:bCs/>
                <w:sz w:val="16"/>
                <w:szCs w:val="16"/>
                <w:lang w:eastAsia="sk-SK"/>
              </w:rPr>
            </w:pPr>
            <w:r w:rsidRPr="004A5951">
              <w:rPr>
                <w:rFonts w:eastAsia="Times New Roman" w:cs="Times New Roman"/>
                <w:b/>
                <w:bCs/>
                <w:sz w:val="16"/>
                <w:szCs w:val="16"/>
                <w:lang w:eastAsia="sk-SK"/>
              </w:rPr>
              <w:t>424 031</w:t>
            </w:r>
          </w:p>
        </w:tc>
        <w:tc>
          <w:tcPr>
            <w:tcW w:w="849" w:type="dxa"/>
            <w:tcBorders>
              <w:top w:val="nil"/>
              <w:left w:val="nil"/>
              <w:bottom w:val="nil"/>
              <w:right w:val="nil"/>
            </w:tcBorders>
            <w:shd w:val="clear" w:color="000000" w:fill="F2F2F2"/>
            <w:noWrap/>
            <w:vAlign w:val="center"/>
            <w:hideMark/>
          </w:tcPr>
          <w:p w14:paraId="213BF2A0" w14:textId="77777777" w:rsidR="00CB3C45" w:rsidRPr="004A5951" w:rsidRDefault="00CB3C45" w:rsidP="00842F2E">
            <w:pPr>
              <w:spacing w:after="0" w:line="240" w:lineRule="auto"/>
              <w:jc w:val="right"/>
              <w:rPr>
                <w:rFonts w:eastAsia="Times New Roman" w:cs="Times New Roman"/>
                <w:b/>
                <w:bCs/>
                <w:sz w:val="16"/>
                <w:szCs w:val="16"/>
                <w:lang w:eastAsia="sk-SK"/>
              </w:rPr>
            </w:pPr>
            <w:r w:rsidRPr="004A5951">
              <w:rPr>
                <w:rFonts w:eastAsia="Times New Roman" w:cs="Times New Roman"/>
                <w:b/>
                <w:bCs/>
                <w:sz w:val="16"/>
                <w:szCs w:val="16"/>
                <w:lang w:eastAsia="sk-SK"/>
              </w:rPr>
              <w:t>-42 857</w:t>
            </w:r>
          </w:p>
        </w:tc>
      </w:tr>
      <w:tr w:rsidR="00CB3C45" w:rsidRPr="004A5951" w14:paraId="5E8CAE1D" w14:textId="77777777" w:rsidTr="00842F2E">
        <w:trPr>
          <w:trHeight w:val="255"/>
        </w:trPr>
        <w:tc>
          <w:tcPr>
            <w:tcW w:w="3889" w:type="dxa"/>
            <w:gridSpan w:val="3"/>
            <w:tcBorders>
              <w:top w:val="nil"/>
              <w:left w:val="nil"/>
              <w:bottom w:val="nil"/>
              <w:right w:val="nil"/>
            </w:tcBorders>
            <w:shd w:val="clear" w:color="auto" w:fill="auto"/>
            <w:noWrap/>
            <w:vAlign w:val="center"/>
            <w:hideMark/>
          </w:tcPr>
          <w:p w14:paraId="50B7826D" w14:textId="77777777" w:rsidR="00CB3C45" w:rsidRPr="004A5951" w:rsidRDefault="00CB3C45" w:rsidP="00842F2E">
            <w:pPr>
              <w:spacing w:after="0" w:line="240" w:lineRule="auto"/>
              <w:jc w:val="left"/>
              <w:rPr>
                <w:rFonts w:eastAsia="Times New Roman" w:cs="Times New Roman"/>
                <w:b/>
                <w:bCs/>
                <w:color w:val="000000"/>
                <w:sz w:val="16"/>
                <w:szCs w:val="16"/>
                <w:lang w:eastAsia="sk-SK"/>
              </w:rPr>
            </w:pPr>
            <w:r w:rsidRPr="004A5951">
              <w:rPr>
                <w:rFonts w:eastAsia="Times New Roman" w:cs="Times New Roman"/>
                <w:b/>
                <w:bCs/>
                <w:color w:val="000000"/>
                <w:sz w:val="16"/>
                <w:szCs w:val="16"/>
                <w:lang w:eastAsia="sk-SK"/>
              </w:rPr>
              <w:t>Štátny rozpočet</w:t>
            </w:r>
          </w:p>
        </w:tc>
        <w:tc>
          <w:tcPr>
            <w:tcW w:w="792" w:type="dxa"/>
            <w:tcBorders>
              <w:top w:val="nil"/>
              <w:left w:val="nil"/>
              <w:bottom w:val="nil"/>
              <w:right w:val="nil"/>
            </w:tcBorders>
            <w:shd w:val="clear" w:color="auto" w:fill="auto"/>
            <w:noWrap/>
            <w:vAlign w:val="center"/>
            <w:hideMark/>
          </w:tcPr>
          <w:p w14:paraId="2B137C52" w14:textId="77777777" w:rsidR="00CB3C45" w:rsidRPr="004A5951" w:rsidRDefault="00CB3C45" w:rsidP="00842F2E">
            <w:pPr>
              <w:spacing w:after="0" w:line="240" w:lineRule="auto"/>
              <w:jc w:val="right"/>
              <w:rPr>
                <w:rFonts w:eastAsia="Times New Roman" w:cs="Times New Roman"/>
                <w:b/>
                <w:bCs/>
                <w:color w:val="000000"/>
                <w:sz w:val="16"/>
                <w:szCs w:val="16"/>
                <w:lang w:eastAsia="sk-SK"/>
              </w:rPr>
            </w:pPr>
            <w:r w:rsidRPr="004A5951">
              <w:rPr>
                <w:rFonts w:eastAsia="Times New Roman" w:cs="Times New Roman"/>
                <w:b/>
                <w:bCs/>
                <w:color w:val="000000"/>
                <w:sz w:val="16"/>
                <w:szCs w:val="16"/>
                <w:lang w:eastAsia="sk-SK"/>
              </w:rPr>
              <w:t>441 054</w:t>
            </w:r>
          </w:p>
        </w:tc>
        <w:tc>
          <w:tcPr>
            <w:tcW w:w="875" w:type="dxa"/>
            <w:tcBorders>
              <w:top w:val="nil"/>
              <w:left w:val="nil"/>
              <w:bottom w:val="nil"/>
              <w:right w:val="nil"/>
            </w:tcBorders>
            <w:shd w:val="clear" w:color="auto" w:fill="auto"/>
            <w:noWrap/>
            <w:vAlign w:val="center"/>
            <w:hideMark/>
          </w:tcPr>
          <w:p w14:paraId="25951EC5" w14:textId="77777777" w:rsidR="00CB3C45" w:rsidRPr="004A5951" w:rsidRDefault="00CB3C45" w:rsidP="00842F2E">
            <w:pPr>
              <w:spacing w:after="0" w:line="240" w:lineRule="auto"/>
              <w:jc w:val="right"/>
              <w:rPr>
                <w:rFonts w:eastAsia="Times New Roman" w:cs="Times New Roman"/>
                <w:b/>
                <w:bCs/>
                <w:color w:val="000000"/>
                <w:sz w:val="16"/>
                <w:szCs w:val="16"/>
                <w:lang w:eastAsia="sk-SK"/>
              </w:rPr>
            </w:pPr>
            <w:r w:rsidRPr="004A5951">
              <w:rPr>
                <w:rFonts w:eastAsia="Times New Roman" w:cs="Times New Roman"/>
                <w:b/>
                <w:bCs/>
                <w:color w:val="000000"/>
                <w:sz w:val="16"/>
                <w:szCs w:val="16"/>
                <w:lang w:eastAsia="sk-SK"/>
              </w:rPr>
              <w:t>508 711</w:t>
            </w:r>
          </w:p>
        </w:tc>
        <w:tc>
          <w:tcPr>
            <w:tcW w:w="1159" w:type="dxa"/>
            <w:tcBorders>
              <w:top w:val="nil"/>
              <w:left w:val="nil"/>
              <w:bottom w:val="nil"/>
              <w:right w:val="nil"/>
            </w:tcBorders>
            <w:shd w:val="clear" w:color="auto" w:fill="auto"/>
            <w:noWrap/>
            <w:vAlign w:val="center"/>
            <w:hideMark/>
          </w:tcPr>
          <w:p w14:paraId="64CA4242" w14:textId="77777777" w:rsidR="00CB3C45" w:rsidRPr="004A5951" w:rsidRDefault="00CB3C45" w:rsidP="00842F2E">
            <w:pPr>
              <w:spacing w:after="0" w:line="240" w:lineRule="auto"/>
              <w:jc w:val="right"/>
              <w:rPr>
                <w:rFonts w:eastAsia="Times New Roman" w:cs="Times New Roman"/>
                <w:b/>
                <w:bCs/>
                <w:color w:val="000000"/>
                <w:sz w:val="16"/>
                <w:szCs w:val="16"/>
                <w:lang w:eastAsia="sk-SK"/>
              </w:rPr>
            </w:pPr>
            <w:r w:rsidRPr="004A5951">
              <w:rPr>
                <w:rFonts w:eastAsia="Times New Roman" w:cs="Times New Roman"/>
                <w:b/>
                <w:bCs/>
                <w:color w:val="000000"/>
                <w:sz w:val="16"/>
                <w:szCs w:val="16"/>
                <w:lang w:eastAsia="sk-SK"/>
              </w:rPr>
              <w:t>466 480</w:t>
            </w:r>
          </w:p>
        </w:tc>
        <w:tc>
          <w:tcPr>
            <w:tcW w:w="1162" w:type="dxa"/>
            <w:tcBorders>
              <w:top w:val="nil"/>
              <w:left w:val="nil"/>
              <w:bottom w:val="nil"/>
              <w:right w:val="nil"/>
            </w:tcBorders>
            <w:shd w:val="clear" w:color="000000" w:fill="BFBFBF"/>
            <w:noWrap/>
            <w:vAlign w:val="center"/>
            <w:hideMark/>
          </w:tcPr>
          <w:p w14:paraId="3E5CBDE3" w14:textId="77777777" w:rsidR="00CB3C45" w:rsidRPr="004A5951" w:rsidRDefault="00CB3C45" w:rsidP="00842F2E">
            <w:pPr>
              <w:spacing w:after="0" w:line="240" w:lineRule="auto"/>
              <w:jc w:val="right"/>
              <w:rPr>
                <w:rFonts w:eastAsia="Times New Roman" w:cs="Times New Roman"/>
                <w:b/>
                <w:bCs/>
                <w:color w:val="000000"/>
                <w:sz w:val="16"/>
                <w:szCs w:val="16"/>
                <w:lang w:eastAsia="sk-SK"/>
              </w:rPr>
            </w:pPr>
            <w:r w:rsidRPr="004A5951">
              <w:rPr>
                <w:rFonts w:eastAsia="Times New Roman" w:cs="Times New Roman"/>
                <w:b/>
                <w:bCs/>
                <w:color w:val="000000"/>
                <w:sz w:val="16"/>
                <w:szCs w:val="16"/>
                <w:lang w:eastAsia="sk-SK"/>
              </w:rPr>
              <w:t>423 012</w:t>
            </w:r>
          </w:p>
        </w:tc>
        <w:tc>
          <w:tcPr>
            <w:tcW w:w="849" w:type="dxa"/>
            <w:tcBorders>
              <w:top w:val="nil"/>
              <w:left w:val="nil"/>
              <w:bottom w:val="nil"/>
              <w:right w:val="nil"/>
            </w:tcBorders>
            <w:shd w:val="clear" w:color="auto" w:fill="auto"/>
            <w:noWrap/>
            <w:vAlign w:val="center"/>
            <w:hideMark/>
          </w:tcPr>
          <w:p w14:paraId="06ED7420" w14:textId="77777777" w:rsidR="00CB3C45" w:rsidRPr="004A5951" w:rsidRDefault="00CB3C45" w:rsidP="00842F2E">
            <w:pPr>
              <w:spacing w:after="0" w:line="240" w:lineRule="auto"/>
              <w:jc w:val="right"/>
              <w:rPr>
                <w:rFonts w:eastAsia="Times New Roman" w:cs="Times New Roman"/>
                <w:b/>
                <w:bCs/>
                <w:color w:val="000000"/>
                <w:sz w:val="16"/>
                <w:szCs w:val="16"/>
                <w:lang w:eastAsia="sk-SK"/>
              </w:rPr>
            </w:pPr>
            <w:r w:rsidRPr="004A5951">
              <w:rPr>
                <w:rFonts w:eastAsia="Times New Roman" w:cs="Times New Roman"/>
                <w:b/>
                <w:bCs/>
                <w:color w:val="000000"/>
                <w:sz w:val="16"/>
                <w:szCs w:val="16"/>
                <w:lang w:eastAsia="sk-SK"/>
              </w:rPr>
              <w:t>-43 468</w:t>
            </w:r>
          </w:p>
        </w:tc>
      </w:tr>
      <w:tr w:rsidR="00CB3C45" w:rsidRPr="004A5951" w14:paraId="6C1E136C" w14:textId="77777777" w:rsidTr="00842F2E">
        <w:trPr>
          <w:trHeight w:val="277"/>
        </w:trPr>
        <w:tc>
          <w:tcPr>
            <w:tcW w:w="196" w:type="dxa"/>
            <w:tcBorders>
              <w:top w:val="nil"/>
              <w:left w:val="nil"/>
              <w:bottom w:val="nil"/>
              <w:right w:val="nil"/>
            </w:tcBorders>
            <w:shd w:val="clear" w:color="auto" w:fill="auto"/>
            <w:noWrap/>
            <w:vAlign w:val="center"/>
            <w:hideMark/>
          </w:tcPr>
          <w:p w14:paraId="56007B1B" w14:textId="77777777" w:rsidR="00CB3C45" w:rsidRPr="004A5951" w:rsidRDefault="00CB3C45" w:rsidP="00842F2E">
            <w:pPr>
              <w:spacing w:after="0" w:line="240" w:lineRule="auto"/>
              <w:jc w:val="right"/>
              <w:rPr>
                <w:rFonts w:eastAsia="Times New Roman" w:cs="Times New Roman"/>
                <w:b/>
                <w:bCs/>
                <w:color w:val="000000"/>
                <w:sz w:val="16"/>
                <w:szCs w:val="16"/>
                <w:lang w:eastAsia="sk-SK"/>
              </w:rPr>
            </w:pPr>
          </w:p>
        </w:tc>
        <w:tc>
          <w:tcPr>
            <w:tcW w:w="3693" w:type="dxa"/>
            <w:gridSpan w:val="2"/>
            <w:tcBorders>
              <w:top w:val="nil"/>
              <w:left w:val="nil"/>
              <w:bottom w:val="nil"/>
              <w:right w:val="nil"/>
            </w:tcBorders>
            <w:shd w:val="clear" w:color="auto" w:fill="auto"/>
            <w:noWrap/>
            <w:vAlign w:val="center"/>
            <w:hideMark/>
          </w:tcPr>
          <w:p w14:paraId="6B7F9C37" w14:textId="77777777" w:rsidR="00CB3C45" w:rsidRPr="004A5951" w:rsidRDefault="00CB3C45" w:rsidP="00842F2E">
            <w:pPr>
              <w:spacing w:after="0" w:line="240" w:lineRule="auto"/>
              <w:jc w:val="left"/>
              <w:rPr>
                <w:rFonts w:eastAsia="Times New Roman" w:cs="Times New Roman"/>
                <w:b/>
                <w:bCs/>
                <w:color w:val="000000"/>
                <w:sz w:val="16"/>
                <w:szCs w:val="16"/>
                <w:lang w:eastAsia="sk-SK"/>
              </w:rPr>
            </w:pPr>
            <w:r w:rsidRPr="004A5951">
              <w:rPr>
                <w:rFonts w:eastAsia="Times New Roman" w:cs="Times New Roman"/>
                <w:b/>
                <w:bCs/>
                <w:color w:val="000000"/>
                <w:sz w:val="16"/>
                <w:szCs w:val="16"/>
                <w:lang w:eastAsia="sk-SK"/>
              </w:rPr>
              <w:t>Riadne dividendy, z toho:</w:t>
            </w:r>
          </w:p>
        </w:tc>
        <w:tc>
          <w:tcPr>
            <w:tcW w:w="792" w:type="dxa"/>
            <w:tcBorders>
              <w:top w:val="nil"/>
              <w:left w:val="nil"/>
              <w:bottom w:val="nil"/>
              <w:right w:val="nil"/>
            </w:tcBorders>
            <w:shd w:val="clear" w:color="auto" w:fill="auto"/>
            <w:noWrap/>
            <w:vAlign w:val="center"/>
            <w:hideMark/>
          </w:tcPr>
          <w:p w14:paraId="1998C8EB" w14:textId="77777777" w:rsidR="00CB3C45" w:rsidRPr="004A5951" w:rsidRDefault="00CB3C45" w:rsidP="00842F2E">
            <w:pPr>
              <w:spacing w:after="0" w:line="240" w:lineRule="auto"/>
              <w:jc w:val="right"/>
              <w:rPr>
                <w:rFonts w:eastAsia="Times New Roman" w:cs="Times New Roman"/>
                <w:b/>
                <w:bCs/>
                <w:color w:val="000000"/>
                <w:sz w:val="16"/>
                <w:szCs w:val="16"/>
                <w:lang w:eastAsia="sk-SK"/>
              </w:rPr>
            </w:pPr>
            <w:r w:rsidRPr="004A5951">
              <w:rPr>
                <w:rFonts w:eastAsia="Times New Roman" w:cs="Times New Roman"/>
                <w:b/>
                <w:bCs/>
                <w:color w:val="000000"/>
                <w:sz w:val="16"/>
                <w:szCs w:val="16"/>
                <w:lang w:eastAsia="sk-SK"/>
              </w:rPr>
              <w:t>383 222</w:t>
            </w:r>
          </w:p>
        </w:tc>
        <w:tc>
          <w:tcPr>
            <w:tcW w:w="875" w:type="dxa"/>
            <w:tcBorders>
              <w:top w:val="nil"/>
              <w:left w:val="nil"/>
              <w:bottom w:val="nil"/>
              <w:right w:val="nil"/>
            </w:tcBorders>
            <w:shd w:val="clear" w:color="auto" w:fill="auto"/>
            <w:noWrap/>
            <w:vAlign w:val="center"/>
            <w:hideMark/>
          </w:tcPr>
          <w:p w14:paraId="1560983F" w14:textId="77777777" w:rsidR="00CB3C45" w:rsidRPr="004A5951" w:rsidRDefault="00CB3C45" w:rsidP="00842F2E">
            <w:pPr>
              <w:spacing w:after="0" w:line="240" w:lineRule="auto"/>
              <w:jc w:val="right"/>
              <w:rPr>
                <w:rFonts w:eastAsia="Times New Roman" w:cs="Times New Roman"/>
                <w:b/>
                <w:bCs/>
                <w:color w:val="000000"/>
                <w:sz w:val="16"/>
                <w:szCs w:val="16"/>
                <w:lang w:eastAsia="sk-SK"/>
              </w:rPr>
            </w:pPr>
            <w:r w:rsidRPr="004A5951">
              <w:rPr>
                <w:rFonts w:eastAsia="Times New Roman" w:cs="Times New Roman"/>
                <w:b/>
                <w:bCs/>
                <w:color w:val="000000"/>
                <w:sz w:val="16"/>
                <w:szCs w:val="16"/>
                <w:lang w:eastAsia="sk-SK"/>
              </w:rPr>
              <w:t>297 349</w:t>
            </w:r>
          </w:p>
        </w:tc>
        <w:tc>
          <w:tcPr>
            <w:tcW w:w="1159" w:type="dxa"/>
            <w:tcBorders>
              <w:top w:val="nil"/>
              <w:left w:val="nil"/>
              <w:bottom w:val="nil"/>
              <w:right w:val="nil"/>
            </w:tcBorders>
            <w:shd w:val="clear" w:color="auto" w:fill="auto"/>
            <w:noWrap/>
            <w:vAlign w:val="center"/>
            <w:hideMark/>
          </w:tcPr>
          <w:p w14:paraId="35BD5732" w14:textId="77777777" w:rsidR="00CB3C45" w:rsidRPr="004A5951" w:rsidRDefault="00CB3C45" w:rsidP="00842F2E">
            <w:pPr>
              <w:spacing w:after="0" w:line="240" w:lineRule="auto"/>
              <w:jc w:val="right"/>
              <w:rPr>
                <w:rFonts w:eastAsia="Times New Roman" w:cs="Times New Roman"/>
                <w:b/>
                <w:bCs/>
                <w:color w:val="000000"/>
                <w:sz w:val="16"/>
                <w:szCs w:val="16"/>
                <w:lang w:eastAsia="sk-SK"/>
              </w:rPr>
            </w:pPr>
            <w:r w:rsidRPr="004A5951">
              <w:rPr>
                <w:rFonts w:eastAsia="Times New Roman" w:cs="Times New Roman"/>
                <w:b/>
                <w:bCs/>
                <w:color w:val="000000"/>
                <w:sz w:val="16"/>
                <w:szCs w:val="16"/>
                <w:lang w:eastAsia="sk-SK"/>
              </w:rPr>
              <w:t>423 719</w:t>
            </w:r>
          </w:p>
        </w:tc>
        <w:tc>
          <w:tcPr>
            <w:tcW w:w="1162" w:type="dxa"/>
            <w:tcBorders>
              <w:top w:val="nil"/>
              <w:left w:val="nil"/>
              <w:bottom w:val="nil"/>
              <w:right w:val="nil"/>
            </w:tcBorders>
            <w:shd w:val="clear" w:color="000000" w:fill="BFBFBF"/>
            <w:noWrap/>
            <w:vAlign w:val="center"/>
            <w:hideMark/>
          </w:tcPr>
          <w:p w14:paraId="3BC6D662" w14:textId="1A8821CE" w:rsidR="00CB3C45" w:rsidRPr="004A5951" w:rsidRDefault="00CB3C45" w:rsidP="00842F2E">
            <w:pPr>
              <w:spacing w:after="0" w:line="240" w:lineRule="auto"/>
              <w:jc w:val="right"/>
              <w:rPr>
                <w:rFonts w:eastAsia="Times New Roman" w:cs="Times New Roman"/>
                <w:b/>
                <w:bCs/>
                <w:color w:val="000000"/>
                <w:sz w:val="16"/>
                <w:szCs w:val="16"/>
                <w:lang w:eastAsia="sk-SK"/>
              </w:rPr>
            </w:pPr>
            <w:r w:rsidRPr="004A5951">
              <w:rPr>
                <w:rFonts w:eastAsia="Times New Roman" w:cs="Times New Roman"/>
                <w:b/>
                <w:bCs/>
                <w:color w:val="000000"/>
                <w:sz w:val="16"/>
                <w:szCs w:val="16"/>
                <w:lang w:eastAsia="sk-SK"/>
              </w:rPr>
              <w:t>251</w:t>
            </w:r>
            <w:r w:rsidR="008E196E">
              <w:rPr>
                <w:rFonts w:eastAsia="Times New Roman" w:cs="Times New Roman"/>
                <w:b/>
                <w:bCs/>
                <w:color w:val="000000"/>
                <w:sz w:val="16"/>
                <w:szCs w:val="16"/>
                <w:lang w:eastAsia="sk-SK"/>
              </w:rPr>
              <w:t> </w:t>
            </w:r>
            <w:r w:rsidRPr="004A5951">
              <w:rPr>
                <w:rFonts w:eastAsia="Times New Roman" w:cs="Times New Roman"/>
                <w:b/>
                <w:bCs/>
                <w:color w:val="000000"/>
                <w:sz w:val="16"/>
                <w:szCs w:val="16"/>
                <w:lang w:eastAsia="sk-SK"/>
              </w:rPr>
              <w:t>488</w:t>
            </w:r>
          </w:p>
        </w:tc>
        <w:tc>
          <w:tcPr>
            <w:tcW w:w="849" w:type="dxa"/>
            <w:tcBorders>
              <w:top w:val="nil"/>
              <w:left w:val="nil"/>
              <w:bottom w:val="nil"/>
              <w:right w:val="nil"/>
            </w:tcBorders>
            <w:shd w:val="clear" w:color="auto" w:fill="auto"/>
            <w:noWrap/>
            <w:vAlign w:val="center"/>
            <w:hideMark/>
          </w:tcPr>
          <w:p w14:paraId="561B3070" w14:textId="77777777" w:rsidR="00CB3C45" w:rsidRPr="004A5951" w:rsidRDefault="00CB3C45" w:rsidP="007B03D6">
            <w:pPr>
              <w:spacing w:after="0" w:line="240" w:lineRule="auto"/>
              <w:ind w:right="-133"/>
              <w:jc w:val="center"/>
              <w:rPr>
                <w:rFonts w:eastAsia="Times New Roman" w:cs="Times New Roman"/>
                <w:b/>
                <w:bCs/>
                <w:color w:val="000000"/>
                <w:sz w:val="16"/>
                <w:szCs w:val="16"/>
                <w:lang w:eastAsia="sk-SK"/>
              </w:rPr>
            </w:pPr>
            <w:r w:rsidRPr="004A5951">
              <w:rPr>
                <w:rFonts w:eastAsia="Times New Roman" w:cs="Times New Roman"/>
                <w:b/>
                <w:bCs/>
                <w:color w:val="000000"/>
                <w:sz w:val="16"/>
                <w:szCs w:val="16"/>
                <w:lang w:eastAsia="sk-SK"/>
              </w:rPr>
              <w:t>-172 231</w:t>
            </w:r>
          </w:p>
        </w:tc>
      </w:tr>
      <w:tr w:rsidR="00CB3C45" w:rsidRPr="004A5951" w14:paraId="58477838" w14:textId="77777777" w:rsidTr="00842F2E">
        <w:trPr>
          <w:trHeight w:val="255"/>
        </w:trPr>
        <w:tc>
          <w:tcPr>
            <w:tcW w:w="196" w:type="dxa"/>
            <w:tcBorders>
              <w:top w:val="nil"/>
              <w:left w:val="nil"/>
              <w:bottom w:val="nil"/>
              <w:right w:val="nil"/>
            </w:tcBorders>
            <w:shd w:val="clear" w:color="auto" w:fill="auto"/>
            <w:noWrap/>
            <w:vAlign w:val="center"/>
            <w:hideMark/>
          </w:tcPr>
          <w:p w14:paraId="58DC1529" w14:textId="77777777" w:rsidR="00CB3C45" w:rsidRPr="004A5951" w:rsidRDefault="00CB3C45" w:rsidP="00842F2E">
            <w:pPr>
              <w:spacing w:after="0" w:line="240" w:lineRule="auto"/>
              <w:jc w:val="right"/>
              <w:rPr>
                <w:rFonts w:eastAsia="Times New Roman" w:cs="Times New Roman"/>
                <w:b/>
                <w:bCs/>
                <w:color w:val="000000"/>
                <w:sz w:val="16"/>
                <w:szCs w:val="16"/>
                <w:lang w:eastAsia="sk-SK"/>
              </w:rPr>
            </w:pPr>
          </w:p>
        </w:tc>
        <w:tc>
          <w:tcPr>
            <w:tcW w:w="196" w:type="dxa"/>
            <w:tcBorders>
              <w:top w:val="nil"/>
              <w:left w:val="nil"/>
              <w:bottom w:val="nil"/>
              <w:right w:val="nil"/>
            </w:tcBorders>
            <w:shd w:val="clear" w:color="auto" w:fill="auto"/>
            <w:noWrap/>
            <w:vAlign w:val="center"/>
            <w:hideMark/>
          </w:tcPr>
          <w:p w14:paraId="0E24BAB6" w14:textId="77777777" w:rsidR="00CB3C45" w:rsidRPr="004A5951" w:rsidRDefault="00CB3C45" w:rsidP="00842F2E">
            <w:pPr>
              <w:spacing w:after="0" w:line="240" w:lineRule="auto"/>
              <w:jc w:val="left"/>
              <w:rPr>
                <w:rFonts w:eastAsia="Times New Roman" w:cs="Times New Roman"/>
                <w:sz w:val="16"/>
                <w:szCs w:val="16"/>
                <w:lang w:eastAsia="sk-SK"/>
              </w:rPr>
            </w:pPr>
          </w:p>
        </w:tc>
        <w:tc>
          <w:tcPr>
            <w:tcW w:w="3497" w:type="dxa"/>
            <w:tcBorders>
              <w:top w:val="nil"/>
              <w:left w:val="nil"/>
              <w:bottom w:val="nil"/>
              <w:right w:val="nil"/>
            </w:tcBorders>
            <w:shd w:val="clear" w:color="auto" w:fill="auto"/>
            <w:noWrap/>
            <w:vAlign w:val="center"/>
            <w:hideMark/>
          </w:tcPr>
          <w:p w14:paraId="321B926A" w14:textId="77777777" w:rsidR="00CB3C45" w:rsidRPr="004A5951" w:rsidRDefault="00CB3C45" w:rsidP="00842F2E">
            <w:pPr>
              <w:spacing w:after="0" w:line="240" w:lineRule="auto"/>
              <w:ind w:right="-70"/>
              <w:jc w:val="left"/>
              <w:rPr>
                <w:rFonts w:eastAsia="Times New Roman" w:cs="Times New Roman"/>
                <w:color w:val="000000"/>
                <w:sz w:val="16"/>
                <w:szCs w:val="16"/>
                <w:lang w:eastAsia="sk-SK"/>
              </w:rPr>
            </w:pPr>
            <w:r w:rsidRPr="004A5951">
              <w:rPr>
                <w:rFonts w:eastAsia="Times New Roman" w:cs="Times New Roman"/>
                <w:color w:val="000000"/>
                <w:sz w:val="16"/>
                <w:szCs w:val="16"/>
                <w:lang w:eastAsia="sk-SK"/>
              </w:rPr>
              <w:t>Slovenský plynárenský priemysel, a.s.</w:t>
            </w:r>
          </w:p>
        </w:tc>
        <w:tc>
          <w:tcPr>
            <w:tcW w:w="792" w:type="dxa"/>
            <w:tcBorders>
              <w:top w:val="nil"/>
              <w:left w:val="nil"/>
              <w:bottom w:val="nil"/>
              <w:right w:val="nil"/>
            </w:tcBorders>
            <w:shd w:val="clear" w:color="auto" w:fill="auto"/>
            <w:noWrap/>
            <w:vAlign w:val="center"/>
            <w:hideMark/>
          </w:tcPr>
          <w:p w14:paraId="66CCAC1F" w14:textId="77777777" w:rsidR="00CB3C45" w:rsidRPr="004A5951" w:rsidRDefault="00CB3C45" w:rsidP="00842F2E">
            <w:pPr>
              <w:spacing w:after="0" w:line="240" w:lineRule="auto"/>
              <w:jc w:val="right"/>
              <w:rPr>
                <w:rFonts w:eastAsia="Times New Roman" w:cs="Times New Roman"/>
                <w:color w:val="000000"/>
                <w:sz w:val="16"/>
                <w:szCs w:val="16"/>
                <w:lang w:eastAsia="sk-SK"/>
              </w:rPr>
            </w:pPr>
            <w:r w:rsidRPr="004A5951">
              <w:rPr>
                <w:rFonts w:eastAsia="Times New Roman" w:cs="Times New Roman"/>
                <w:color w:val="000000"/>
                <w:sz w:val="16"/>
                <w:szCs w:val="16"/>
                <w:lang w:eastAsia="sk-SK"/>
              </w:rPr>
              <w:t>266 014</w:t>
            </w:r>
          </w:p>
        </w:tc>
        <w:tc>
          <w:tcPr>
            <w:tcW w:w="875" w:type="dxa"/>
            <w:tcBorders>
              <w:top w:val="nil"/>
              <w:left w:val="nil"/>
              <w:bottom w:val="nil"/>
              <w:right w:val="nil"/>
            </w:tcBorders>
            <w:shd w:val="clear" w:color="auto" w:fill="auto"/>
            <w:noWrap/>
            <w:vAlign w:val="center"/>
            <w:hideMark/>
          </w:tcPr>
          <w:p w14:paraId="54F40344" w14:textId="77777777" w:rsidR="00CB3C45" w:rsidRPr="004A5951" w:rsidRDefault="00CB3C45" w:rsidP="00842F2E">
            <w:pPr>
              <w:spacing w:after="0" w:line="240" w:lineRule="auto"/>
              <w:jc w:val="right"/>
              <w:rPr>
                <w:rFonts w:eastAsia="Times New Roman" w:cs="Times New Roman"/>
                <w:color w:val="000000"/>
                <w:sz w:val="16"/>
                <w:szCs w:val="16"/>
                <w:lang w:eastAsia="sk-SK"/>
              </w:rPr>
            </w:pPr>
            <w:r w:rsidRPr="004A5951">
              <w:rPr>
                <w:rFonts w:eastAsia="Times New Roman" w:cs="Times New Roman"/>
                <w:color w:val="000000"/>
                <w:sz w:val="16"/>
                <w:szCs w:val="16"/>
                <w:lang w:eastAsia="sk-SK"/>
              </w:rPr>
              <w:t>167 807</w:t>
            </w:r>
          </w:p>
        </w:tc>
        <w:tc>
          <w:tcPr>
            <w:tcW w:w="1159" w:type="dxa"/>
            <w:tcBorders>
              <w:top w:val="nil"/>
              <w:left w:val="nil"/>
              <w:bottom w:val="nil"/>
              <w:right w:val="nil"/>
            </w:tcBorders>
            <w:shd w:val="clear" w:color="auto" w:fill="auto"/>
            <w:noWrap/>
            <w:vAlign w:val="center"/>
            <w:hideMark/>
          </w:tcPr>
          <w:p w14:paraId="302E3806" w14:textId="77777777" w:rsidR="00CB3C45" w:rsidRPr="004A5951" w:rsidRDefault="00CB3C45" w:rsidP="00842F2E">
            <w:pPr>
              <w:spacing w:after="0" w:line="240" w:lineRule="auto"/>
              <w:jc w:val="right"/>
              <w:rPr>
                <w:rFonts w:eastAsia="Times New Roman" w:cs="Times New Roman"/>
                <w:sz w:val="16"/>
                <w:szCs w:val="16"/>
                <w:lang w:eastAsia="sk-SK"/>
              </w:rPr>
            </w:pPr>
            <w:r w:rsidRPr="004A5951">
              <w:rPr>
                <w:rFonts w:eastAsia="Times New Roman" w:cs="Times New Roman"/>
                <w:sz w:val="16"/>
                <w:szCs w:val="16"/>
                <w:lang w:eastAsia="sk-SK"/>
              </w:rPr>
              <w:t>220 935</w:t>
            </w:r>
          </w:p>
        </w:tc>
        <w:tc>
          <w:tcPr>
            <w:tcW w:w="1162" w:type="dxa"/>
            <w:tcBorders>
              <w:top w:val="nil"/>
              <w:left w:val="nil"/>
              <w:bottom w:val="nil"/>
              <w:right w:val="nil"/>
            </w:tcBorders>
            <w:shd w:val="clear" w:color="000000" w:fill="BFBFBF"/>
            <w:noWrap/>
            <w:vAlign w:val="center"/>
            <w:hideMark/>
          </w:tcPr>
          <w:p w14:paraId="7827FC5E" w14:textId="77777777" w:rsidR="00CB3C45" w:rsidRPr="004A5951" w:rsidRDefault="00CB3C45" w:rsidP="00842F2E">
            <w:pPr>
              <w:spacing w:after="0" w:line="240" w:lineRule="auto"/>
              <w:jc w:val="right"/>
              <w:rPr>
                <w:rFonts w:eastAsia="Times New Roman" w:cs="Times New Roman"/>
                <w:sz w:val="16"/>
                <w:szCs w:val="16"/>
                <w:lang w:eastAsia="sk-SK"/>
              </w:rPr>
            </w:pPr>
            <w:r w:rsidRPr="004A5951">
              <w:rPr>
                <w:rFonts w:eastAsia="Times New Roman" w:cs="Times New Roman"/>
                <w:sz w:val="16"/>
                <w:szCs w:val="16"/>
                <w:lang w:eastAsia="sk-SK"/>
              </w:rPr>
              <w:t>167 850</w:t>
            </w:r>
          </w:p>
        </w:tc>
        <w:tc>
          <w:tcPr>
            <w:tcW w:w="849" w:type="dxa"/>
            <w:tcBorders>
              <w:top w:val="nil"/>
              <w:left w:val="nil"/>
              <w:bottom w:val="nil"/>
              <w:right w:val="nil"/>
            </w:tcBorders>
            <w:shd w:val="clear" w:color="auto" w:fill="auto"/>
            <w:noWrap/>
            <w:vAlign w:val="center"/>
            <w:hideMark/>
          </w:tcPr>
          <w:p w14:paraId="31099936" w14:textId="77777777" w:rsidR="00CB3C45" w:rsidRPr="004A5951" w:rsidRDefault="00CB3C45" w:rsidP="00842F2E">
            <w:pPr>
              <w:spacing w:after="0" w:line="240" w:lineRule="auto"/>
              <w:jc w:val="right"/>
              <w:rPr>
                <w:rFonts w:eastAsia="Times New Roman" w:cs="Times New Roman"/>
                <w:sz w:val="16"/>
                <w:szCs w:val="16"/>
                <w:lang w:eastAsia="sk-SK"/>
              </w:rPr>
            </w:pPr>
            <w:r w:rsidRPr="004A5951">
              <w:rPr>
                <w:rFonts w:eastAsia="Times New Roman" w:cs="Times New Roman"/>
                <w:sz w:val="16"/>
                <w:szCs w:val="16"/>
                <w:lang w:eastAsia="sk-SK"/>
              </w:rPr>
              <w:t>-53 085</w:t>
            </w:r>
          </w:p>
        </w:tc>
      </w:tr>
      <w:tr w:rsidR="00CB3C45" w:rsidRPr="004A5951" w14:paraId="3DCC1B85" w14:textId="77777777" w:rsidTr="00842F2E">
        <w:trPr>
          <w:trHeight w:val="255"/>
        </w:trPr>
        <w:tc>
          <w:tcPr>
            <w:tcW w:w="196" w:type="dxa"/>
            <w:tcBorders>
              <w:top w:val="nil"/>
              <w:left w:val="nil"/>
              <w:bottom w:val="nil"/>
              <w:right w:val="nil"/>
            </w:tcBorders>
            <w:shd w:val="clear" w:color="auto" w:fill="auto"/>
            <w:noWrap/>
            <w:vAlign w:val="center"/>
            <w:hideMark/>
          </w:tcPr>
          <w:p w14:paraId="48DBE0BF" w14:textId="77777777" w:rsidR="00CB3C45" w:rsidRPr="004A5951" w:rsidRDefault="00CB3C45" w:rsidP="00842F2E">
            <w:pPr>
              <w:spacing w:after="0" w:line="240" w:lineRule="auto"/>
              <w:jc w:val="right"/>
              <w:rPr>
                <w:rFonts w:eastAsia="Times New Roman" w:cs="Times New Roman"/>
                <w:sz w:val="16"/>
                <w:szCs w:val="16"/>
                <w:lang w:eastAsia="sk-SK"/>
              </w:rPr>
            </w:pPr>
          </w:p>
        </w:tc>
        <w:tc>
          <w:tcPr>
            <w:tcW w:w="196" w:type="dxa"/>
            <w:tcBorders>
              <w:top w:val="nil"/>
              <w:left w:val="nil"/>
              <w:bottom w:val="nil"/>
              <w:right w:val="nil"/>
            </w:tcBorders>
            <w:shd w:val="clear" w:color="auto" w:fill="auto"/>
            <w:noWrap/>
            <w:vAlign w:val="center"/>
            <w:hideMark/>
          </w:tcPr>
          <w:p w14:paraId="3649E883" w14:textId="77777777" w:rsidR="00CB3C45" w:rsidRPr="004A5951" w:rsidRDefault="00CB3C45" w:rsidP="00842F2E">
            <w:pPr>
              <w:spacing w:after="0" w:line="240" w:lineRule="auto"/>
              <w:jc w:val="left"/>
              <w:rPr>
                <w:rFonts w:eastAsia="Times New Roman" w:cs="Times New Roman"/>
                <w:sz w:val="16"/>
                <w:szCs w:val="16"/>
                <w:lang w:eastAsia="sk-SK"/>
              </w:rPr>
            </w:pPr>
          </w:p>
        </w:tc>
        <w:tc>
          <w:tcPr>
            <w:tcW w:w="3497" w:type="dxa"/>
            <w:tcBorders>
              <w:top w:val="nil"/>
              <w:left w:val="nil"/>
              <w:bottom w:val="nil"/>
              <w:right w:val="nil"/>
            </w:tcBorders>
            <w:shd w:val="clear" w:color="auto" w:fill="auto"/>
            <w:noWrap/>
            <w:vAlign w:val="center"/>
            <w:hideMark/>
          </w:tcPr>
          <w:p w14:paraId="4C69BD5C" w14:textId="77777777" w:rsidR="00CB3C45" w:rsidRPr="004A5951" w:rsidRDefault="00CB3C45" w:rsidP="00842F2E">
            <w:pPr>
              <w:spacing w:after="0" w:line="240" w:lineRule="auto"/>
              <w:jc w:val="left"/>
              <w:rPr>
                <w:rFonts w:eastAsia="Times New Roman" w:cs="Times New Roman"/>
                <w:color w:val="000000"/>
                <w:sz w:val="16"/>
                <w:szCs w:val="16"/>
                <w:lang w:eastAsia="sk-SK"/>
              </w:rPr>
            </w:pPr>
            <w:r w:rsidRPr="004A5951">
              <w:rPr>
                <w:rFonts w:eastAsia="Times New Roman" w:cs="Times New Roman"/>
                <w:color w:val="000000"/>
                <w:sz w:val="16"/>
                <w:szCs w:val="16"/>
                <w:lang w:eastAsia="sk-SK"/>
              </w:rPr>
              <w:t>Západoslovenská energetika, a.s.</w:t>
            </w:r>
          </w:p>
        </w:tc>
        <w:tc>
          <w:tcPr>
            <w:tcW w:w="792" w:type="dxa"/>
            <w:tcBorders>
              <w:top w:val="nil"/>
              <w:left w:val="nil"/>
              <w:bottom w:val="nil"/>
              <w:right w:val="nil"/>
            </w:tcBorders>
            <w:shd w:val="clear" w:color="auto" w:fill="auto"/>
            <w:noWrap/>
            <w:vAlign w:val="center"/>
            <w:hideMark/>
          </w:tcPr>
          <w:p w14:paraId="0F924F1D" w14:textId="77777777" w:rsidR="00CB3C45" w:rsidRPr="004A5951" w:rsidRDefault="00CB3C45" w:rsidP="00842F2E">
            <w:pPr>
              <w:spacing w:after="0" w:line="240" w:lineRule="auto"/>
              <w:jc w:val="right"/>
              <w:rPr>
                <w:rFonts w:eastAsia="Times New Roman" w:cs="Times New Roman"/>
                <w:color w:val="000000"/>
                <w:sz w:val="16"/>
                <w:szCs w:val="16"/>
                <w:lang w:eastAsia="sk-SK"/>
              </w:rPr>
            </w:pPr>
            <w:r w:rsidRPr="004A5951">
              <w:rPr>
                <w:rFonts w:eastAsia="Times New Roman" w:cs="Times New Roman"/>
                <w:color w:val="000000"/>
                <w:sz w:val="16"/>
                <w:szCs w:val="16"/>
                <w:lang w:eastAsia="sk-SK"/>
              </w:rPr>
              <w:t>35 470</w:t>
            </w:r>
          </w:p>
        </w:tc>
        <w:tc>
          <w:tcPr>
            <w:tcW w:w="875" w:type="dxa"/>
            <w:tcBorders>
              <w:top w:val="nil"/>
              <w:left w:val="nil"/>
              <w:bottom w:val="nil"/>
              <w:right w:val="nil"/>
            </w:tcBorders>
            <w:shd w:val="clear" w:color="auto" w:fill="auto"/>
            <w:noWrap/>
            <w:vAlign w:val="center"/>
            <w:hideMark/>
          </w:tcPr>
          <w:p w14:paraId="7AF1B318" w14:textId="77777777" w:rsidR="00CB3C45" w:rsidRPr="004A5951" w:rsidRDefault="00CB3C45" w:rsidP="00842F2E">
            <w:pPr>
              <w:spacing w:after="0" w:line="240" w:lineRule="auto"/>
              <w:jc w:val="right"/>
              <w:rPr>
                <w:rFonts w:eastAsia="Times New Roman" w:cs="Times New Roman"/>
                <w:color w:val="000000"/>
                <w:sz w:val="16"/>
                <w:szCs w:val="16"/>
                <w:lang w:eastAsia="sk-SK"/>
              </w:rPr>
            </w:pPr>
            <w:r w:rsidRPr="004A5951">
              <w:rPr>
                <w:rFonts w:eastAsia="Times New Roman" w:cs="Times New Roman"/>
                <w:color w:val="000000"/>
                <w:sz w:val="16"/>
                <w:szCs w:val="16"/>
                <w:lang w:eastAsia="sk-SK"/>
              </w:rPr>
              <w:t>32 553</w:t>
            </w:r>
          </w:p>
        </w:tc>
        <w:tc>
          <w:tcPr>
            <w:tcW w:w="1159" w:type="dxa"/>
            <w:tcBorders>
              <w:top w:val="nil"/>
              <w:left w:val="nil"/>
              <w:bottom w:val="nil"/>
              <w:right w:val="nil"/>
            </w:tcBorders>
            <w:shd w:val="clear" w:color="auto" w:fill="auto"/>
            <w:noWrap/>
            <w:vAlign w:val="center"/>
            <w:hideMark/>
          </w:tcPr>
          <w:p w14:paraId="25709C54" w14:textId="77777777" w:rsidR="00CB3C45" w:rsidRPr="004A5951" w:rsidRDefault="00CB3C45" w:rsidP="00842F2E">
            <w:pPr>
              <w:spacing w:after="0" w:line="240" w:lineRule="auto"/>
              <w:jc w:val="right"/>
              <w:rPr>
                <w:rFonts w:eastAsia="Times New Roman" w:cs="Times New Roman"/>
                <w:sz w:val="16"/>
                <w:szCs w:val="16"/>
                <w:lang w:eastAsia="sk-SK"/>
              </w:rPr>
            </w:pPr>
            <w:r w:rsidRPr="004A5951">
              <w:rPr>
                <w:rFonts w:eastAsia="Times New Roman" w:cs="Times New Roman"/>
                <w:sz w:val="16"/>
                <w:szCs w:val="16"/>
                <w:lang w:eastAsia="sk-SK"/>
              </w:rPr>
              <w:t>37 809</w:t>
            </w:r>
          </w:p>
        </w:tc>
        <w:tc>
          <w:tcPr>
            <w:tcW w:w="1162" w:type="dxa"/>
            <w:tcBorders>
              <w:top w:val="nil"/>
              <w:left w:val="nil"/>
              <w:bottom w:val="nil"/>
              <w:right w:val="nil"/>
            </w:tcBorders>
            <w:shd w:val="clear" w:color="000000" w:fill="BFBFBF"/>
            <w:noWrap/>
            <w:vAlign w:val="center"/>
            <w:hideMark/>
          </w:tcPr>
          <w:p w14:paraId="6C29F8B0" w14:textId="77777777" w:rsidR="00CB3C45" w:rsidRPr="004A5951" w:rsidRDefault="00CB3C45" w:rsidP="00842F2E">
            <w:pPr>
              <w:spacing w:after="0" w:line="240" w:lineRule="auto"/>
              <w:jc w:val="right"/>
              <w:rPr>
                <w:rFonts w:eastAsia="Times New Roman" w:cs="Times New Roman"/>
                <w:sz w:val="16"/>
                <w:szCs w:val="16"/>
                <w:lang w:eastAsia="sk-SK"/>
              </w:rPr>
            </w:pPr>
            <w:r w:rsidRPr="004A5951">
              <w:rPr>
                <w:rFonts w:eastAsia="Times New Roman" w:cs="Times New Roman"/>
                <w:sz w:val="16"/>
                <w:szCs w:val="16"/>
                <w:lang w:eastAsia="sk-SK"/>
              </w:rPr>
              <w:t>37 483</w:t>
            </w:r>
          </w:p>
        </w:tc>
        <w:tc>
          <w:tcPr>
            <w:tcW w:w="849" w:type="dxa"/>
            <w:tcBorders>
              <w:top w:val="nil"/>
              <w:left w:val="nil"/>
              <w:bottom w:val="nil"/>
              <w:right w:val="nil"/>
            </w:tcBorders>
            <w:shd w:val="clear" w:color="auto" w:fill="auto"/>
            <w:noWrap/>
            <w:vAlign w:val="center"/>
            <w:hideMark/>
          </w:tcPr>
          <w:p w14:paraId="21365E4B" w14:textId="77777777" w:rsidR="00CB3C45" w:rsidRPr="004A5951" w:rsidRDefault="00CB3C45" w:rsidP="00842F2E">
            <w:pPr>
              <w:spacing w:after="0" w:line="240" w:lineRule="auto"/>
              <w:jc w:val="right"/>
              <w:rPr>
                <w:rFonts w:eastAsia="Times New Roman" w:cs="Times New Roman"/>
                <w:sz w:val="16"/>
                <w:szCs w:val="16"/>
                <w:lang w:eastAsia="sk-SK"/>
              </w:rPr>
            </w:pPr>
            <w:r w:rsidRPr="004A5951">
              <w:rPr>
                <w:rFonts w:eastAsia="Times New Roman" w:cs="Times New Roman"/>
                <w:sz w:val="16"/>
                <w:szCs w:val="16"/>
                <w:lang w:eastAsia="sk-SK"/>
              </w:rPr>
              <w:t>-326</w:t>
            </w:r>
          </w:p>
        </w:tc>
      </w:tr>
      <w:tr w:rsidR="00CB3C45" w:rsidRPr="004A5951" w14:paraId="232FCD54" w14:textId="77777777" w:rsidTr="00842F2E">
        <w:trPr>
          <w:trHeight w:val="255"/>
        </w:trPr>
        <w:tc>
          <w:tcPr>
            <w:tcW w:w="196" w:type="dxa"/>
            <w:tcBorders>
              <w:top w:val="nil"/>
              <w:left w:val="nil"/>
              <w:bottom w:val="nil"/>
              <w:right w:val="nil"/>
            </w:tcBorders>
            <w:shd w:val="clear" w:color="auto" w:fill="auto"/>
            <w:noWrap/>
            <w:vAlign w:val="center"/>
            <w:hideMark/>
          </w:tcPr>
          <w:p w14:paraId="5A48809A" w14:textId="77777777" w:rsidR="00CB3C45" w:rsidRPr="004A5951" w:rsidRDefault="00CB3C45" w:rsidP="00842F2E">
            <w:pPr>
              <w:spacing w:after="0" w:line="240" w:lineRule="auto"/>
              <w:jc w:val="right"/>
              <w:rPr>
                <w:rFonts w:eastAsia="Times New Roman" w:cs="Times New Roman"/>
                <w:sz w:val="16"/>
                <w:szCs w:val="16"/>
                <w:lang w:eastAsia="sk-SK"/>
              </w:rPr>
            </w:pPr>
          </w:p>
        </w:tc>
        <w:tc>
          <w:tcPr>
            <w:tcW w:w="196" w:type="dxa"/>
            <w:tcBorders>
              <w:top w:val="nil"/>
              <w:left w:val="nil"/>
              <w:bottom w:val="nil"/>
              <w:right w:val="nil"/>
            </w:tcBorders>
            <w:shd w:val="clear" w:color="auto" w:fill="auto"/>
            <w:noWrap/>
            <w:vAlign w:val="center"/>
            <w:hideMark/>
          </w:tcPr>
          <w:p w14:paraId="2A7A7222" w14:textId="77777777" w:rsidR="00CB3C45" w:rsidRPr="004A5951" w:rsidRDefault="00CB3C45" w:rsidP="00842F2E">
            <w:pPr>
              <w:spacing w:after="0" w:line="240" w:lineRule="auto"/>
              <w:jc w:val="left"/>
              <w:rPr>
                <w:rFonts w:eastAsia="Times New Roman" w:cs="Times New Roman"/>
                <w:sz w:val="16"/>
                <w:szCs w:val="16"/>
                <w:lang w:eastAsia="sk-SK"/>
              </w:rPr>
            </w:pPr>
          </w:p>
        </w:tc>
        <w:tc>
          <w:tcPr>
            <w:tcW w:w="3497" w:type="dxa"/>
            <w:tcBorders>
              <w:top w:val="nil"/>
              <w:left w:val="nil"/>
              <w:bottom w:val="nil"/>
              <w:right w:val="nil"/>
            </w:tcBorders>
            <w:shd w:val="clear" w:color="auto" w:fill="auto"/>
            <w:noWrap/>
            <w:vAlign w:val="center"/>
            <w:hideMark/>
          </w:tcPr>
          <w:p w14:paraId="36794231" w14:textId="77777777" w:rsidR="00CB3C45" w:rsidRPr="004A5951" w:rsidRDefault="00CB3C45" w:rsidP="00842F2E">
            <w:pPr>
              <w:spacing w:after="0" w:line="240" w:lineRule="auto"/>
              <w:ind w:right="-354"/>
              <w:jc w:val="left"/>
              <w:rPr>
                <w:rFonts w:eastAsia="Times New Roman" w:cs="Times New Roman"/>
                <w:color w:val="000000"/>
                <w:sz w:val="16"/>
                <w:szCs w:val="16"/>
                <w:lang w:eastAsia="sk-SK"/>
              </w:rPr>
            </w:pPr>
            <w:r w:rsidRPr="004A5951">
              <w:rPr>
                <w:rFonts w:eastAsia="Times New Roman" w:cs="Times New Roman"/>
                <w:color w:val="000000"/>
                <w:sz w:val="16"/>
                <w:szCs w:val="16"/>
                <w:lang w:eastAsia="sk-SK"/>
              </w:rPr>
              <w:t>Stredoslovenská energetika Holding, a. s.</w:t>
            </w:r>
          </w:p>
        </w:tc>
        <w:tc>
          <w:tcPr>
            <w:tcW w:w="792" w:type="dxa"/>
            <w:tcBorders>
              <w:top w:val="nil"/>
              <w:left w:val="nil"/>
              <w:bottom w:val="nil"/>
              <w:right w:val="nil"/>
            </w:tcBorders>
            <w:shd w:val="clear" w:color="auto" w:fill="auto"/>
            <w:noWrap/>
            <w:vAlign w:val="center"/>
            <w:hideMark/>
          </w:tcPr>
          <w:p w14:paraId="64ED2259" w14:textId="77777777" w:rsidR="00CB3C45" w:rsidRPr="004A5951" w:rsidRDefault="00CB3C45" w:rsidP="00842F2E">
            <w:pPr>
              <w:spacing w:after="0" w:line="240" w:lineRule="auto"/>
              <w:jc w:val="right"/>
              <w:rPr>
                <w:rFonts w:eastAsia="Times New Roman" w:cs="Times New Roman"/>
                <w:color w:val="000000"/>
                <w:sz w:val="16"/>
                <w:szCs w:val="16"/>
                <w:lang w:eastAsia="sk-SK"/>
              </w:rPr>
            </w:pPr>
            <w:r w:rsidRPr="004A5951">
              <w:rPr>
                <w:rFonts w:eastAsia="Times New Roman" w:cs="Times New Roman"/>
                <w:color w:val="000000"/>
                <w:sz w:val="16"/>
                <w:szCs w:val="16"/>
                <w:lang w:eastAsia="sk-SK"/>
              </w:rPr>
              <w:t>2 540</w:t>
            </w:r>
          </w:p>
        </w:tc>
        <w:tc>
          <w:tcPr>
            <w:tcW w:w="875" w:type="dxa"/>
            <w:tcBorders>
              <w:top w:val="nil"/>
              <w:left w:val="nil"/>
              <w:bottom w:val="nil"/>
              <w:right w:val="nil"/>
            </w:tcBorders>
            <w:shd w:val="clear" w:color="auto" w:fill="auto"/>
            <w:noWrap/>
            <w:vAlign w:val="center"/>
            <w:hideMark/>
          </w:tcPr>
          <w:p w14:paraId="784B9449" w14:textId="77777777" w:rsidR="00CB3C45" w:rsidRPr="004A5951" w:rsidRDefault="00CB3C45" w:rsidP="00842F2E">
            <w:pPr>
              <w:spacing w:after="0" w:line="240" w:lineRule="auto"/>
              <w:jc w:val="right"/>
              <w:rPr>
                <w:rFonts w:eastAsia="Times New Roman" w:cs="Times New Roman"/>
                <w:color w:val="000000"/>
                <w:sz w:val="16"/>
                <w:szCs w:val="16"/>
                <w:lang w:eastAsia="sk-SK"/>
              </w:rPr>
            </w:pPr>
            <w:r w:rsidRPr="004A5951">
              <w:rPr>
                <w:rFonts w:eastAsia="Times New Roman" w:cs="Times New Roman"/>
                <w:color w:val="000000"/>
                <w:sz w:val="16"/>
                <w:szCs w:val="16"/>
                <w:lang w:eastAsia="sk-SK"/>
              </w:rPr>
              <w:t>4 359</w:t>
            </w:r>
          </w:p>
        </w:tc>
        <w:tc>
          <w:tcPr>
            <w:tcW w:w="1159" w:type="dxa"/>
            <w:tcBorders>
              <w:top w:val="nil"/>
              <w:left w:val="nil"/>
              <w:bottom w:val="nil"/>
              <w:right w:val="nil"/>
            </w:tcBorders>
            <w:shd w:val="clear" w:color="auto" w:fill="auto"/>
            <w:noWrap/>
            <w:vAlign w:val="center"/>
            <w:hideMark/>
          </w:tcPr>
          <w:p w14:paraId="06849A33" w14:textId="77777777" w:rsidR="00CB3C45" w:rsidRPr="004A5951" w:rsidRDefault="00CB3C45" w:rsidP="00842F2E">
            <w:pPr>
              <w:spacing w:after="0" w:line="240" w:lineRule="auto"/>
              <w:jc w:val="right"/>
              <w:rPr>
                <w:rFonts w:eastAsia="Times New Roman" w:cs="Times New Roman"/>
                <w:sz w:val="16"/>
                <w:szCs w:val="16"/>
                <w:lang w:eastAsia="sk-SK"/>
              </w:rPr>
            </w:pPr>
            <w:r w:rsidRPr="004A5951">
              <w:rPr>
                <w:rFonts w:eastAsia="Times New Roman" w:cs="Times New Roman"/>
                <w:sz w:val="16"/>
                <w:szCs w:val="16"/>
                <w:lang w:eastAsia="sk-SK"/>
              </w:rPr>
              <w:t>96 204</w:t>
            </w:r>
          </w:p>
        </w:tc>
        <w:tc>
          <w:tcPr>
            <w:tcW w:w="1162" w:type="dxa"/>
            <w:tcBorders>
              <w:top w:val="nil"/>
              <w:left w:val="nil"/>
              <w:bottom w:val="nil"/>
              <w:right w:val="nil"/>
            </w:tcBorders>
            <w:shd w:val="clear" w:color="000000" w:fill="BFBFBF"/>
            <w:noWrap/>
            <w:vAlign w:val="center"/>
            <w:hideMark/>
          </w:tcPr>
          <w:p w14:paraId="281C5CBD" w14:textId="77777777" w:rsidR="00CB3C45" w:rsidRPr="004A5951" w:rsidRDefault="00CB3C45" w:rsidP="00842F2E">
            <w:pPr>
              <w:spacing w:after="0" w:line="240" w:lineRule="auto"/>
              <w:jc w:val="right"/>
              <w:rPr>
                <w:rFonts w:eastAsia="Times New Roman" w:cs="Times New Roman"/>
                <w:sz w:val="16"/>
                <w:szCs w:val="16"/>
                <w:lang w:eastAsia="sk-SK"/>
              </w:rPr>
            </w:pPr>
            <w:r w:rsidRPr="004A5951">
              <w:rPr>
                <w:rFonts w:eastAsia="Times New Roman" w:cs="Times New Roman"/>
                <w:sz w:val="16"/>
                <w:szCs w:val="16"/>
                <w:lang w:eastAsia="sk-SK"/>
              </w:rPr>
              <w:t>21 098</w:t>
            </w:r>
          </w:p>
        </w:tc>
        <w:tc>
          <w:tcPr>
            <w:tcW w:w="849" w:type="dxa"/>
            <w:tcBorders>
              <w:top w:val="nil"/>
              <w:left w:val="nil"/>
              <w:bottom w:val="nil"/>
              <w:right w:val="nil"/>
            </w:tcBorders>
            <w:shd w:val="clear" w:color="auto" w:fill="auto"/>
            <w:noWrap/>
            <w:vAlign w:val="center"/>
            <w:hideMark/>
          </w:tcPr>
          <w:p w14:paraId="631E79B4" w14:textId="77777777" w:rsidR="00CB3C45" w:rsidRPr="004A5951" w:rsidRDefault="00CB3C45" w:rsidP="00842F2E">
            <w:pPr>
              <w:spacing w:after="0" w:line="240" w:lineRule="auto"/>
              <w:jc w:val="right"/>
              <w:rPr>
                <w:rFonts w:eastAsia="Times New Roman" w:cs="Times New Roman"/>
                <w:sz w:val="16"/>
                <w:szCs w:val="16"/>
                <w:lang w:eastAsia="sk-SK"/>
              </w:rPr>
            </w:pPr>
            <w:r w:rsidRPr="004A5951">
              <w:rPr>
                <w:rFonts w:eastAsia="Times New Roman" w:cs="Times New Roman"/>
                <w:sz w:val="16"/>
                <w:szCs w:val="16"/>
                <w:lang w:eastAsia="sk-SK"/>
              </w:rPr>
              <w:t>-75 106</w:t>
            </w:r>
          </w:p>
        </w:tc>
      </w:tr>
      <w:tr w:rsidR="00CB3C45" w:rsidRPr="004A5951" w14:paraId="269631F9" w14:textId="77777777" w:rsidTr="00842F2E">
        <w:trPr>
          <w:trHeight w:val="255"/>
        </w:trPr>
        <w:tc>
          <w:tcPr>
            <w:tcW w:w="196" w:type="dxa"/>
            <w:tcBorders>
              <w:top w:val="nil"/>
              <w:left w:val="nil"/>
              <w:bottom w:val="nil"/>
              <w:right w:val="nil"/>
            </w:tcBorders>
            <w:shd w:val="clear" w:color="auto" w:fill="auto"/>
            <w:noWrap/>
            <w:vAlign w:val="center"/>
            <w:hideMark/>
          </w:tcPr>
          <w:p w14:paraId="7BE4C84F" w14:textId="77777777" w:rsidR="00CB3C45" w:rsidRPr="004A5951" w:rsidRDefault="00CB3C45" w:rsidP="00842F2E">
            <w:pPr>
              <w:spacing w:after="0" w:line="240" w:lineRule="auto"/>
              <w:jc w:val="right"/>
              <w:rPr>
                <w:rFonts w:eastAsia="Times New Roman" w:cs="Times New Roman"/>
                <w:sz w:val="16"/>
                <w:szCs w:val="16"/>
                <w:lang w:eastAsia="sk-SK"/>
              </w:rPr>
            </w:pPr>
          </w:p>
        </w:tc>
        <w:tc>
          <w:tcPr>
            <w:tcW w:w="196" w:type="dxa"/>
            <w:tcBorders>
              <w:top w:val="nil"/>
              <w:left w:val="nil"/>
              <w:bottom w:val="nil"/>
              <w:right w:val="nil"/>
            </w:tcBorders>
            <w:shd w:val="clear" w:color="auto" w:fill="auto"/>
            <w:noWrap/>
            <w:vAlign w:val="center"/>
            <w:hideMark/>
          </w:tcPr>
          <w:p w14:paraId="12E572C4" w14:textId="77777777" w:rsidR="00CB3C45" w:rsidRPr="004A5951" w:rsidRDefault="00CB3C45" w:rsidP="00842F2E">
            <w:pPr>
              <w:spacing w:after="0" w:line="240" w:lineRule="auto"/>
              <w:jc w:val="left"/>
              <w:rPr>
                <w:rFonts w:eastAsia="Times New Roman" w:cs="Times New Roman"/>
                <w:sz w:val="16"/>
                <w:szCs w:val="16"/>
                <w:lang w:eastAsia="sk-SK"/>
              </w:rPr>
            </w:pPr>
          </w:p>
        </w:tc>
        <w:tc>
          <w:tcPr>
            <w:tcW w:w="3497" w:type="dxa"/>
            <w:tcBorders>
              <w:top w:val="nil"/>
              <w:left w:val="nil"/>
              <w:bottom w:val="nil"/>
              <w:right w:val="nil"/>
            </w:tcBorders>
            <w:shd w:val="clear" w:color="auto" w:fill="auto"/>
            <w:noWrap/>
            <w:vAlign w:val="center"/>
            <w:hideMark/>
          </w:tcPr>
          <w:p w14:paraId="07708A9F" w14:textId="77777777" w:rsidR="00CB3C45" w:rsidRPr="004A5951" w:rsidRDefault="00CB3C45" w:rsidP="00842F2E">
            <w:pPr>
              <w:spacing w:after="0" w:line="240" w:lineRule="auto"/>
              <w:ind w:right="-211"/>
              <w:jc w:val="left"/>
              <w:rPr>
                <w:rFonts w:eastAsia="Times New Roman" w:cs="Times New Roman"/>
                <w:color w:val="000000"/>
                <w:sz w:val="16"/>
                <w:szCs w:val="16"/>
                <w:lang w:eastAsia="sk-SK"/>
              </w:rPr>
            </w:pPr>
            <w:r w:rsidRPr="004A5951">
              <w:rPr>
                <w:rFonts w:eastAsia="Times New Roman" w:cs="Times New Roman"/>
                <w:color w:val="000000"/>
                <w:sz w:val="16"/>
                <w:szCs w:val="16"/>
                <w:lang w:eastAsia="sk-SK"/>
              </w:rPr>
              <w:t xml:space="preserve">Východoslovenská energetika </w:t>
            </w:r>
            <w:proofErr w:type="spellStart"/>
            <w:r w:rsidRPr="004A5951">
              <w:rPr>
                <w:rFonts w:eastAsia="Times New Roman" w:cs="Times New Roman"/>
                <w:color w:val="000000"/>
                <w:sz w:val="16"/>
                <w:szCs w:val="16"/>
                <w:lang w:eastAsia="sk-SK"/>
              </w:rPr>
              <w:t>Holding,a.s</w:t>
            </w:r>
            <w:proofErr w:type="spellEnd"/>
            <w:r w:rsidRPr="004A5951">
              <w:rPr>
                <w:rFonts w:eastAsia="Times New Roman" w:cs="Times New Roman"/>
                <w:color w:val="000000"/>
                <w:sz w:val="16"/>
                <w:szCs w:val="16"/>
                <w:lang w:eastAsia="sk-SK"/>
              </w:rPr>
              <w:t>.</w:t>
            </w:r>
          </w:p>
        </w:tc>
        <w:tc>
          <w:tcPr>
            <w:tcW w:w="792" w:type="dxa"/>
            <w:tcBorders>
              <w:top w:val="nil"/>
              <w:left w:val="nil"/>
              <w:bottom w:val="nil"/>
              <w:right w:val="nil"/>
            </w:tcBorders>
            <w:shd w:val="clear" w:color="auto" w:fill="auto"/>
            <w:noWrap/>
            <w:vAlign w:val="center"/>
            <w:hideMark/>
          </w:tcPr>
          <w:p w14:paraId="038298D5" w14:textId="77777777" w:rsidR="00CB3C45" w:rsidRPr="004A5951" w:rsidRDefault="00CB3C45" w:rsidP="00842F2E">
            <w:pPr>
              <w:spacing w:after="0" w:line="240" w:lineRule="auto"/>
              <w:jc w:val="right"/>
              <w:rPr>
                <w:rFonts w:eastAsia="Times New Roman" w:cs="Times New Roman"/>
                <w:color w:val="000000"/>
                <w:sz w:val="16"/>
                <w:szCs w:val="16"/>
                <w:lang w:eastAsia="sk-SK"/>
              </w:rPr>
            </w:pPr>
            <w:r w:rsidRPr="004A5951">
              <w:rPr>
                <w:rFonts w:eastAsia="Times New Roman" w:cs="Times New Roman"/>
                <w:color w:val="000000"/>
                <w:sz w:val="16"/>
                <w:szCs w:val="16"/>
                <w:lang w:eastAsia="sk-SK"/>
              </w:rPr>
              <w:t>6 083</w:t>
            </w:r>
          </w:p>
        </w:tc>
        <w:tc>
          <w:tcPr>
            <w:tcW w:w="875" w:type="dxa"/>
            <w:tcBorders>
              <w:top w:val="nil"/>
              <w:left w:val="nil"/>
              <w:bottom w:val="nil"/>
              <w:right w:val="nil"/>
            </w:tcBorders>
            <w:shd w:val="clear" w:color="auto" w:fill="auto"/>
            <w:noWrap/>
            <w:vAlign w:val="center"/>
            <w:hideMark/>
          </w:tcPr>
          <w:p w14:paraId="442DD728" w14:textId="77777777" w:rsidR="00CB3C45" w:rsidRPr="004A5951" w:rsidRDefault="00CB3C45" w:rsidP="00842F2E">
            <w:pPr>
              <w:spacing w:after="0" w:line="240" w:lineRule="auto"/>
              <w:jc w:val="right"/>
              <w:rPr>
                <w:rFonts w:eastAsia="Times New Roman" w:cs="Times New Roman"/>
                <w:color w:val="000000"/>
                <w:sz w:val="16"/>
                <w:szCs w:val="16"/>
                <w:lang w:eastAsia="sk-SK"/>
              </w:rPr>
            </w:pPr>
            <w:r w:rsidRPr="004A5951">
              <w:rPr>
                <w:rFonts w:eastAsia="Times New Roman" w:cs="Times New Roman"/>
                <w:color w:val="000000"/>
                <w:sz w:val="16"/>
                <w:szCs w:val="16"/>
                <w:lang w:eastAsia="sk-SK"/>
              </w:rPr>
              <w:t>30 332</w:t>
            </w:r>
          </w:p>
        </w:tc>
        <w:tc>
          <w:tcPr>
            <w:tcW w:w="1159" w:type="dxa"/>
            <w:tcBorders>
              <w:top w:val="nil"/>
              <w:left w:val="nil"/>
              <w:bottom w:val="nil"/>
              <w:right w:val="nil"/>
            </w:tcBorders>
            <w:shd w:val="clear" w:color="auto" w:fill="auto"/>
            <w:noWrap/>
            <w:vAlign w:val="center"/>
            <w:hideMark/>
          </w:tcPr>
          <w:p w14:paraId="2DA3E0B7" w14:textId="77777777" w:rsidR="00CB3C45" w:rsidRPr="004A5951" w:rsidRDefault="00CB3C45" w:rsidP="00842F2E">
            <w:pPr>
              <w:spacing w:after="0" w:line="240" w:lineRule="auto"/>
              <w:jc w:val="right"/>
              <w:rPr>
                <w:rFonts w:eastAsia="Times New Roman" w:cs="Times New Roman"/>
                <w:sz w:val="16"/>
                <w:szCs w:val="16"/>
                <w:lang w:eastAsia="sk-SK"/>
              </w:rPr>
            </w:pPr>
            <w:r w:rsidRPr="004A5951">
              <w:rPr>
                <w:rFonts w:eastAsia="Times New Roman" w:cs="Times New Roman"/>
                <w:sz w:val="16"/>
                <w:szCs w:val="16"/>
                <w:lang w:eastAsia="sk-SK"/>
              </w:rPr>
              <w:t>20 327</w:t>
            </w:r>
          </w:p>
        </w:tc>
        <w:tc>
          <w:tcPr>
            <w:tcW w:w="1162" w:type="dxa"/>
            <w:tcBorders>
              <w:top w:val="nil"/>
              <w:left w:val="nil"/>
              <w:bottom w:val="nil"/>
              <w:right w:val="nil"/>
            </w:tcBorders>
            <w:shd w:val="clear" w:color="000000" w:fill="BFBFBF"/>
            <w:noWrap/>
            <w:vAlign w:val="center"/>
            <w:hideMark/>
          </w:tcPr>
          <w:p w14:paraId="02F09564" w14:textId="77777777" w:rsidR="00CB3C45" w:rsidRPr="004A5951" w:rsidRDefault="00CB3C45" w:rsidP="00842F2E">
            <w:pPr>
              <w:spacing w:after="0" w:line="240" w:lineRule="auto"/>
              <w:jc w:val="right"/>
              <w:rPr>
                <w:rFonts w:eastAsia="Times New Roman" w:cs="Times New Roman"/>
                <w:sz w:val="16"/>
                <w:szCs w:val="16"/>
                <w:lang w:eastAsia="sk-SK"/>
              </w:rPr>
            </w:pPr>
            <w:r w:rsidRPr="004A5951">
              <w:rPr>
                <w:rFonts w:eastAsia="Times New Roman" w:cs="Times New Roman"/>
                <w:sz w:val="16"/>
                <w:szCs w:val="16"/>
                <w:lang w:eastAsia="sk-SK"/>
              </w:rPr>
              <w:t>20 325</w:t>
            </w:r>
          </w:p>
        </w:tc>
        <w:tc>
          <w:tcPr>
            <w:tcW w:w="849" w:type="dxa"/>
            <w:tcBorders>
              <w:top w:val="nil"/>
              <w:left w:val="nil"/>
              <w:bottom w:val="nil"/>
              <w:right w:val="nil"/>
            </w:tcBorders>
            <w:shd w:val="clear" w:color="auto" w:fill="auto"/>
            <w:noWrap/>
            <w:vAlign w:val="center"/>
            <w:hideMark/>
          </w:tcPr>
          <w:p w14:paraId="629FC6B0" w14:textId="77777777" w:rsidR="00CB3C45" w:rsidRPr="004A5951" w:rsidRDefault="00CB3C45" w:rsidP="00842F2E">
            <w:pPr>
              <w:spacing w:after="0" w:line="240" w:lineRule="auto"/>
              <w:jc w:val="right"/>
              <w:rPr>
                <w:rFonts w:eastAsia="Times New Roman" w:cs="Times New Roman"/>
                <w:sz w:val="16"/>
                <w:szCs w:val="16"/>
                <w:lang w:eastAsia="sk-SK"/>
              </w:rPr>
            </w:pPr>
            <w:r w:rsidRPr="004A5951">
              <w:rPr>
                <w:rFonts w:eastAsia="Times New Roman" w:cs="Times New Roman"/>
                <w:sz w:val="16"/>
                <w:szCs w:val="16"/>
                <w:lang w:eastAsia="sk-SK"/>
              </w:rPr>
              <w:t>-2</w:t>
            </w:r>
          </w:p>
        </w:tc>
      </w:tr>
      <w:tr w:rsidR="00CB3C45" w:rsidRPr="004A5951" w14:paraId="45C759F3" w14:textId="77777777" w:rsidTr="00842F2E">
        <w:trPr>
          <w:trHeight w:val="255"/>
        </w:trPr>
        <w:tc>
          <w:tcPr>
            <w:tcW w:w="196" w:type="dxa"/>
            <w:tcBorders>
              <w:top w:val="nil"/>
              <w:left w:val="nil"/>
              <w:bottom w:val="nil"/>
              <w:right w:val="nil"/>
            </w:tcBorders>
            <w:shd w:val="clear" w:color="auto" w:fill="auto"/>
            <w:noWrap/>
            <w:vAlign w:val="center"/>
            <w:hideMark/>
          </w:tcPr>
          <w:p w14:paraId="6B07D461" w14:textId="77777777" w:rsidR="00CB3C45" w:rsidRPr="004A5951" w:rsidRDefault="00CB3C45" w:rsidP="00842F2E">
            <w:pPr>
              <w:spacing w:after="0" w:line="240" w:lineRule="auto"/>
              <w:jc w:val="right"/>
              <w:rPr>
                <w:rFonts w:eastAsia="Times New Roman" w:cs="Times New Roman"/>
                <w:sz w:val="16"/>
                <w:szCs w:val="16"/>
                <w:lang w:eastAsia="sk-SK"/>
              </w:rPr>
            </w:pPr>
          </w:p>
        </w:tc>
        <w:tc>
          <w:tcPr>
            <w:tcW w:w="196" w:type="dxa"/>
            <w:tcBorders>
              <w:top w:val="nil"/>
              <w:left w:val="nil"/>
              <w:bottom w:val="nil"/>
              <w:right w:val="nil"/>
            </w:tcBorders>
            <w:shd w:val="clear" w:color="auto" w:fill="auto"/>
            <w:noWrap/>
            <w:vAlign w:val="center"/>
            <w:hideMark/>
          </w:tcPr>
          <w:p w14:paraId="266B6C8D" w14:textId="77777777" w:rsidR="00CB3C45" w:rsidRPr="004A5951" w:rsidRDefault="00CB3C45" w:rsidP="00842F2E">
            <w:pPr>
              <w:spacing w:after="0" w:line="240" w:lineRule="auto"/>
              <w:jc w:val="left"/>
              <w:rPr>
                <w:rFonts w:eastAsia="Times New Roman" w:cs="Times New Roman"/>
                <w:sz w:val="16"/>
                <w:szCs w:val="16"/>
                <w:lang w:eastAsia="sk-SK"/>
              </w:rPr>
            </w:pPr>
          </w:p>
        </w:tc>
        <w:tc>
          <w:tcPr>
            <w:tcW w:w="3497" w:type="dxa"/>
            <w:tcBorders>
              <w:top w:val="nil"/>
              <w:left w:val="nil"/>
              <w:bottom w:val="nil"/>
              <w:right w:val="nil"/>
            </w:tcBorders>
            <w:shd w:val="clear" w:color="auto" w:fill="auto"/>
            <w:noWrap/>
            <w:vAlign w:val="center"/>
            <w:hideMark/>
          </w:tcPr>
          <w:p w14:paraId="02301280" w14:textId="77777777" w:rsidR="00CB3C45" w:rsidRPr="004A5951" w:rsidRDefault="00CB3C45" w:rsidP="00842F2E">
            <w:pPr>
              <w:spacing w:after="0" w:line="240" w:lineRule="auto"/>
              <w:jc w:val="left"/>
              <w:rPr>
                <w:rFonts w:eastAsia="Times New Roman" w:cs="Times New Roman"/>
                <w:color w:val="000000"/>
                <w:sz w:val="16"/>
                <w:szCs w:val="16"/>
                <w:lang w:eastAsia="sk-SK"/>
              </w:rPr>
            </w:pPr>
            <w:proofErr w:type="spellStart"/>
            <w:r w:rsidRPr="004A5951">
              <w:rPr>
                <w:rFonts w:eastAsia="Times New Roman" w:cs="Times New Roman"/>
                <w:color w:val="000000"/>
                <w:sz w:val="16"/>
                <w:szCs w:val="16"/>
                <w:lang w:eastAsia="sk-SK"/>
              </w:rPr>
              <w:t>TIPOS,národná</w:t>
            </w:r>
            <w:proofErr w:type="spellEnd"/>
            <w:r w:rsidRPr="004A5951">
              <w:rPr>
                <w:rFonts w:eastAsia="Times New Roman" w:cs="Times New Roman"/>
                <w:color w:val="000000"/>
                <w:sz w:val="16"/>
                <w:szCs w:val="16"/>
                <w:lang w:eastAsia="sk-SK"/>
              </w:rPr>
              <w:t xml:space="preserve"> lotériová </w:t>
            </w:r>
            <w:proofErr w:type="spellStart"/>
            <w:r w:rsidRPr="004A5951">
              <w:rPr>
                <w:rFonts w:eastAsia="Times New Roman" w:cs="Times New Roman"/>
                <w:color w:val="000000"/>
                <w:sz w:val="16"/>
                <w:szCs w:val="16"/>
                <w:lang w:eastAsia="sk-SK"/>
              </w:rPr>
              <w:t>spoločnosť,a.s</w:t>
            </w:r>
            <w:proofErr w:type="spellEnd"/>
            <w:r w:rsidRPr="004A5951">
              <w:rPr>
                <w:rFonts w:eastAsia="Times New Roman" w:cs="Times New Roman"/>
                <w:color w:val="000000"/>
                <w:sz w:val="16"/>
                <w:szCs w:val="16"/>
                <w:lang w:eastAsia="sk-SK"/>
              </w:rPr>
              <w:t>.</w:t>
            </w:r>
          </w:p>
        </w:tc>
        <w:tc>
          <w:tcPr>
            <w:tcW w:w="792" w:type="dxa"/>
            <w:tcBorders>
              <w:top w:val="nil"/>
              <w:left w:val="nil"/>
              <w:bottom w:val="nil"/>
              <w:right w:val="nil"/>
            </w:tcBorders>
            <w:shd w:val="clear" w:color="auto" w:fill="auto"/>
            <w:noWrap/>
            <w:vAlign w:val="center"/>
            <w:hideMark/>
          </w:tcPr>
          <w:p w14:paraId="09427199" w14:textId="77777777" w:rsidR="00CB3C45" w:rsidRPr="004A5951" w:rsidRDefault="00CB3C45" w:rsidP="00842F2E">
            <w:pPr>
              <w:spacing w:after="0" w:line="240" w:lineRule="auto"/>
              <w:jc w:val="right"/>
              <w:rPr>
                <w:rFonts w:eastAsia="Times New Roman" w:cs="Times New Roman"/>
                <w:color w:val="000000"/>
                <w:sz w:val="16"/>
                <w:szCs w:val="16"/>
                <w:lang w:eastAsia="sk-SK"/>
              </w:rPr>
            </w:pPr>
            <w:r w:rsidRPr="004A5951">
              <w:rPr>
                <w:rFonts w:eastAsia="Times New Roman" w:cs="Times New Roman"/>
                <w:color w:val="000000"/>
                <w:sz w:val="16"/>
                <w:szCs w:val="16"/>
                <w:lang w:eastAsia="sk-SK"/>
              </w:rPr>
              <w:t>6 000</w:t>
            </w:r>
          </w:p>
        </w:tc>
        <w:tc>
          <w:tcPr>
            <w:tcW w:w="875" w:type="dxa"/>
            <w:tcBorders>
              <w:top w:val="nil"/>
              <w:left w:val="nil"/>
              <w:bottom w:val="nil"/>
              <w:right w:val="nil"/>
            </w:tcBorders>
            <w:shd w:val="clear" w:color="auto" w:fill="auto"/>
            <w:noWrap/>
            <w:vAlign w:val="center"/>
            <w:hideMark/>
          </w:tcPr>
          <w:p w14:paraId="550CBDCB" w14:textId="77777777" w:rsidR="00CB3C45" w:rsidRPr="004A5951" w:rsidRDefault="00CB3C45" w:rsidP="00842F2E">
            <w:pPr>
              <w:spacing w:after="0" w:line="240" w:lineRule="auto"/>
              <w:jc w:val="right"/>
              <w:rPr>
                <w:rFonts w:eastAsia="Times New Roman" w:cs="Times New Roman"/>
                <w:color w:val="000000"/>
                <w:sz w:val="16"/>
                <w:szCs w:val="16"/>
                <w:lang w:eastAsia="sk-SK"/>
              </w:rPr>
            </w:pPr>
            <w:r w:rsidRPr="004A5951">
              <w:rPr>
                <w:rFonts w:eastAsia="Times New Roman" w:cs="Times New Roman"/>
                <w:color w:val="000000"/>
                <w:sz w:val="16"/>
                <w:szCs w:val="16"/>
                <w:lang w:eastAsia="sk-SK"/>
              </w:rPr>
              <w:t>2 000</w:t>
            </w:r>
          </w:p>
        </w:tc>
        <w:tc>
          <w:tcPr>
            <w:tcW w:w="1159" w:type="dxa"/>
            <w:tcBorders>
              <w:top w:val="nil"/>
              <w:left w:val="nil"/>
              <w:bottom w:val="nil"/>
              <w:right w:val="nil"/>
            </w:tcBorders>
            <w:shd w:val="clear" w:color="auto" w:fill="auto"/>
            <w:noWrap/>
            <w:vAlign w:val="center"/>
            <w:hideMark/>
          </w:tcPr>
          <w:p w14:paraId="64DA02F4" w14:textId="77777777" w:rsidR="00CB3C45" w:rsidRPr="004A5951" w:rsidRDefault="00CB3C45" w:rsidP="00842F2E">
            <w:pPr>
              <w:spacing w:after="0" w:line="240" w:lineRule="auto"/>
              <w:jc w:val="right"/>
              <w:rPr>
                <w:rFonts w:eastAsia="Times New Roman" w:cs="Times New Roman"/>
                <w:sz w:val="16"/>
                <w:szCs w:val="16"/>
                <w:lang w:eastAsia="sk-SK"/>
              </w:rPr>
            </w:pPr>
            <w:r w:rsidRPr="004A5951">
              <w:rPr>
                <w:rFonts w:eastAsia="Times New Roman" w:cs="Times New Roman"/>
                <w:sz w:val="16"/>
                <w:szCs w:val="16"/>
                <w:lang w:eastAsia="sk-SK"/>
              </w:rPr>
              <w:t>2 000</w:t>
            </w:r>
          </w:p>
        </w:tc>
        <w:tc>
          <w:tcPr>
            <w:tcW w:w="1162" w:type="dxa"/>
            <w:tcBorders>
              <w:top w:val="nil"/>
              <w:left w:val="nil"/>
              <w:bottom w:val="nil"/>
              <w:right w:val="nil"/>
            </w:tcBorders>
            <w:shd w:val="clear" w:color="000000" w:fill="BFBFBF"/>
            <w:noWrap/>
            <w:vAlign w:val="center"/>
            <w:hideMark/>
          </w:tcPr>
          <w:p w14:paraId="1AB042FA" w14:textId="77777777" w:rsidR="00CB3C45" w:rsidRPr="004A5951" w:rsidRDefault="00CB3C45" w:rsidP="00842F2E">
            <w:pPr>
              <w:spacing w:after="0" w:line="240" w:lineRule="auto"/>
              <w:jc w:val="right"/>
              <w:rPr>
                <w:rFonts w:eastAsia="Times New Roman" w:cs="Times New Roman"/>
                <w:sz w:val="16"/>
                <w:szCs w:val="16"/>
                <w:lang w:eastAsia="sk-SK"/>
              </w:rPr>
            </w:pPr>
            <w:r w:rsidRPr="004A5951">
              <w:rPr>
                <w:rFonts w:eastAsia="Times New Roman" w:cs="Times New Roman"/>
                <w:sz w:val="16"/>
                <w:szCs w:val="16"/>
                <w:lang w:eastAsia="sk-SK"/>
              </w:rPr>
              <w:t>3 300</w:t>
            </w:r>
          </w:p>
        </w:tc>
        <w:tc>
          <w:tcPr>
            <w:tcW w:w="849" w:type="dxa"/>
            <w:tcBorders>
              <w:top w:val="nil"/>
              <w:left w:val="nil"/>
              <w:bottom w:val="nil"/>
              <w:right w:val="nil"/>
            </w:tcBorders>
            <w:shd w:val="clear" w:color="auto" w:fill="auto"/>
            <w:noWrap/>
            <w:vAlign w:val="center"/>
            <w:hideMark/>
          </w:tcPr>
          <w:p w14:paraId="77063FB7" w14:textId="77777777" w:rsidR="00CB3C45" w:rsidRPr="004A5951" w:rsidRDefault="00CB3C45" w:rsidP="00842F2E">
            <w:pPr>
              <w:spacing w:after="0" w:line="240" w:lineRule="auto"/>
              <w:jc w:val="right"/>
              <w:rPr>
                <w:rFonts w:eastAsia="Times New Roman" w:cs="Times New Roman"/>
                <w:sz w:val="16"/>
                <w:szCs w:val="16"/>
                <w:lang w:eastAsia="sk-SK"/>
              </w:rPr>
            </w:pPr>
            <w:r w:rsidRPr="004A5951">
              <w:rPr>
                <w:rFonts w:eastAsia="Times New Roman" w:cs="Times New Roman"/>
                <w:sz w:val="16"/>
                <w:szCs w:val="16"/>
                <w:lang w:eastAsia="sk-SK"/>
              </w:rPr>
              <w:t>1 300</w:t>
            </w:r>
          </w:p>
        </w:tc>
      </w:tr>
      <w:tr w:rsidR="00CB3C45" w:rsidRPr="004A5951" w14:paraId="6F259241" w14:textId="77777777" w:rsidTr="00842F2E">
        <w:trPr>
          <w:trHeight w:val="255"/>
        </w:trPr>
        <w:tc>
          <w:tcPr>
            <w:tcW w:w="196" w:type="dxa"/>
            <w:tcBorders>
              <w:top w:val="nil"/>
              <w:left w:val="nil"/>
              <w:bottom w:val="nil"/>
              <w:right w:val="nil"/>
            </w:tcBorders>
            <w:shd w:val="clear" w:color="auto" w:fill="auto"/>
            <w:noWrap/>
            <w:vAlign w:val="center"/>
            <w:hideMark/>
          </w:tcPr>
          <w:p w14:paraId="0BD28C88" w14:textId="77777777" w:rsidR="00CB3C45" w:rsidRPr="004A5951" w:rsidRDefault="00CB3C45" w:rsidP="00842F2E">
            <w:pPr>
              <w:spacing w:after="0" w:line="240" w:lineRule="auto"/>
              <w:jc w:val="right"/>
              <w:rPr>
                <w:rFonts w:eastAsia="Times New Roman" w:cs="Times New Roman"/>
                <w:sz w:val="16"/>
                <w:szCs w:val="16"/>
                <w:lang w:eastAsia="sk-SK"/>
              </w:rPr>
            </w:pPr>
          </w:p>
        </w:tc>
        <w:tc>
          <w:tcPr>
            <w:tcW w:w="196" w:type="dxa"/>
            <w:tcBorders>
              <w:top w:val="nil"/>
              <w:left w:val="nil"/>
              <w:bottom w:val="nil"/>
              <w:right w:val="nil"/>
            </w:tcBorders>
            <w:shd w:val="clear" w:color="auto" w:fill="auto"/>
            <w:noWrap/>
            <w:vAlign w:val="center"/>
            <w:hideMark/>
          </w:tcPr>
          <w:p w14:paraId="2765FB4D" w14:textId="77777777" w:rsidR="00CB3C45" w:rsidRPr="004A5951" w:rsidRDefault="00CB3C45" w:rsidP="00842F2E">
            <w:pPr>
              <w:spacing w:after="0" w:line="240" w:lineRule="auto"/>
              <w:jc w:val="left"/>
              <w:rPr>
                <w:rFonts w:eastAsia="Times New Roman" w:cs="Times New Roman"/>
                <w:sz w:val="16"/>
                <w:szCs w:val="16"/>
                <w:lang w:eastAsia="sk-SK"/>
              </w:rPr>
            </w:pPr>
          </w:p>
        </w:tc>
        <w:tc>
          <w:tcPr>
            <w:tcW w:w="3497" w:type="dxa"/>
            <w:tcBorders>
              <w:top w:val="nil"/>
              <w:left w:val="nil"/>
              <w:bottom w:val="nil"/>
              <w:right w:val="nil"/>
            </w:tcBorders>
            <w:shd w:val="clear" w:color="auto" w:fill="auto"/>
            <w:noWrap/>
            <w:vAlign w:val="center"/>
            <w:hideMark/>
          </w:tcPr>
          <w:p w14:paraId="0E666DCD" w14:textId="77777777" w:rsidR="00CB3C45" w:rsidRPr="004A5951" w:rsidRDefault="00CB3C45" w:rsidP="00842F2E">
            <w:pPr>
              <w:spacing w:after="0" w:line="240" w:lineRule="auto"/>
              <w:jc w:val="left"/>
              <w:rPr>
                <w:rFonts w:eastAsia="Times New Roman" w:cs="Times New Roman"/>
                <w:color w:val="000000"/>
                <w:sz w:val="16"/>
                <w:szCs w:val="16"/>
                <w:lang w:eastAsia="sk-SK"/>
              </w:rPr>
            </w:pPr>
            <w:r w:rsidRPr="004A5951">
              <w:rPr>
                <w:rFonts w:eastAsia="Times New Roman" w:cs="Times New Roman"/>
                <w:color w:val="000000"/>
                <w:sz w:val="16"/>
                <w:szCs w:val="16"/>
                <w:lang w:eastAsia="sk-SK"/>
              </w:rPr>
              <w:t xml:space="preserve">Letisko Košice - </w:t>
            </w:r>
            <w:proofErr w:type="spellStart"/>
            <w:r w:rsidRPr="004A5951">
              <w:rPr>
                <w:rFonts w:eastAsia="Times New Roman" w:cs="Times New Roman"/>
                <w:color w:val="000000"/>
                <w:sz w:val="16"/>
                <w:szCs w:val="16"/>
                <w:lang w:eastAsia="sk-SK"/>
              </w:rPr>
              <w:t>Airport</w:t>
            </w:r>
            <w:proofErr w:type="spellEnd"/>
            <w:r w:rsidRPr="004A5951">
              <w:rPr>
                <w:rFonts w:eastAsia="Times New Roman" w:cs="Times New Roman"/>
                <w:color w:val="000000"/>
                <w:sz w:val="16"/>
                <w:szCs w:val="16"/>
                <w:lang w:eastAsia="sk-SK"/>
              </w:rPr>
              <w:t xml:space="preserve"> Košice, a.s.</w:t>
            </w:r>
          </w:p>
        </w:tc>
        <w:tc>
          <w:tcPr>
            <w:tcW w:w="792" w:type="dxa"/>
            <w:tcBorders>
              <w:top w:val="nil"/>
              <w:left w:val="nil"/>
              <w:bottom w:val="nil"/>
              <w:right w:val="nil"/>
            </w:tcBorders>
            <w:shd w:val="clear" w:color="auto" w:fill="auto"/>
            <w:noWrap/>
            <w:vAlign w:val="center"/>
            <w:hideMark/>
          </w:tcPr>
          <w:p w14:paraId="0A8F0720" w14:textId="77777777" w:rsidR="00CB3C45" w:rsidRPr="004A5951" w:rsidRDefault="00CB3C45" w:rsidP="00842F2E">
            <w:pPr>
              <w:spacing w:after="0" w:line="240" w:lineRule="auto"/>
              <w:jc w:val="right"/>
              <w:rPr>
                <w:rFonts w:eastAsia="Times New Roman" w:cs="Times New Roman"/>
                <w:color w:val="000000"/>
                <w:sz w:val="16"/>
                <w:szCs w:val="16"/>
                <w:lang w:eastAsia="sk-SK"/>
              </w:rPr>
            </w:pPr>
            <w:r w:rsidRPr="004A5951">
              <w:rPr>
                <w:rFonts w:eastAsia="Times New Roman" w:cs="Times New Roman"/>
                <w:color w:val="000000"/>
                <w:sz w:val="16"/>
                <w:szCs w:val="16"/>
                <w:lang w:eastAsia="sk-SK"/>
              </w:rPr>
              <w:t>415</w:t>
            </w:r>
          </w:p>
        </w:tc>
        <w:tc>
          <w:tcPr>
            <w:tcW w:w="875" w:type="dxa"/>
            <w:tcBorders>
              <w:top w:val="nil"/>
              <w:left w:val="nil"/>
              <w:bottom w:val="nil"/>
              <w:right w:val="nil"/>
            </w:tcBorders>
            <w:shd w:val="clear" w:color="auto" w:fill="auto"/>
            <w:noWrap/>
            <w:vAlign w:val="center"/>
            <w:hideMark/>
          </w:tcPr>
          <w:p w14:paraId="2C110C33" w14:textId="77777777" w:rsidR="00CB3C45" w:rsidRPr="004A5951" w:rsidRDefault="00CB3C45" w:rsidP="00842F2E">
            <w:pPr>
              <w:spacing w:after="0" w:line="240" w:lineRule="auto"/>
              <w:jc w:val="right"/>
              <w:rPr>
                <w:rFonts w:eastAsia="Times New Roman" w:cs="Times New Roman"/>
                <w:color w:val="000000"/>
                <w:sz w:val="16"/>
                <w:szCs w:val="16"/>
                <w:lang w:eastAsia="sk-SK"/>
              </w:rPr>
            </w:pPr>
            <w:r w:rsidRPr="004A5951">
              <w:rPr>
                <w:rFonts w:eastAsia="Times New Roman" w:cs="Times New Roman"/>
                <w:color w:val="000000"/>
                <w:sz w:val="16"/>
                <w:szCs w:val="16"/>
                <w:lang w:eastAsia="sk-SK"/>
              </w:rPr>
              <w:t>642</w:t>
            </w:r>
          </w:p>
        </w:tc>
        <w:tc>
          <w:tcPr>
            <w:tcW w:w="1159" w:type="dxa"/>
            <w:tcBorders>
              <w:top w:val="nil"/>
              <w:left w:val="nil"/>
              <w:bottom w:val="nil"/>
              <w:right w:val="nil"/>
            </w:tcBorders>
            <w:shd w:val="clear" w:color="auto" w:fill="auto"/>
            <w:noWrap/>
            <w:vAlign w:val="center"/>
            <w:hideMark/>
          </w:tcPr>
          <w:p w14:paraId="250DD57F" w14:textId="77777777" w:rsidR="00CB3C45" w:rsidRPr="004A5951" w:rsidRDefault="00CB3C45" w:rsidP="00842F2E">
            <w:pPr>
              <w:spacing w:after="0" w:line="240" w:lineRule="auto"/>
              <w:jc w:val="right"/>
              <w:rPr>
                <w:rFonts w:eastAsia="Times New Roman" w:cs="Times New Roman"/>
                <w:sz w:val="16"/>
                <w:szCs w:val="16"/>
                <w:lang w:eastAsia="sk-SK"/>
              </w:rPr>
            </w:pPr>
            <w:r w:rsidRPr="004A5951">
              <w:rPr>
                <w:rFonts w:eastAsia="Times New Roman" w:cs="Times New Roman"/>
                <w:sz w:val="16"/>
                <w:szCs w:val="16"/>
                <w:lang w:eastAsia="sk-SK"/>
              </w:rPr>
              <w:t>779</w:t>
            </w:r>
          </w:p>
        </w:tc>
        <w:tc>
          <w:tcPr>
            <w:tcW w:w="1162" w:type="dxa"/>
            <w:tcBorders>
              <w:top w:val="nil"/>
              <w:left w:val="nil"/>
              <w:bottom w:val="nil"/>
              <w:right w:val="nil"/>
            </w:tcBorders>
            <w:shd w:val="clear" w:color="000000" w:fill="BFBFBF"/>
            <w:noWrap/>
            <w:vAlign w:val="center"/>
            <w:hideMark/>
          </w:tcPr>
          <w:p w14:paraId="1EC4423B" w14:textId="77777777" w:rsidR="00CB3C45" w:rsidRPr="004A5951" w:rsidRDefault="00CB3C45" w:rsidP="00842F2E">
            <w:pPr>
              <w:spacing w:after="0" w:line="240" w:lineRule="auto"/>
              <w:jc w:val="right"/>
              <w:rPr>
                <w:rFonts w:eastAsia="Times New Roman" w:cs="Times New Roman"/>
                <w:sz w:val="16"/>
                <w:szCs w:val="16"/>
                <w:lang w:eastAsia="sk-SK"/>
              </w:rPr>
            </w:pPr>
            <w:r w:rsidRPr="004A5951">
              <w:rPr>
                <w:rFonts w:eastAsia="Times New Roman" w:cs="Times New Roman"/>
                <w:sz w:val="16"/>
                <w:szCs w:val="16"/>
                <w:lang w:eastAsia="sk-SK"/>
              </w:rPr>
              <w:t>742</w:t>
            </w:r>
          </w:p>
        </w:tc>
        <w:tc>
          <w:tcPr>
            <w:tcW w:w="849" w:type="dxa"/>
            <w:tcBorders>
              <w:top w:val="nil"/>
              <w:left w:val="nil"/>
              <w:bottom w:val="nil"/>
              <w:right w:val="nil"/>
            </w:tcBorders>
            <w:shd w:val="clear" w:color="auto" w:fill="auto"/>
            <w:noWrap/>
            <w:vAlign w:val="center"/>
            <w:hideMark/>
          </w:tcPr>
          <w:p w14:paraId="6A2D83C8" w14:textId="77777777" w:rsidR="00CB3C45" w:rsidRPr="004A5951" w:rsidRDefault="00CB3C45" w:rsidP="00842F2E">
            <w:pPr>
              <w:spacing w:after="0" w:line="240" w:lineRule="auto"/>
              <w:jc w:val="right"/>
              <w:rPr>
                <w:rFonts w:eastAsia="Times New Roman" w:cs="Times New Roman"/>
                <w:sz w:val="16"/>
                <w:szCs w:val="16"/>
                <w:lang w:eastAsia="sk-SK"/>
              </w:rPr>
            </w:pPr>
            <w:r w:rsidRPr="004A5951">
              <w:rPr>
                <w:rFonts w:eastAsia="Times New Roman" w:cs="Times New Roman"/>
                <w:sz w:val="16"/>
                <w:szCs w:val="16"/>
                <w:lang w:eastAsia="sk-SK"/>
              </w:rPr>
              <w:t>-37</w:t>
            </w:r>
          </w:p>
        </w:tc>
      </w:tr>
      <w:tr w:rsidR="00CB3C45" w:rsidRPr="004A5951" w14:paraId="61ED1C28" w14:textId="77777777" w:rsidTr="00842F2E">
        <w:trPr>
          <w:trHeight w:val="255"/>
        </w:trPr>
        <w:tc>
          <w:tcPr>
            <w:tcW w:w="196" w:type="dxa"/>
            <w:tcBorders>
              <w:top w:val="nil"/>
              <w:left w:val="nil"/>
              <w:bottom w:val="nil"/>
              <w:right w:val="nil"/>
            </w:tcBorders>
            <w:shd w:val="clear" w:color="auto" w:fill="auto"/>
            <w:noWrap/>
            <w:vAlign w:val="center"/>
            <w:hideMark/>
          </w:tcPr>
          <w:p w14:paraId="0F68B875" w14:textId="77777777" w:rsidR="00CB3C45" w:rsidRPr="004A5951" w:rsidRDefault="00CB3C45" w:rsidP="00842F2E">
            <w:pPr>
              <w:spacing w:after="0" w:line="240" w:lineRule="auto"/>
              <w:jc w:val="right"/>
              <w:rPr>
                <w:rFonts w:eastAsia="Times New Roman" w:cs="Times New Roman"/>
                <w:sz w:val="16"/>
                <w:szCs w:val="16"/>
                <w:lang w:eastAsia="sk-SK"/>
              </w:rPr>
            </w:pPr>
          </w:p>
        </w:tc>
        <w:tc>
          <w:tcPr>
            <w:tcW w:w="196" w:type="dxa"/>
            <w:tcBorders>
              <w:top w:val="nil"/>
              <w:left w:val="nil"/>
              <w:bottom w:val="nil"/>
              <w:right w:val="nil"/>
            </w:tcBorders>
            <w:shd w:val="clear" w:color="auto" w:fill="auto"/>
            <w:noWrap/>
            <w:vAlign w:val="center"/>
            <w:hideMark/>
          </w:tcPr>
          <w:p w14:paraId="3F792942" w14:textId="77777777" w:rsidR="00CB3C45" w:rsidRPr="004A5951" w:rsidRDefault="00CB3C45" w:rsidP="00842F2E">
            <w:pPr>
              <w:spacing w:after="0" w:line="240" w:lineRule="auto"/>
              <w:jc w:val="left"/>
              <w:rPr>
                <w:rFonts w:eastAsia="Times New Roman" w:cs="Times New Roman"/>
                <w:sz w:val="16"/>
                <w:szCs w:val="16"/>
                <w:lang w:eastAsia="sk-SK"/>
              </w:rPr>
            </w:pPr>
          </w:p>
        </w:tc>
        <w:tc>
          <w:tcPr>
            <w:tcW w:w="3497" w:type="dxa"/>
            <w:tcBorders>
              <w:top w:val="nil"/>
              <w:left w:val="nil"/>
              <w:bottom w:val="nil"/>
              <w:right w:val="nil"/>
            </w:tcBorders>
            <w:shd w:val="clear" w:color="auto" w:fill="auto"/>
            <w:noWrap/>
            <w:vAlign w:val="center"/>
            <w:hideMark/>
          </w:tcPr>
          <w:p w14:paraId="2630B121" w14:textId="77777777" w:rsidR="00CB3C45" w:rsidRPr="004A5951" w:rsidRDefault="00CB3C45" w:rsidP="00842F2E">
            <w:pPr>
              <w:spacing w:after="0" w:line="240" w:lineRule="auto"/>
              <w:jc w:val="left"/>
              <w:rPr>
                <w:rFonts w:eastAsia="Times New Roman" w:cs="Times New Roman"/>
                <w:color w:val="000000"/>
                <w:sz w:val="16"/>
                <w:szCs w:val="16"/>
                <w:lang w:eastAsia="sk-SK"/>
              </w:rPr>
            </w:pPr>
            <w:r w:rsidRPr="004A5951">
              <w:rPr>
                <w:rFonts w:eastAsia="Times New Roman" w:cs="Times New Roman"/>
                <w:color w:val="000000"/>
                <w:sz w:val="16"/>
                <w:szCs w:val="16"/>
                <w:lang w:eastAsia="sk-SK"/>
              </w:rPr>
              <w:t>SSDZ, a.s.</w:t>
            </w:r>
          </w:p>
        </w:tc>
        <w:tc>
          <w:tcPr>
            <w:tcW w:w="792" w:type="dxa"/>
            <w:tcBorders>
              <w:top w:val="nil"/>
              <w:left w:val="nil"/>
              <w:bottom w:val="nil"/>
              <w:right w:val="nil"/>
            </w:tcBorders>
            <w:shd w:val="clear" w:color="auto" w:fill="auto"/>
            <w:noWrap/>
            <w:vAlign w:val="center"/>
            <w:hideMark/>
          </w:tcPr>
          <w:p w14:paraId="350804E6" w14:textId="77777777" w:rsidR="00CB3C45" w:rsidRPr="004A5951" w:rsidRDefault="00CB3C45" w:rsidP="00842F2E">
            <w:pPr>
              <w:spacing w:after="0" w:line="240" w:lineRule="auto"/>
              <w:jc w:val="right"/>
              <w:rPr>
                <w:rFonts w:eastAsia="Times New Roman" w:cs="Times New Roman"/>
                <w:color w:val="000000"/>
                <w:sz w:val="16"/>
                <w:szCs w:val="16"/>
                <w:lang w:eastAsia="sk-SK"/>
              </w:rPr>
            </w:pPr>
            <w:r w:rsidRPr="004A5951">
              <w:rPr>
                <w:rFonts w:eastAsia="Times New Roman" w:cs="Times New Roman"/>
                <w:color w:val="000000"/>
                <w:sz w:val="16"/>
                <w:szCs w:val="16"/>
                <w:lang w:eastAsia="sk-SK"/>
              </w:rPr>
              <w:t>60</w:t>
            </w:r>
          </w:p>
        </w:tc>
        <w:tc>
          <w:tcPr>
            <w:tcW w:w="875" w:type="dxa"/>
            <w:tcBorders>
              <w:top w:val="nil"/>
              <w:left w:val="nil"/>
              <w:bottom w:val="nil"/>
              <w:right w:val="nil"/>
            </w:tcBorders>
            <w:shd w:val="clear" w:color="auto" w:fill="auto"/>
            <w:noWrap/>
            <w:vAlign w:val="center"/>
            <w:hideMark/>
          </w:tcPr>
          <w:p w14:paraId="0FB0B117" w14:textId="77777777" w:rsidR="00CB3C45" w:rsidRPr="004A5951" w:rsidRDefault="00CB3C45" w:rsidP="00842F2E">
            <w:pPr>
              <w:spacing w:after="0" w:line="240" w:lineRule="auto"/>
              <w:jc w:val="right"/>
              <w:rPr>
                <w:rFonts w:eastAsia="Times New Roman" w:cs="Times New Roman"/>
                <w:color w:val="000000"/>
                <w:sz w:val="16"/>
                <w:szCs w:val="16"/>
                <w:lang w:eastAsia="sk-SK"/>
              </w:rPr>
            </w:pPr>
            <w:r w:rsidRPr="004A5951">
              <w:rPr>
                <w:rFonts w:eastAsia="Times New Roman" w:cs="Times New Roman"/>
                <w:color w:val="000000"/>
                <w:sz w:val="16"/>
                <w:szCs w:val="16"/>
                <w:lang w:eastAsia="sk-SK"/>
              </w:rPr>
              <w:t>218</w:t>
            </w:r>
          </w:p>
        </w:tc>
        <w:tc>
          <w:tcPr>
            <w:tcW w:w="1159" w:type="dxa"/>
            <w:tcBorders>
              <w:top w:val="nil"/>
              <w:left w:val="nil"/>
              <w:bottom w:val="nil"/>
              <w:right w:val="nil"/>
            </w:tcBorders>
            <w:shd w:val="clear" w:color="auto" w:fill="auto"/>
            <w:vAlign w:val="center"/>
            <w:hideMark/>
          </w:tcPr>
          <w:p w14:paraId="0886886A" w14:textId="77777777" w:rsidR="00CB3C45" w:rsidRPr="004A5951" w:rsidRDefault="00CB3C45" w:rsidP="00842F2E">
            <w:pPr>
              <w:spacing w:after="0" w:line="240" w:lineRule="auto"/>
              <w:jc w:val="right"/>
              <w:rPr>
                <w:rFonts w:eastAsia="Times New Roman" w:cs="Times New Roman"/>
                <w:sz w:val="16"/>
                <w:szCs w:val="16"/>
                <w:lang w:eastAsia="sk-SK"/>
              </w:rPr>
            </w:pPr>
            <w:r w:rsidRPr="004A5951">
              <w:rPr>
                <w:rFonts w:eastAsia="Times New Roman" w:cs="Times New Roman"/>
                <w:sz w:val="16"/>
                <w:szCs w:val="16"/>
                <w:lang w:eastAsia="sk-SK"/>
              </w:rPr>
              <w:t>218</w:t>
            </w:r>
          </w:p>
        </w:tc>
        <w:tc>
          <w:tcPr>
            <w:tcW w:w="1162" w:type="dxa"/>
            <w:tcBorders>
              <w:top w:val="nil"/>
              <w:left w:val="nil"/>
              <w:bottom w:val="nil"/>
              <w:right w:val="nil"/>
            </w:tcBorders>
            <w:shd w:val="clear" w:color="000000" w:fill="BFBFBF"/>
            <w:vAlign w:val="center"/>
            <w:hideMark/>
          </w:tcPr>
          <w:p w14:paraId="2C2C01CE" w14:textId="77777777" w:rsidR="00CB3C45" w:rsidRPr="004A5951" w:rsidRDefault="00CB3C45" w:rsidP="00842F2E">
            <w:pPr>
              <w:spacing w:after="0" w:line="240" w:lineRule="auto"/>
              <w:jc w:val="right"/>
              <w:rPr>
                <w:rFonts w:eastAsia="Times New Roman" w:cs="Times New Roman"/>
                <w:sz w:val="16"/>
                <w:szCs w:val="16"/>
                <w:lang w:eastAsia="sk-SK"/>
              </w:rPr>
            </w:pPr>
            <w:r w:rsidRPr="004A5951">
              <w:rPr>
                <w:rFonts w:eastAsia="Times New Roman" w:cs="Times New Roman"/>
                <w:sz w:val="16"/>
                <w:szCs w:val="16"/>
                <w:lang w:eastAsia="sk-SK"/>
              </w:rPr>
              <w:t>490</w:t>
            </w:r>
          </w:p>
        </w:tc>
        <w:tc>
          <w:tcPr>
            <w:tcW w:w="849" w:type="dxa"/>
            <w:tcBorders>
              <w:top w:val="nil"/>
              <w:left w:val="nil"/>
              <w:bottom w:val="nil"/>
              <w:right w:val="nil"/>
            </w:tcBorders>
            <w:shd w:val="clear" w:color="auto" w:fill="auto"/>
            <w:vAlign w:val="center"/>
            <w:hideMark/>
          </w:tcPr>
          <w:p w14:paraId="2F4E17A0" w14:textId="77777777" w:rsidR="00CB3C45" w:rsidRPr="004A5951" w:rsidRDefault="00CB3C45" w:rsidP="00842F2E">
            <w:pPr>
              <w:spacing w:after="0" w:line="240" w:lineRule="auto"/>
              <w:jc w:val="right"/>
              <w:rPr>
                <w:rFonts w:eastAsia="Times New Roman" w:cs="Times New Roman"/>
                <w:sz w:val="16"/>
                <w:szCs w:val="16"/>
                <w:lang w:eastAsia="sk-SK"/>
              </w:rPr>
            </w:pPr>
            <w:r w:rsidRPr="004A5951">
              <w:rPr>
                <w:rFonts w:eastAsia="Times New Roman" w:cs="Times New Roman"/>
                <w:sz w:val="16"/>
                <w:szCs w:val="16"/>
                <w:lang w:eastAsia="sk-SK"/>
              </w:rPr>
              <w:t>272</w:t>
            </w:r>
          </w:p>
        </w:tc>
      </w:tr>
      <w:tr w:rsidR="00CB3C45" w:rsidRPr="004A5951" w14:paraId="672F4FD2" w14:textId="77777777" w:rsidTr="00842F2E">
        <w:trPr>
          <w:trHeight w:val="269"/>
        </w:trPr>
        <w:tc>
          <w:tcPr>
            <w:tcW w:w="196" w:type="dxa"/>
            <w:tcBorders>
              <w:top w:val="nil"/>
              <w:left w:val="nil"/>
              <w:bottom w:val="nil"/>
              <w:right w:val="nil"/>
            </w:tcBorders>
            <w:shd w:val="clear" w:color="auto" w:fill="auto"/>
            <w:noWrap/>
            <w:vAlign w:val="center"/>
            <w:hideMark/>
          </w:tcPr>
          <w:p w14:paraId="605E0BDD" w14:textId="77777777" w:rsidR="00CB3C45" w:rsidRPr="004A5951" w:rsidRDefault="00CB3C45" w:rsidP="00842F2E">
            <w:pPr>
              <w:spacing w:after="0" w:line="240" w:lineRule="auto"/>
              <w:jc w:val="right"/>
              <w:rPr>
                <w:rFonts w:eastAsia="Times New Roman" w:cs="Times New Roman"/>
                <w:sz w:val="16"/>
                <w:szCs w:val="16"/>
                <w:lang w:eastAsia="sk-SK"/>
              </w:rPr>
            </w:pPr>
          </w:p>
        </w:tc>
        <w:tc>
          <w:tcPr>
            <w:tcW w:w="196" w:type="dxa"/>
            <w:tcBorders>
              <w:top w:val="nil"/>
              <w:left w:val="nil"/>
              <w:bottom w:val="nil"/>
              <w:right w:val="nil"/>
            </w:tcBorders>
            <w:shd w:val="clear" w:color="auto" w:fill="auto"/>
            <w:noWrap/>
            <w:vAlign w:val="center"/>
            <w:hideMark/>
          </w:tcPr>
          <w:p w14:paraId="12F9F541" w14:textId="77777777" w:rsidR="00CB3C45" w:rsidRPr="004A5951" w:rsidRDefault="00CB3C45" w:rsidP="00842F2E">
            <w:pPr>
              <w:spacing w:after="0" w:line="240" w:lineRule="auto"/>
              <w:jc w:val="left"/>
              <w:rPr>
                <w:rFonts w:eastAsia="Times New Roman" w:cs="Times New Roman"/>
                <w:sz w:val="16"/>
                <w:szCs w:val="16"/>
                <w:lang w:eastAsia="sk-SK"/>
              </w:rPr>
            </w:pPr>
          </w:p>
        </w:tc>
        <w:tc>
          <w:tcPr>
            <w:tcW w:w="3497" w:type="dxa"/>
            <w:tcBorders>
              <w:top w:val="nil"/>
              <w:left w:val="nil"/>
              <w:bottom w:val="nil"/>
              <w:right w:val="nil"/>
            </w:tcBorders>
            <w:shd w:val="clear" w:color="auto" w:fill="auto"/>
            <w:noWrap/>
            <w:vAlign w:val="center"/>
            <w:hideMark/>
          </w:tcPr>
          <w:p w14:paraId="1A427B88" w14:textId="77777777" w:rsidR="00CB3C45" w:rsidRPr="004A5951" w:rsidRDefault="00CB3C45" w:rsidP="00842F2E">
            <w:pPr>
              <w:spacing w:after="0" w:line="240" w:lineRule="auto"/>
              <w:jc w:val="left"/>
              <w:rPr>
                <w:rFonts w:eastAsia="Times New Roman" w:cs="Times New Roman"/>
                <w:color w:val="000000"/>
                <w:sz w:val="16"/>
                <w:szCs w:val="16"/>
                <w:lang w:eastAsia="sk-SK"/>
              </w:rPr>
            </w:pPr>
            <w:r w:rsidRPr="004A5951">
              <w:rPr>
                <w:rFonts w:eastAsia="Times New Roman" w:cs="Times New Roman"/>
                <w:color w:val="000000"/>
                <w:sz w:val="16"/>
                <w:szCs w:val="16"/>
                <w:lang w:eastAsia="sk-SK"/>
              </w:rPr>
              <w:t xml:space="preserve">Vodohospodárska výstavba, š. p. Bratislava </w:t>
            </w:r>
          </w:p>
        </w:tc>
        <w:tc>
          <w:tcPr>
            <w:tcW w:w="792" w:type="dxa"/>
            <w:tcBorders>
              <w:top w:val="nil"/>
              <w:left w:val="nil"/>
              <w:bottom w:val="nil"/>
              <w:right w:val="nil"/>
            </w:tcBorders>
            <w:shd w:val="clear" w:color="auto" w:fill="auto"/>
            <w:noWrap/>
            <w:vAlign w:val="center"/>
            <w:hideMark/>
          </w:tcPr>
          <w:p w14:paraId="0389DDBC" w14:textId="77777777" w:rsidR="00CB3C45" w:rsidRPr="004A5951" w:rsidRDefault="00CB3C45" w:rsidP="00842F2E">
            <w:pPr>
              <w:spacing w:after="0" w:line="240" w:lineRule="auto"/>
              <w:jc w:val="right"/>
              <w:rPr>
                <w:rFonts w:eastAsia="Times New Roman" w:cs="Times New Roman"/>
                <w:color w:val="000000"/>
                <w:sz w:val="16"/>
                <w:szCs w:val="16"/>
                <w:lang w:eastAsia="sk-SK"/>
              </w:rPr>
            </w:pPr>
            <w:r w:rsidRPr="004A5951">
              <w:rPr>
                <w:rFonts w:eastAsia="Times New Roman" w:cs="Times New Roman"/>
                <w:color w:val="000000"/>
                <w:sz w:val="16"/>
                <w:szCs w:val="16"/>
                <w:lang w:eastAsia="sk-SK"/>
              </w:rPr>
              <w:t>200</w:t>
            </w:r>
          </w:p>
        </w:tc>
        <w:tc>
          <w:tcPr>
            <w:tcW w:w="875" w:type="dxa"/>
            <w:tcBorders>
              <w:top w:val="nil"/>
              <w:left w:val="nil"/>
              <w:bottom w:val="nil"/>
              <w:right w:val="nil"/>
            </w:tcBorders>
            <w:shd w:val="clear" w:color="auto" w:fill="auto"/>
            <w:noWrap/>
            <w:vAlign w:val="center"/>
            <w:hideMark/>
          </w:tcPr>
          <w:p w14:paraId="5B0C3A28" w14:textId="77777777" w:rsidR="00CB3C45" w:rsidRPr="004A5951" w:rsidRDefault="00CB3C45" w:rsidP="00842F2E">
            <w:pPr>
              <w:spacing w:after="0" w:line="240" w:lineRule="auto"/>
              <w:jc w:val="right"/>
              <w:rPr>
                <w:rFonts w:eastAsia="Times New Roman" w:cs="Times New Roman"/>
                <w:color w:val="000000"/>
                <w:sz w:val="16"/>
                <w:szCs w:val="16"/>
                <w:lang w:eastAsia="sk-SK"/>
              </w:rPr>
            </w:pPr>
            <w:r w:rsidRPr="004A5951">
              <w:rPr>
                <w:rFonts w:eastAsia="Times New Roman" w:cs="Times New Roman"/>
                <w:color w:val="000000"/>
                <w:sz w:val="16"/>
                <w:szCs w:val="16"/>
                <w:lang w:eastAsia="sk-SK"/>
              </w:rPr>
              <w:t>200</w:t>
            </w:r>
          </w:p>
        </w:tc>
        <w:tc>
          <w:tcPr>
            <w:tcW w:w="1159" w:type="dxa"/>
            <w:tcBorders>
              <w:top w:val="nil"/>
              <w:left w:val="nil"/>
              <w:bottom w:val="nil"/>
              <w:right w:val="nil"/>
            </w:tcBorders>
            <w:shd w:val="clear" w:color="auto" w:fill="auto"/>
            <w:noWrap/>
            <w:vAlign w:val="center"/>
            <w:hideMark/>
          </w:tcPr>
          <w:p w14:paraId="7F1FE798" w14:textId="77777777" w:rsidR="00CB3C45" w:rsidRPr="004A5951" w:rsidRDefault="00CB3C45" w:rsidP="00842F2E">
            <w:pPr>
              <w:spacing w:after="0" w:line="240" w:lineRule="auto"/>
              <w:jc w:val="right"/>
              <w:rPr>
                <w:rFonts w:eastAsia="Times New Roman" w:cs="Times New Roman"/>
                <w:sz w:val="16"/>
                <w:szCs w:val="16"/>
                <w:lang w:eastAsia="sk-SK"/>
              </w:rPr>
            </w:pPr>
            <w:r w:rsidRPr="004A5951">
              <w:rPr>
                <w:rFonts w:eastAsia="Times New Roman" w:cs="Times New Roman"/>
                <w:sz w:val="16"/>
                <w:szCs w:val="16"/>
                <w:lang w:eastAsia="sk-SK"/>
              </w:rPr>
              <w:t>200</w:t>
            </w:r>
          </w:p>
        </w:tc>
        <w:tc>
          <w:tcPr>
            <w:tcW w:w="1162" w:type="dxa"/>
            <w:tcBorders>
              <w:top w:val="nil"/>
              <w:left w:val="nil"/>
              <w:bottom w:val="nil"/>
              <w:right w:val="nil"/>
            </w:tcBorders>
            <w:shd w:val="clear" w:color="000000" w:fill="BFBFBF"/>
            <w:noWrap/>
            <w:vAlign w:val="center"/>
            <w:hideMark/>
          </w:tcPr>
          <w:p w14:paraId="0604B4F9" w14:textId="77777777" w:rsidR="00CB3C45" w:rsidRPr="004A5951" w:rsidRDefault="00CB3C45" w:rsidP="00842F2E">
            <w:pPr>
              <w:spacing w:after="0" w:line="240" w:lineRule="auto"/>
              <w:jc w:val="right"/>
              <w:rPr>
                <w:rFonts w:eastAsia="Times New Roman" w:cs="Times New Roman"/>
                <w:sz w:val="16"/>
                <w:szCs w:val="16"/>
                <w:lang w:eastAsia="sk-SK"/>
              </w:rPr>
            </w:pPr>
            <w:r w:rsidRPr="004A5951">
              <w:rPr>
                <w:rFonts w:eastAsia="Times New Roman" w:cs="Times New Roman"/>
                <w:sz w:val="16"/>
                <w:szCs w:val="16"/>
                <w:lang w:eastAsia="sk-SK"/>
              </w:rPr>
              <w:t>200</w:t>
            </w:r>
          </w:p>
        </w:tc>
        <w:tc>
          <w:tcPr>
            <w:tcW w:w="849" w:type="dxa"/>
            <w:tcBorders>
              <w:top w:val="nil"/>
              <w:left w:val="nil"/>
              <w:bottom w:val="nil"/>
              <w:right w:val="nil"/>
            </w:tcBorders>
            <w:shd w:val="clear" w:color="auto" w:fill="auto"/>
            <w:noWrap/>
            <w:vAlign w:val="center"/>
            <w:hideMark/>
          </w:tcPr>
          <w:p w14:paraId="7D9F6695" w14:textId="77777777" w:rsidR="00CB3C45" w:rsidRPr="004A5951" w:rsidRDefault="00CB3C45" w:rsidP="00842F2E">
            <w:pPr>
              <w:spacing w:after="0" w:line="240" w:lineRule="auto"/>
              <w:jc w:val="right"/>
              <w:rPr>
                <w:rFonts w:eastAsia="Times New Roman" w:cs="Times New Roman"/>
                <w:sz w:val="16"/>
                <w:szCs w:val="16"/>
                <w:lang w:eastAsia="sk-SK"/>
              </w:rPr>
            </w:pPr>
            <w:r w:rsidRPr="004A5951">
              <w:rPr>
                <w:rFonts w:eastAsia="Times New Roman" w:cs="Times New Roman"/>
                <w:sz w:val="16"/>
                <w:szCs w:val="16"/>
                <w:lang w:eastAsia="sk-SK"/>
              </w:rPr>
              <w:t>0</w:t>
            </w:r>
          </w:p>
        </w:tc>
      </w:tr>
      <w:tr w:rsidR="00CB3C45" w:rsidRPr="004A5951" w14:paraId="485EC9A9" w14:textId="77777777" w:rsidTr="00842F2E">
        <w:trPr>
          <w:trHeight w:val="299"/>
        </w:trPr>
        <w:tc>
          <w:tcPr>
            <w:tcW w:w="196" w:type="dxa"/>
            <w:tcBorders>
              <w:top w:val="nil"/>
              <w:left w:val="nil"/>
              <w:bottom w:val="nil"/>
              <w:right w:val="nil"/>
            </w:tcBorders>
            <w:shd w:val="clear" w:color="auto" w:fill="auto"/>
            <w:noWrap/>
            <w:vAlign w:val="center"/>
            <w:hideMark/>
          </w:tcPr>
          <w:p w14:paraId="1D16287F" w14:textId="77777777" w:rsidR="00CB3C45" w:rsidRPr="004A5951" w:rsidRDefault="00CB3C45" w:rsidP="00842F2E">
            <w:pPr>
              <w:spacing w:after="0" w:line="240" w:lineRule="auto"/>
              <w:jc w:val="right"/>
              <w:rPr>
                <w:rFonts w:eastAsia="Times New Roman" w:cs="Times New Roman"/>
                <w:sz w:val="16"/>
                <w:szCs w:val="16"/>
                <w:lang w:eastAsia="sk-SK"/>
              </w:rPr>
            </w:pPr>
          </w:p>
        </w:tc>
        <w:tc>
          <w:tcPr>
            <w:tcW w:w="196" w:type="dxa"/>
            <w:tcBorders>
              <w:top w:val="nil"/>
              <w:left w:val="nil"/>
              <w:bottom w:val="nil"/>
              <w:right w:val="nil"/>
            </w:tcBorders>
            <w:shd w:val="clear" w:color="auto" w:fill="auto"/>
            <w:noWrap/>
            <w:vAlign w:val="center"/>
            <w:hideMark/>
          </w:tcPr>
          <w:p w14:paraId="761C579E" w14:textId="77777777" w:rsidR="00CB3C45" w:rsidRPr="004A5951" w:rsidRDefault="00CB3C45" w:rsidP="00842F2E">
            <w:pPr>
              <w:spacing w:after="0" w:line="240" w:lineRule="auto"/>
              <w:jc w:val="left"/>
              <w:rPr>
                <w:rFonts w:eastAsia="Times New Roman" w:cs="Times New Roman"/>
                <w:sz w:val="16"/>
                <w:szCs w:val="16"/>
                <w:lang w:eastAsia="sk-SK"/>
              </w:rPr>
            </w:pPr>
          </w:p>
        </w:tc>
        <w:tc>
          <w:tcPr>
            <w:tcW w:w="3497" w:type="dxa"/>
            <w:tcBorders>
              <w:top w:val="nil"/>
              <w:left w:val="nil"/>
              <w:bottom w:val="nil"/>
              <w:right w:val="nil"/>
            </w:tcBorders>
            <w:shd w:val="clear" w:color="auto" w:fill="auto"/>
            <w:noWrap/>
            <w:vAlign w:val="center"/>
            <w:hideMark/>
          </w:tcPr>
          <w:p w14:paraId="385A2D2E" w14:textId="77777777" w:rsidR="00CB3C45" w:rsidRPr="004A5951" w:rsidRDefault="00CB3C45" w:rsidP="00842F2E">
            <w:pPr>
              <w:spacing w:after="0" w:line="240" w:lineRule="auto"/>
              <w:jc w:val="left"/>
              <w:rPr>
                <w:rFonts w:eastAsia="Times New Roman" w:cs="Times New Roman"/>
                <w:color w:val="000000"/>
                <w:sz w:val="16"/>
                <w:szCs w:val="16"/>
                <w:lang w:eastAsia="sk-SK"/>
              </w:rPr>
            </w:pPr>
            <w:r w:rsidRPr="004A5951">
              <w:rPr>
                <w:rFonts w:eastAsia="Times New Roman" w:cs="Times New Roman"/>
                <w:color w:val="000000"/>
                <w:sz w:val="16"/>
                <w:szCs w:val="16"/>
                <w:lang w:eastAsia="sk-SK"/>
              </w:rPr>
              <w:t>Technická inšpekcia, a.s.</w:t>
            </w:r>
          </w:p>
        </w:tc>
        <w:tc>
          <w:tcPr>
            <w:tcW w:w="792" w:type="dxa"/>
            <w:tcBorders>
              <w:top w:val="nil"/>
              <w:left w:val="nil"/>
              <w:bottom w:val="nil"/>
              <w:right w:val="nil"/>
            </w:tcBorders>
            <w:shd w:val="clear" w:color="auto" w:fill="auto"/>
            <w:noWrap/>
            <w:vAlign w:val="center"/>
            <w:hideMark/>
          </w:tcPr>
          <w:p w14:paraId="7683FD06" w14:textId="77777777" w:rsidR="00CB3C45" w:rsidRPr="004A5951" w:rsidRDefault="00CB3C45" w:rsidP="00842F2E">
            <w:pPr>
              <w:spacing w:after="0" w:line="240" w:lineRule="auto"/>
              <w:jc w:val="right"/>
              <w:rPr>
                <w:rFonts w:eastAsia="Times New Roman" w:cs="Times New Roman"/>
                <w:color w:val="000000"/>
                <w:sz w:val="16"/>
                <w:szCs w:val="16"/>
                <w:lang w:eastAsia="sk-SK"/>
              </w:rPr>
            </w:pPr>
            <w:r w:rsidRPr="004A5951">
              <w:rPr>
                <w:rFonts w:eastAsia="Times New Roman" w:cs="Times New Roman"/>
                <w:color w:val="000000"/>
                <w:sz w:val="16"/>
                <w:szCs w:val="16"/>
                <w:lang w:eastAsia="sk-SK"/>
              </w:rPr>
              <w:t>63</w:t>
            </w:r>
          </w:p>
        </w:tc>
        <w:tc>
          <w:tcPr>
            <w:tcW w:w="875" w:type="dxa"/>
            <w:tcBorders>
              <w:top w:val="nil"/>
              <w:left w:val="nil"/>
              <w:bottom w:val="nil"/>
              <w:right w:val="nil"/>
            </w:tcBorders>
            <w:shd w:val="clear" w:color="auto" w:fill="auto"/>
            <w:noWrap/>
            <w:vAlign w:val="center"/>
            <w:hideMark/>
          </w:tcPr>
          <w:p w14:paraId="408EBBAD" w14:textId="77777777" w:rsidR="00CB3C45" w:rsidRPr="004A5951" w:rsidRDefault="00CB3C45" w:rsidP="00842F2E">
            <w:pPr>
              <w:spacing w:after="0" w:line="240" w:lineRule="auto"/>
              <w:jc w:val="right"/>
              <w:rPr>
                <w:rFonts w:eastAsia="Times New Roman" w:cs="Times New Roman"/>
                <w:color w:val="000000"/>
                <w:sz w:val="16"/>
                <w:szCs w:val="16"/>
                <w:lang w:eastAsia="sk-SK"/>
              </w:rPr>
            </w:pPr>
            <w:r w:rsidRPr="004A5951">
              <w:rPr>
                <w:rFonts w:eastAsia="Times New Roman" w:cs="Times New Roman"/>
                <w:color w:val="000000"/>
                <w:sz w:val="16"/>
                <w:szCs w:val="16"/>
                <w:lang w:eastAsia="sk-SK"/>
              </w:rPr>
              <w:t>54</w:t>
            </w:r>
          </w:p>
        </w:tc>
        <w:tc>
          <w:tcPr>
            <w:tcW w:w="1159" w:type="dxa"/>
            <w:tcBorders>
              <w:top w:val="nil"/>
              <w:left w:val="nil"/>
              <w:bottom w:val="nil"/>
              <w:right w:val="nil"/>
            </w:tcBorders>
            <w:shd w:val="clear" w:color="auto" w:fill="auto"/>
            <w:noWrap/>
            <w:vAlign w:val="center"/>
            <w:hideMark/>
          </w:tcPr>
          <w:p w14:paraId="3EC2B649" w14:textId="77777777" w:rsidR="00CB3C45" w:rsidRPr="004A5951" w:rsidRDefault="00CB3C45" w:rsidP="00842F2E">
            <w:pPr>
              <w:spacing w:after="0" w:line="240" w:lineRule="auto"/>
              <w:jc w:val="right"/>
              <w:rPr>
                <w:rFonts w:eastAsia="Times New Roman" w:cs="Times New Roman"/>
                <w:color w:val="000000"/>
                <w:sz w:val="16"/>
                <w:szCs w:val="16"/>
                <w:lang w:eastAsia="sk-SK"/>
              </w:rPr>
            </w:pPr>
            <w:r w:rsidRPr="004A5951">
              <w:rPr>
                <w:rFonts w:eastAsia="Times New Roman" w:cs="Times New Roman"/>
                <w:color w:val="000000"/>
                <w:sz w:val="16"/>
                <w:szCs w:val="16"/>
                <w:lang w:eastAsia="sk-SK"/>
              </w:rPr>
              <w:t>78</w:t>
            </w:r>
          </w:p>
        </w:tc>
        <w:tc>
          <w:tcPr>
            <w:tcW w:w="1162" w:type="dxa"/>
            <w:tcBorders>
              <w:top w:val="nil"/>
              <w:left w:val="nil"/>
              <w:bottom w:val="nil"/>
              <w:right w:val="nil"/>
            </w:tcBorders>
            <w:shd w:val="clear" w:color="000000" w:fill="BFBFBF"/>
            <w:noWrap/>
            <w:vAlign w:val="center"/>
            <w:hideMark/>
          </w:tcPr>
          <w:p w14:paraId="4ED7F193" w14:textId="77777777" w:rsidR="00CB3C45" w:rsidRPr="004A5951" w:rsidRDefault="00CB3C45" w:rsidP="00842F2E">
            <w:pPr>
              <w:spacing w:after="0" w:line="240" w:lineRule="auto"/>
              <w:jc w:val="right"/>
              <w:rPr>
                <w:rFonts w:eastAsia="Times New Roman" w:cs="Times New Roman"/>
                <w:color w:val="000000"/>
                <w:sz w:val="16"/>
                <w:szCs w:val="16"/>
                <w:lang w:eastAsia="sk-SK"/>
              </w:rPr>
            </w:pPr>
            <w:r w:rsidRPr="004A5951">
              <w:rPr>
                <w:rFonts w:eastAsia="Times New Roman" w:cs="Times New Roman"/>
                <w:color w:val="000000"/>
                <w:sz w:val="16"/>
                <w:szCs w:val="16"/>
                <w:lang w:eastAsia="sk-SK"/>
              </w:rPr>
              <w:t>0</w:t>
            </w:r>
          </w:p>
        </w:tc>
        <w:tc>
          <w:tcPr>
            <w:tcW w:w="849" w:type="dxa"/>
            <w:tcBorders>
              <w:top w:val="nil"/>
              <w:left w:val="nil"/>
              <w:bottom w:val="nil"/>
              <w:right w:val="nil"/>
            </w:tcBorders>
            <w:shd w:val="clear" w:color="auto" w:fill="auto"/>
            <w:noWrap/>
            <w:vAlign w:val="center"/>
            <w:hideMark/>
          </w:tcPr>
          <w:p w14:paraId="4D5B7330" w14:textId="77777777" w:rsidR="00CB3C45" w:rsidRPr="004A5951" w:rsidRDefault="00CB3C45" w:rsidP="00842F2E">
            <w:pPr>
              <w:spacing w:after="0" w:line="240" w:lineRule="auto"/>
              <w:jc w:val="right"/>
              <w:rPr>
                <w:rFonts w:eastAsia="Times New Roman" w:cs="Times New Roman"/>
                <w:color w:val="000000"/>
                <w:sz w:val="16"/>
                <w:szCs w:val="16"/>
                <w:lang w:eastAsia="sk-SK"/>
              </w:rPr>
            </w:pPr>
            <w:r w:rsidRPr="004A5951">
              <w:rPr>
                <w:rFonts w:eastAsia="Times New Roman" w:cs="Times New Roman"/>
                <w:color w:val="000000"/>
                <w:sz w:val="16"/>
                <w:szCs w:val="16"/>
                <w:lang w:eastAsia="sk-SK"/>
              </w:rPr>
              <w:t>-78</w:t>
            </w:r>
          </w:p>
        </w:tc>
      </w:tr>
      <w:tr w:rsidR="00CB3C45" w:rsidRPr="004A5951" w14:paraId="498CCDEC" w14:textId="77777777" w:rsidTr="00842F2E">
        <w:trPr>
          <w:trHeight w:val="255"/>
        </w:trPr>
        <w:tc>
          <w:tcPr>
            <w:tcW w:w="196" w:type="dxa"/>
            <w:tcBorders>
              <w:top w:val="nil"/>
              <w:left w:val="nil"/>
              <w:bottom w:val="nil"/>
              <w:right w:val="nil"/>
            </w:tcBorders>
            <w:shd w:val="clear" w:color="auto" w:fill="auto"/>
            <w:noWrap/>
            <w:vAlign w:val="center"/>
            <w:hideMark/>
          </w:tcPr>
          <w:p w14:paraId="776B2E56" w14:textId="77777777" w:rsidR="00CB3C45" w:rsidRPr="004A5951" w:rsidRDefault="00CB3C45" w:rsidP="00842F2E">
            <w:pPr>
              <w:spacing w:after="0" w:line="240" w:lineRule="auto"/>
              <w:jc w:val="right"/>
              <w:rPr>
                <w:rFonts w:eastAsia="Times New Roman" w:cs="Times New Roman"/>
                <w:color w:val="000000"/>
                <w:sz w:val="16"/>
                <w:szCs w:val="16"/>
                <w:lang w:eastAsia="sk-SK"/>
              </w:rPr>
            </w:pPr>
          </w:p>
        </w:tc>
        <w:tc>
          <w:tcPr>
            <w:tcW w:w="196" w:type="dxa"/>
            <w:tcBorders>
              <w:top w:val="nil"/>
              <w:left w:val="nil"/>
              <w:bottom w:val="nil"/>
              <w:right w:val="nil"/>
            </w:tcBorders>
            <w:shd w:val="clear" w:color="auto" w:fill="auto"/>
            <w:noWrap/>
            <w:vAlign w:val="center"/>
            <w:hideMark/>
          </w:tcPr>
          <w:p w14:paraId="65DD8031" w14:textId="77777777" w:rsidR="00CB3C45" w:rsidRPr="004A5951" w:rsidRDefault="00CB3C45" w:rsidP="00842F2E">
            <w:pPr>
              <w:spacing w:after="0" w:line="240" w:lineRule="auto"/>
              <w:jc w:val="left"/>
              <w:rPr>
                <w:rFonts w:eastAsia="Times New Roman" w:cs="Times New Roman"/>
                <w:sz w:val="16"/>
                <w:szCs w:val="16"/>
                <w:lang w:eastAsia="sk-SK"/>
              </w:rPr>
            </w:pPr>
          </w:p>
        </w:tc>
        <w:tc>
          <w:tcPr>
            <w:tcW w:w="3497" w:type="dxa"/>
            <w:tcBorders>
              <w:top w:val="nil"/>
              <w:left w:val="nil"/>
              <w:bottom w:val="nil"/>
              <w:right w:val="nil"/>
            </w:tcBorders>
            <w:shd w:val="clear" w:color="auto" w:fill="auto"/>
            <w:noWrap/>
            <w:vAlign w:val="center"/>
            <w:hideMark/>
          </w:tcPr>
          <w:p w14:paraId="7D8BC7D1" w14:textId="77777777" w:rsidR="00CB3C45" w:rsidRPr="004A5951" w:rsidRDefault="00CB3C45" w:rsidP="00842F2E">
            <w:pPr>
              <w:spacing w:after="0" w:line="240" w:lineRule="auto"/>
              <w:jc w:val="left"/>
              <w:rPr>
                <w:rFonts w:eastAsia="Times New Roman" w:cs="Times New Roman"/>
                <w:color w:val="000000"/>
                <w:sz w:val="16"/>
                <w:szCs w:val="16"/>
                <w:lang w:eastAsia="sk-SK"/>
              </w:rPr>
            </w:pPr>
            <w:r w:rsidRPr="004A5951">
              <w:rPr>
                <w:rFonts w:eastAsia="Times New Roman" w:cs="Times New Roman"/>
                <w:color w:val="000000"/>
                <w:sz w:val="16"/>
                <w:szCs w:val="16"/>
                <w:lang w:eastAsia="sk-SK"/>
              </w:rPr>
              <w:t xml:space="preserve">Slovenská elektrizačná prenosová sústava, a.s. </w:t>
            </w:r>
          </w:p>
        </w:tc>
        <w:tc>
          <w:tcPr>
            <w:tcW w:w="792" w:type="dxa"/>
            <w:tcBorders>
              <w:top w:val="nil"/>
              <w:left w:val="nil"/>
              <w:bottom w:val="nil"/>
              <w:right w:val="nil"/>
            </w:tcBorders>
            <w:shd w:val="clear" w:color="auto" w:fill="auto"/>
            <w:noWrap/>
            <w:vAlign w:val="center"/>
            <w:hideMark/>
          </w:tcPr>
          <w:p w14:paraId="767D8BF7" w14:textId="77777777" w:rsidR="00CB3C45" w:rsidRPr="004A5951" w:rsidRDefault="00CB3C45" w:rsidP="00842F2E">
            <w:pPr>
              <w:spacing w:after="0" w:line="240" w:lineRule="auto"/>
              <w:jc w:val="right"/>
              <w:rPr>
                <w:rFonts w:eastAsia="Times New Roman" w:cs="Times New Roman"/>
                <w:color w:val="000000"/>
                <w:sz w:val="16"/>
                <w:szCs w:val="16"/>
                <w:lang w:eastAsia="sk-SK"/>
              </w:rPr>
            </w:pPr>
            <w:r w:rsidRPr="004A5951">
              <w:rPr>
                <w:rFonts w:eastAsia="Times New Roman" w:cs="Times New Roman"/>
                <w:color w:val="000000"/>
                <w:sz w:val="16"/>
                <w:szCs w:val="16"/>
                <w:lang w:eastAsia="sk-SK"/>
              </w:rPr>
              <w:t>59 000</w:t>
            </w:r>
          </w:p>
        </w:tc>
        <w:tc>
          <w:tcPr>
            <w:tcW w:w="875" w:type="dxa"/>
            <w:tcBorders>
              <w:top w:val="nil"/>
              <w:left w:val="nil"/>
              <w:bottom w:val="nil"/>
              <w:right w:val="nil"/>
            </w:tcBorders>
            <w:shd w:val="clear" w:color="auto" w:fill="auto"/>
            <w:noWrap/>
            <w:vAlign w:val="center"/>
            <w:hideMark/>
          </w:tcPr>
          <w:p w14:paraId="496F8A6D" w14:textId="77777777" w:rsidR="00CB3C45" w:rsidRPr="004A5951" w:rsidRDefault="00CB3C45" w:rsidP="00842F2E">
            <w:pPr>
              <w:spacing w:after="0" w:line="240" w:lineRule="auto"/>
              <w:jc w:val="right"/>
              <w:rPr>
                <w:rFonts w:eastAsia="Times New Roman" w:cs="Times New Roman"/>
                <w:color w:val="000000"/>
                <w:sz w:val="16"/>
                <w:szCs w:val="16"/>
                <w:lang w:eastAsia="sk-SK"/>
              </w:rPr>
            </w:pPr>
            <w:r w:rsidRPr="004A5951">
              <w:rPr>
                <w:rFonts w:eastAsia="Times New Roman" w:cs="Times New Roman"/>
                <w:color w:val="000000"/>
                <w:sz w:val="16"/>
                <w:szCs w:val="16"/>
                <w:lang w:eastAsia="sk-SK"/>
              </w:rPr>
              <w:t>50 000</w:t>
            </w:r>
          </w:p>
        </w:tc>
        <w:tc>
          <w:tcPr>
            <w:tcW w:w="1159" w:type="dxa"/>
            <w:tcBorders>
              <w:top w:val="nil"/>
              <w:left w:val="nil"/>
              <w:bottom w:val="nil"/>
              <w:right w:val="nil"/>
            </w:tcBorders>
            <w:shd w:val="clear" w:color="auto" w:fill="auto"/>
            <w:noWrap/>
            <w:vAlign w:val="center"/>
            <w:hideMark/>
          </w:tcPr>
          <w:p w14:paraId="571E4FA3" w14:textId="77777777" w:rsidR="00CB3C45" w:rsidRPr="004A5951" w:rsidRDefault="00CB3C45" w:rsidP="00842F2E">
            <w:pPr>
              <w:spacing w:after="0" w:line="240" w:lineRule="auto"/>
              <w:jc w:val="right"/>
              <w:rPr>
                <w:rFonts w:eastAsia="Times New Roman" w:cs="Times New Roman"/>
                <w:sz w:val="16"/>
                <w:szCs w:val="16"/>
                <w:lang w:eastAsia="sk-SK"/>
              </w:rPr>
            </w:pPr>
            <w:r w:rsidRPr="004A5951">
              <w:rPr>
                <w:rFonts w:eastAsia="Times New Roman" w:cs="Times New Roman"/>
                <w:sz w:val="16"/>
                <w:szCs w:val="16"/>
                <w:lang w:eastAsia="sk-SK"/>
              </w:rPr>
              <w:t>44 669</w:t>
            </w:r>
          </w:p>
        </w:tc>
        <w:tc>
          <w:tcPr>
            <w:tcW w:w="1162" w:type="dxa"/>
            <w:tcBorders>
              <w:top w:val="nil"/>
              <w:left w:val="nil"/>
              <w:bottom w:val="nil"/>
              <w:right w:val="nil"/>
            </w:tcBorders>
            <w:shd w:val="clear" w:color="000000" w:fill="BFBFBF"/>
            <w:noWrap/>
            <w:vAlign w:val="center"/>
            <w:hideMark/>
          </w:tcPr>
          <w:p w14:paraId="40E20A77" w14:textId="77777777" w:rsidR="00CB3C45" w:rsidRPr="004A5951" w:rsidRDefault="00CB3C45" w:rsidP="00842F2E">
            <w:pPr>
              <w:spacing w:after="0" w:line="240" w:lineRule="auto"/>
              <w:jc w:val="right"/>
              <w:rPr>
                <w:rFonts w:eastAsia="Times New Roman" w:cs="Times New Roman"/>
                <w:sz w:val="16"/>
                <w:szCs w:val="16"/>
                <w:lang w:eastAsia="sk-SK"/>
              </w:rPr>
            </w:pPr>
            <w:r w:rsidRPr="004A5951">
              <w:rPr>
                <w:rFonts w:eastAsia="Times New Roman" w:cs="Times New Roman"/>
                <w:sz w:val="16"/>
                <w:szCs w:val="16"/>
                <w:lang w:eastAsia="sk-SK"/>
              </w:rPr>
              <w:t>0</w:t>
            </w:r>
          </w:p>
        </w:tc>
        <w:tc>
          <w:tcPr>
            <w:tcW w:w="849" w:type="dxa"/>
            <w:tcBorders>
              <w:top w:val="nil"/>
              <w:left w:val="nil"/>
              <w:bottom w:val="nil"/>
              <w:right w:val="nil"/>
            </w:tcBorders>
            <w:shd w:val="clear" w:color="auto" w:fill="auto"/>
            <w:noWrap/>
            <w:vAlign w:val="center"/>
            <w:hideMark/>
          </w:tcPr>
          <w:p w14:paraId="3AB84070" w14:textId="77777777" w:rsidR="00CB3C45" w:rsidRPr="004A5951" w:rsidRDefault="00CB3C45" w:rsidP="00842F2E">
            <w:pPr>
              <w:spacing w:after="0" w:line="240" w:lineRule="auto"/>
              <w:jc w:val="right"/>
              <w:rPr>
                <w:rFonts w:eastAsia="Times New Roman" w:cs="Times New Roman"/>
                <w:sz w:val="16"/>
                <w:szCs w:val="16"/>
                <w:lang w:eastAsia="sk-SK"/>
              </w:rPr>
            </w:pPr>
            <w:r w:rsidRPr="004A5951">
              <w:rPr>
                <w:rFonts w:eastAsia="Times New Roman" w:cs="Times New Roman"/>
                <w:sz w:val="16"/>
                <w:szCs w:val="16"/>
                <w:lang w:eastAsia="sk-SK"/>
              </w:rPr>
              <w:t>-44 669</w:t>
            </w:r>
          </w:p>
        </w:tc>
      </w:tr>
      <w:tr w:rsidR="00CB3C45" w:rsidRPr="004A5951" w14:paraId="6CA5C20E" w14:textId="77777777" w:rsidTr="00842F2E">
        <w:trPr>
          <w:trHeight w:val="269"/>
        </w:trPr>
        <w:tc>
          <w:tcPr>
            <w:tcW w:w="196" w:type="dxa"/>
            <w:tcBorders>
              <w:top w:val="nil"/>
              <w:left w:val="nil"/>
              <w:bottom w:val="nil"/>
              <w:right w:val="nil"/>
            </w:tcBorders>
            <w:shd w:val="clear" w:color="auto" w:fill="auto"/>
            <w:noWrap/>
            <w:vAlign w:val="center"/>
            <w:hideMark/>
          </w:tcPr>
          <w:p w14:paraId="39C4AA48" w14:textId="77777777" w:rsidR="00CB3C45" w:rsidRPr="004A5951" w:rsidRDefault="00CB3C45" w:rsidP="00842F2E">
            <w:pPr>
              <w:spacing w:after="0" w:line="240" w:lineRule="auto"/>
              <w:jc w:val="right"/>
              <w:rPr>
                <w:rFonts w:eastAsia="Times New Roman" w:cs="Times New Roman"/>
                <w:sz w:val="16"/>
                <w:szCs w:val="16"/>
                <w:lang w:eastAsia="sk-SK"/>
              </w:rPr>
            </w:pPr>
          </w:p>
        </w:tc>
        <w:tc>
          <w:tcPr>
            <w:tcW w:w="196" w:type="dxa"/>
            <w:tcBorders>
              <w:top w:val="nil"/>
              <w:left w:val="nil"/>
              <w:bottom w:val="nil"/>
              <w:right w:val="nil"/>
            </w:tcBorders>
            <w:shd w:val="clear" w:color="auto" w:fill="auto"/>
            <w:noWrap/>
            <w:vAlign w:val="center"/>
            <w:hideMark/>
          </w:tcPr>
          <w:p w14:paraId="48C553F0" w14:textId="77777777" w:rsidR="00CB3C45" w:rsidRPr="004A5951" w:rsidRDefault="00CB3C45" w:rsidP="00842F2E">
            <w:pPr>
              <w:spacing w:after="0" w:line="240" w:lineRule="auto"/>
              <w:jc w:val="left"/>
              <w:rPr>
                <w:rFonts w:eastAsia="Times New Roman" w:cs="Times New Roman"/>
                <w:sz w:val="16"/>
                <w:szCs w:val="16"/>
                <w:lang w:eastAsia="sk-SK"/>
              </w:rPr>
            </w:pPr>
          </w:p>
        </w:tc>
        <w:tc>
          <w:tcPr>
            <w:tcW w:w="3497" w:type="dxa"/>
            <w:tcBorders>
              <w:top w:val="nil"/>
              <w:left w:val="nil"/>
              <w:bottom w:val="nil"/>
              <w:right w:val="nil"/>
            </w:tcBorders>
            <w:shd w:val="clear" w:color="auto" w:fill="auto"/>
            <w:noWrap/>
            <w:vAlign w:val="center"/>
            <w:hideMark/>
          </w:tcPr>
          <w:p w14:paraId="5531F87A" w14:textId="77777777" w:rsidR="00CB3C45" w:rsidRPr="004A5951" w:rsidRDefault="00CB3C45" w:rsidP="00842F2E">
            <w:pPr>
              <w:spacing w:after="0" w:line="240" w:lineRule="auto"/>
              <w:ind w:right="-211"/>
              <w:jc w:val="left"/>
              <w:rPr>
                <w:rFonts w:eastAsia="Times New Roman" w:cs="Times New Roman"/>
                <w:color w:val="000000"/>
                <w:sz w:val="16"/>
                <w:szCs w:val="16"/>
                <w:lang w:eastAsia="sk-SK"/>
              </w:rPr>
            </w:pPr>
            <w:r w:rsidRPr="004A5951">
              <w:rPr>
                <w:rFonts w:eastAsia="Times New Roman" w:cs="Times New Roman"/>
                <w:color w:val="000000"/>
                <w:sz w:val="16"/>
                <w:szCs w:val="16"/>
                <w:lang w:eastAsia="sk-SK"/>
              </w:rPr>
              <w:t>Slovenská záručná a rozvojová banka, a.s.</w:t>
            </w:r>
          </w:p>
        </w:tc>
        <w:tc>
          <w:tcPr>
            <w:tcW w:w="792" w:type="dxa"/>
            <w:tcBorders>
              <w:top w:val="nil"/>
              <w:left w:val="nil"/>
              <w:bottom w:val="nil"/>
              <w:right w:val="nil"/>
            </w:tcBorders>
            <w:shd w:val="clear" w:color="auto" w:fill="auto"/>
            <w:noWrap/>
            <w:vAlign w:val="center"/>
            <w:hideMark/>
          </w:tcPr>
          <w:p w14:paraId="79163570" w14:textId="77777777" w:rsidR="00CB3C45" w:rsidRPr="004A5951" w:rsidRDefault="00CB3C45" w:rsidP="00842F2E">
            <w:pPr>
              <w:spacing w:after="0" w:line="240" w:lineRule="auto"/>
              <w:jc w:val="right"/>
              <w:rPr>
                <w:rFonts w:eastAsia="Times New Roman" w:cs="Times New Roman"/>
                <w:color w:val="000000"/>
                <w:sz w:val="16"/>
                <w:szCs w:val="16"/>
                <w:lang w:eastAsia="sk-SK"/>
              </w:rPr>
            </w:pPr>
            <w:r w:rsidRPr="004A5951">
              <w:rPr>
                <w:rFonts w:eastAsia="Times New Roman" w:cs="Times New Roman"/>
                <w:color w:val="000000"/>
                <w:sz w:val="16"/>
                <w:szCs w:val="16"/>
                <w:lang w:eastAsia="sk-SK"/>
              </w:rPr>
              <w:t>2 350</w:t>
            </w:r>
          </w:p>
        </w:tc>
        <w:tc>
          <w:tcPr>
            <w:tcW w:w="875" w:type="dxa"/>
            <w:tcBorders>
              <w:top w:val="nil"/>
              <w:left w:val="nil"/>
              <w:bottom w:val="nil"/>
              <w:right w:val="nil"/>
            </w:tcBorders>
            <w:shd w:val="clear" w:color="auto" w:fill="auto"/>
            <w:noWrap/>
            <w:vAlign w:val="center"/>
            <w:hideMark/>
          </w:tcPr>
          <w:p w14:paraId="640CF0B6" w14:textId="77777777" w:rsidR="00CB3C45" w:rsidRPr="004A5951" w:rsidRDefault="00CB3C45" w:rsidP="00842F2E">
            <w:pPr>
              <w:spacing w:after="0" w:line="240" w:lineRule="auto"/>
              <w:jc w:val="right"/>
              <w:rPr>
                <w:rFonts w:eastAsia="Times New Roman" w:cs="Times New Roman"/>
                <w:color w:val="000000"/>
                <w:sz w:val="16"/>
                <w:szCs w:val="16"/>
                <w:lang w:eastAsia="sk-SK"/>
              </w:rPr>
            </w:pPr>
            <w:r w:rsidRPr="004A5951">
              <w:rPr>
                <w:rFonts w:eastAsia="Times New Roman" w:cs="Times New Roman"/>
                <w:color w:val="000000"/>
                <w:sz w:val="16"/>
                <w:szCs w:val="16"/>
                <w:lang w:eastAsia="sk-SK"/>
              </w:rPr>
              <w:t>4 173</w:t>
            </w:r>
          </w:p>
        </w:tc>
        <w:tc>
          <w:tcPr>
            <w:tcW w:w="1159" w:type="dxa"/>
            <w:tcBorders>
              <w:top w:val="nil"/>
              <w:left w:val="nil"/>
              <w:bottom w:val="nil"/>
              <w:right w:val="nil"/>
            </w:tcBorders>
            <w:shd w:val="clear" w:color="auto" w:fill="auto"/>
            <w:noWrap/>
            <w:vAlign w:val="center"/>
            <w:hideMark/>
          </w:tcPr>
          <w:p w14:paraId="5F7B6D07" w14:textId="77777777" w:rsidR="00CB3C45" w:rsidRPr="004A5951" w:rsidRDefault="00CB3C45" w:rsidP="00842F2E">
            <w:pPr>
              <w:spacing w:after="0" w:line="240" w:lineRule="auto"/>
              <w:jc w:val="right"/>
              <w:rPr>
                <w:rFonts w:eastAsia="Times New Roman" w:cs="Times New Roman"/>
                <w:sz w:val="16"/>
                <w:szCs w:val="16"/>
                <w:lang w:eastAsia="sk-SK"/>
              </w:rPr>
            </w:pPr>
            <w:r w:rsidRPr="004A5951">
              <w:rPr>
                <w:rFonts w:eastAsia="Times New Roman" w:cs="Times New Roman"/>
                <w:sz w:val="16"/>
                <w:szCs w:val="16"/>
                <w:lang w:eastAsia="sk-SK"/>
              </w:rPr>
              <w:t>500</w:t>
            </w:r>
          </w:p>
        </w:tc>
        <w:tc>
          <w:tcPr>
            <w:tcW w:w="1162" w:type="dxa"/>
            <w:tcBorders>
              <w:top w:val="nil"/>
              <w:left w:val="nil"/>
              <w:bottom w:val="nil"/>
              <w:right w:val="nil"/>
            </w:tcBorders>
            <w:shd w:val="clear" w:color="000000" w:fill="BFBFBF"/>
            <w:noWrap/>
            <w:vAlign w:val="center"/>
            <w:hideMark/>
          </w:tcPr>
          <w:p w14:paraId="1D128980" w14:textId="77777777" w:rsidR="00CB3C45" w:rsidRPr="004A5951" w:rsidRDefault="00CB3C45" w:rsidP="00842F2E">
            <w:pPr>
              <w:spacing w:after="0" w:line="240" w:lineRule="auto"/>
              <w:jc w:val="right"/>
              <w:rPr>
                <w:rFonts w:eastAsia="Times New Roman" w:cs="Times New Roman"/>
                <w:sz w:val="16"/>
                <w:szCs w:val="16"/>
                <w:lang w:eastAsia="sk-SK"/>
              </w:rPr>
            </w:pPr>
            <w:r w:rsidRPr="004A5951">
              <w:rPr>
                <w:rFonts w:eastAsia="Times New Roman" w:cs="Times New Roman"/>
                <w:sz w:val="16"/>
                <w:szCs w:val="16"/>
                <w:lang w:eastAsia="sk-SK"/>
              </w:rPr>
              <w:t>0</w:t>
            </w:r>
          </w:p>
        </w:tc>
        <w:tc>
          <w:tcPr>
            <w:tcW w:w="849" w:type="dxa"/>
            <w:tcBorders>
              <w:top w:val="nil"/>
              <w:left w:val="nil"/>
              <w:bottom w:val="nil"/>
              <w:right w:val="nil"/>
            </w:tcBorders>
            <w:shd w:val="clear" w:color="auto" w:fill="auto"/>
            <w:noWrap/>
            <w:vAlign w:val="center"/>
            <w:hideMark/>
          </w:tcPr>
          <w:p w14:paraId="6B31B2D0" w14:textId="77777777" w:rsidR="00CB3C45" w:rsidRPr="004A5951" w:rsidRDefault="00CB3C45" w:rsidP="00842F2E">
            <w:pPr>
              <w:spacing w:after="0" w:line="240" w:lineRule="auto"/>
              <w:jc w:val="right"/>
              <w:rPr>
                <w:rFonts w:eastAsia="Times New Roman" w:cs="Times New Roman"/>
                <w:sz w:val="16"/>
                <w:szCs w:val="16"/>
                <w:lang w:eastAsia="sk-SK"/>
              </w:rPr>
            </w:pPr>
            <w:r w:rsidRPr="004A5951">
              <w:rPr>
                <w:rFonts w:eastAsia="Times New Roman" w:cs="Times New Roman"/>
                <w:sz w:val="16"/>
                <w:szCs w:val="16"/>
                <w:lang w:eastAsia="sk-SK"/>
              </w:rPr>
              <w:t>-500</w:t>
            </w:r>
          </w:p>
        </w:tc>
      </w:tr>
      <w:tr w:rsidR="00CB3C45" w:rsidRPr="004A5951" w14:paraId="2C5C673B" w14:textId="77777777" w:rsidTr="00842F2E">
        <w:trPr>
          <w:trHeight w:val="255"/>
        </w:trPr>
        <w:tc>
          <w:tcPr>
            <w:tcW w:w="196" w:type="dxa"/>
            <w:tcBorders>
              <w:top w:val="nil"/>
              <w:left w:val="nil"/>
              <w:bottom w:val="nil"/>
              <w:right w:val="nil"/>
            </w:tcBorders>
            <w:shd w:val="clear" w:color="auto" w:fill="auto"/>
            <w:noWrap/>
            <w:vAlign w:val="center"/>
            <w:hideMark/>
          </w:tcPr>
          <w:p w14:paraId="2E1293E4" w14:textId="77777777" w:rsidR="00CB3C45" w:rsidRPr="004A5951" w:rsidRDefault="00CB3C45" w:rsidP="00842F2E">
            <w:pPr>
              <w:spacing w:after="0" w:line="240" w:lineRule="auto"/>
              <w:jc w:val="right"/>
              <w:rPr>
                <w:rFonts w:eastAsia="Times New Roman" w:cs="Times New Roman"/>
                <w:sz w:val="16"/>
                <w:szCs w:val="16"/>
                <w:lang w:eastAsia="sk-SK"/>
              </w:rPr>
            </w:pPr>
          </w:p>
        </w:tc>
        <w:tc>
          <w:tcPr>
            <w:tcW w:w="196" w:type="dxa"/>
            <w:tcBorders>
              <w:top w:val="nil"/>
              <w:left w:val="nil"/>
              <w:bottom w:val="nil"/>
              <w:right w:val="nil"/>
            </w:tcBorders>
            <w:shd w:val="clear" w:color="auto" w:fill="auto"/>
            <w:noWrap/>
            <w:vAlign w:val="center"/>
            <w:hideMark/>
          </w:tcPr>
          <w:p w14:paraId="19C04E99" w14:textId="77777777" w:rsidR="00CB3C45" w:rsidRPr="004A5951" w:rsidRDefault="00CB3C45" w:rsidP="00842F2E">
            <w:pPr>
              <w:spacing w:after="0" w:line="240" w:lineRule="auto"/>
              <w:jc w:val="left"/>
              <w:rPr>
                <w:rFonts w:eastAsia="Times New Roman" w:cs="Times New Roman"/>
                <w:sz w:val="16"/>
                <w:szCs w:val="16"/>
                <w:lang w:eastAsia="sk-SK"/>
              </w:rPr>
            </w:pPr>
          </w:p>
        </w:tc>
        <w:tc>
          <w:tcPr>
            <w:tcW w:w="3497" w:type="dxa"/>
            <w:tcBorders>
              <w:top w:val="nil"/>
              <w:left w:val="nil"/>
              <w:bottom w:val="nil"/>
              <w:right w:val="nil"/>
            </w:tcBorders>
            <w:shd w:val="clear" w:color="auto" w:fill="auto"/>
            <w:noWrap/>
            <w:vAlign w:val="center"/>
            <w:hideMark/>
          </w:tcPr>
          <w:p w14:paraId="019402FA" w14:textId="77777777" w:rsidR="00CB3C45" w:rsidRPr="004A5951" w:rsidRDefault="00CB3C45" w:rsidP="00842F2E">
            <w:pPr>
              <w:spacing w:after="0" w:line="240" w:lineRule="auto"/>
              <w:jc w:val="left"/>
              <w:rPr>
                <w:rFonts w:eastAsia="Times New Roman" w:cs="Times New Roman"/>
                <w:color w:val="000000"/>
                <w:sz w:val="16"/>
                <w:szCs w:val="16"/>
                <w:lang w:eastAsia="sk-SK"/>
              </w:rPr>
            </w:pPr>
            <w:r w:rsidRPr="004A5951">
              <w:rPr>
                <w:rFonts w:eastAsia="Times New Roman" w:cs="Times New Roman"/>
                <w:color w:val="000000"/>
                <w:sz w:val="16"/>
                <w:szCs w:val="16"/>
                <w:lang w:eastAsia="sk-SK"/>
              </w:rPr>
              <w:t>Lesy Slovenskej republiky š. p.</w:t>
            </w:r>
          </w:p>
        </w:tc>
        <w:tc>
          <w:tcPr>
            <w:tcW w:w="792" w:type="dxa"/>
            <w:tcBorders>
              <w:top w:val="nil"/>
              <w:left w:val="nil"/>
              <w:bottom w:val="nil"/>
              <w:right w:val="nil"/>
            </w:tcBorders>
            <w:shd w:val="clear" w:color="auto" w:fill="auto"/>
            <w:noWrap/>
            <w:vAlign w:val="center"/>
            <w:hideMark/>
          </w:tcPr>
          <w:p w14:paraId="2642D78F" w14:textId="77777777" w:rsidR="00CB3C45" w:rsidRPr="004A5951" w:rsidRDefault="00CB3C45" w:rsidP="00842F2E">
            <w:pPr>
              <w:spacing w:after="0" w:line="240" w:lineRule="auto"/>
              <w:jc w:val="right"/>
              <w:rPr>
                <w:rFonts w:eastAsia="Times New Roman" w:cs="Times New Roman"/>
                <w:color w:val="000000"/>
                <w:sz w:val="16"/>
                <w:szCs w:val="16"/>
                <w:lang w:eastAsia="sk-SK"/>
              </w:rPr>
            </w:pPr>
            <w:r w:rsidRPr="004A5951">
              <w:rPr>
                <w:rFonts w:eastAsia="Times New Roman" w:cs="Times New Roman"/>
                <w:color w:val="000000"/>
                <w:sz w:val="16"/>
                <w:szCs w:val="16"/>
                <w:lang w:eastAsia="sk-SK"/>
              </w:rPr>
              <w:t>5 000</w:t>
            </w:r>
          </w:p>
        </w:tc>
        <w:tc>
          <w:tcPr>
            <w:tcW w:w="875" w:type="dxa"/>
            <w:tcBorders>
              <w:top w:val="nil"/>
              <w:left w:val="nil"/>
              <w:bottom w:val="nil"/>
              <w:right w:val="nil"/>
            </w:tcBorders>
            <w:shd w:val="clear" w:color="auto" w:fill="auto"/>
            <w:noWrap/>
            <w:vAlign w:val="center"/>
            <w:hideMark/>
          </w:tcPr>
          <w:p w14:paraId="6D545F44" w14:textId="77777777" w:rsidR="00CB3C45" w:rsidRPr="004A5951" w:rsidRDefault="00CB3C45" w:rsidP="00842F2E">
            <w:pPr>
              <w:spacing w:after="0" w:line="240" w:lineRule="auto"/>
              <w:jc w:val="right"/>
              <w:rPr>
                <w:rFonts w:eastAsia="Times New Roman" w:cs="Times New Roman"/>
                <w:color w:val="000000"/>
                <w:sz w:val="16"/>
                <w:szCs w:val="16"/>
                <w:lang w:eastAsia="sk-SK"/>
              </w:rPr>
            </w:pPr>
            <w:r w:rsidRPr="004A5951">
              <w:rPr>
                <w:rFonts w:eastAsia="Times New Roman" w:cs="Times New Roman"/>
                <w:color w:val="000000"/>
                <w:sz w:val="16"/>
                <w:szCs w:val="16"/>
                <w:lang w:eastAsia="sk-SK"/>
              </w:rPr>
              <w:t>5 000</w:t>
            </w:r>
          </w:p>
        </w:tc>
        <w:tc>
          <w:tcPr>
            <w:tcW w:w="1159" w:type="dxa"/>
            <w:tcBorders>
              <w:top w:val="nil"/>
              <w:left w:val="nil"/>
              <w:bottom w:val="nil"/>
              <w:right w:val="nil"/>
            </w:tcBorders>
            <w:shd w:val="clear" w:color="auto" w:fill="auto"/>
            <w:noWrap/>
            <w:vAlign w:val="center"/>
            <w:hideMark/>
          </w:tcPr>
          <w:p w14:paraId="58D7A2A2" w14:textId="77777777" w:rsidR="00CB3C45" w:rsidRPr="004A5951" w:rsidRDefault="00CB3C45" w:rsidP="00842F2E">
            <w:pPr>
              <w:spacing w:after="0" w:line="240" w:lineRule="auto"/>
              <w:jc w:val="right"/>
              <w:rPr>
                <w:rFonts w:eastAsia="Times New Roman" w:cs="Times New Roman"/>
                <w:sz w:val="16"/>
                <w:szCs w:val="16"/>
                <w:lang w:eastAsia="sk-SK"/>
              </w:rPr>
            </w:pPr>
            <w:r w:rsidRPr="004A5951">
              <w:rPr>
                <w:rFonts w:eastAsia="Times New Roman" w:cs="Times New Roman"/>
                <w:sz w:val="16"/>
                <w:szCs w:val="16"/>
                <w:lang w:eastAsia="sk-SK"/>
              </w:rPr>
              <w:t>0</w:t>
            </w:r>
          </w:p>
        </w:tc>
        <w:tc>
          <w:tcPr>
            <w:tcW w:w="1162" w:type="dxa"/>
            <w:tcBorders>
              <w:top w:val="nil"/>
              <w:left w:val="nil"/>
              <w:bottom w:val="nil"/>
              <w:right w:val="nil"/>
            </w:tcBorders>
            <w:shd w:val="clear" w:color="000000" w:fill="BFBFBF"/>
            <w:noWrap/>
            <w:vAlign w:val="center"/>
            <w:hideMark/>
          </w:tcPr>
          <w:p w14:paraId="63870AE0" w14:textId="77777777" w:rsidR="00CB3C45" w:rsidRPr="004A5951" w:rsidRDefault="00CB3C45" w:rsidP="00842F2E">
            <w:pPr>
              <w:spacing w:after="0" w:line="240" w:lineRule="auto"/>
              <w:jc w:val="right"/>
              <w:rPr>
                <w:rFonts w:eastAsia="Times New Roman" w:cs="Times New Roman"/>
                <w:sz w:val="16"/>
                <w:szCs w:val="16"/>
                <w:lang w:eastAsia="sk-SK"/>
              </w:rPr>
            </w:pPr>
            <w:r w:rsidRPr="004A5951">
              <w:rPr>
                <w:rFonts w:eastAsia="Times New Roman" w:cs="Times New Roman"/>
                <w:sz w:val="16"/>
                <w:szCs w:val="16"/>
                <w:lang w:eastAsia="sk-SK"/>
              </w:rPr>
              <w:t>0</w:t>
            </w:r>
          </w:p>
        </w:tc>
        <w:tc>
          <w:tcPr>
            <w:tcW w:w="849" w:type="dxa"/>
            <w:tcBorders>
              <w:top w:val="nil"/>
              <w:left w:val="nil"/>
              <w:bottom w:val="nil"/>
              <w:right w:val="nil"/>
            </w:tcBorders>
            <w:shd w:val="clear" w:color="auto" w:fill="auto"/>
            <w:noWrap/>
            <w:vAlign w:val="center"/>
            <w:hideMark/>
          </w:tcPr>
          <w:p w14:paraId="4EB90E0A" w14:textId="77777777" w:rsidR="00CB3C45" w:rsidRPr="004A5951" w:rsidRDefault="00CB3C45" w:rsidP="00842F2E">
            <w:pPr>
              <w:spacing w:after="0" w:line="240" w:lineRule="auto"/>
              <w:jc w:val="right"/>
              <w:rPr>
                <w:rFonts w:eastAsia="Times New Roman" w:cs="Times New Roman"/>
                <w:sz w:val="16"/>
                <w:szCs w:val="16"/>
                <w:lang w:eastAsia="sk-SK"/>
              </w:rPr>
            </w:pPr>
            <w:r w:rsidRPr="004A5951">
              <w:rPr>
                <w:rFonts w:eastAsia="Times New Roman" w:cs="Times New Roman"/>
                <w:sz w:val="16"/>
                <w:szCs w:val="16"/>
                <w:lang w:eastAsia="sk-SK"/>
              </w:rPr>
              <w:t>0</w:t>
            </w:r>
          </w:p>
        </w:tc>
      </w:tr>
      <w:tr w:rsidR="00CB3C45" w:rsidRPr="004A5951" w14:paraId="22067E9F" w14:textId="77777777" w:rsidTr="00842F2E">
        <w:trPr>
          <w:trHeight w:val="255"/>
        </w:trPr>
        <w:tc>
          <w:tcPr>
            <w:tcW w:w="196" w:type="dxa"/>
            <w:tcBorders>
              <w:top w:val="nil"/>
              <w:left w:val="nil"/>
              <w:bottom w:val="nil"/>
              <w:right w:val="nil"/>
            </w:tcBorders>
            <w:shd w:val="clear" w:color="auto" w:fill="auto"/>
            <w:noWrap/>
            <w:vAlign w:val="center"/>
            <w:hideMark/>
          </w:tcPr>
          <w:p w14:paraId="6FF114DA" w14:textId="77777777" w:rsidR="00CB3C45" w:rsidRPr="004A5951" w:rsidRDefault="00CB3C45" w:rsidP="00842F2E">
            <w:pPr>
              <w:spacing w:after="0" w:line="240" w:lineRule="auto"/>
              <w:jc w:val="right"/>
              <w:rPr>
                <w:rFonts w:eastAsia="Times New Roman" w:cs="Times New Roman"/>
                <w:sz w:val="16"/>
                <w:szCs w:val="16"/>
                <w:lang w:eastAsia="sk-SK"/>
              </w:rPr>
            </w:pPr>
          </w:p>
        </w:tc>
        <w:tc>
          <w:tcPr>
            <w:tcW w:w="196" w:type="dxa"/>
            <w:tcBorders>
              <w:top w:val="nil"/>
              <w:left w:val="nil"/>
              <w:bottom w:val="nil"/>
              <w:right w:val="nil"/>
            </w:tcBorders>
            <w:shd w:val="clear" w:color="auto" w:fill="auto"/>
            <w:noWrap/>
            <w:vAlign w:val="center"/>
            <w:hideMark/>
          </w:tcPr>
          <w:p w14:paraId="0EB9E7E8" w14:textId="77777777" w:rsidR="00CB3C45" w:rsidRPr="004A5951" w:rsidRDefault="00CB3C45" w:rsidP="00842F2E">
            <w:pPr>
              <w:spacing w:after="0" w:line="240" w:lineRule="auto"/>
              <w:jc w:val="left"/>
              <w:rPr>
                <w:rFonts w:eastAsia="Times New Roman" w:cs="Times New Roman"/>
                <w:sz w:val="16"/>
                <w:szCs w:val="16"/>
                <w:lang w:eastAsia="sk-SK"/>
              </w:rPr>
            </w:pPr>
          </w:p>
        </w:tc>
        <w:tc>
          <w:tcPr>
            <w:tcW w:w="3497" w:type="dxa"/>
            <w:tcBorders>
              <w:top w:val="nil"/>
              <w:left w:val="nil"/>
              <w:bottom w:val="nil"/>
              <w:right w:val="nil"/>
            </w:tcBorders>
            <w:shd w:val="clear" w:color="auto" w:fill="auto"/>
            <w:noWrap/>
            <w:vAlign w:val="center"/>
            <w:hideMark/>
          </w:tcPr>
          <w:p w14:paraId="0D027ABD" w14:textId="77777777" w:rsidR="00CB3C45" w:rsidRPr="004A5951" w:rsidRDefault="00CB3C45" w:rsidP="00842F2E">
            <w:pPr>
              <w:spacing w:after="0" w:line="240" w:lineRule="auto"/>
              <w:jc w:val="left"/>
              <w:rPr>
                <w:rFonts w:eastAsia="Times New Roman" w:cs="Times New Roman"/>
                <w:color w:val="000000"/>
                <w:sz w:val="16"/>
                <w:szCs w:val="16"/>
                <w:lang w:eastAsia="sk-SK"/>
              </w:rPr>
            </w:pPr>
            <w:r w:rsidRPr="004A5951">
              <w:rPr>
                <w:rFonts w:eastAsia="Times New Roman" w:cs="Times New Roman"/>
                <w:color w:val="000000"/>
                <w:sz w:val="16"/>
                <w:szCs w:val="16"/>
                <w:lang w:eastAsia="sk-SK"/>
              </w:rPr>
              <w:t>Poštová banka, a.s.</w:t>
            </w:r>
          </w:p>
        </w:tc>
        <w:tc>
          <w:tcPr>
            <w:tcW w:w="792" w:type="dxa"/>
            <w:tcBorders>
              <w:top w:val="nil"/>
              <w:left w:val="nil"/>
              <w:bottom w:val="nil"/>
              <w:right w:val="nil"/>
            </w:tcBorders>
            <w:shd w:val="clear" w:color="auto" w:fill="auto"/>
            <w:noWrap/>
            <w:vAlign w:val="center"/>
            <w:hideMark/>
          </w:tcPr>
          <w:p w14:paraId="332B54C4" w14:textId="77777777" w:rsidR="00CB3C45" w:rsidRPr="004A5951" w:rsidRDefault="00CB3C45" w:rsidP="00842F2E">
            <w:pPr>
              <w:spacing w:after="0" w:line="240" w:lineRule="auto"/>
              <w:jc w:val="right"/>
              <w:rPr>
                <w:rFonts w:eastAsia="Times New Roman" w:cs="Times New Roman"/>
                <w:color w:val="000000"/>
                <w:sz w:val="16"/>
                <w:szCs w:val="16"/>
                <w:lang w:eastAsia="sk-SK"/>
              </w:rPr>
            </w:pPr>
            <w:r w:rsidRPr="004A5951">
              <w:rPr>
                <w:rFonts w:eastAsia="Times New Roman" w:cs="Times New Roman"/>
                <w:color w:val="000000"/>
                <w:sz w:val="16"/>
                <w:szCs w:val="16"/>
                <w:lang w:eastAsia="sk-SK"/>
              </w:rPr>
              <w:t>7</w:t>
            </w:r>
          </w:p>
        </w:tc>
        <w:tc>
          <w:tcPr>
            <w:tcW w:w="875" w:type="dxa"/>
            <w:tcBorders>
              <w:top w:val="nil"/>
              <w:left w:val="nil"/>
              <w:bottom w:val="nil"/>
              <w:right w:val="nil"/>
            </w:tcBorders>
            <w:shd w:val="clear" w:color="auto" w:fill="auto"/>
            <w:noWrap/>
            <w:vAlign w:val="center"/>
            <w:hideMark/>
          </w:tcPr>
          <w:p w14:paraId="205FAE35" w14:textId="77777777" w:rsidR="00CB3C45" w:rsidRPr="004A5951" w:rsidRDefault="00CB3C45" w:rsidP="00842F2E">
            <w:pPr>
              <w:spacing w:after="0" w:line="240" w:lineRule="auto"/>
              <w:jc w:val="right"/>
              <w:rPr>
                <w:rFonts w:eastAsia="Times New Roman" w:cs="Times New Roman"/>
                <w:color w:val="000000"/>
                <w:sz w:val="16"/>
                <w:szCs w:val="16"/>
                <w:lang w:eastAsia="sk-SK"/>
              </w:rPr>
            </w:pPr>
            <w:r w:rsidRPr="004A5951">
              <w:rPr>
                <w:rFonts w:eastAsia="Times New Roman" w:cs="Times New Roman"/>
                <w:color w:val="000000"/>
                <w:sz w:val="16"/>
                <w:szCs w:val="16"/>
                <w:lang w:eastAsia="sk-SK"/>
              </w:rPr>
              <w:t>11</w:t>
            </w:r>
          </w:p>
        </w:tc>
        <w:tc>
          <w:tcPr>
            <w:tcW w:w="1159" w:type="dxa"/>
            <w:tcBorders>
              <w:top w:val="nil"/>
              <w:left w:val="nil"/>
              <w:bottom w:val="nil"/>
              <w:right w:val="nil"/>
            </w:tcBorders>
            <w:shd w:val="clear" w:color="auto" w:fill="auto"/>
            <w:vAlign w:val="center"/>
            <w:hideMark/>
          </w:tcPr>
          <w:p w14:paraId="11AAFA47" w14:textId="77777777" w:rsidR="00CB3C45" w:rsidRPr="004A5951" w:rsidRDefault="00CB3C45" w:rsidP="00842F2E">
            <w:pPr>
              <w:spacing w:after="0" w:line="240" w:lineRule="auto"/>
              <w:jc w:val="right"/>
              <w:rPr>
                <w:rFonts w:eastAsia="Times New Roman" w:cs="Times New Roman"/>
                <w:sz w:val="16"/>
                <w:szCs w:val="16"/>
                <w:lang w:eastAsia="sk-SK"/>
              </w:rPr>
            </w:pPr>
            <w:r w:rsidRPr="004A5951">
              <w:rPr>
                <w:rFonts w:eastAsia="Times New Roman" w:cs="Times New Roman"/>
                <w:sz w:val="16"/>
                <w:szCs w:val="16"/>
                <w:lang w:eastAsia="sk-SK"/>
              </w:rPr>
              <w:t>0</w:t>
            </w:r>
          </w:p>
        </w:tc>
        <w:tc>
          <w:tcPr>
            <w:tcW w:w="1162" w:type="dxa"/>
            <w:tcBorders>
              <w:top w:val="nil"/>
              <w:left w:val="nil"/>
              <w:bottom w:val="nil"/>
              <w:right w:val="nil"/>
            </w:tcBorders>
            <w:shd w:val="clear" w:color="000000" w:fill="BFBFBF"/>
            <w:vAlign w:val="center"/>
            <w:hideMark/>
          </w:tcPr>
          <w:p w14:paraId="67503328" w14:textId="77777777" w:rsidR="00CB3C45" w:rsidRPr="004A5951" w:rsidRDefault="00CB3C45" w:rsidP="00842F2E">
            <w:pPr>
              <w:spacing w:after="0" w:line="240" w:lineRule="auto"/>
              <w:jc w:val="right"/>
              <w:rPr>
                <w:rFonts w:eastAsia="Times New Roman" w:cs="Times New Roman"/>
                <w:sz w:val="16"/>
                <w:szCs w:val="16"/>
                <w:lang w:eastAsia="sk-SK"/>
              </w:rPr>
            </w:pPr>
            <w:r w:rsidRPr="004A5951">
              <w:rPr>
                <w:rFonts w:eastAsia="Times New Roman" w:cs="Times New Roman"/>
                <w:sz w:val="16"/>
                <w:szCs w:val="16"/>
                <w:lang w:eastAsia="sk-SK"/>
              </w:rPr>
              <w:t>0</w:t>
            </w:r>
          </w:p>
        </w:tc>
        <w:tc>
          <w:tcPr>
            <w:tcW w:w="849" w:type="dxa"/>
            <w:tcBorders>
              <w:top w:val="nil"/>
              <w:left w:val="nil"/>
              <w:bottom w:val="nil"/>
              <w:right w:val="nil"/>
            </w:tcBorders>
            <w:shd w:val="clear" w:color="auto" w:fill="auto"/>
            <w:vAlign w:val="center"/>
            <w:hideMark/>
          </w:tcPr>
          <w:p w14:paraId="0AC77CAC" w14:textId="77777777" w:rsidR="00CB3C45" w:rsidRPr="004A5951" w:rsidRDefault="00CB3C45" w:rsidP="00842F2E">
            <w:pPr>
              <w:spacing w:after="0" w:line="240" w:lineRule="auto"/>
              <w:jc w:val="right"/>
              <w:rPr>
                <w:rFonts w:eastAsia="Times New Roman" w:cs="Times New Roman"/>
                <w:sz w:val="16"/>
                <w:szCs w:val="16"/>
                <w:lang w:eastAsia="sk-SK"/>
              </w:rPr>
            </w:pPr>
            <w:r w:rsidRPr="004A5951">
              <w:rPr>
                <w:rFonts w:eastAsia="Times New Roman" w:cs="Times New Roman"/>
                <w:sz w:val="16"/>
                <w:szCs w:val="16"/>
                <w:lang w:eastAsia="sk-SK"/>
              </w:rPr>
              <w:t>0</w:t>
            </w:r>
          </w:p>
        </w:tc>
      </w:tr>
      <w:tr w:rsidR="00CB3C45" w:rsidRPr="004A5951" w14:paraId="6BDA475B" w14:textId="77777777" w:rsidTr="00842F2E">
        <w:trPr>
          <w:trHeight w:val="255"/>
        </w:trPr>
        <w:tc>
          <w:tcPr>
            <w:tcW w:w="196" w:type="dxa"/>
            <w:tcBorders>
              <w:top w:val="nil"/>
              <w:left w:val="nil"/>
              <w:bottom w:val="nil"/>
              <w:right w:val="nil"/>
            </w:tcBorders>
            <w:shd w:val="clear" w:color="auto" w:fill="auto"/>
            <w:noWrap/>
            <w:vAlign w:val="center"/>
            <w:hideMark/>
          </w:tcPr>
          <w:p w14:paraId="6E344CB6" w14:textId="77777777" w:rsidR="00CB3C45" w:rsidRPr="004A5951" w:rsidRDefault="00CB3C45" w:rsidP="00842F2E">
            <w:pPr>
              <w:spacing w:after="0" w:line="240" w:lineRule="auto"/>
              <w:jc w:val="right"/>
              <w:rPr>
                <w:rFonts w:eastAsia="Times New Roman" w:cs="Times New Roman"/>
                <w:sz w:val="16"/>
                <w:szCs w:val="16"/>
                <w:lang w:eastAsia="sk-SK"/>
              </w:rPr>
            </w:pPr>
          </w:p>
        </w:tc>
        <w:tc>
          <w:tcPr>
            <w:tcW w:w="196" w:type="dxa"/>
            <w:tcBorders>
              <w:top w:val="nil"/>
              <w:left w:val="nil"/>
              <w:bottom w:val="nil"/>
              <w:right w:val="nil"/>
            </w:tcBorders>
            <w:shd w:val="clear" w:color="auto" w:fill="auto"/>
            <w:noWrap/>
            <w:vAlign w:val="center"/>
            <w:hideMark/>
          </w:tcPr>
          <w:p w14:paraId="676FCFBC" w14:textId="77777777" w:rsidR="00CB3C45" w:rsidRPr="004A5951" w:rsidRDefault="00CB3C45" w:rsidP="00842F2E">
            <w:pPr>
              <w:spacing w:after="0" w:line="240" w:lineRule="auto"/>
              <w:jc w:val="left"/>
              <w:rPr>
                <w:rFonts w:eastAsia="Times New Roman" w:cs="Times New Roman"/>
                <w:sz w:val="16"/>
                <w:szCs w:val="16"/>
                <w:lang w:eastAsia="sk-SK"/>
              </w:rPr>
            </w:pPr>
          </w:p>
        </w:tc>
        <w:tc>
          <w:tcPr>
            <w:tcW w:w="3497" w:type="dxa"/>
            <w:tcBorders>
              <w:top w:val="nil"/>
              <w:left w:val="nil"/>
              <w:bottom w:val="nil"/>
              <w:right w:val="nil"/>
            </w:tcBorders>
            <w:shd w:val="clear" w:color="auto" w:fill="auto"/>
            <w:noWrap/>
            <w:vAlign w:val="center"/>
            <w:hideMark/>
          </w:tcPr>
          <w:p w14:paraId="4781559C" w14:textId="77777777" w:rsidR="00CB3C45" w:rsidRPr="004A5951" w:rsidRDefault="00CB3C45" w:rsidP="00842F2E">
            <w:pPr>
              <w:spacing w:after="0" w:line="240" w:lineRule="auto"/>
              <w:jc w:val="left"/>
              <w:rPr>
                <w:rFonts w:eastAsia="Times New Roman" w:cs="Times New Roman"/>
                <w:color w:val="000000"/>
                <w:sz w:val="16"/>
                <w:szCs w:val="16"/>
                <w:lang w:eastAsia="sk-SK"/>
              </w:rPr>
            </w:pPr>
            <w:r w:rsidRPr="004A5951">
              <w:rPr>
                <w:rFonts w:eastAsia="Times New Roman" w:cs="Times New Roman"/>
                <w:color w:val="000000"/>
                <w:sz w:val="16"/>
                <w:szCs w:val="16"/>
                <w:lang w:eastAsia="sk-SK"/>
              </w:rPr>
              <w:t>Letisko Sliač, a.s.</w:t>
            </w:r>
          </w:p>
        </w:tc>
        <w:tc>
          <w:tcPr>
            <w:tcW w:w="792" w:type="dxa"/>
            <w:tcBorders>
              <w:top w:val="nil"/>
              <w:left w:val="nil"/>
              <w:bottom w:val="nil"/>
              <w:right w:val="nil"/>
            </w:tcBorders>
            <w:shd w:val="clear" w:color="auto" w:fill="auto"/>
            <w:noWrap/>
            <w:vAlign w:val="center"/>
            <w:hideMark/>
          </w:tcPr>
          <w:p w14:paraId="47BE143E" w14:textId="77777777" w:rsidR="00CB3C45" w:rsidRPr="004A5951" w:rsidRDefault="00CB3C45" w:rsidP="00842F2E">
            <w:pPr>
              <w:spacing w:after="0" w:line="240" w:lineRule="auto"/>
              <w:jc w:val="right"/>
              <w:rPr>
                <w:rFonts w:eastAsia="Times New Roman" w:cs="Times New Roman"/>
                <w:color w:val="000000"/>
                <w:sz w:val="16"/>
                <w:szCs w:val="16"/>
                <w:lang w:eastAsia="sk-SK"/>
              </w:rPr>
            </w:pPr>
            <w:r w:rsidRPr="004A5951">
              <w:rPr>
                <w:rFonts w:eastAsia="Times New Roman" w:cs="Times New Roman"/>
                <w:color w:val="000000"/>
                <w:sz w:val="16"/>
                <w:szCs w:val="16"/>
                <w:lang w:eastAsia="sk-SK"/>
              </w:rPr>
              <w:t>20</w:t>
            </w:r>
          </w:p>
        </w:tc>
        <w:tc>
          <w:tcPr>
            <w:tcW w:w="875" w:type="dxa"/>
            <w:tcBorders>
              <w:top w:val="nil"/>
              <w:left w:val="nil"/>
              <w:bottom w:val="nil"/>
              <w:right w:val="nil"/>
            </w:tcBorders>
            <w:shd w:val="clear" w:color="auto" w:fill="auto"/>
            <w:noWrap/>
            <w:vAlign w:val="center"/>
            <w:hideMark/>
          </w:tcPr>
          <w:p w14:paraId="621B6ECE" w14:textId="77777777" w:rsidR="00CB3C45" w:rsidRPr="004A5951" w:rsidRDefault="00CB3C45" w:rsidP="00842F2E">
            <w:pPr>
              <w:spacing w:after="0" w:line="240" w:lineRule="auto"/>
              <w:jc w:val="right"/>
              <w:rPr>
                <w:rFonts w:eastAsia="Times New Roman" w:cs="Times New Roman"/>
                <w:color w:val="000000"/>
                <w:sz w:val="16"/>
                <w:szCs w:val="16"/>
                <w:lang w:eastAsia="sk-SK"/>
              </w:rPr>
            </w:pPr>
            <w:r w:rsidRPr="004A5951">
              <w:rPr>
                <w:rFonts w:eastAsia="Times New Roman" w:cs="Times New Roman"/>
                <w:color w:val="000000"/>
                <w:sz w:val="16"/>
                <w:szCs w:val="16"/>
                <w:lang w:eastAsia="sk-SK"/>
              </w:rPr>
              <w:t>0</w:t>
            </w:r>
          </w:p>
        </w:tc>
        <w:tc>
          <w:tcPr>
            <w:tcW w:w="1159" w:type="dxa"/>
            <w:tcBorders>
              <w:top w:val="nil"/>
              <w:left w:val="nil"/>
              <w:bottom w:val="nil"/>
              <w:right w:val="nil"/>
            </w:tcBorders>
            <w:shd w:val="clear" w:color="auto" w:fill="auto"/>
            <w:noWrap/>
            <w:vAlign w:val="center"/>
            <w:hideMark/>
          </w:tcPr>
          <w:p w14:paraId="5176BE56" w14:textId="77777777" w:rsidR="00CB3C45" w:rsidRPr="004A5951" w:rsidRDefault="00CB3C45" w:rsidP="00842F2E">
            <w:pPr>
              <w:spacing w:after="0" w:line="240" w:lineRule="auto"/>
              <w:jc w:val="right"/>
              <w:rPr>
                <w:rFonts w:eastAsia="Times New Roman" w:cs="Times New Roman"/>
                <w:sz w:val="16"/>
                <w:szCs w:val="16"/>
                <w:lang w:eastAsia="sk-SK"/>
              </w:rPr>
            </w:pPr>
            <w:r w:rsidRPr="004A5951">
              <w:rPr>
                <w:rFonts w:eastAsia="Times New Roman" w:cs="Times New Roman"/>
                <w:sz w:val="16"/>
                <w:szCs w:val="16"/>
                <w:lang w:eastAsia="sk-SK"/>
              </w:rPr>
              <w:t>0</w:t>
            </w:r>
          </w:p>
        </w:tc>
        <w:tc>
          <w:tcPr>
            <w:tcW w:w="1162" w:type="dxa"/>
            <w:tcBorders>
              <w:top w:val="nil"/>
              <w:left w:val="nil"/>
              <w:bottom w:val="nil"/>
              <w:right w:val="nil"/>
            </w:tcBorders>
            <w:shd w:val="clear" w:color="000000" w:fill="BFBFBF"/>
            <w:noWrap/>
            <w:vAlign w:val="center"/>
            <w:hideMark/>
          </w:tcPr>
          <w:p w14:paraId="5370B97D" w14:textId="77777777" w:rsidR="00CB3C45" w:rsidRPr="004A5951" w:rsidRDefault="00CB3C45" w:rsidP="00842F2E">
            <w:pPr>
              <w:spacing w:after="0" w:line="240" w:lineRule="auto"/>
              <w:jc w:val="right"/>
              <w:rPr>
                <w:rFonts w:eastAsia="Times New Roman" w:cs="Times New Roman"/>
                <w:sz w:val="16"/>
                <w:szCs w:val="16"/>
                <w:lang w:eastAsia="sk-SK"/>
              </w:rPr>
            </w:pPr>
            <w:r w:rsidRPr="004A5951">
              <w:rPr>
                <w:rFonts w:eastAsia="Times New Roman" w:cs="Times New Roman"/>
                <w:sz w:val="16"/>
                <w:szCs w:val="16"/>
                <w:lang w:eastAsia="sk-SK"/>
              </w:rPr>
              <w:t>0</w:t>
            </w:r>
          </w:p>
        </w:tc>
        <w:tc>
          <w:tcPr>
            <w:tcW w:w="849" w:type="dxa"/>
            <w:tcBorders>
              <w:top w:val="nil"/>
              <w:left w:val="nil"/>
              <w:bottom w:val="nil"/>
              <w:right w:val="nil"/>
            </w:tcBorders>
            <w:shd w:val="clear" w:color="auto" w:fill="auto"/>
            <w:noWrap/>
            <w:vAlign w:val="center"/>
            <w:hideMark/>
          </w:tcPr>
          <w:p w14:paraId="2688DEDB" w14:textId="77777777" w:rsidR="00CB3C45" w:rsidRPr="004A5951" w:rsidRDefault="00CB3C45" w:rsidP="00842F2E">
            <w:pPr>
              <w:spacing w:after="0" w:line="240" w:lineRule="auto"/>
              <w:jc w:val="right"/>
              <w:rPr>
                <w:rFonts w:eastAsia="Times New Roman" w:cs="Times New Roman"/>
                <w:sz w:val="16"/>
                <w:szCs w:val="16"/>
                <w:lang w:eastAsia="sk-SK"/>
              </w:rPr>
            </w:pPr>
            <w:r w:rsidRPr="004A5951">
              <w:rPr>
                <w:rFonts w:eastAsia="Times New Roman" w:cs="Times New Roman"/>
                <w:sz w:val="16"/>
                <w:szCs w:val="16"/>
                <w:lang w:eastAsia="sk-SK"/>
              </w:rPr>
              <w:t>0</w:t>
            </w:r>
          </w:p>
        </w:tc>
      </w:tr>
      <w:tr w:rsidR="00CB3C45" w:rsidRPr="004A5951" w14:paraId="5CDBBCAA" w14:textId="77777777" w:rsidTr="00842F2E">
        <w:trPr>
          <w:trHeight w:val="277"/>
        </w:trPr>
        <w:tc>
          <w:tcPr>
            <w:tcW w:w="196" w:type="dxa"/>
            <w:tcBorders>
              <w:top w:val="nil"/>
              <w:left w:val="nil"/>
              <w:bottom w:val="nil"/>
              <w:right w:val="nil"/>
            </w:tcBorders>
            <w:shd w:val="clear" w:color="auto" w:fill="auto"/>
            <w:noWrap/>
            <w:vAlign w:val="center"/>
            <w:hideMark/>
          </w:tcPr>
          <w:p w14:paraId="2FF0590F" w14:textId="77777777" w:rsidR="00CB3C45" w:rsidRPr="004A5951" w:rsidRDefault="00CB3C45" w:rsidP="00842F2E">
            <w:pPr>
              <w:spacing w:after="0" w:line="240" w:lineRule="auto"/>
              <w:jc w:val="right"/>
              <w:rPr>
                <w:rFonts w:eastAsia="Times New Roman" w:cs="Times New Roman"/>
                <w:sz w:val="16"/>
                <w:szCs w:val="16"/>
                <w:lang w:eastAsia="sk-SK"/>
              </w:rPr>
            </w:pPr>
          </w:p>
        </w:tc>
        <w:tc>
          <w:tcPr>
            <w:tcW w:w="3693" w:type="dxa"/>
            <w:gridSpan w:val="2"/>
            <w:tcBorders>
              <w:top w:val="nil"/>
              <w:left w:val="nil"/>
              <w:bottom w:val="nil"/>
              <w:right w:val="nil"/>
            </w:tcBorders>
            <w:shd w:val="clear" w:color="auto" w:fill="auto"/>
            <w:noWrap/>
            <w:vAlign w:val="center"/>
            <w:hideMark/>
          </w:tcPr>
          <w:p w14:paraId="3295569D" w14:textId="77777777" w:rsidR="00CB3C45" w:rsidRPr="004A5951" w:rsidRDefault="00CB3C45" w:rsidP="00842F2E">
            <w:pPr>
              <w:spacing w:after="0" w:line="240" w:lineRule="auto"/>
              <w:jc w:val="left"/>
              <w:rPr>
                <w:rFonts w:eastAsia="Times New Roman" w:cs="Times New Roman"/>
                <w:b/>
                <w:bCs/>
                <w:i/>
                <w:iCs/>
                <w:color w:val="000000"/>
                <w:sz w:val="16"/>
                <w:szCs w:val="16"/>
                <w:lang w:eastAsia="sk-SK"/>
              </w:rPr>
            </w:pPr>
            <w:r w:rsidRPr="004A5951">
              <w:rPr>
                <w:rFonts w:eastAsia="Times New Roman" w:cs="Times New Roman"/>
                <w:b/>
                <w:bCs/>
                <w:i/>
                <w:iCs/>
                <w:color w:val="000000"/>
                <w:sz w:val="16"/>
                <w:szCs w:val="16"/>
                <w:lang w:eastAsia="sk-SK"/>
              </w:rPr>
              <w:t xml:space="preserve">Superdividendy, z toho </w:t>
            </w:r>
          </w:p>
        </w:tc>
        <w:tc>
          <w:tcPr>
            <w:tcW w:w="792" w:type="dxa"/>
            <w:tcBorders>
              <w:top w:val="nil"/>
              <w:left w:val="nil"/>
              <w:bottom w:val="nil"/>
              <w:right w:val="nil"/>
            </w:tcBorders>
            <w:shd w:val="clear" w:color="auto" w:fill="auto"/>
            <w:noWrap/>
            <w:vAlign w:val="center"/>
            <w:hideMark/>
          </w:tcPr>
          <w:p w14:paraId="2628876C" w14:textId="77777777" w:rsidR="00CB3C45" w:rsidRPr="004A5951" w:rsidRDefault="00CB3C45" w:rsidP="00842F2E">
            <w:pPr>
              <w:spacing w:after="0" w:line="240" w:lineRule="auto"/>
              <w:jc w:val="right"/>
              <w:rPr>
                <w:rFonts w:eastAsia="Times New Roman" w:cs="Times New Roman"/>
                <w:b/>
                <w:bCs/>
                <w:i/>
                <w:iCs/>
                <w:color w:val="000000"/>
                <w:sz w:val="16"/>
                <w:szCs w:val="16"/>
                <w:lang w:eastAsia="sk-SK"/>
              </w:rPr>
            </w:pPr>
            <w:r w:rsidRPr="004A5951">
              <w:rPr>
                <w:rFonts w:eastAsia="Times New Roman" w:cs="Times New Roman"/>
                <w:b/>
                <w:bCs/>
                <w:i/>
                <w:iCs/>
                <w:color w:val="000000"/>
                <w:sz w:val="16"/>
                <w:szCs w:val="16"/>
                <w:lang w:eastAsia="sk-SK"/>
              </w:rPr>
              <w:t>57 832</w:t>
            </w:r>
          </w:p>
        </w:tc>
        <w:tc>
          <w:tcPr>
            <w:tcW w:w="875" w:type="dxa"/>
            <w:tcBorders>
              <w:top w:val="nil"/>
              <w:left w:val="nil"/>
              <w:bottom w:val="nil"/>
              <w:right w:val="nil"/>
            </w:tcBorders>
            <w:shd w:val="clear" w:color="auto" w:fill="auto"/>
            <w:noWrap/>
            <w:vAlign w:val="center"/>
            <w:hideMark/>
          </w:tcPr>
          <w:p w14:paraId="7BE01186" w14:textId="77777777" w:rsidR="00CB3C45" w:rsidRPr="004A5951" w:rsidRDefault="00CB3C45" w:rsidP="00842F2E">
            <w:pPr>
              <w:spacing w:after="0" w:line="240" w:lineRule="auto"/>
              <w:jc w:val="right"/>
              <w:rPr>
                <w:rFonts w:eastAsia="Times New Roman" w:cs="Times New Roman"/>
                <w:b/>
                <w:bCs/>
                <w:i/>
                <w:iCs/>
                <w:color w:val="000000"/>
                <w:sz w:val="16"/>
                <w:szCs w:val="16"/>
                <w:lang w:eastAsia="sk-SK"/>
              </w:rPr>
            </w:pPr>
            <w:r w:rsidRPr="004A5951">
              <w:rPr>
                <w:rFonts w:eastAsia="Times New Roman" w:cs="Times New Roman"/>
                <w:b/>
                <w:bCs/>
                <w:i/>
                <w:iCs/>
                <w:color w:val="000000"/>
                <w:sz w:val="16"/>
                <w:szCs w:val="16"/>
                <w:lang w:eastAsia="sk-SK"/>
              </w:rPr>
              <w:t>211 362</w:t>
            </w:r>
          </w:p>
        </w:tc>
        <w:tc>
          <w:tcPr>
            <w:tcW w:w="1159" w:type="dxa"/>
            <w:tcBorders>
              <w:top w:val="nil"/>
              <w:left w:val="nil"/>
              <w:bottom w:val="nil"/>
              <w:right w:val="nil"/>
            </w:tcBorders>
            <w:shd w:val="clear" w:color="auto" w:fill="auto"/>
            <w:noWrap/>
            <w:vAlign w:val="center"/>
            <w:hideMark/>
          </w:tcPr>
          <w:p w14:paraId="5E0D32F8" w14:textId="77777777" w:rsidR="00CB3C45" w:rsidRPr="004A5951" w:rsidRDefault="00CB3C45" w:rsidP="00842F2E">
            <w:pPr>
              <w:spacing w:after="0" w:line="240" w:lineRule="auto"/>
              <w:jc w:val="right"/>
              <w:rPr>
                <w:rFonts w:eastAsia="Times New Roman" w:cs="Times New Roman"/>
                <w:b/>
                <w:bCs/>
                <w:i/>
                <w:iCs/>
                <w:color w:val="000000"/>
                <w:sz w:val="16"/>
                <w:szCs w:val="16"/>
                <w:lang w:eastAsia="sk-SK"/>
              </w:rPr>
            </w:pPr>
            <w:r w:rsidRPr="004A5951">
              <w:rPr>
                <w:rFonts w:eastAsia="Times New Roman" w:cs="Times New Roman"/>
                <w:b/>
                <w:bCs/>
                <w:i/>
                <w:iCs/>
                <w:color w:val="000000"/>
                <w:sz w:val="16"/>
                <w:szCs w:val="16"/>
                <w:lang w:eastAsia="sk-SK"/>
              </w:rPr>
              <w:t>42 761</w:t>
            </w:r>
          </w:p>
        </w:tc>
        <w:tc>
          <w:tcPr>
            <w:tcW w:w="1162" w:type="dxa"/>
            <w:tcBorders>
              <w:top w:val="nil"/>
              <w:left w:val="nil"/>
              <w:bottom w:val="nil"/>
              <w:right w:val="nil"/>
            </w:tcBorders>
            <w:shd w:val="clear" w:color="000000" w:fill="BFBFBF"/>
            <w:noWrap/>
            <w:vAlign w:val="center"/>
            <w:hideMark/>
          </w:tcPr>
          <w:p w14:paraId="3B694683" w14:textId="77777777" w:rsidR="00CB3C45" w:rsidRPr="004A5951" w:rsidRDefault="00CB3C45" w:rsidP="00842F2E">
            <w:pPr>
              <w:spacing w:after="0" w:line="240" w:lineRule="auto"/>
              <w:jc w:val="right"/>
              <w:rPr>
                <w:rFonts w:eastAsia="Times New Roman" w:cs="Times New Roman"/>
                <w:b/>
                <w:bCs/>
                <w:i/>
                <w:iCs/>
                <w:color w:val="000000"/>
                <w:sz w:val="16"/>
                <w:szCs w:val="16"/>
                <w:lang w:eastAsia="sk-SK"/>
              </w:rPr>
            </w:pPr>
            <w:r w:rsidRPr="004A5951">
              <w:rPr>
                <w:rFonts w:eastAsia="Times New Roman" w:cs="Times New Roman"/>
                <w:b/>
                <w:bCs/>
                <w:i/>
                <w:iCs/>
                <w:color w:val="000000"/>
                <w:sz w:val="16"/>
                <w:szCs w:val="16"/>
                <w:lang w:eastAsia="sk-SK"/>
              </w:rPr>
              <w:t>171 524</w:t>
            </w:r>
          </w:p>
        </w:tc>
        <w:tc>
          <w:tcPr>
            <w:tcW w:w="849" w:type="dxa"/>
            <w:tcBorders>
              <w:top w:val="nil"/>
              <w:left w:val="nil"/>
              <w:bottom w:val="nil"/>
              <w:right w:val="nil"/>
            </w:tcBorders>
            <w:shd w:val="clear" w:color="auto" w:fill="auto"/>
            <w:noWrap/>
            <w:vAlign w:val="center"/>
            <w:hideMark/>
          </w:tcPr>
          <w:p w14:paraId="50C2D114" w14:textId="77777777" w:rsidR="00CB3C45" w:rsidRPr="004A5951" w:rsidRDefault="00CB3C45" w:rsidP="00842F2E">
            <w:pPr>
              <w:spacing w:after="0" w:line="240" w:lineRule="auto"/>
              <w:jc w:val="right"/>
              <w:rPr>
                <w:rFonts w:eastAsia="Times New Roman" w:cs="Times New Roman"/>
                <w:b/>
                <w:bCs/>
                <w:i/>
                <w:iCs/>
                <w:color w:val="000000"/>
                <w:sz w:val="16"/>
                <w:szCs w:val="16"/>
                <w:lang w:eastAsia="sk-SK"/>
              </w:rPr>
            </w:pPr>
            <w:r w:rsidRPr="004A5951">
              <w:rPr>
                <w:rFonts w:eastAsia="Times New Roman" w:cs="Times New Roman"/>
                <w:b/>
                <w:bCs/>
                <w:i/>
                <w:iCs/>
                <w:color w:val="000000"/>
                <w:sz w:val="16"/>
                <w:szCs w:val="16"/>
                <w:lang w:eastAsia="sk-SK"/>
              </w:rPr>
              <w:t>128 763</w:t>
            </w:r>
          </w:p>
        </w:tc>
      </w:tr>
      <w:tr w:rsidR="00CB3C45" w:rsidRPr="004A5951" w14:paraId="75A98450" w14:textId="77777777" w:rsidTr="00842F2E">
        <w:trPr>
          <w:trHeight w:val="255"/>
        </w:trPr>
        <w:tc>
          <w:tcPr>
            <w:tcW w:w="196" w:type="dxa"/>
            <w:tcBorders>
              <w:top w:val="nil"/>
              <w:left w:val="nil"/>
              <w:bottom w:val="nil"/>
              <w:right w:val="nil"/>
            </w:tcBorders>
            <w:shd w:val="clear" w:color="auto" w:fill="auto"/>
            <w:noWrap/>
            <w:vAlign w:val="center"/>
            <w:hideMark/>
          </w:tcPr>
          <w:p w14:paraId="74E19BC6" w14:textId="77777777" w:rsidR="00CB3C45" w:rsidRPr="004A5951" w:rsidRDefault="00CB3C45" w:rsidP="00842F2E">
            <w:pPr>
              <w:spacing w:after="0" w:line="240" w:lineRule="auto"/>
              <w:jc w:val="right"/>
              <w:rPr>
                <w:rFonts w:eastAsia="Times New Roman" w:cs="Times New Roman"/>
                <w:b/>
                <w:bCs/>
                <w:i/>
                <w:iCs/>
                <w:color w:val="000000"/>
                <w:sz w:val="16"/>
                <w:szCs w:val="16"/>
                <w:lang w:eastAsia="sk-SK"/>
              </w:rPr>
            </w:pPr>
          </w:p>
        </w:tc>
        <w:tc>
          <w:tcPr>
            <w:tcW w:w="196" w:type="dxa"/>
            <w:tcBorders>
              <w:top w:val="nil"/>
              <w:left w:val="nil"/>
              <w:bottom w:val="nil"/>
              <w:right w:val="nil"/>
            </w:tcBorders>
            <w:shd w:val="clear" w:color="auto" w:fill="auto"/>
            <w:noWrap/>
            <w:vAlign w:val="center"/>
            <w:hideMark/>
          </w:tcPr>
          <w:p w14:paraId="0E21E8DA" w14:textId="77777777" w:rsidR="00CB3C45" w:rsidRPr="004A5951" w:rsidRDefault="00CB3C45" w:rsidP="00842F2E">
            <w:pPr>
              <w:spacing w:after="0" w:line="240" w:lineRule="auto"/>
              <w:jc w:val="left"/>
              <w:rPr>
                <w:rFonts w:eastAsia="Times New Roman" w:cs="Times New Roman"/>
                <w:sz w:val="16"/>
                <w:szCs w:val="16"/>
                <w:lang w:eastAsia="sk-SK"/>
              </w:rPr>
            </w:pPr>
          </w:p>
        </w:tc>
        <w:tc>
          <w:tcPr>
            <w:tcW w:w="3497" w:type="dxa"/>
            <w:tcBorders>
              <w:top w:val="nil"/>
              <w:left w:val="nil"/>
              <w:bottom w:val="nil"/>
              <w:right w:val="nil"/>
            </w:tcBorders>
            <w:shd w:val="clear" w:color="auto" w:fill="auto"/>
            <w:noWrap/>
            <w:vAlign w:val="center"/>
            <w:hideMark/>
          </w:tcPr>
          <w:p w14:paraId="45EEB8A7" w14:textId="77777777" w:rsidR="00CB3C45" w:rsidRPr="004A5951" w:rsidRDefault="00CB3C45" w:rsidP="00842F2E">
            <w:pPr>
              <w:spacing w:after="0" w:line="240" w:lineRule="auto"/>
              <w:jc w:val="lef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Slovenský plynárenský priemysel, a.s.</w:t>
            </w:r>
          </w:p>
        </w:tc>
        <w:tc>
          <w:tcPr>
            <w:tcW w:w="792" w:type="dxa"/>
            <w:tcBorders>
              <w:top w:val="nil"/>
              <w:left w:val="nil"/>
              <w:bottom w:val="nil"/>
              <w:right w:val="nil"/>
            </w:tcBorders>
            <w:shd w:val="clear" w:color="auto" w:fill="auto"/>
            <w:noWrap/>
            <w:vAlign w:val="center"/>
            <w:hideMark/>
          </w:tcPr>
          <w:p w14:paraId="722EC71E" w14:textId="77777777" w:rsidR="00CB3C45" w:rsidRPr="004A5951" w:rsidRDefault="00CB3C45" w:rsidP="00842F2E">
            <w:pPr>
              <w:spacing w:after="0" w:line="240" w:lineRule="auto"/>
              <w:jc w:val="righ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38 986</w:t>
            </w:r>
          </w:p>
        </w:tc>
        <w:tc>
          <w:tcPr>
            <w:tcW w:w="875" w:type="dxa"/>
            <w:tcBorders>
              <w:top w:val="nil"/>
              <w:left w:val="nil"/>
              <w:bottom w:val="nil"/>
              <w:right w:val="nil"/>
            </w:tcBorders>
            <w:shd w:val="clear" w:color="auto" w:fill="auto"/>
            <w:noWrap/>
            <w:vAlign w:val="center"/>
            <w:hideMark/>
          </w:tcPr>
          <w:p w14:paraId="0799ABAF" w14:textId="77777777" w:rsidR="00CB3C45" w:rsidRPr="004A5951" w:rsidRDefault="00CB3C45" w:rsidP="00842F2E">
            <w:pPr>
              <w:spacing w:after="0" w:line="240" w:lineRule="auto"/>
              <w:jc w:val="righ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209 193</w:t>
            </w:r>
          </w:p>
        </w:tc>
        <w:tc>
          <w:tcPr>
            <w:tcW w:w="1159" w:type="dxa"/>
            <w:tcBorders>
              <w:top w:val="nil"/>
              <w:left w:val="nil"/>
              <w:bottom w:val="nil"/>
              <w:right w:val="nil"/>
            </w:tcBorders>
            <w:shd w:val="clear" w:color="auto" w:fill="auto"/>
            <w:noWrap/>
            <w:vAlign w:val="center"/>
            <w:hideMark/>
          </w:tcPr>
          <w:p w14:paraId="2D5C0DB3" w14:textId="77777777" w:rsidR="00CB3C45" w:rsidRPr="004A5951" w:rsidRDefault="00CB3C45" w:rsidP="00842F2E">
            <w:pPr>
              <w:spacing w:after="0" w:line="240" w:lineRule="auto"/>
              <w:jc w:val="righ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29 065</w:t>
            </w:r>
          </w:p>
        </w:tc>
        <w:tc>
          <w:tcPr>
            <w:tcW w:w="1162" w:type="dxa"/>
            <w:tcBorders>
              <w:top w:val="nil"/>
              <w:left w:val="nil"/>
              <w:bottom w:val="nil"/>
              <w:right w:val="nil"/>
            </w:tcBorders>
            <w:shd w:val="clear" w:color="000000" w:fill="BFBFBF"/>
            <w:noWrap/>
            <w:vAlign w:val="center"/>
            <w:hideMark/>
          </w:tcPr>
          <w:p w14:paraId="3F865D8D" w14:textId="77777777" w:rsidR="00CB3C45" w:rsidRPr="004A5951" w:rsidRDefault="00CB3C45" w:rsidP="00842F2E">
            <w:pPr>
              <w:spacing w:after="0" w:line="240" w:lineRule="auto"/>
              <w:jc w:val="righ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82 150</w:t>
            </w:r>
          </w:p>
        </w:tc>
        <w:tc>
          <w:tcPr>
            <w:tcW w:w="849" w:type="dxa"/>
            <w:tcBorders>
              <w:top w:val="nil"/>
              <w:left w:val="nil"/>
              <w:bottom w:val="nil"/>
              <w:right w:val="nil"/>
            </w:tcBorders>
            <w:shd w:val="clear" w:color="auto" w:fill="auto"/>
            <w:noWrap/>
            <w:vAlign w:val="center"/>
            <w:hideMark/>
          </w:tcPr>
          <w:p w14:paraId="20BFB5AD" w14:textId="77777777" w:rsidR="00CB3C45" w:rsidRPr="004A5951" w:rsidRDefault="00CB3C45" w:rsidP="00842F2E">
            <w:pPr>
              <w:spacing w:after="0" w:line="240" w:lineRule="auto"/>
              <w:jc w:val="righ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53 085</w:t>
            </w:r>
          </w:p>
        </w:tc>
      </w:tr>
      <w:tr w:rsidR="00CB3C45" w:rsidRPr="004A5951" w14:paraId="681929D6" w14:textId="77777777" w:rsidTr="00842F2E">
        <w:trPr>
          <w:trHeight w:val="255"/>
        </w:trPr>
        <w:tc>
          <w:tcPr>
            <w:tcW w:w="196" w:type="dxa"/>
            <w:tcBorders>
              <w:top w:val="nil"/>
              <w:left w:val="nil"/>
              <w:bottom w:val="nil"/>
              <w:right w:val="nil"/>
            </w:tcBorders>
            <w:shd w:val="clear" w:color="auto" w:fill="auto"/>
            <w:noWrap/>
            <w:vAlign w:val="center"/>
            <w:hideMark/>
          </w:tcPr>
          <w:p w14:paraId="0345E26F" w14:textId="77777777" w:rsidR="00CB3C45" w:rsidRPr="004A5951" w:rsidRDefault="00CB3C45" w:rsidP="00842F2E">
            <w:pPr>
              <w:spacing w:after="0" w:line="240" w:lineRule="auto"/>
              <w:jc w:val="right"/>
              <w:rPr>
                <w:rFonts w:eastAsia="Times New Roman" w:cs="Times New Roman"/>
                <w:i/>
                <w:iCs/>
                <w:color w:val="000000"/>
                <w:sz w:val="16"/>
                <w:szCs w:val="16"/>
                <w:lang w:eastAsia="sk-SK"/>
              </w:rPr>
            </w:pPr>
          </w:p>
        </w:tc>
        <w:tc>
          <w:tcPr>
            <w:tcW w:w="196" w:type="dxa"/>
            <w:tcBorders>
              <w:top w:val="nil"/>
              <w:left w:val="nil"/>
              <w:bottom w:val="nil"/>
              <w:right w:val="nil"/>
            </w:tcBorders>
            <w:shd w:val="clear" w:color="auto" w:fill="auto"/>
            <w:noWrap/>
            <w:vAlign w:val="center"/>
            <w:hideMark/>
          </w:tcPr>
          <w:p w14:paraId="2B0C690F" w14:textId="77777777" w:rsidR="00CB3C45" w:rsidRPr="004A5951" w:rsidRDefault="00CB3C45" w:rsidP="00842F2E">
            <w:pPr>
              <w:spacing w:after="0" w:line="240" w:lineRule="auto"/>
              <w:jc w:val="left"/>
              <w:rPr>
                <w:rFonts w:eastAsia="Times New Roman" w:cs="Times New Roman"/>
                <w:sz w:val="16"/>
                <w:szCs w:val="16"/>
                <w:lang w:eastAsia="sk-SK"/>
              </w:rPr>
            </w:pPr>
          </w:p>
        </w:tc>
        <w:tc>
          <w:tcPr>
            <w:tcW w:w="3497" w:type="dxa"/>
            <w:tcBorders>
              <w:top w:val="nil"/>
              <w:left w:val="nil"/>
              <w:bottom w:val="nil"/>
              <w:right w:val="nil"/>
            </w:tcBorders>
            <w:shd w:val="clear" w:color="auto" w:fill="auto"/>
            <w:noWrap/>
            <w:vAlign w:val="center"/>
            <w:hideMark/>
          </w:tcPr>
          <w:p w14:paraId="162728CA" w14:textId="77777777" w:rsidR="00CB3C45" w:rsidRPr="004A5951" w:rsidRDefault="00CB3C45" w:rsidP="00842F2E">
            <w:pPr>
              <w:spacing w:after="0" w:line="240" w:lineRule="auto"/>
              <w:ind w:right="-294"/>
              <w:jc w:val="lef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Stredoslovenská energetika Holding, a. s.</w:t>
            </w:r>
          </w:p>
        </w:tc>
        <w:tc>
          <w:tcPr>
            <w:tcW w:w="792" w:type="dxa"/>
            <w:tcBorders>
              <w:top w:val="nil"/>
              <w:left w:val="nil"/>
              <w:bottom w:val="nil"/>
              <w:right w:val="nil"/>
            </w:tcBorders>
            <w:shd w:val="clear" w:color="auto" w:fill="auto"/>
            <w:noWrap/>
            <w:vAlign w:val="center"/>
            <w:hideMark/>
          </w:tcPr>
          <w:p w14:paraId="77548AAC" w14:textId="77777777" w:rsidR="00CB3C45" w:rsidRPr="004A5951" w:rsidRDefault="00CB3C45" w:rsidP="00842F2E">
            <w:pPr>
              <w:spacing w:after="0" w:line="240" w:lineRule="auto"/>
              <w:jc w:val="righ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730</w:t>
            </w:r>
          </w:p>
        </w:tc>
        <w:tc>
          <w:tcPr>
            <w:tcW w:w="875" w:type="dxa"/>
            <w:tcBorders>
              <w:top w:val="nil"/>
              <w:left w:val="nil"/>
              <w:bottom w:val="nil"/>
              <w:right w:val="nil"/>
            </w:tcBorders>
            <w:shd w:val="clear" w:color="auto" w:fill="auto"/>
            <w:noWrap/>
            <w:vAlign w:val="center"/>
            <w:hideMark/>
          </w:tcPr>
          <w:p w14:paraId="0158D8A8" w14:textId="77777777" w:rsidR="00CB3C45" w:rsidRPr="004A5951" w:rsidRDefault="00CB3C45" w:rsidP="00842F2E">
            <w:pPr>
              <w:spacing w:after="0" w:line="240" w:lineRule="auto"/>
              <w:jc w:val="righ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227</w:t>
            </w:r>
          </w:p>
        </w:tc>
        <w:tc>
          <w:tcPr>
            <w:tcW w:w="1159" w:type="dxa"/>
            <w:tcBorders>
              <w:top w:val="nil"/>
              <w:left w:val="nil"/>
              <w:bottom w:val="nil"/>
              <w:right w:val="nil"/>
            </w:tcBorders>
            <w:shd w:val="clear" w:color="auto" w:fill="auto"/>
            <w:noWrap/>
            <w:vAlign w:val="center"/>
            <w:hideMark/>
          </w:tcPr>
          <w:p w14:paraId="487C555C" w14:textId="77777777" w:rsidR="00CB3C45" w:rsidRPr="004A5951" w:rsidRDefault="00CB3C45" w:rsidP="00842F2E">
            <w:pPr>
              <w:spacing w:after="0" w:line="240" w:lineRule="auto"/>
              <w:jc w:val="righ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0</w:t>
            </w:r>
          </w:p>
        </w:tc>
        <w:tc>
          <w:tcPr>
            <w:tcW w:w="1162" w:type="dxa"/>
            <w:tcBorders>
              <w:top w:val="nil"/>
              <w:left w:val="nil"/>
              <w:bottom w:val="nil"/>
              <w:right w:val="nil"/>
            </w:tcBorders>
            <w:shd w:val="clear" w:color="000000" w:fill="BFBFBF"/>
            <w:noWrap/>
            <w:vAlign w:val="center"/>
            <w:hideMark/>
          </w:tcPr>
          <w:p w14:paraId="64E38A54" w14:textId="77777777" w:rsidR="00CB3C45" w:rsidRPr="004A5951" w:rsidRDefault="00CB3C45" w:rsidP="00842F2E">
            <w:pPr>
              <w:spacing w:after="0" w:line="240" w:lineRule="auto"/>
              <w:jc w:val="righ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75 106</w:t>
            </w:r>
          </w:p>
        </w:tc>
        <w:tc>
          <w:tcPr>
            <w:tcW w:w="849" w:type="dxa"/>
            <w:tcBorders>
              <w:top w:val="nil"/>
              <w:left w:val="nil"/>
              <w:bottom w:val="nil"/>
              <w:right w:val="nil"/>
            </w:tcBorders>
            <w:shd w:val="clear" w:color="auto" w:fill="auto"/>
            <w:noWrap/>
            <w:vAlign w:val="center"/>
            <w:hideMark/>
          </w:tcPr>
          <w:p w14:paraId="083EB101" w14:textId="77777777" w:rsidR="00CB3C45" w:rsidRPr="004A5951" w:rsidRDefault="00CB3C45" w:rsidP="00842F2E">
            <w:pPr>
              <w:spacing w:after="0" w:line="240" w:lineRule="auto"/>
              <w:jc w:val="righ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75 106</w:t>
            </w:r>
          </w:p>
        </w:tc>
      </w:tr>
      <w:tr w:rsidR="00CB3C45" w:rsidRPr="004A5951" w14:paraId="3ABD30F7" w14:textId="77777777" w:rsidTr="00842F2E">
        <w:trPr>
          <w:trHeight w:val="255"/>
        </w:trPr>
        <w:tc>
          <w:tcPr>
            <w:tcW w:w="196" w:type="dxa"/>
            <w:tcBorders>
              <w:top w:val="nil"/>
              <w:left w:val="nil"/>
              <w:bottom w:val="nil"/>
              <w:right w:val="nil"/>
            </w:tcBorders>
            <w:shd w:val="clear" w:color="auto" w:fill="auto"/>
            <w:noWrap/>
            <w:vAlign w:val="center"/>
            <w:hideMark/>
          </w:tcPr>
          <w:p w14:paraId="2866D29B" w14:textId="77777777" w:rsidR="00CB3C45" w:rsidRPr="004A5951" w:rsidRDefault="00CB3C45" w:rsidP="00842F2E">
            <w:pPr>
              <w:spacing w:after="0" w:line="240" w:lineRule="auto"/>
              <w:jc w:val="right"/>
              <w:rPr>
                <w:rFonts w:eastAsia="Times New Roman" w:cs="Times New Roman"/>
                <w:i/>
                <w:iCs/>
                <w:color w:val="000000"/>
                <w:sz w:val="16"/>
                <w:szCs w:val="16"/>
                <w:lang w:eastAsia="sk-SK"/>
              </w:rPr>
            </w:pPr>
          </w:p>
        </w:tc>
        <w:tc>
          <w:tcPr>
            <w:tcW w:w="196" w:type="dxa"/>
            <w:tcBorders>
              <w:top w:val="nil"/>
              <w:left w:val="nil"/>
              <w:bottom w:val="nil"/>
              <w:right w:val="nil"/>
            </w:tcBorders>
            <w:shd w:val="clear" w:color="auto" w:fill="auto"/>
            <w:noWrap/>
            <w:vAlign w:val="center"/>
            <w:hideMark/>
          </w:tcPr>
          <w:p w14:paraId="0BAA5250" w14:textId="77777777" w:rsidR="00CB3C45" w:rsidRPr="004A5951" w:rsidRDefault="00CB3C45" w:rsidP="00842F2E">
            <w:pPr>
              <w:spacing w:after="0" w:line="240" w:lineRule="auto"/>
              <w:jc w:val="left"/>
              <w:rPr>
                <w:rFonts w:eastAsia="Times New Roman" w:cs="Times New Roman"/>
                <w:sz w:val="16"/>
                <w:szCs w:val="16"/>
                <w:lang w:eastAsia="sk-SK"/>
              </w:rPr>
            </w:pPr>
          </w:p>
        </w:tc>
        <w:tc>
          <w:tcPr>
            <w:tcW w:w="3497" w:type="dxa"/>
            <w:tcBorders>
              <w:top w:val="nil"/>
              <w:left w:val="nil"/>
              <w:bottom w:val="nil"/>
              <w:right w:val="nil"/>
            </w:tcBorders>
            <w:shd w:val="clear" w:color="auto" w:fill="auto"/>
            <w:noWrap/>
            <w:vAlign w:val="center"/>
            <w:hideMark/>
          </w:tcPr>
          <w:p w14:paraId="20247DEA" w14:textId="57F3A58C" w:rsidR="00CB3C45" w:rsidRPr="004A5951" w:rsidRDefault="00CB3C45" w:rsidP="00842F2E">
            <w:pPr>
              <w:spacing w:after="0" w:line="240" w:lineRule="auto"/>
              <w:ind w:right="-436"/>
              <w:jc w:val="lef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Východoslovenská energetika Holding,</w:t>
            </w:r>
            <w:r w:rsidR="007B03D6">
              <w:rPr>
                <w:rFonts w:eastAsia="Times New Roman" w:cs="Times New Roman"/>
                <w:i/>
                <w:iCs/>
                <w:color w:val="000000"/>
                <w:sz w:val="16"/>
                <w:szCs w:val="16"/>
                <w:lang w:eastAsia="sk-SK"/>
              </w:rPr>
              <w:t> </w:t>
            </w:r>
            <w:r w:rsidRPr="004A5951">
              <w:rPr>
                <w:rFonts w:eastAsia="Times New Roman" w:cs="Times New Roman"/>
                <w:i/>
                <w:iCs/>
                <w:color w:val="000000"/>
                <w:sz w:val="16"/>
                <w:szCs w:val="16"/>
                <w:lang w:eastAsia="sk-SK"/>
              </w:rPr>
              <w:t>a.</w:t>
            </w:r>
            <w:r w:rsidR="007B03D6">
              <w:rPr>
                <w:rFonts w:eastAsia="Times New Roman" w:cs="Times New Roman"/>
                <w:i/>
                <w:iCs/>
                <w:color w:val="000000"/>
                <w:sz w:val="16"/>
                <w:szCs w:val="16"/>
                <w:lang w:eastAsia="sk-SK"/>
              </w:rPr>
              <w:t> </w:t>
            </w:r>
            <w:r w:rsidRPr="004A5951">
              <w:rPr>
                <w:rFonts w:eastAsia="Times New Roman" w:cs="Times New Roman"/>
                <w:i/>
                <w:iCs/>
                <w:color w:val="000000"/>
                <w:sz w:val="16"/>
                <w:szCs w:val="16"/>
                <w:lang w:eastAsia="sk-SK"/>
              </w:rPr>
              <w:t>s.</w:t>
            </w:r>
          </w:p>
        </w:tc>
        <w:tc>
          <w:tcPr>
            <w:tcW w:w="792" w:type="dxa"/>
            <w:tcBorders>
              <w:top w:val="nil"/>
              <w:left w:val="nil"/>
              <w:bottom w:val="nil"/>
              <w:right w:val="nil"/>
            </w:tcBorders>
            <w:shd w:val="clear" w:color="auto" w:fill="auto"/>
            <w:noWrap/>
            <w:vAlign w:val="center"/>
            <w:hideMark/>
          </w:tcPr>
          <w:p w14:paraId="32FF2BFC" w14:textId="77777777" w:rsidR="00CB3C45" w:rsidRPr="004A5951" w:rsidRDefault="00CB3C45" w:rsidP="00842F2E">
            <w:pPr>
              <w:spacing w:after="0" w:line="240" w:lineRule="auto"/>
              <w:jc w:val="righ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17 328</w:t>
            </w:r>
          </w:p>
        </w:tc>
        <w:tc>
          <w:tcPr>
            <w:tcW w:w="875" w:type="dxa"/>
            <w:tcBorders>
              <w:top w:val="nil"/>
              <w:left w:val="nil"/>
              <w:bottom w:val="nil"/>
              <w:right w:val="nil"/>
            </w:tcBorders>
            <w:shd w:val="clear" w:color="auto" w:fill="auto"/>
            <w:noWrap/>
            <w:vAlign w:val="center"/>
            <w:hideMark/>
          </w:tcPr>
          <w:p w14:paraId="0247424F" w14:textId="77777777" w:rsidR="00CB3C45" w:rsidRPr="004A5951" w:rsidRDefault="00CB3C45" w:rsidP="00842F2E">
            <w:pPr>
              <w:spacing w:after="0" w:line="240" w:lineRule="auto"/>
              <w:jc w:val="righ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0</w:t>
            </w:r>
          </w:p>
        </w:tc>
        <w:tc>
          <w:tcPr>
            <w:tcW w:w="1159" w:type="dxa"/>
            <w:tcBorders>
              <w:top w:val="nil"/>
              <w:left w:val="nil"/>
              <w:bottom w:val="nil"/>
              <w:right w:val="nil"/>
            </w:tcBorders>
            <w:shd w:val="clear" w:color="auto" w:fill="auto"/>
            <w:noWrap/>
            <w:vAlign w:val="center"/>
            <w:hideMark/>
          </w:tcPr>
          <w:p w14:paraId="02C7896D" w14:textId="77777777" w:rsidR="00CB3C45" w:rsidRPr="004A5951" w:rsidRDefault="00CB3C45" w:rsidP="00842F2E">
            <w:pPr>
              <w:spacing w:after="0" w:line="240" w:lineRule="auto"/>
              <w:jc w:val="righ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13 696</w:t>
            </w:r>
          </w:p>
        </w:tc>
        <w:tc>
          <w:tcPr>
            <w:tcW w:w="1162" w:type="dxa"/>
            <w:tcBorders>
              <w:top w:val="nil"/>
              <w:left w:val="nil"/>
              <w:bottom w:val="nil"/>
              <w:right w:val="nil"/>
            </w:tcBorders>
            <w:shd w:val="clear" w:color="000000" w:fill="BFBFBF"/>
            <w:noWrap/>
            <w:vAlign w:val="center"/>
            <w:hideMark/>
          </w:tcPr>
          <w:p w14:paraId="3BEFBAF8" w14:textId="77777777" w:rsidR="00CB3C45" w:rsidRPr="004A5951" w:rsidRDefault="00CB3C45" w:rsidP="00842F2E">
            <w:pPr>
              <w:spacing w:after="0" w:line="240" w:lineRule="auto"/>
              <w:jc w:val="righ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13 697</w:t>
            </w:r>
          </w:p>
        </w:tc>
        <w:tc>
          <w:tcPr>
            <w:tcW w:w="849" w:type="dxa"/>
            <w:tcBorders>
              <w:top w:val="nil"/>
              <w:left w:val="nil"/>
              <w:bottom w:val="nil"/>
              <w:right w:val="nil"/>
            </w:tcBorders>
            <w:shd w:val="clear" w:color="auto" w:fill="auto"/>
            <w:noWrap/>
            <w:vAlign w:val="center"/>
            <w:hideMark/>
          </w:tcPr>
          <w:p w14:paraId="76E4988C" w14:textId="77777777" w:rsidR="00CB3C45" w:rsidRPr="004A5951" w:rsidRDefault="00CB3C45" w:rsidP="00842F2E">
            <w:pPr>
              <w:spacing w:after="0" w:line="240" w:lineRule="auto"/>
              <w:jc w:val="righ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1</w:t>
            </w:r>
          </w:p>
        </w:tc>
      </w:tr>
      <w:tr w:rsidR="00CB3C45" w:rsidRPr="004A5951" w14:paraId="353A8EF5" w14:textId="77777777" w:rsidTr="00842F2E">
        <w:trPr>
          <w:trHeight w:val="255"/>
        </w:trPr>
        <w:tc>
          <w:tcPr>
            <w:tcW w:w="196" w:type="dxa"/>
            <w:tcBorders>
              <w:top w:val="nil"/>
              <w:left w:val="nil"/>
              <w:bottom w:val="nil"/>
              <w:right w:val="nil"/>
            </w:tcBorders>
            <w:shd w:val="clear" w:color="auto" w:fill="auto"/>
            <w:noWrap/>
            <w:vAlign w:val="center"/>
            <w:hideMark/>
          </w:tcPr>
          <w:p w14:paraId="070C422F" w14:textId="77777777" w:rsidR="00CB3C45" w:rsidRPr="004A5951" w:rsidRDefault="00CB3C45" w:rsidP="00842F2E">
            <w:pPr>
              <w:spacing w:after="0" w:line="240" w:lineRule="auto"/>
              <w:jc w:val="right"/>
              <w:rPr>
                <w:rFonts w:eastAsia="Times New Roman" w:cs="Times New Roman"/>
                <w:i/>
                <w:iCs/>
                <w:color w:val="000000"/>
                <w:sz w:val="16"/>
                <w:szCs w:val="16"/>
                <w:lang w:eastAsia="sk-SK"/>
              </w:rPr>
            </w:pPr>
          </w:p>
        </w:tc>
        <w:tc>
          <w:tcPr>
            <w:tcW w:w="196" w:type="dxa"/>
            <w:tcBorders>
              <w:top w:val="nil"/>
              <w:left w:val="nil"/>
              <w:bottom w:val="nil"/>
              <w:right w:val="nil"/>
            </w:tcBorders>
            <w:shd w:val="clear" w:color="auto" w:fill="auto"/>
            <w:noWrap/>
            <w:vAlign w:val="center"/>
            <w:hideMark/>
          </w:tcPr>
          <w:p w14:paraId="7C53BF5D" w14:textId="77777777" w:rsidR="00CB3C45" w:rsidRPr="004A5951" w:rsidRDefault="00CB3C45" w:rsidP="00842F2E">
            <w:pPr>
              <w:spacing w:after="0" w:line="240" w:lineRule="auto"/>
              <w:jc w:val="left"/>
              <w:rPr>
                <w:rFonts w:eastAsia="Times New Roman" w:cs="Times New Roman"/>
                <w:sz w:val="16"/>
                <w:szCs w:val="16"/>
                <w:lang w:eastAsia="sk-SK"/>
              </w:rPr>
            </w:pPr>
          </w:p>
        </w:tc>
        <w:tc>
          <w:tcPr>
            <w:tcW w:w="3497" w:type="dxa"/>
            <w:tcBorders>
              <w:top w:val="nil"/>
              <w:left w:val="nil"/>
              <w:bottom w:val="nil"/>
              <w:right w:val="nil"/>
            </w:tcBorders>
            <w:shd w:val="clear" w:color="auto" w:fill="auto"/>
            <w:noWrap/>
            <w:vAlign w:val="center"/>
            <w:hideMark/>
          </w:tcPr>
          <w:p w14:paraId="33E15F20" w14:textId="77777777" w:rsidR="00CB3C45" w:rsidRPr="004A5951" w:rsidRDefault="00CB3C45" w:rsidP="00842F2E">
            <w:pPr>
              <w:spacing w:after="0" w:line="240" w:lineRule="auto"/>
              <w:jc w:val="lef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Západoslovenská energetika, a.s.</w:t>
            </w:r>
          </w:p>
        </w:tc>
        <w:tc>
          <w:tcPr>
            <w:tcW w:w="792" w:type="dxa"/>
            <w:tcBorders>
              <w:top w:val="nil"/>
              <w:left w:val="nil"/>
              <w:bottom w:val="nil"/>
              <w:right w:val="nil"/>
            </w:tcBorders>
            <w:shd w:val="clear" w:color="auto" w:fill="auto"/>
            <w:noWrap/>
            <w:vAlign w:val="center"/>
            <w:hideMark/>
          </w:tcPr>
          <w:p w14:paraId="680B30B4" w14:textId="77777777" w:rsidR="00CB3C45" w:rsidRPr="004A5951" w:rsidRDefault="00CB3C45" w:rsidP="00842F2E">
            <w:pPr>
              <w:spacing w:after="0" w:line="240" w:lineRule="auto"/>
              <w:jc w:val="righ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480</w:t>
            </w:r>
          </w:p>
        </w:tc>
        <w:tc>
          <w:tcPr>
            <w:tcW w:w="875" w:type="dxa"/>
            <w:tcBorders>
              <w:top w:val="nil"/>
              <w:left w:val="nil"/>
              <w:bottom w:val="nil"/>
              <w:right w:val="nil"/>
            </w:tcBorders>
            <w:shd w:val="clear" w:color="auto" w:fill="auto"/>
            <w:noWrap/>
            <w:vAlign w:val="center"/>
            <w:hideMark/>
          </w:tcPr>
          <w:p w14:paraId="105860AE" w14:textId="77777777" w:rsidR="00CB3C45" w:rsidRPr="004A5951" w:rsidRDefault="00CB3C45" w:rsidP="00842F2E">
            <w:pPr>
              <w:spacing w:after="0" w:line="240" w:lineRule="auto"/>
              <w:jc w:val="righ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0</w:t>
            </w:r>
          </w:p>
        </w:tc>
        <w:tc>
          <w:tcPr>
            <w:tcW w:w="1159" w:type="dxa"/>
            <w:tcBorders>
              <w:top w:val="nil"/>
              <w:left w:val="nil"/>
              <w:bottom w:val="nil"/>
              <w:right w:val="nil"/>
            </w:tcBorders>
            <w:shd w:val="clear" w:color="auto" w:fill="auto"/>
            <w:noWrap/>
            <w:vAlign w:val="center"/>
            <w:hideMark/>
          </w:tcPr>
          <w:p w14:paraId="2981AD48" w14:textId="77777777" w:rsidR="00CB3C45" w:rsidRPr="004A5951" w:rsidRDefault="00CB3C45" w:rsidP="00842F2E">
            <w:pPr>
              <w:spacing w:after="0" w:line="240" w:lineRule="auto"/>
              <w:jc w:val="righ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0</w:t>
            </w:r>
          </w:p>
        </w:tc>
        <w:tc>
          <w:tcPr>
            <w:tcW w:w="1162" w:type="dxa"/>
            <w:tcBorders>
              <w:top w:val="nil"/>
              <w:left w:val="nil"/>
              <w:bottom w:val="nil"/>
              <w:right w:val="nil"/>
            </w:tcBorders>
            <w:shd w:val="clear" w:color="000000" w:fill="BFBFBF"/>
            <w:noWrap/>
            <w:vAlign w:val="center"/>
            <w:hideMark/>
          </w:tcPr>
          <w:p w14:paraId="6EE1743A" w14:textId="77777777" w:rsidR="00CB3C45" w:rsidRPr="004A5951" w:rsidRDefault="00CB3C45" w:rsidP="00842F2E">
            <w:pPr>
              <w:spacing w:after="0" w:line="240" w:lineRule="auto"/>
              <w:jc w:val="righ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326</w:t>
            </w:r>
          </w:p>
        </w:tc>
        <w:tc>
          <w:tcPr>
            <w:tcW w:w="849" w:type="dxa"/>
            <w:tcBorders>
              <w:top w:val="nil"/>
              <w:left w:val="nil"/>
              <w:bottom w:val="nil"/>
              <w:right w:val="nil"/>
            </w:tcBorders>
            <w:shd w:val="clear" w:color="auto" w:fill="auto"/>
            <w:noWrap/>
            <w:vAlign w:val="center"/>
            <w:hideMark/>
          </w:tcPr>
          <w:p w14:paraId="5A34C370" w14:textId="77777777" w:rsidR="00CB3C45" w:rsidRPr="004A5951" w:rsidRDefault="00CB3C45" w:rsidP="00842F2E">
            <w:pPr>
              <w:spacing w:after="0" w:line="240" w:lineRule="auto"/>
              <w:jc w:val="righ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326</w:t>
            </w:r>
          </w:p>
        </w:tc>
      </w:tr>
      <w:tr w:rsidR="00CB3C45" w:rsidRPr="004A5951" w14:paraId="606F4390" w14:textId="77777777" w:rsidTr="00842F2E">
        <w:trPr>
          <w:trHeight w:val="263"/>
        </w:trPr>
        <w:tc>
          <w:tcPr>
            <w:tcW w:w="196" w:type="dxa"/>
            <w:tcBorders>
              <w:top w:val="nil"/>
              <w:left w:val="nil"/>
              <w:bottom w:val="nil"/>
              <w:right w:val="nil"/>
            </w:tcBorders>
            <w:shd w:val="clear" w:color="auto" w:fill="auto"/>
            <w:noWrap/>
            <w:vAlign w:val="center"/>
            <w:hideMark/>
          </w:tcPr>
          <w:p w14:paraId="228B1CBB" w14:textId="77777777" w:rsidR="00CB3C45" w:rsidRPr="004A5951" w:rsidRDefault="00CB3C45" w:rsidP="00842F2E">
            <w:pPr>
              <w:spacing w:after="0" w:line="240" w:lineRule="auto"/>
              <w:jc w:val="right"/>
              <w:rPr>
                <w:rFonts w:eastAsia="Times New Roman" w:cs="Times New Roman"/>
                <w:i/>
                <w:iCs/>
                <w:color w:val="000000"/>
                <w:sz w:val="16"/>
                <w:szCs w:val="16"/>
                <w:lang w:eastAsia="sk-SK"/>
              </w:rPr>
            </w:pPr>
          </w:p>
        </w:tc>
        <w:tc>
          <w:tcPr>
            <w:tcW w:w="196" w:type="dxa"/>
            <w:tcBorders>
              <w:top w:val="nil"/>
              <w:left w:val="nil"/>
              <w:bottom w:val="nil"/>
              <w:right w:val="nil"/>
            </w:tcBorders>
            <w:shd w:val="clear" w:color="auto" w:fill="auto"/>
            <w:noWrap/>
            <w:vAlign w:val="center"/>
            <w:hideMark/>
          </w:tcPr>
          <w:p w14:paraId="4DD9EF99" w14:textId="77777777" w:rsidR="00CB3C45" w:rsidRPr="004A5951" w:rsidRDefault="00CB3C45" w:rsidP="00842F2E">
            <w:pPr>
              <w:spacing w:after="0" w:line="240" w:lineRule="auto"/>
              <w:jc w:val="left"/>
              <w:rPr>
                <w:rFonts w:eastAsia="Times New Roman" w:cs="Times New Roman"/>
                <w:sz w:val="16"/>
                <w:szCs w:val="16"/>
                <w:lang w:eastAsia="sk-SK"/>
              </w:rPr>
            </w:pPr>
          </w:p>
        </w:tc>
        <w:tc>
          <w:tcPr>
            <w:tcW w:w="3497" w:type="dxa"/>
            <w:tcBorders>
              <w:top w:val="nil"/>
              <w:left w:val="nil"/>
              <w:bottom w:val="nil"/>
              <w:right w:val="nil"/>
            </w:tcBorders>
            <w:shd w:val="clear" w:color="auto" w:fill="auto"/>
            <w:noWrap/>
            <w:vAlign w:val="center"/>
            <w:hideMark/>
          </w:tcPr>
          <w:p w14:paraId="3CC9AD3B" w14:textId="3922D715" w:rsidR="00CB3C45" w:rsidRPr="004A5951" w:rsidRDefault="00CB3C45" w:rsidP="008E196E">
            <w:pPr>
              <w:spacing w:after="0" w:line="240" w:lineRule="auto"/>
              <w:jc w:val="lef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S</w:t>
            </w:r>
            <w:r w:rsidR="008E196E">
              <w:rPr>
                <w:rFonts w:eastAsia="Times New Roman" w:cs="Times New Roman"/>
                <w:i/>
                <w:iCs/>
                <w:color w:val="000000"/>
                <w:sz w:val="16"/>
                <w:szCs w:val="16"/>
                <w:lang w:eastAsia="sk-SK"/>
              </w:rPr>
              <w:t>práva služieb diplomatického zboru</w:t>
            </w:r>
            <w:r w:rsidRPr="004A5951">
              <w:rPr>
                <w:rFonts w:eastAsia="Times New Roman" w:cs="Times New Roman"/>
                <w:i/>
                <w:iCs/>
                <w:color w:val="000000"/>
                <w:sz w:val="16"/>
                <w:szCs w:val="16"/>
                <w:lang w:eastAsia="sk-SK"/>
              </w:rPr>
              <w:t>,</w:t>
            </w:r>
            <w:r w:rsidR="007B03D6">
              <w:rPr>
                <w:rFonts w:eastAsia="Times New Roman" w:cs="Times New Roman"/>
                <w:i/>
                <w:iCs/>
                <w:color w:val="000000"/>
                <w:sz w:val="16"/>
                <w:szCs w:val="16"/>
                <w:lang w:eastAsia="sk-SK"/>
              </w:rPr>
              <w:t xml:space="preserve"> </w:t>
            </w:r>
            <w:r w:rsidRPr="004A5951">
              <w:rPr>
                <w:rFonts w:eastAsia="Times New Roman" w:cs="Times New Roman"/>
                <w:i/>
                <w:iCs/>
                <w:color w:val="000000"/>
                <w:sz w:val="16"/>
                <w:szCs w:val="16"/>
                <w:lang w:eastAsia="sk-SK"/>
              </w:rPr>
              <w:t>a.s.</w:t>
            </w:r>
          </w:p>
        </w:tc>
        <w:tc>
          <w:tcPr>
            <w:tcW w:w="792" w:type="dxa"/>
            <w:tcBorders>
              <w:top w:val="nil"/>
              <w:left w:val="nil"/>
              <w:bottom w:val="nil"/>
              <w:right w:val="nil"/>
            </w:tcBorders>
            <w:shd w:val="clear" w:color="auto" w:fill="auto"/>
            <w:noWrap/>
            <w:vAlign w:val="center"/>
            <w:hideMark/>
          </w:tcPr>
          <w:p w14:paraId="20077273" w14:textId="77777777" w:rsidR="00CB3C45" w:rsidRPr="004A5951" w:rsidRDefault="00CB3C45" w:rsidP="00842F2E">
            <w:pPr>
              <w:spacing w:after="0" w:line="240" w:lineRule="auto"/>
              <w:jc w:val="righ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153</w:t>
            </w:r>
          </w:p>
        </w:tc>
        <w:tc>
          <w:tcPr>
            <w:tcW w:w="875" w:type="dxa"/>
            <w:tcBorders>
              <w:top w:val="nil"/>
              <w:left w:val="nil"/>
              <w:bottom w:val="nil"/>
              <w:right w:val="nil"/>
            </w:tcBorders>
            <w:shd w:val="clear" w:color="auto" w:fill="auto"/>
            <w:noWrap/>
            <w:vAlign w:val="center"/>
            <w:hideMark/>
          </w:tcPr>
          <w:p w14:paraId="58BE5A3A" w14:textId="77777777" w:rsidR="00CB3C45" w:rsidRPr="004A5951" w:rsidRDefault="00CB3C45" w:rsidP="00842F2E">
            <w:pPr>
              <w:spacing w:after="0" w:line="240" w:lineRule="auto"/>
              <w:jc w:val="righ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0</w:t>
            </w:r>
          </w:p>
        </w:tc>
        <w:tc>
          <w:tcPr>
            <w:tcW w:w="1159" w:type="dxa"/>
            <w:tcBorders>
              <w:top w:val="nil"/>
              <w:left w:val="nil"/>
              <w:bottom w:val="nil"/>
              <w:right w:val="nil"/>
            </w:tcBorders>
            <w:shd w:val="clear" w:color="auto" w:fill="auto"/>
            <w:noWrap/>
            <w:vAlign w:val="center"/>
            <w:hideMark/>
          </w:tcPr>
          <w:p w14:paraId="1998429B" w14:textId="77777777" w:rsidR="00CB3C45" w:rsidRPr="004A5951" w:rsidRDefault="00CB3C45" w:rsidP="00842F2E">
            <w:pPr>
              <w:spacing w:after="0" w:line="240" w:lineRule="auto"/>
              <w:jc w:val="righ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0</w:t>
            </w:r>
          </w:p>
        </w:tc>
        <w:tc>
          <w:tcPr>
            <w:tcW w:w="1162" w:type="dxa"/>
            <w:tcBorders>
              <w:top w:val="nil"/>
              <w:left w:val="nil"/>
              <w:bottom w:val="nil"/>
              <w:right w:val="nil"/>
            </w:tcBorders>
            <w:shd w:val="clear" w:color="000000" w:fill="BFBFBF"/>
            <w:noWrap/>
            <w:vAlign w:val="center"/>
            <w:hideMark/>
          </w:tcPr>
          <w:p w14:paraId="013FFE7E" w14:textId="77777777" w:rsidR="00CB3C45" w:rsidRPr="004A5951" w:rsidRDefault="00CB3C45" w:rsidP="00842F2E">
            <w:pPr>
              <w:spacing w:after="0" w:line="240" w:lineRule="auto"/>
              <w:jc w:val="righ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208</w:t>
            </w:r>
          </w:p>
        </w:tc>
        <w:tc>
          <w:tcPr>
            <w:tcW w:w="849" w:type="dxa"/>
            <w:tcBorders>
              <w:top w:val="nil"/>
              <w:left w:val="nil"/>
              <w:bottom w:val="nil"/>
              <w:right w:val="nil"/>
            </w:tcBorders>
            <w:shd w:val="clear" w:color="auto" w:fill="auto"/>
            <w:noWrap/>
            <w:vAlign w:val="center"/>
            <w:hideMark/>
          </w:tcPr>
          <w:p w14:paraId="0F12D482" w14:textId="77777777" w:rsidR="00CB3C45" w:rsidRPr="004A5951" w:rsidRDefault="00CB3C45" w:rsidP="00842F2E">
            <w:pPr>
              <w:spacing w:after="0" w:line="240" w:lineRule="auto"/>
              <w:jc w:val="righ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208</w:t>
            </w:r>
          </w:p>
        </w:tc>
      </w:tr>
      <w:tr w:rsidR="00CB3C45" w:rsidRPr="004A5951" w14:paraId="611190DE" w14:textId="77777777" w:rsidTr="00842F2E">
        <w:trPr>
          <w:trHeight w:val="255"/>
        </w:trPr>
        <w:tc>
          <w:tcPr>
            <w:tcW w:w="196" w:type="dxa"/>
            <w:tcBorders>
              <w:top w:val="nil"/>
              <w:left w:val="nil"/>
              <w:bottom w:val="nil"/>
              <w:right w:val="nil"/>
            </w:tcBorders>
            <w:shd w:val="clear" w:color="auto" w:fill="auto"/>
            <w:noWrap/>
            <w:vAlign w:val="center"/>
            <w:hideMark/>
          </w:tcPr>
          <w:p w14:paraId="277FC378" w14:textId="77777777" w:rsidR="00CB3C45" w:rsidRPr="004A5951" w:rsidRDefault="00CB3C45" w:rsidP="00842F2E">
            <w:pPr>
              <w:spacing w:after="0" w:line="240" w:lineRule="auto"/>
              <w:jc w:val="right"/>
              <w:rPr>
                <w:rFonts w:eastAsia="Times New Roman" w:cs="Times New Roman"/>
                <w:i/>
                <w:iCs/>
                <w:color w:val="000000"/>
                <w:sz w:val="16"/>
                <w:szCs w:val="16"/>
                <w:lang w:eastAsia="sk-SK"/>
              </w:rPr>
            </w:pPr>
          </w:p>
        </w:tc>
        <w:tc>
          <w:tcPr>
            <w:tcW w:w="196" w:type="dxa"/>
            <w:tcBorders>
              <w:top w:val="nil"/>
              <w:left w:val="nil"/>
              <w:bottom w:val="nil"/>
              <w:right w:val="nil"/>
            </w:tcBorders>
            <w:shd w:val="clear" w:color="auto" w:fill="auto"/>
            <w:noWrap/>
            <w:vAlign w:val="center"/>
            <w:hideMark/>
          </w:tcPr>
          <w:p w14:paraId="6B7A8DC9" w14:textId="77777777" w:rsidR="00CB3C45" w:rsidRPr="004A5951" w:rsidRDefault="00CB3C45" w:rsidP="00842F2E">
            <w:pPr>
              <w:spacing w:after="0" w:line="240" w:lineRule="auto"/>
              <w:jc w:val="left"/>
              <w:rPr>
                <w:rFonts w:eastAsia="Times New Roman" w:cs="Times New Roman"/>
                <w:sz w:val="16"/>
                <w:szCs w:val="16"/>
                <w:lang w:eastAsia="sk-SK"/>
              </w:rPr>
            </w:pPr>
          </w:p>
        </w:tc>
        <w:tc>
          <w:tcPr>
            <w:tcW w:w="3497" w:type="dxa"/>
            <w:tcBorders>
              <w:top w:val="nil"/>
              <w:left w:val="nil"/>
              <w:bottom w:val="nil"/>
              <w:right w:val="nil"/>
            </w:tcBorders>
            <w:shd w:val="clear" w:color="auto" w:fill="auto"/>
            <w:noWrap/>
            <w:vAlign w:val="center"/>
            <w:hideMark/>
          </w:tcPr>
          <w:p w14:paraId="579E44E4" w14:textId="77777777" w:rsidR="00CB3C45" w:rsidRPr="004A5951" w:rsidRDefault="00CB3C45" w:rsidP="00842F2E">
            <w:pPr>
              <w:spacing w:after="0" w:line="240" w:lineRule="auto"/>
              <w:jc w:val="lef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 xml:space="preserve">Letisko Košice - </w:t>
            </w:r>
            <w:proofErr w:type="spellStart"/>
            <w:r w:rsidRPr="004A5951">
              <w:rPr>
                <w:rFonts w:eastAsia="Times New Roman" w:cs="Times New Roman"/>
                <w:i/>
                <w:iCs/>
                <w:color w:val="000000"/>
                <w:sz w:val="16"/>
                <w:szCs w:val="16"/>
                <w:lang w:eastAsia="sk-SK"/>
              </w:rPr>
              <w:t>Airport</w:t>
            </w:r>
            <w:proofErr w:type="spellEnd"/>
            <w:r w:rsidRPr="004A5951">
              <w:rPr>
                <w:rFonts w:eastAsia="Times New Roman" w:cs="Times New Roman"/>
                <w:i/>
                <w:iCs/>
                <w:color w:val="000000"/>
                <w:sz w:val="16"/>
                <w:szCs w:val="16"/>
                <w:lang w:eastAsia="sk-SK"/>
              </w:rPr>
              <w:t xml:space="preserve"> Košice, a.s.</w:t>
            </w:r>
          </w:p>
        </w:tc>
        <w:tc>
          <w:tcPr>
            <w:tcW w:w="792" w:type="dxa"/>
            <w:tcBorders>
              <w:top w:val="nil"/>
              <w:left w:val="nil"/>
              <w:bottom w:val="nil"/>
              <w:right w:val="nil"/>
            </w:tcBorders>
            <w:shd w:val="clear" w:color="auto" w:fill="auto"/>
            <w:noWrap/>
            <w:vAlign w:val="center"/>
            <w:hideMark/>
          </w:tcPr>
          <w:p w14:paraId="6DC5B5D1" w14:textId="77777777" w:rsidR="00CB3C45" w:rsidRPr="004A5951" w:rsidRDefault="00CB3C45" w:rsidP="00842F2E">
            <w:pPr>
              <w:spacing w:after="0" w:line="240" w:lineRule="auto"/>
              <w:jc w:val="righ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155</w:t>
            </w:r>
          </w:p>
        </w:tc>
        <w:tc>
          <w:tcPr>
            <w:tcW w:w="875" w:type="dxa"/>
            <w:tcBorders>
              <w:top w:val="nil"/>
              <w:left w:val="nil"/>
              <w:bottom w:val="nil"/>
              <w:right w:val="nil"/>
            </w:tcBorders>
            <w:shd w:val="clear" w:color="auto" w:fill="auto"/>
            <w:noWrap/>
            <w:vAlign w:val="center"/>
            <w:hideMark/>
          </w:tcPr>
          <w:p w14:paraId="54DD0EB5" w14:textId="77777777" w:rsidR="00CB3C45" w:rsidRPr="004A5951" w:rsidRDefault="00CB3C45" w:rsidP="00842F2E">
            <w:pPr>
              <w:spacing w:after="0" w:line="240" w:lineRule="auto"/>
              <w:jc w:val="righ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115</w:t>
            </w:r>
          </w:p>
        </w:tc>
        <w:tc>
          <w:tcPr>
            <w:tcW w:w="1159" w:type="dxa"/>
            <w:tcBorders>
              <w:top w:val="nil"/>
              <w:left w:val="nil"/>
              <w:bottom w:val="nil"/>
              <w:right w:val="nil"/>
            </w:tcBorders>
            <w:shd w:val="clear" w:color="auto" w:fill="auto"/>
            <w:noWrap/>
            <w:vAlign w:val="center"/>
            <w:hideMark/>
          </w:tcPr>
          <w:p w14:paraId="3F8A124A" w14:textId="77777777" w:rsidR="00CB3C45" w:rsidRPr="004A5951" w:rsidRDefault="00CB3C45" w:rsidP="00842F2E">
            <w:pPr>
              <w:spacing w:after="0" w:line="240" w:lineRule="auto"/>
              <w:jc w:val="righ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0</w:t>
            </w:r>
          </w:p>
        </w:tc>
        <w:tc>
          <w:tcPr>
            <w:tcW w:w="1162" w:type="dxa"/>
            <w:tcBorders>
              <w:top w:val="nil"/>
              <w:left w:val="nil"/>
              <w:bottom w:val="nil"/>
              <w:right w:val="nil"/>
            </w:tcBorders>
            <w:shd w:val="clear" w:color="000000" w:fill="BFBFBF"/>
            <w:noWrap/>
            <w:vAlign w:val="center"/>
            <w:hideMark/>
          </w:tcPr>
          <w:p w14:paraId="2EEC873C" w14:textId="77777777" w:rsidR="00CB3C45" w:rsidRPr="004A5951" w:rsidRDefault="00CB3C45" w:rsidP="00842F2E">
            <w:pPr>
              <w:spacing w:after="0" w:line="240" w:lineRule="auto"/>
              <w:jc w:val="righ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37</w:t>
            </w:r>
          </w:p>
        </w:tc>
        <w:tc>
          <w:tcPr>
            <w:tcW w:w="849" w:type="dxa"/>
            <w:tcBorders>
              <w:top w:val="nil"/>
              <w:left w:val="nil"/>
              <w:bottom w:val="nil"/>
              <w:right w:val="nil"/>
            </w:tcBorders>
            <w:shd w:val="clear" w:color="auto" w:fill="auto"/>
            <w:noWrap/>
            <w:vAlign w:val="center"/>
            <w:hideMark/>
          </w:tcPr>
          <w:p w14:paraId="430CE748" w14:textId="77777777" w:rsidR="00CB3C45" w:rsidRPr="004A5951" w:rsidRDefault="00CB3C45" w:rsidP="00842F2E">
            <w:pPr>
              <w:spacing w:after="0" w:line="240" w:lineRule="auto"/>
              <w:jc w:val="righ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37</w:t>
            </w:r>
          </w:p>
        </w:tc>
      </w:tr>
      <w:tr w:rsidR="00CB3C45" w:rsidRPr="004A5951" w14:paraId="591AB42D" w14:textId="77777777" w:rsidTr="00842F2E">
        <w:trPr>
          <w:trHeight w:val="255"/>
        </w:trPr>
        <w:tc>
          <w:tcPr>
            <w:tcW w:w="196" w:type="dxa"/>
            <w:tcBorders>
              <w:top w:val="nil"/>
              <w:left w:val="nil"/>
              <w:bottom w:val="nil"/>
              <w:right w:val="nil"/>
            </w:tcBorders>
            <w:shd w:val="clear" w:color="auto" w:fill="auto"/>
            <w:noWrap/>
            <w:vAlign w:val="center"/>
            <w:hideMark/>
          </w:tcPr>
          <w:p w14:paraId="79EF7B12" w14:textId="77777777" w:rsidR="00CB3C45" w:rsidRPr="004A5951" w:rsidRDefault="00CB3C45" w:rsidP="00842F2E">
            <w:pPr>
              <w:spacing w:after="0" w:line="240" w:lineRule="auto"/>
              <w:jc w:val="right"/>
              <w:rPr>
                <w:rFonts w:eastAsia="Times New Roman" w:cs="Times New Roman"/>
                <w:i/>
                <w:iCs/>
                <w:color w:val="000000"/>
                <w:sz w:val="16"/>
                <w:szCs w:val="16"/>
                <w:lang w:eastAsia="sk-SK"/>
              </w:rPr>
            </w:pPr>
          </w:p>
        </w:tc>
        <w:tc>
          <w:tcPr>
            <w:tcW w:w="196" w:type="dxa"/>
            <w:tcBorders>
              <w:top w:val="nil"/>
              <w:left w:val="nil"/>
              <w:bottom w:val="nil"/>
              <w:right w:val="nil"/>
            </w:tcBorders>
            <w:shd w:val="clear" w:color="auto" w:fill="auto"/>
            <w:noWrap/>
            <w:vAlign w:val="center"/>
            <w:hideMark/>
          </w:tcPr>
          <w:p w14:paraId="73516D5A" w14:textId="77777777" w:rsidR="00CB3C45" w:rsidRPr="004A5951" w:rsidRDefault="00CB3C45" w:rsidP="00842F2E">
            <w:pPr>
              <w:spacing w:after="0" w:line="240" w:lineRule="auto"/>
              <w:jc w:val="left"/>
              <w:rPr>
                <w:rFonts w:eastAsia="Times New Roman" w:cs="Times New Roman"/>
                <w:sz w:val="16"/>
                <w:szCs w:val="16"/>
                <w:lang w:eastAsia="sk-SK"/>
              </w:rPr>
            </w:pPr>
          </w:p>
        </w:tc>
        <w:tc>
          <w:tcPr>
            <w:tcW w:w="3497" w:type="dxa"/>
            <w:tcBorders>
              <w:top w:val="nil"/>
              <w:left w:val="nil"/>
              <w:bottom w:val="nil"/>
              <w:right w:val="nil"/>
            </w:tcBorders>
            <w:shd w:val="clear" w:color="auto" w:fill="auto"/>
            <w:noWrap/>
            <w:vAlign w:val="center"/>
            <w:hideMark/>
          </w:tcPr>
          <w:p w14:paraId="15DD13CD" w14:textId="08A217B3" w:rsidR="00CB3C45" w:rsidRPr="004A5951" w:rsidRDefault="00CB3C45" w:rsidP="00842F2E">
            <w:pPr>
              <w:spacing w:after="0" w:line="240" w:lineRule="auto"/>
              <w:jc w:val="lef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Slovenská záručná a rozvojová banka,</w:t>
            </w:r>
            <w:r w:rsidR="007B03D6">
              <w:rPr>
                <w:rFonts w:eastAsia="Times New Roman" w:cs="Times New Roman"/>
                <w:i/>
                <w:iCs/>
                <w:color w:val="000000"/>
                <w:sz w:val="16"/>
                <w:szCs w:val="16"/>
                <w:lang w:eastAsia="sk-SK"/>
              </w:rPr>
              <w:t xml:space="preserve"> </w:t>
            </w:r>
            <w:r w:rsidRPr="004A5951">
              <w:rPr>
                <w:rFonts w:eastAsia="Times New Roman" w:cs="Times New Roman"/>
                <w:i/>
                <w:iCs/>
                <w:color w:val="000000"/>
                <w:sz w:val="16"/>
                <w:szCs w:val="16"/>
                <w:lang w:eastAsia="sk-SK"/>
              </w:rPr>
              <w:t>a.s.</w:t>
            </w:r>
          </w:p>
        </w:tc>
        <w:tc>
          <w:tcPr>
            <w:tcW w:w="792" w:type="dxa"/>
            <w:tcBorders>
              <w:top w:val="nil"/>
              <w:left w:val="nil"/>
              <w:bottom w:val="nil"/>
              <w:right w:val="nil"/>
            </w:tcBorders>
            <w:shd w:val="clear" w:color="auto" w:fill="auto"/>
            <w:noWrap/>
            <w:vAlign w:val="center"/>
            <w:hideMark/>
          </w:tcPr>
          <w:p w14:paraId="5D4D6DEC" w14:textId="77777777" w:rsidR="00CB3C45" w:rsidRPr="004A5951" w:rsidRDefault="00CB3C45" w:rsidP="00842F2E">
            <w:pPr>
              <w:spacing w:after="0" w:line="240" w:lineRule="auto"/>
              <w:jc w:val="righ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0</w:t>
            </w:r>
          </w:p>
        </w:tc>
        <w:tc>
          <w:tcPr>
            <w:tcW w:w="875" w:type="dxa"/>
            <w:tcBorders>
              <w:top w:val="nil"/>
              <w:left w:val="nil"/>
              <w:bottom w:val="nil"/>
              <w:right w:val="nil"/>
            </w:tcBorders>
            <w:shd w:val="clear" w:color="auto" w:fill="auto"/>
            <w:noWrap/>
            <w:vAlign w:val="center"/>
            <w:hideMark/>
          </w:tcPr>
          <w:p w14:paraId="7E7ED763" w14:textId="77777777" w:rsidR="00CB3C45" w:rsidRPr="004A5951" w:rsidRDefault="00CB3C45" w:rsidP="00842F2E">
            <w:pPr>
              <w:spacing w:after="0" w:line="240" w:lineRule="auto"/>
              <w:jc w:val="righ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1 827</w:t>
            </w:r>
          </w:p>
        </w:tc>
        <w:tc>
          <w:tcPr>
            <w:tcW w:w="1159" w:type="dxa"/>
            <w:tcBorders>
              <w:top w:val="nil"/>
              <w:left w:val="nil"/>
              <w:bottom w:val="nil"/>
              <w:right w:val="nil"/>
            </w:tcBorders>
            <w:shd w:val="clear" w:color="auto" w:fill="auto"/>
            <w:noWrap/>
            <w:vAlign w:val="center"/>
            <w:hideMark/>
          </w:tcPr>
          <w:p w14:paraId="6319FD4E" w14:textId="77777777" w:rsidR="00CB3C45" w:rsidRPr="004A5951" w:rsidRDefault="00CB3C45" w:rsidP="00842F2E">
            <w:pPr>
              <w:spacing w:after="0" w:line="240" w:lineRule="auto"/>
              <w:jc w:val="righ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0</w:t>
            </w:r>
          </w:p>
        </w:tc>
        <w:tc>
          <w:tcPr>
            <w:tcW w:w="1162" w:type="dxa"/>
            <w:tcBorders>
              <w:top w:val="nil"/>
              <w:left w:val="nil"/>
              <w:bottom w:val="nil"/>
              <w:right w:val="nil"/>
            </w:tcBorders>
            <w:shd w:val="clear" w:color="000000" w:fill="BFBFBF"/>
            <w:noWrap/>
            <w:vAlign w:val="center"/>
            <w:hideMark/>
          </w:tcPr>
          <w:p w14:paraId="77177B6A" w14:textId="77777777" w:rsidR="00CB3C45" w:rsidRPr="004A5951" w:rsidRDefault="00CB3C45" w:rsidP="00842F2E">
            <w:pPr>
              <w:spacing w:after="0" w:line="240" w:lineRule="auto"/>
              <w:jc w:val="righ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0</w:t>
            </w:r>
          </w:p>
        </w:tc>
        <w:tc>
          <w:tcPr>
            <w:tcW w:w="849" w:type="dxa"/>
            <w:tcBorders>
              <w:top w:val="nil"/>
              <w:left w:val="nil"/>
              <w:bottom w:val="nil"/>
              <w:right w:val="nil"/>
            </w:tcBorders>
            <w:shd w:val="clear" w:color="auto" w:fill="auto"/>
            <w:noWrap/>
            <w:vAlign w:val="center"/>
            <w:hideMark/>
          </w:tcPr>
          <w:p w14:paraId="5AE688CB" w14:textId="77777777" w:rsidR="00CB3C45" w:rsidRPr="004A5951" w:rsidRDefault="00CB3C45" w:rsidP="00842F2E">
            <w:pPr>
              <w:spacing w:after="0" w:line="240" w:lineRule="auto"/>
              <w:jc w:val="righ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0</w:t>
            </w:r>
          </w:p>
        </w:tc>
      </w:tr>
      <w:tr w:rsidR="00CB3C45" w:rsidRPr="004A5951" w14:paraId="09B8DD30" w14:textId="77777777" w:rsidTr="00842F2E">
        <w:trPr>
          <w:trHeight w:val="255"/>
        </w:trPr>
        <w:tc>
          <w:tcPr>
            <w:tcW w:w="3889" w:type="dxa"/>
            <w:gridSpan w:val="3"/>
            <w:tcBorders>
              <w:top w:val="nil"/>
              <w:left w:val="nil"/>
              <w:bottom w:val="nil"/>
              <w:right w:val="nil"/>
            </w:tcBorders>
            <w:shd w:val="clear" w:color="auto" w:fill="auto"/>
            <w:noWrap/>
            <w:vAlign w:val="center"/>
            <w:hideMark/>
          </w:tcPr>
          <w:p w14:paraId="707F19C8" w14:textId="77777777" w:rsidR="00CB3C45" w:rsidRPr="004A5951" w:rsidRDefault="00CB3C45" w:rsidP="00842F2E">
            <w:pPr>
              <w:spacing w:after="0" w:line="240" w:lineRule="auto"/>
              <w:jc w:val="left"/>
              <w:rPr>
                <w:rFonts w:eastAsia="Times New Roman" w:cs="Times New Roman"/>
                <w:b/>
                <w:bCs/>
                <w:color w:val="000000"/>
                <w:sz w:val="16"/>
                <w:szCs w:val="16"/>
                <w:lang w:eastAsia="sk-SK"/>
              </w:rPr>
            </w:pPr>
            <w:r w:rsidRPr="004A5951">
              <w:rPr>
                <w:rFonts w:eastAsia="Times New Roman" w:cs="Times New Roman"/>
                <w:b/>
                <w:bCs/>
                <w:color w:val="000000"/>
                <w:sz w:val="16"/>
                <w:szCs w:val="16"/>
                <w:lang w:eastAsia="sk-SK"/>
              </w:rPr>
              <w:t>MH Manažment, a. s.</w:t>
            </w:r>
          </w:p>
        </w:tc>
        <w:tc>
          <w:tcPr>
            <w:tcW w:w="792" w:type="dxa"/>
            <w:tcBorders>
              <w:top w:val="nil"/>
              <w:left w:val="nil"/>
              <w:bottom w:val="nil"/>
              <w:right w:val="nil"/>
            </w:tcBorders>
            <w:shd w:val="clear" w:color="auto" w:fill="auto"/>
            <w:noWrap/>
            <w:vAlign w:val="center"/>
            <w:hideMark/>
          </w:tcPr>
          <w:p w14:paraId="570CFC06" w14:textId="77777777" w:rsidR="00CB3C45" w:rsidRPr="004A5951" w:rsidRDefault="00CB3C45" w:rsidP="00842F2E">
            <w:pPr>
              <w:spacing w:after="0" w:line="240" w:lineRule="auto"/>
              <w:jc w:val="right"/>
              <w:rPr>
                <w:rFonts w:eastAsia="Times New Roman" w:cs="Times New Roman"/>
                <w:b/>
                <w:bCs/>
                <w:color w:val="000000"/>
                <w:sz w:val="16"/>
                <w:szCs w:val="16"/>
                <w:lang w:eastAsia="sk-SK"/>
              </w:rPr>
            </w:pPr>
            <w:r w:rsidRPr="004A5951">
              <w:rPr>
                <w:rFonts w:eastAsia="Times New Roman" w:cs="Times New Roman"/>
                <w:b/>
                <w:bCs/>
                <w:color w:val="000000"/>
                <w:sz w:val="16"/>
                <w:szCs w:val="16"/>
                <w:lang w:eastAsia="sk-SK"/>
              </w:rPr>
              <w:t>780</w:t>
            </w:r>
          </w:p>
        </w:tc>
        <w:tc>
          <w:tcPr>
            <w:tcW w:w="875" w:type="dxa"/>
            <w:tcBorders>
              <w:top w:val="nil"/>
              <w:left w:val="nil"/>
              <w:bottom w:val="nil"/>
              <w:right w:val="nil"/>
            </w:tcBorders>
            <w:shd w:val="clear" w:color="auto" w:fill="auto"/>
            <w:noWrap/>
            <w:vAlign w:val="center"/>
            <w:hideMark/>
          </w:tcPr>
          <w:p w14:paraId="282D6173" w14:textId="77777777" w:rsidR="00CB3C45" w:rsidRPr="004A5951" w:rsidRDefault="00CB3C45" w:rsidP="00842F2E">
            <w:pPr>
              <w:spacing w:after="0" w:line="240" w:lineRule="auto"/>
              <w:jc w:val="right"/>
              <w:rPr>
                <w:rFonts w:eastAsia="Times New Roman" w:cs="Times New Roman"/>
                <w:b/>
                <w:bCs/>
                <w:color w:val="000000"/>
                <w:sz w:val="16"/>
                <w:szCs w:val="16"/>
                <w:lang w:eastAsia="sk-SK"/>
              </w:rPr>
            </w:pPr>
            <w:r w:rsidRPr="004A5951">
              <w:rPr>
                <w:rFonts w:eastAsia="Times New Roman" w:cs="Times New Roman"/>
                <w:b/>
                <w:bCs/>
                <w:color w:val="000000"/>
                <w:sz w:val="16"/>
                <w:szCs w:val="16"/>
                <w:lang w:eastAsia="sk-SK"/>
              </w:rPr>
              <w:t>1 495</w:t>
            </w:r>
          </w:p>
        </w:tc>
        <w:tc>
          <w:tcPr>
            <w:tcW w:w="1159" w:type="dxa"/>
            <w:tcBorders>
              <w:top w:val="nil"/>
              <w:left w:val="nil"/>
              <w:bottom w:val="nil"/>
              <w:right w:val="nil"/>
            </w:tcBorders>
            <w:shd w:val="clear" w:color="auto" w:fill="auto"/>
            <w:noWrap/>
            <w:vAlign w:val="center"/>
            <w:hideMark/>
          </w:tcPr>
          <w:p w14:paraId="70004880" w14:textId="77777777" w:rsidR="00CB3C45" w:rsidRPr="004A5951" w:rsidRDefault="00CB3C45" w:rsidP="00842F2E">
            <w:pPr>
              <w:spacing w:after="0" w:line="240" w:lineRule="auto"/>
              <w:jc w:val="right"/>
              <w:rPr>
                <w:rFonts w:eastAsia="Times New Roman" w:cs="Times New Roman"/>
                <w:b/>
                <w:bCs/>
                <w:color w:val="000000"/>
                <w:sz w:val="16"/>
                <w:szCs w:val="16"/>
                <w:lang w:eastAsia="sk-SK"/>
              </w:rPr>
            </w:pPr>
            <w:r w:rsidRPr="004A5951">
              <w:rPr>
                <w:rFonts w:eastAsia="Times New Roman" w:cs="Times New Roman"/>
                <w:b/>
                <w:bCs/>
                <w:color w:val="000000"/>
                <w:sz w:val="16"/>
                <w:szCs w:val="16"/>
                <w:lang w:eastAsia="sk-SK"/>
              </w:rPr>
              <w:t>408</w:t>
            </w:r>
          </w:p>
        </w:tc>
        <w:tc>
          <w:tcPr>
            <w:tcW w:w="1162" w:type="dxa"/>
            <w:tcBorders>
              <w:top w:val="nil"/>
              <w:left w:val="nil"/>
              <w:bottom w:val="nil"/>
              <w:right w:val="nil"/>
            </w:tcBorders>
            <w:shd w:val="clear" w:color="000000" w:fill="BFBFBF"/>
            <w:noWrap/>
            <w:vAlign w:val="center"/>
            <w:hideMark/>
          </w:tcPr>
          <w:p w14:paraId="55EA3A87" w14:textId="77777777" w:rsidR="00CB3C45" w:rsidRPr="004A5951" w:rsidRDefault="00CB3C45" w:rsidP="00842F2E">
            <w:pPr>
              <w:spacing w:after="0" w:line="240" w:lineRule="auto"/>
              <w:jc w:val="right"/>
              <w:rPr>
                <w:rFonts w:eastAsia="Times New Roman" w:cs="Times New Roman"/>
                <w:b/>
                <w:bCs/>
                <w:color w:val="000000"/>
                <w:sz w:val="16"/>
                <w:szCs w:val="16"/>
                <w:lang w:eastAsia="sk-SK"/>
              </w:rPr>
            </w:pPr>
            <w:r w:rsidRPr="004A5951">
              <w:rPr>
                <w:rFonts w:eastAsia="Times New Roman" w:cs="Times New Roman"/>
                <w:b/>
                <w:bCs/>
                <w:color w:val="000000"/>
                <w:sz w:val="16"/>
                <w:szCs w:val="16"/>
                <w:lang w:eastAsia="sk-SK"/>
              </w:rPr>
              <w:t>1 019</w:t>
            </w:r>
          </w:p>
        </w:tc>
        <w:tc>
          <w:tcPr>
            <w:tcW w:w="849" w:type="dxa"/>
            <w:tcBorders>
              <w:top w:val="nil"/>
              <w:left w:val="nil"/>
              <w:bottom w:val="nil"/>
              <w:right w:val="nil"/>
            </w:tcBorders>
            <w:shd w:val="clear" w:color="auto" w:fill="auto"/>
            <w:noWrap/>
            <w:vAlign w:val="center"/>
            <w:hideMark/>
          </w:tcPr>
          <w:p w14:paraId="15D439C4" w14:textId="77777777" w:rsidR="00CB3C45" w:rsidRPr="004A5951" w:rsidRDefault="00CB3C45" w:rsidP="00842F2E">
            <w:pPr>
              <w:spacing w:after="0" w:line="240" w:lineRule="auto"/>
              <w:jc w:val="right"/>
              <w:rPr>
                <w:rFonts w:eastAsia="Times New Roman" w:cs="Times New Roman"/>
                <w:b/>
                <w:bCs/>
                <w:color w:val="000000"/>
                <w:sz w:val="16"/>
                <w:szCs w:val="16"/>
                <w:lang w:eastAsia="sk-SK"/>
              </w:rPr>
            </w:pPr>
            <w:r w:rsidRPr="004A5951">
              <w:rPr>
                <w:rFonts w:eastAsia="Times New Roman" w:cs="Times New Roman"/>
                <w:b/>
                <w:bCs/>
                <w:color w:val="000000"/>
                <w:sz w:val="16"/>
                <w:szCs w:val="16"/>
                <w:lang w:eastAsia="sk-SK"/>
              </w:rPr>
              <w:t>611</w:t>
            </w:r>
          </w:p>
        </w:tc>
      </w:tr>
      <w:tr w:rsidR="00CB3C45" w:rsidRPr="004A5951" w14:paraId="2FA532B9" w14:textId="77777777" w:rsidTr="00842F2E">
        <w:trPr>
          <w:trHeight w:val="255"/>
        </w:trPr>
        <w:tc>
          <w:tcPr>
            <w:tcW w:w="196" w:type="dxa"/>
            <w:tcBorders>
              <w:top w:val="nil"/>
              <w:left w:val="nil"/>
              <w:bottom w:val="nil"/>
              <w:right w:val="nil"/>
            </w:tcBorders>
            <w:shd w:val="clear" w:color="auto" w:fill="auto"/>
            <w:noWrap/>
            <w:vAlign w:val="center"/>
            <w:hideMark/>
          </w:tcPr>
          <w:p w14:paraId="140A2AC5" w14:textId="77777777" w:rsidR="00CB3C45" w:rsidRPr="004A5951" w:rsidRDefault="00CB3C45" w:rsidP="00842F2E">
            <w:pPr>
              <w:spacing w:after="0" w:line="240" w:lineRule="auto"/>
              <w:jc w:val="right"/>
              <w:rPr>
                <w:rFonts w:eastAsia="Times New Roman" w:cs="Times New Roman"/>
                <w:b/>
                <w:bCs/>
                <w:color w:val="000000"/>
                <w:sz w:val="16"/>
                <w:szCs w:val="16"/>
                <w:lang w:eastAsia="sk-SK"/>
              </w:rPr>
            </w:pPr>
          </w:p>
        </w:tc>
        <w:tc>
          <w:tcPr>
            <w:tcW w:w="3693" w:type="dxa"/>
            <w:gridSpan w:val="2"/>
            <w:tcBorders>
              <w:top w:val="nil"/>
              <w:left w:val="nil"/>
              <w:bottom w:val="nil"/>
              <w:right w:val="nil"/>
            </w:tcBorders>
            <w:shd w:val="clear" w:color="auto" w:fill="auto"/>
            <w:noWrap/>
            <w:vAlign w:val="center"/>
            <w:hideMark/>
          </w:tcPr>
          <w:p w14:paraId="6517811C" w14:textId="77777777" w:rsidR="00CB3C45" w:rsidRPr="004A5951" w:rsidRDefault="00CB3C45" w:rsidP="00842F2E">
            <w:pPr>
              <w:spacing w:after="0" w:line="240" w:lineRule="auto"/>
              <w:jc w:val="left"/>
              <w:rPr>
                <w:rFonts w:eastAsia="Times New Roman" w:cs="Times New Roman"/>
                <w:color w:val="000000"/>
                <w:sz w:val="16"/>
                <w:szCs w:val="16"/>
                <w:lang w:eastAsia="sk-SK"/>
              </w:rPr>
            </w:pPr>
            <w:r w:rsidRPr="004A5951">
              <w:rPr>
                <w:rFonts w:eastAsia="Times New Roman" w:cs="Times New Roman"/>
                <w:color w:val="000000"/>
                <w:sz w:val="16"/>
                <w:szCs w:val="16"/>
                <w:lang w:eastAsia="sk-SK"/>
              </w:rPr>
              <w:t>Riadne dividendy</w:t>
            </w:r>
          </w:p>
        </w:tc>
        <w:tc>
          <w:tcPr>
            <w:tcW w:w="792" w:type="dxa"/>
            <w:tcBorders>
              <w:top w:val="nil"/>
              <w:left w:val="nil"/>
              <w:bottom w:val="nil"/>
              <w:right w:val="nil"/>
            </w:tcBorders>
            <w:shd w:val="clear" w:color="auto" w:fill="auto"/>
            <w:noWrap/>
            <w:vAlign w:val="center"/>
            <w:hideMark/>
          </w:tcPr>
          <w:p w14:paraId="51C0FC31" w14:textId="77777777" w:rsidR="00CB3C45" w:rsidRPr="004A5951" w:rsidRDefault="00CB3C45" w:rsidP="00842F2E">
            <w:pPr>
              <w:spacing w:after="0" w:line="240" w:lineRule="auto"/>
              <w:jc w:val="right"/>
              <w:rPr>
                <w:rFonts w:eastAsia="Times New Roman" w:cs="Times New Roman"/>
                <w:color w:val="000000"/>
                <w:sz w:val="16"/>
                <w:szCs w:val="16"/>
                <w:lang w:eastAsia="sk-SK"/>
              </w:rPr>
            </w:pPr>
            <w:r w:rsidRPr="004A5951">
              <w:rPr>
                <w:rFonts w:eastAsia="Times New Roman" w:cs="Times New Roman"/>
                <w:color w:val="000000"/>
                <w:sz w:val="16"/>
                <w:szCs w:val="16"/>
                <w:lang w:eastAsia="sk-SK"/>
              </w:rPr>
              <w:t>741</w:t>
            </w:r>
          </w:p>
        </w:tc>
        <w:tc>
          <w:tcPr>
            <w:tcW w:w="875" w:type="dxa"/>
            <w:tcBorders>
              <w:top w:val="nil"/>
              <w:left w:val="nil"/>
              <w:bottom w:val="nil"/>
              <w:right w:val="nil"/>
            </w:tcBorders>
            <w:shd w:val="clear" w:color="auto" w:fill="auto"/>
            <w:noWrap/>
            <w:vAlign w:val="center"/>
            <w:hideMark/>
          </w:tcPr>
          <w:p w14:paraId="7397C8A7" w14:textId="77777777" w:rsidR="00CB3C45" w:rsidRPr="004A5951" w:rsidRDefault="00CB3C45" w:rsidP="00842F2E">
            <w:pPr>
              <w:spacing w:after="0" w:line="240" w:lineRule="auto"/>
              <w:jc w:val="right"/>
              <w:rPr>
                <w:rFonts w:eastAsia="Times New Roman" w:cs="Times New Roman"/>
                <w:color w:val="000000"/>
                <w:sz w:val="16"/>
                <w:szCs w:val="16"/>
                <w:lang w:eastAsia="sk-SK"/>
              </w:rPr>
            </w:pPr>
            <w:r w:rsidRPr="004A5951">
              <w:rPr>
                <w:rFonts w:eastAsia="Times New Roman" w:cs="Times New Roman"/>
                <w:color w:val="000000"/>
                <w:sz w:val="16"/>
                <w:szCs w:val="16"/>
                <w:lang w:eastAsia="sk-SK"/>
              </w:rPr>
              <w:t>1 045</w:t>
            </w:r>
          </w:p>
        </w:tc>
        <w:tc>
          <w:tcPr>
            <w:tcW w:w="1159" w:type="dxa"/>
            <w:tcBorders>
              <w:top w:val="nil"/>
              <w:left w:val="nil"/>
              <w:bottom w:val="nil"/>
              <w:right w:val="nil"/>
            </w:tcBorders>
            <w:shd w:val="clear" w:color="auto" w:fill="auto"/>
            <w:noWrap/>
            <w:vAlign w:val="center"/>
            <w:hideMark/>
          </w:tcPr>
          <w:p w14:paraId="20F99B3E" w14:textId="77777777" w:rsidR="00CB3C45" w:rsidRPr="004A5951" w:rsidRDefault="00CB3C45" w:rsidP="00842F2E">
            <w:pPr>
              <w:spacing w:after="0" w:line="240" w:lineRule="auto"/>
              <w:jc w:val="right"/>
              <w:rPr>
                <w:rFonts w:eastAsia="Times New Roman" w:cs="Times New Roman"/>
                <w:color w:val="000000"/>
                <w:sz w:val="16"/>
                <w:szCs w:val="16"/>
                <w:lang w:eastAsia="sk-SK"/>
              </w:rPr>
            </w:pPr>
            <w:r w:rsidRPr="004A5951">
              <w:rPr>
                <w:rFonts w:eastAsia="Times New Roman" w:cs="Times New Roman"/>
                <w:color w:val="000000"/>
                <w:sz w:val="16"/>
                <w:szCs w:val="16"/>
                <w:lang w:eastAsia="sk-SK"/>
              </w:rPr>
              <w:t>397</w:t>
            </w:r>
          </w:p>
        </w:tc>
        <w:tc>
          <w:tcPr>
            <w:tcW w:w="1162" w:type="dxa"/>
            <w:tcBorders>
              <w:top w:val="nil"/>
              <w:left w:val="nil"/>
              <w:bottom w:val="nil"/>
              <w:right w:val="nil"/>
            </w:tcBorders>
            <w:shd w:val="clear" w:color="000000" w:fill="BFBFBF"/>
            <w:noWrap/>
            <w:vAlign w:val="center"/>
            <w:hideMark/>
          </w:tcPr>
          <w:p w14:paraId="22C554A5" w14:textId="77777777" w:rsidR="00CB3C45" w:rsidRPr="004A5951" w:rsidRDefault="00CB3C45" w:rsidP="00842F2E">
            <w:pPr>
              <w:spacing w:after="0" w:line="240" w:lineRule="auto"/>
              <w:jc w:val="right"/>
              <w:rPr>
                <w:rFonts w:eastAsia="Times New Roman" w:cs="Times New Roman"/>
                <w:color w:val="000000"/>
                <w:sz w:val="16"/>
                <w:szCs w:val="16"/>
                <w:lang w:eastAsia="sk-SK"/>
              </w:rPr>
            </w:pPr>
            <w:r w:rsidRPr="004A5951">
              <w:rPr>
                <w:rFonts w:eastAsia="Times New Roman" w:cs="Times New Roman"/>
                <w:color w:val="000000"/>
                <w:sz w:val="16"/>
                <w:szCs w:val="16"/>
                <w:lang w:eastAsia="sk-SK"/>
              </w:rPr>
              <w:t>786</w:t>
            </w:r>
          </w:p>
        </w:tc>
        <w:tc>
          <w:tcPr>
            <w:tcW w:w="849" w:type="dxa"/>
            <w:tcBorders>
              <w:top w:val="nil"/>
              <w:left w:val="nil"/>
              <w:bottom w:val="nil"/>
              <w:right w:val="nil"/>
            </w:tcBorders>
            <w:shd w:val="clear" w:color="auto" w:fill="auto"/>
            <w:noWrap/>
            <w:vAlign w:val="center"/>
            <w:hideMark/>
          </w:tcPr>
          <w:p w14:paraId="074CFD7C" w14:textId="77777777" w:rsidR="00CB3C45" w:rsidRPr="004A5951" w:rsidRDefault="00CB3C45" w:rsidP="00842F2E">
            <w:pPr>
              <w:spacing w:after="0" w:line="240" w:lineRule="auto"/>
              <w:jc w:val="right"/>
              <w:rPr>
                <w:rFonts w:eastAsia="Times New Roman" w:cs="Times New Roman"/>
                <w:color w:val="000000"/>
                <w:sz w:val="16"/>
                <w:szCs w:val="16"/>
                <w:lang w:eastAsia="sk-SK"/>
              </w:rPr>
            </w:pPr>
            <w:r w:rsidRPr="004A5951">
              <w:rPr>
                <w:rFonts w:eastAsia="Times New Roman" w:cs="Times New Roman"/>
                <w:color w:val="000000"/>
                <w:sz w:val="16"/>
                <w:szCs w:val="16"/>
                <w:lang w:eastAsia="sk-SK"/>
              </w:rPr>
              <w:t>389</w:t>
            </w:r>
          </w:p>
        </w:tc>
      </w:tr>
      <w:tr w:rsidR="00CB3C45" w:rsidRPr="004A5951" w14:paraId="74CBE321" w14:textId="77777777" w:rsidTr="00842F2E">
        <w:trPr>
          <w:trHeight w:val="255"/>
        </w:trPr>
        <w:tc>
          <w:tcPr>
            <w:tcW w:w="196" w:type="dxa"/>
            <w:tcBorders>
              <w:top w:val="nil"/>
              <w:left w:val="nil"/>
              <w:bottom w:val="single" w:sz="4" w:space="0" w:color="auto"/>
              <w:right w:val="nil"/>
            </w:tcBorders>
            <w:shd w:val="clear" w:color="auto" w:fill="auto"/>
            <w:noWrap/>
            <w:vAlign w:val="center"/>
            <w:hideMark/>
          </w:tcPr>
          <w:p w14:paraId="6F97B148" w14:textId="77777777" w:rsidR="00CB3C45" w:rsidRPr="004A5951" w:rsidRDefault="00CB3C45" w:rsidP="00842F2E">
            <w:pPr>
              <w:spacing w:after="0" w:line="240" w:lineRule="auto"/>
              <w:jc w:val="lef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 </w:t>
            </w:r>
          </w:p>
        </w:tc>
        <w:tc>
          <w:tcPr>
            <w:tcW w:w="3693" w:type="dxa"/>
            <w:gridSpan w:val="2"/>
            <w:tcBorders>
              <w:top w:val="nil"/>
              <w:left w:val="nil"/>
              <w:bottom w:val="single" w:sz="4" w:space="0" w:color="auto"/>
              <w:right w:val="nil"/>
            </w:tcBorders>
            <w:shd w:val="clear" w:color="auto" w:fill="auto"/>
            <w:noWrap/>
            <w:vAlign w:val="center"/>
            <w:hideMark/>
          </w:tcPr>
          <w:p w14:paraId="2978FB56" w14:textId="77777777" w:rsidR="00CB3C45" w:rsidRPr="004A5951" w:rsidRDefault="00CB3C45" w:rsidP="00842F2E">
            <w:pPr>
              <w:spacing w:after="0" w:line="240" w:lineRule="auto"/>
              <w:jc w:val="lef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Superdividendy</w:t>
            </w:r>
          </w:p>
        </w:tc>
        <w:tc>
          <w:tcPr>
            <w:tcW w:w="792" w:type="dxa"/>
            <w:tcBorders>
              <w:top w:val="nil"/>
              <w:left w:val="nil"/>
              <w:bottom w:val="single" w:sz="4" w:space="0" w:color="auto"/>
              <w:right w:val="nil"/>
            </w:tcBorders>
            <w:shd w:val="clear" w:color="auto" w:fill="auto"/>
            <w:noWrap/>
            <w:vAlign w:val="center"/>
            <w:hideMark/>
          </w:tcPr>
          <w:p w14:paraId="214EE68A" w14:textId="77777777" w:rsidR="00CB3C45" w:rsidRPr="004A5951" w:rsidRDefault="00CB3C45" w:rsidP="00842F2E">
            <w:pPr>
              <w:spacing w:after="0" w:line="240" w:lineRule="auto"/>
              <w:jc w:val="righ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39</w:t>
            </w:r>
          </w:p>
        </w:tc>
        <w:tc>
          <w:tcPr>
            <w:tcW w:w="875" w:type="dxa"/>
            <w:tcBorders>
              <w:top w:val="nil"/>
              <w:left w:val="nil"/>
              <w:bottom w:val="single" w:sz="4" w:space="0" w:color="auto"/>
              <w:right w:val="nil"/>
            </w:tcBorders>
            <w:shd w:val="clear" w:color="auto" w:fill="auto"/>
            <w:noWrap/>
            <w:vAlign w:val="center"/>
            <w:hideMark/>
          </w:tcPr>
          <w:p w14:paraId="6AEEFCDE" w14:textId="77777777" w:rsidR="00CB3C45" w:rsidRPr="004A5951" w:rsidRDefault="00CB3C45" w:rsidP="00842F2E">
            <w:pPr>
              <w:spacing w:after="0" w:line="240" w:lineRule="auto"/>
              <w:jc w:val="righ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450</w:t>
            </w:r>
          </w:p>
        </w:tc>
        <w:tc>
          <w:tcPr>
            <w:tcW w:w="1159" w:type="dxa"/>
            <w:tcBorders>
              <w:top w:val="nil"/>
              <w:left w:val="nil"/>
              <w:bottom w:val="single" w:sz="4" w:space="0" w:color="auto"/>
              <w:right w:val="nil"/>
            </w:tcBorders>
            <w:shd w:val="clear" w:color="auto" w:fill="auto"/>
            <w:noWrap/>
            <w:vAlign w:val="center"/>
            <w:hideMark/>
          </w:tcPr>
          <w:p w14:paraId="6D67CE73" w14:textId="77777777" w:rsidR="00CB3C45" w:rsidRPr="004A5951" w:rsidRDefault="00CB3C45" w:rsidP="00842F2E">
            <w:pPr>
              <w:spacing w:after="0" w:line="240" w:lineRule="auto"/>
              <w:jc w:val="righ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11</w:t>
            </w:r>
          </w:p>
        </w:tc>
        <w:tc>
          <w:tcPr>
            <w:tcW w:w="1162" w:type="dxa"/>
            <w:tcBorders>
              <w:top w:val="nil"/>
              <w:left w:val="nil"/>
              <w:bottom w:val="single" w:sz="4" w:space="0" w:color="auto"/>
              <w:right w:val="nil"/>
            </w:tcBorders>
            <w:shd w:val="clear" w:color="000000" w:fill="BFBFBF"/>
            <w:noWrap/>
            <w:vAlign w:val="center"/>
            <w:hideMark/>
          </w:tcPr>
          <w:p w14:paraId="42681115" w14:textId="77777777" w:rsidR="00CB3C45" w:rsidRPr="004A5951" w:rsidRDefault="00CB3C45" w:rsidP="00842F2E">
            <w:pPr>
              <w:spacing w:after="0" w:line="240" w:lineRule="auto"/>
              <w:jc w:val="righ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233</w:t>
            </w:r>
          </w:p>
        </w:tc>
        <w:tc>
          <w:tcPr>
            <w:tcW w:w="849" w:type="dxa"/>
            <w:tcBorders>
              <w:top w:val="nil"/>
              <w:left w:val="nil"/>
              <w:bottom w:val="single" w:sz="4" w:space="0" w:color="auto"/>
              <w:right w:val="nil"/>
            </w:tcBorders>
            <w:shd w:val="clear" w:color="auto" w:fill="auto"/>
            <w:noWrap/>
            <w:vAlign w:val="center"/>
            <w:hideMark/>
          </w:tcPr>
          <w:p w14:paraId="2D641D7C" w14:textId="77777777" w:rsidR="00CB3C45" w:rsidRPr="004A5951" w:rsidRDefault="00CB3C45" w:rsidP="00842F2E">
            <w:pPr>
              <w:spacing w:after="0" w:line="240" w:lineRule="auto"/>
              <w:jc w:val="right"/>
              <w:rPr>
                <w:rFonts w:eastAsia="Times New Roman" w:cs="Times New Roman"/>
                <w:i/>
                <w:iCs/>
                <w:color w:val="000000"/>
                <w:sz w:val="16"/>
                <w:szCs w:val="16"/>
                <w:lang w:eastAsia="sk-SK"/>
              </w:rPr>
            </w:pPr>
            <w:r w:rsidRPr="004A5951">
              <w:rPr>
                <w:rFonts w:eastAsia="Times New Roman" w:cs="Times New Roman"/>
                <w:i/>
                <w:iCs/>
                <w:color w:val="000000"/>
                <w:sz w:val="16"/>
                <w:szCs w:val="16"/>
                <w:lang w:eastAsia="sk-SK"/>
              </w:rPr>
              <w:t>222</w:t>
            </w:r>
          </w:p>
        </w:tc>
      </w:tr>
    </w:tbl>
    <w:p w14:paraId="4CD554F6" w14:textId="77777777" w:rsidR="00CB3C45" w:rsidRPr="004A5951" w:rsidRDefault="00CB3C45" w:rsidP="00CB3C45">
      <w:pPr>
        <w:spacing w:after="0" w:line="240" w:lineRule="auto"/>
        <w:ind w:right="-144"/>
        <w:rPr>
          <w:rFonts w:eastAsia="Times New Roman" w:cs="Times New Roman"/>
          <w:sz w:val="16"/>
          <w:szCs w:val="16"/>
          <w:lang w:eastAsia="sk-SK"/>
        </w:rPr>
      </w:pPr>
      <w:r w:rsidRPr="004A5951">
        <w:rPr>
          <w:rFonts w:eastAsia="Times New Roman" w:cs="Times New Roman"/>
          <w:sz w:val="16"/>
          <w:szCs w:val="16"/>
          <w:vertAlign w:val="superscript"/>
          <w:lang w:eastAsia="sk-SK"/>
        </w:rPr>
        <w:t>1</w:t>
      </w:r>
      <w:r w:rsidRPr="004A5951">
        <w:rPr>
          <w:rFonts w:eastAsia="Times New Roman" w:cs="Times New Roman"/>
          <w:color w:val="000000"/>
          <w:sz w:val="16"/>
          <w:szCs w:val="16"/>
          <w:vertAlign w:val="superscript"/>
          <w:lang w:eastAsia="sk-SK"/>
        </w:rPr>
        <w:t>)</w:t>
      </w:r>
      <w:r w:rsidRPr="004A5951">
        <w:rPr>
          <w:rFonts w:eastAsia="Times New Roman" w:cs="Times New Roman"/>
          <w:sz w:val="16"/>
          <w:szCs w:val="16"/>
          <w:lang w:eastAsia="sk-SK"/>
        </w:rPr>
        <w:t xml:space="preserve"> Po vylúčení vplyvu vyplatených dividend od subjektov verejnej správy, ktoré majú neutrálny vplyv                                 Zdroj. MF SR</w:t>
      </w:r>
    </w:p>
    <w:p w14:paraId="2F293178" w14:textId="77777777" w:rsidR="00CB3C45" w:rsidRPr="004A5951" w:rsidRDefault="00CB3C45" w:rsidP="00CB3C45">
      <w:pPr>
        <w:spacing w:after="0" w:line="240" w:lineRule="auto"/>
        <w:ind w:right="-144"/>
        <w:rPr>
          <w:rFonts w:eastAsia="Times New Roman" w:cs="Times New Roman"/>
          <w:sz w:val="16"/>
          <w:szCs w:val="16"/>
          <w:lang w:eastAsia="sk-SK"/>
        </w:rPr>
      </w:pPr>
      <w:r w:rsidRPr="004A5951">
        <w:rPr>
          <w:rFonts w:eastAsia="Times New Roman" w:cs="Times New Roman"/>
          <w:sz w:val="16"/>
          <w:szCs w:val="16"/>
          <w:lang w:eastAsia="sk-SK"/>
        </w:rPr>
        <w:t>na saldo verejnej správy (Eximbanka,  Slovenský pozemkový fond, MH Manažment, a. s., JAVYS, a. s </w:t>
      </w:r>
    </w:p>
    <w:p w14:paraId="5A5B82BD" w14:textId="77777777" w:rsidR="00CB3C45" w:rsidRPr="004A5951" w:rsidRDefault="00CB3C45" w:rsidP="00CB3C45">
      <w:pPr>
        <w:spacing w:after="0" w:line="240" w:lineRule="auto"/>
        <w:ind w:right="-144"/>
        <w:rPr>
          <w:rFonts w:eastAsia="Times New Roman" w:cs="Times New Roman"/>
          <w:sz w:val="16"/>
          <w:szCs w:val="16"/>
          <w:lang w:eastAsia="sk-SK"/>
        </w:rPr>
      </w:pPr>
      <w:r w:rsidRPr="004A5951">
        <w:rPr>
          <w:rFonts w:eastAsia="Times New Roman" w:cs="Times New Roman"/>
          <w:sz w:val="16"/>
          <w:szCs w:val="16"/>
          <w:lang w:eastAsia="sk-SK"/>
        </w:rPr>
        <w:t xml:space="preserve">a Slovenskej konsolidačná, a.s.)      </w:t>
      </w:r>
    </w:p>
    <w:p w14:paraId="03B364B4" w14:textId="77777777" w:rsidR="00CB3C45" w:rsidRPr="00512C7A" w:rsidRDefault="00CB3C45" w:rsidP="00512C7A">
      <w:pPr>
        <w:autoSpaceDE w:val="0"/>
        <w:autoSpaceDN w:val="0"/>
        <w:spacing w:line="240" w:lineRule="auto"/>
        <w:rPr>
          <w:rFonts w:cs="Times New Roman"/>
          <w:b/>
          <w:color w:val="5B9BD5" w:themeColor="accent1"/>
          <w:sz w:val="24"/>
          <w:szCs w:val="24"/>
          <w:lang w:eastAsia="sk-SK"/>
        </w:rPr>
      </w:pPr>
      <w:r w:rsidRPr="00512C7A">
        <w:rPr>
          <w:rFonts w:cs="Times New Roman"/>
          <w:b/>
          <w:bCs/>
          <w:color w:val="5B9BD5" w:themeColor="accent1"/>
          <w:sz w:val="24"/>
          <w:szCs w:val="24"/>
          <w:lang w:eastAsia="sk-SK"/>
        </w:rPr>
        <w:t>Prenesené výdavky štátneho rozpočtu</w:t>
      </w:r>
    </w:p>
    <w:p w14:paraId="00BE78E4" w14:textId="4B5F65E9" w:rsidR="00512C7A" w:rsidRDefault="00CB3C45" w:rsidP="004A5951">
      <w:pPr>
        <w:autoSpaceDE w:val="0"/>
        <w:autoSpaceDN w:val="0"/>
        <w:spacing w:after="0" w:line="240" w:lineRule="auto"/>
        <w:rPr>
          <w:rFonts w:cs="Times New Roman"/>
          <w:sz w:val="24"/>
          <w:szCs w:val="24"/>
          <w:lang w:eastAsia="sk-SK"/>
        </w:rPr>
      </w:pPr>
      <w:r w:rsidRPr="004A5951">
        <w:rPr>
          <w:rFonts w:cs="Times New Roman"/>
          <w:sz w:val="24"/>
          <w:szCs w:val="24"/>
          <w:lang w:eastAsia="sk-SK"/>
        </w:rPr>
        <w:t xml:space="preserve">Podľa </w:t>
      </w:r>
      <w:r w:rsidRPr="004A5951">
        <w:rPr>
          <w:rFonts w:cs="Times New Roman"/>
          <w:sz w:val="24"/>
          <w:szCs w:val="24"/>
        </w:rPr>
        <w:t xml:space="preserve">§ 8 </w:t>
      </w:r>
      <w:r w:rsidRPr="004A5951">
        <w:rPr>
          <w:rFonts w:cs="Times New Roman"/>
          <w:sz w:val="24"/>
          <w:szCs w:val="24"/>
          <w:lang w:eastAsia="sk-SK"/>
        </w:rPr>
        <w:t>zákona č. 523/2004 Z. z. o rozpočtových pravidlách verejnej správy a o zmene a doplnení niektorých zákonov (ďalej len ,,zákon o rozpočtových pravidlách“) je možné kapitálové výdavky a vybrané bežné výdavky štátneho rozpočtu použiť na určený účel aj v</w:t>
      </w:r>
      <w:r w:rsidR="0067071E">
        <w:rPr>
          <w:rFonts w:cs="Times New Roman"/>
          <w:sz w:val="24"/>
          <w:szCs w:val="24"/>
          <w:lang w:eastAsia="sk-SK"/>
        </w:rPr>
        <w:t> </w:t>
      </w:r>
      <w:r w:rsidRPr="004A5951">
        <w:rPr>
          <w:rFonts w:cs="Times New Roman"/>
          <w:sz w:val="24"/>
          <w:szCs w:val="24"/>
          <w:lang w:eastAsia="sk-SK"/>
        </w:rPr>
        <w:t>nasledujúcich dvoch rozpočtových rokoch po rozpočtovom ro</w:t>
      </w:r>
      <w:r w:rsidR="00512C7A">
        <w:rPr>
          <w:rFonts w:cs="Times New Roman"/>
          <w:sz w:val="24"/>
          <w:szCs w:val="24"/>
          <w:lang w:eastAsia="sk-SK"/>
        </w:rPr>
        <w:t>ku, na ktorý boli rozpočtované.</w:t>
      </w:r>
    </w:p>
    <w:p w14:paraId="142B1147" w14:textId="5F2B0FF3" w:rsidR="00CB3C45" w:rsidRPr="004A5951" w:rsidRDefault="00CB3C45" w:rsidP="00512C7A">
      <w:pPr>
        <w:autoSpaceDE w:val="0"/>
        <w:autoSpaceDN w:val="0"/>
        <w:spacing w:before="120" w:after="0" w:line="240" w:lineRule="auto"/>
        <w:rPr>
          <w:rFonts w:cs="Times New Roman"/>
          <w:sz w:val="24"/>
          <w:szCs w:val="24"/>
          <w:lang w:eastAsia="sk-SK"/>
        </w:rPr>
      </w:pPr>
      <w:r w:rsidRPr="004A5951">
        <w:rPr>
          <w:rFonts w:cs="Times New Roman"/>
          <w:sz w:val="24"/>
          <w:szCs w:val="24"/>
          <w:lang w:eastAsia="sk-SK"/>
        </w:rPr>
        <w:t>Prostriedky Európskej únie, prostriedky štátneho rozpočtu určené na financovanie spoločných programov SR a EÚ a prostriedky štátneho rozpočtu určené na financovanie účelov vyplývajúcich z medzinárodných zmlúv o poskytnutí grantu uzatvorených medzi SR a inými štátmi možno použiť aj v nasledujúcich rozpočtových rokoch až do ich vyčerpania. Toto pravidlo na jednej strane zefektívňuje použitie verejných prostriedkov tým, že kapitoly rozpočtu nie sú motivované čerpať prostriedky v danom roku „za každú cenu“, na druhej strane vytvára neistotu pri vyhodnocovaní salda v súlade so schváleným štátnym rozpočtom. Viazané a prenášané výdavky do ďalšieho rozpočtového roka pôsobia v smere zníženia skutočného salda oproti schválenému rozpočtu v danom rozpočtovom roku</w:t>
      </w:r>
      <w:r w:rsidR="006A45BA">
        <w:rPr>
          <w:rFonts w:cs="Times New Roman"/>
          <w:sz w:val="24"/>
          <w:szCs w:val="24"/>
          <w:lang w:eastAsia="sk-SK"/>
        </w:rPr>
        <w:t>,</w:t>
      </w:r>
      <w:r w:rsidRPr="004A5951">
        <w:rPr>
          <w:rFonts w:cs="Times New Roman"/>
          <w:sz w:val="24"/>
          <w:szCs w:val="24"/>
          <w:lang w:eastAsia="sk-SK"/>
        </w:rPr>
        <w:t xml:space="preserve"> prenesené a zároveň použité výdavky z predchádzajúceho rozpočtového roka naopak saldo v danom rozpočtovom roku zvyšujú. </w:t>
      </w:r>
    </w:p>
    <w:p w14:paraId="41C0C054" w14:textId="77777777" w:rsidR="00512C7A" w:rsidRDefault="00CB3C45" w:rsidP="00512C7A">
      <w:pPr>
        <w:autoSpaceDE w:val="0"/>
        <w:autoSpaceDN w:val="0"/>
        <w:spacing w:after="0" w:line="240" w:lineRule="auto"/>
        <w:rPr>
          <w:rFonts w:cs="Times New Roman"/>
          <w:sz w:val="24"/>
          <w:szCs w:val="24"/>
          <w:lang w:eastAsia="sk-SK"/>
        </w:rPr>
      </w:pPr>
      <w:r w:rsidRPr="004A5951">
        <w:rPr>
          <w:rFonts w:cs="Times New Roman"/>
          <w:sz w:val="24"/>
          <w:szCs w:val="24"/>
          <w:lang w:eastAsia="sk-SK"/>
        </w:rPr>
        <w:t xml:space="preserve">Čistý dopad na saldo verejnej správy závisí od výsledného efektu presunov. Ak sú prenesené výdavky do ďalšieho rozpočtového roka vyššie ako použité z predchádzajúceho rozpočtového roka, saldo sa oproti schválenému rozpočtu zníži, v opačnom prípade sa zvýši. </w:t>
      </w:r>
    </w:p>
    <w:p w14:paraId="0965E2C5" w14:textId="0A276A56" w:rsidR="00512C7A" w:rsidRDefault="00CB3C45" w:rsidP="00512C7A">
      <w:pPr>
        <w:autoSpaceDE w:val="0"/>
        <w:autoSpaceDN w:val="0"/>
        <w:spacing w:before="120" w:after="0" w:line="240" w:lineRule="auto"/>
        <w:rPr>
          <w:rFonts w:cs="Times New Roman"/>
          <w:sz w:val="24"/>
          <w:szCs w:val="24"/>
          <w:lang w:eastAsia="sk-SK"/>
        </w:rPr>
      </w:pPr>
      <w:r w:rsidRPr="004A5951">
        <w:rPr>
          <w:rFonts w:cs="Times New Roman"/>
          <w:sz w:val="24"/>
          <w:szCs w:val="24"/>
          <w:lang w:eastAsia="sk-SK"/>
        </w:rPr>
        <w:t>Pre analytický odhad vplyvu prenášaných výdavkov štátneho rozpočtu na saldo verejnej správy v danom roku sú dôležité len reálne použité výdavky z prenesených prostriedkov predchádzajúcich období a na druhej strane len tá časť prenesených výdavkov do nasledujúcich období, ktorá bola súčasťou ro</w:t>
      </w:r>
      <w:r w:rsidR="000702C3">
        <w:rPr>
          <w:rFonts w:cs="Times New Roman"/>
          <w:sz w:val="24"/>
          <w:szCs w:val="24"/>
          <w:lang w:eastAsia="sk-SK"/>
        </w:rPr>
        <w:t>zpočtovaných výdavkov roku 2020.</w:t>
      </w:r>
    </w:p>
    <w:p w14:paraId="44F44C58" w14:textId="13DFCCEC" w:rsidR="00CB3C45" w:rsidRPr="004A5951" w:rsidRDefault="00CB3C45" w:rsidP="00512C7A">
      <w:pPr>
        <w:autoSpaceDE w:val="0"/>
        <w:autoSpaceDN w:val="0"/>
        <w:spacing w:before="120" w:after="0" w:line="240" w:lineRule="auto"/>
        <w:rPr>
          <w:rFonts w:cs="Times New Roman"/>
          <w:sz w:val="24"/>
          <w:szCs w:val="24"/>
          <w:lang w:eastAsia="sk-SK"/>
        </w:rPr>
      </w:pPr>
      <w:r w:rsidRPr="004A5951">
        <w:rPr>
          <w:rFonts w:cs="Times New Roman"/>
          <w:sz w:val="24"/>
          <w:szCs w:val="24"/>
        </w:rPr>
        <w:t>V roku 2019 sa podľa § 8 zaviazali výdavky vo výške 730 717 tis. eur (v tom kapitálové výdavky v sume 676 613 tis. eur a bežné výdavky v sume 54 104 tis</w:t>
      </w:r>
      <w:r w:rsidR="006A45BA">
        <w:rPr>
          <w:rFonts w:cs="Times New Roman"/>
          <w:sz w:val="24"/>
          <w:szCs w:val="24"/>
        </w:rPr>
        <w:t>.</w:t>
      </w:r>
      <w:r w:rsidRPr="004A5951">
        <w:rPr>
          <w:rFonts w:cs="Times New Roman"/>
          <w:sz w:val="24"/>
          <w:szCs w:val="24"/>
        </w:rPr>
        <w:t> eur), z toho:</w:t>
      </w:r>
    </w:p>
    <w:p w14:paraId="6B2193BF" w14:textId="77777777" w:rsidR="00CB3C45" w:rsidRPr="004A5951" w:rsidRDefault="00CB3C45" w:rsidP="004A5951">
      <w:pPr>
        <w:pStyle w:val="Odsekzoznamu"/>
        <w:numPr>
          <w:ilvl w:val="0"/>
          <w:numId w:val="39"/>
        </w:numPr>
        <w:autoSpaceDE w:val="0"/>
        <w:autoSpaceDN w:val="0"/>
        <w:adjustRightInd w:val="0"/>
        <w:ind w:left="714" w:hanging="357"/>
        <w:rPr>
          <w:rFonts w:ascii="Times New Roman" w:hAnsi="Times New Roman"/>
          <w:color w:val="000000"/>
          <w:sz w:val="24"/>
          <w:szCs w:val="24"/>
        </w:rPr>
      </w:pPr>
      <w:r w:rsidRPr="004A5951">
        <w:rPr>
          <w:rFonts w:ascii="Times New Roman" w:hAnsi="Times New Roman"/>
          <w:color w:val="000000"/>
          <w:sz w:val="24"/>
          <w:szCs w:val="24"/>
        </w:rPr>
        <w:t xml:space="preserve">zdroj 131I (prostriedky z r. 2018) v sume 216 808 tis. eur (v tom bežné výdavky v sume 1 243 tis. eur), </w:t>
      </w:r>
    </w:p>
    <w:p w14:paraId="022E070B" w14:textId="77777777" w:rsidR="00CB3C45" w:rsidRPr="004A5951" w:rsidRDefault="00CB3C45" w:rsidP="004A5951">
      <w:pPr>
        <w:pStyle w:val="Odsekzoznamu"/>
        <w:numPr>
          <w:ilvl w:val="0"/>
          <w:numId w:val="39"/>
        </w:numPr>
        <w:ind w:left="714" w:hanging="357"/>
        <w:rPr>
          <w:rFonts w:ascii="Times New Roman" w:hAnsi="Times New Roman"/>
          <w:sz w:val="24"/>
          <w:szCs w:val="24"/>
        </w:rPr>
      </w:pPr>
      <w:r w:rsidRPr="004A5951">
        <w:rPr>
          <w:rFonts w:ascii="Times New Roman" w:hAnsi="Times New Roman"/>
          <w:sz w:val="24"/>
          <w:szCs w:val="24"/>
        </w:rPr>
        <w:t xml:space="preserve">zdroj 111 (prostriedky z r. 2019) v sume 466 908 tis. eur (v tom bežné výdavky v sume 6 860 tis. eur), </w:t>
      </w:r>
    </w:p>
    <w:p w14:paraId="3AD0DFD4" w14:textId="77777777" w:rsidR="00CB3C45" w:rsidRPr="004A5951" w:rsidRDefault="00CB3C45" w:rsidP="004A5951">
      <w:pPr>
        <w:pStyle w:val="Odsekzoznamu"/>
        <w:numPr>
          <w:ilvl w:val="0"/>
          <w:numId w:val="39"/>
        </w:numPr>
        <w:ind w:left="714" w:hanging="357"/>
        <w:rPr>
          <w:rFonts w:ascii="Times New Roman" w:hAnsi="Times New Roman"/>
          <w:sz w:val="24"/>
          <w:szCs w:val="24"/>
        </w:rPr>
      </w:pPr>
      <w:r w:rsidRPr="004A5951">
        <w:rPr>
          <w:rFonts w:ascii="Times New Roman" w:hAnsi="Times New Roman"/>
          <w:sz w:val="24"/>
          <w:szCs w:val="24"/>
        </w:rPr>
        <w:t>zdroj 131Z v sume 47 001 tis. eur (v tom bežné výdavky v sume 46 001 tis. eur).</w:t>
      </w:r>
    </w:p>
    <w:p w14:paraId="7A278FA5" w14:textId="77777777" w:rsidR="00CB3C45" w:rsidRPr="004A5951" w:rsidRDefault="00CB3C45" w:rsidP="004A5951">
      <w:pPr>
        <w:spacing w:after="0" w:line="240" w:lineRule="auto"/>
        <w:rPr>
          <w:rFonts w:cs="Times New Roman"/>
          <w:sz w:val="24"/>
          <w:szCs w:val="24"/>
        </w:rPr>
      </w:pPr>
      <w:r w:rsidRPr="004A5951">
        <w:rPr>
          <w:rFonts w:cs="Times New Roman"/>
          <w:sz w:val="24"/>
          <w:szCs w:val="24"/>
        </w:rPr>
        <w:t xml:space="preserve">V roku 2020 sa z uvedených prostriedkov použilo 436 543 tis. eur (v tom kapitálové výdavky v sume 427 741 tis. eur a bežné výdavky v sume 8 802 tis. eur), z toho: </w:t>
      </w:r>
    </w:p>
    <w:p w14:paraId="5ABEB6A9" w14:textId="0BC542F1" w:rsidR="00CB3C45" w:rsidRPr="004A5951" w:rsidRDefault="00CB3C45" w:rsidP="004A5951">
      <w:pPr>
        <w:pStyle w:val="Odsekzoznamu"/>
        <w:numPr>
          <w:ilvl w:val="0"/>
          <w:numId w:val="40"/>
        </w:numPr>
        <w:autoSpaceDE w:val="0"/>
        <w:autoSpaceDN w:val="0"/>
        <w:adjustRightInd w:val="0"/>
        <w:ind w:left="714" w:hanging="357"/>
        <w:rPr>
          <w:rFonts w:ascii="Times New Roman" w:hAnsi="Times New Roman"/>
          <w:color w:val="000000"/>
          <w:sz w:val="24"/>
          <w:szCs w:val="24"/>
        </w:rPr>
      </w:pPr>
      <w:r w:rsidRPr="004A5951">
        <w:rPr>
          <w:rFonts w:ascii="Times New Roman" w:hAnsi="Times New Roman"/>
          <w:color w:val="000000"/>
          <w:sz w:val="24"/>
          <w:szCs w:val="24"/>
        </w:rPr>
        <w:t>zdroj 131I (prostriedky z r. 2018) v sume 149 314 tis. eur (v tom bežné výdavky v sume 2 265 tis. eur),</w:t>
      </w:r>
    </w:p>
    <w:p w14:paraId="617245D6" w14:textId="77777777" w:rsidR="00CB3C45" w:rsidRPr="004A5951" w:rsidRDefault="00CB3C45" w:rsidP="004A5951">
      <w:pPr>
        <w:pStyle w:val="Odsekzoznamu"/>
        <w:numPr>
          <w:ilvl w:val="0"/>
          <w:numId w:val="40"/>
        </w:numPr>
        <w:rPr>
          <w:rFonts w:ascii="Times New Roman" w:hAnsi="Times New Roman"/>
          <w:sz w:val="24"/>
          <w:szCs w:val="24"/>
        </w:rPr>
      </w:pPr>
      <w:r w:rsidRPr="004A5951">
        <w:rPr>
          <w:rFonts w:ascii="Times New Roman" w:hAnsi="Times New Roman"/>
          <w:sz w:val="24"/>
          <w:szCs w:val="24"/>
        </w:rPr>
        <w:t>zdroj 131J (prostriedky z r. 2019) v sume 284 012 tis. eur (v tom bežné výdavky v sume 3 320 tis. eur),</w:t>
      </w:r>
    </w:p>
    <w:p w14:paraId="77EE17C7" w14:textId="29A5DCC9" w:rsidR="00CB3C45" w:rsidRPr="004A5951" w:rsidRDefault="00CB3C45" w:rsidP="004A5951">
      <w:pPr>
        <w:pStyle w:val="Odsekzoznamu"/>
        <w:numPr>
          <w:ilvl w:val="0"/>
          <w:numId w:val="40"/>
        </w:numPr>
        <w:rPr>
          <w:rFonts w:ascii="Times New Roman" w:hAnsi="Times New Roman"/>
          <w:sz w:val="24"/>
          <w:szCs w:val="24"/>
        </w:rPr>
      </w:pPr>
      <w:r w:rsidRPr="004A5951">
        <w:rPr>
          <w:rFonts w:ascii="Times New Roman" w:hAnsi="Times New Roman"/>
          <w:sz w:val="24"/>
          <w:szCs w:val="24"/>
        </w:rPr>
        <w:t>zdroj 131Z v sume 3 218 tis. eur (v tom bežné výdavky v sume 3 218 tis. eur).</w:t>
      </w:r>
    </w:p>
    <w:p w14:paraId="041322DC" w14:textId="77777777" w:rsidR="00CB3C45" w:rsidRPr="004A5951" w:rsidRDefault="00CB3C45" w:rsidP="004A5951">
      <w:pPr>
        <w:spacing w:after="0" w:line="240" w:lineRule="auto"/>
        <w:rPr>
          <w:rFonts w:cs="Times New Roman"/>
          <w:sz w:val="24"/>
          <w:szCs w:val="24"/>
        </w:rPr>
      </w:pPr>
      <w:r w:rsidRPr="004A5951">
        <w:rPr>
          <w:rFonts w:cs="Times New Roman"/>
          <w:sz w:val="24"/>
          <w:szCs w:val="24"/>
        </w:rPr>
        <w:t>V roku 2020 sa podľa § 8 zaviazali výdavky rozpočtované v rokoch 2018, 2019 a 2020 vo výške 1 131 095 tis. eur (v tom kapitálové výdavky v sume 1 043 351 tis. eur a bežné výdavky v sume 87 745 tis. eur), z toho:</w:t>
      </w:r>
    </w:p>
    <w:p w14:paraId="6D2D053F" w14:textId="5B13DE90" w:rsidR="00CB3C45" w:rsidRPr="004A5951" w:rsidRDefault="00CB3C45" w:rsidP="004A5951">
      <w:pPr>
        <w:pStyle w:val="Odsekzoznamu"/>
        <w:numPr>
          <w:ilvl w:val="0"/>
          <w:numId w:val="41"/>
        </w:numPr>
        <w:ind w:left="714" w:hanging="357"/>
        <w:rPr>
          <w:rFonts w:ascii="Times New Roman" w:hAnsi="Times New Roman"/>
          <w:sz w:val="24"/>
          <w:szCs w:val="24"/>
        </w:rPr>
      </w:pPr>
      <w:r w:rsidRPr="004A5951">
        <w:rPr>
          <w:rFonts w:ascii="Times New Roman" w:hAnsi="Times New Roman"/>
          <w:sz w:val="24"/>
          <w:szCs w:val="24"/>
        </w:rPr>
        <w:t>zdroj 131I (prostriedky z r. 2018) v sume 63 212 tis. eur,</w:t>
      </w:r>
    </w:p>
    <w:p w14:paraId="732F2BFB" w14:textId="6572EACA" w:rsidR="00CB3C45" w:rsidRPr="004A5951" w:rsidRDefault="00CB3C45" w:rsidP="004A5951">
      <w:pPr>
        <w:pStyle w:val="Odsekzoznamu"/>
        <w:numPr>
          <w:ilvl w:val="0"/>
          <w:numId w:val="41"/>
        </w:numPr>
        <w:rPr>
          <w:rFonts w:ascii="Times New Roman" w:hAnsi="Times New Roman"/>
          <w:sz w:val="24"/>
          <w:szCs w:val="24"/>
        </w:rPr>
      </w:pPr>
      <w:r w:rsidRPr="004A5951">
        <w:rPr>
          <w:rFonts w:ascii="Times New Roman" w:hAnsi="Times New Roman"/>
          <w:sz w:val="24"/>
          <w:szCs w:val="24"/>
        </w:rPr>
        <w:t xml:space="preserve">zdroj 131J (prostriedky z r. 2019) v sume 174 716 tis. eur (v tom bežné výdavky v sume 1 123 tis. eur), </w:t>
      </w:r>
    </w:p>
    <w:p w14:paraId="73B7442D" w14:textId="795FFF4F" w:rsidR="00CB3C45" w:rsidRPr="004A5951" w:rsidRDefault="00CB3C45" w:rsidP="004A5951">
      <w:pPr>
        <w:pStyle w:val="Odsekzoznamu"/>
        <w:numPr>
          <w:ilvl w:val="0"/>
          <w:numId w:val="41"/>
        </w:numPr>
        <w:rPr>
          <w:rFonts w:ascii="Times New Roman" w:hAnsi="Times New Roman"/>
          <w:sz w:val="24"/>
          <w:szCs w:val="24"/>
        </w:rPr>
      </w:pPr>
      <w:r w:rsidRPr="004A5951">
        <w:rPr>
          <w:rFonts w:ascii="Times New Roman" w:hAnsi="Times New Roman"/>
          <w:sz w:val="24"/>
          <w:szCs w:val="24"/>
        </w:rPr>
        <w:t xml:space="preserve">zdroj 111 (prostriedky z r. 2020) v sume 857 307 tis. eur (v tom bežné výdavky v sume 52 762 tis. eur), </w:t>
      </w:r>
    </w:p>
    <w:p w14:paraId="58BF6643" w14:textId="77777777" w:rsidR="00CB3C45" w:rsidRPr="004A5951" w:rsidRDefault="00CB3C45" w:rsidP="004A5951">
      <w:pPr>
        <w:pStyle w:val="Odsekzoznamu"/>
        <w:numPr>
          <w:ilvl w:val="0"/>
          <w:numId w:val="41"/>
        </w:numPr>
        <w:rPr>
          <w:rFonts w:ascii="Times New Roman" w:hAnsi="Times New Roman"/>
          <w:sz w:val="24"/>
          <w:szCs w:val="24"/>
        </w:rPr>
      </w:pPr>
      <w:r w:rsidRPr="004A5951">
        <w:rPr>
          <w:rFonts w:ascii="Times New Roman" w:hAnsi="Times New Roman"/>
          <w:sz w:val="24"/>
          <w:szCs w:val="24"/>
        </w:rPr>
        <w:t>zdroj 131Z v sume 35 860 tis. eur (v tom bežné výdavky v sume 33 860 tis. eur).</w:t>
      </w:r>
    </w:p>
    <w:p w14:paraId="41C2F22E" w14:textId="1628F0FC" w:rsidR="00CB3C45" w:rsidRPr="004A5951" w:rsidRDefault="00CB3C45" w:rsidP="004A5951">
      <w:pPr>
        <w:spacing w:after="0" w:line="240" w:lineRule="auto"/>
        <w:rPr>
          <w:rFonts w:cs="Times New Roman"/>
          <w:sz w:val="24"/>
          <w:szCs w:val="24"/>
        </w:rPr>
      </w:pPr>
      <w:r w:rsidRPr="004A5951">
        <w:rPr>
          <w:rFonts w:cs="Times New Roman"/>
          <w:sz w:val="24"/>
          <w:szCs w:val="24"/>
        </w:rPr>
        <w:t>Kapitálové výdavky rozpočtované v roku 2018, ktoré neboli podľa zákona o rozpočtových pravidlách použité do konca roka 2020, možno v súlade s ustanovením § 33a ods. 1 zákona č. 67</w:t>
      </w:r>
      <w:r w:rsidR="00345AD8">
        <w:rPr>
          <w:rFonts w:cs="Times New Roman"/>
          <w:sz w:val="24"/>
          <w:szCs w:val="24"/>
        </w:rPr>
        <w:t>/</w:t>
      </w:r>
      <w:r w:rsidRPr="004A5951">
        <w:rPr>
          <w:rFonts w:cs="Times New Roman"/>
          <w:sz w:val="24"/>
          <w:szCs w:val="24"/>
        </w:rPr>
        <w:t>2020 o niektorých mimoriadnych opatreniach vo finančnej oblasti v súvislosti so šírením nebezpečnej nákazlivej ľudskej choroby COVID-19 v znení</w:t>
      </w:r>
      <w:r w:rsidR="00412EB1">
        <w:rPr>
          <w:rFonts w:cs="Times New Roman"/>
          <w:sz w:val="24"/>
          <w:szCs w:val="24"/>
        </w:rPr>
        <w:t xml:space="preserve"> neskorších predpisov použiť do</w:t>
      </w:r>
      <w:r w:rsidR="00E53B12">
        <w:rPr>
          <w:rFonts w:cs="Times New Roman"/>
          <w:sz w:val="24"/>
          <w:szCs w:val="24"/>
        </w:rPr>
        <w:t xml:space="preserve"> </w:t>
      </w:r>
      <w:r w:rsidRPr="004A5951">
        <w:rPr>
          <w:rFonts w:cs="Times New Roman"/>
          <w:sz w:val="24"/>
          <w:szCs w:val="24"/>
        </w:rPr>
        <w:t>31.</w:t>
      </w:r>
      <w:r w:rsidR="00E53B12">
        <w:rPr>
          <w:rFonts w:cs="Times New Roman"/>
          <w:sz w:val="24"/>
          <w:szCs w:val="24"/>
        </w:rPr>
        <w:t> </w:t>
      </w:r>
      <w:r w:rsidRPr="004A5951">
        <w:rPr>
          <w:rFonts w:cs="Times New Roman"/>
          <w:sz w:val="24"/>
          <w:szCs w:val="24"/>
        </w:rPr>
        <w:t>decembra</w:t>
      </w:r>
      <w:r w:rsidR="00E53B12">
        <w:rPr>
          <w:rFonts w:cs="Times New Roman"/>
          <w:sz w:val="24"/>
          <w:szCs w:val="24"/>
        </w:rPr>
        <w:t> </w:t>
      </w:r>
      <w:r w:rsidRPr="004A5951">
        <w:rPr>
          <w:rFonts w:cs="Times New Roman"/>
          <w:sz w:val="24"/>
          <w:szCs w:val="24"/>
        </w:rPr>
        <w:t xml:space="preserve">2021. </w:t>
      </w:r>
    </w:p>
    <w:p w14:paraId="067DE0A5" w14:textId="77777777" w:rsidR="00345AD8" w:rsidRPr="008D4732" w:rsidRDefault="00345AD8" w:rsidP="004A5951">
      <w:pPr>
        <w:spacing w:after="0" w:line="240" w:lineRule="auto"/>
        <w:rPr>
          <w:sz w:val="24"/>
          <w:szCs w:val="24"/>
        </w:rPr>
      </w:pPr>
    </w:p>
    <w:p w14:paraId="6ED1A061" w14:textId="77777777" w:rsidR="00CB3C45" w:rsidRPr="00345AD8" w:rsidRDefault="00CB3C45" w:rsidP="00345AD8">
      <w:pPr>
        <w:spacing w:line="240" w:lineRule="auto"/>
        <w:rPr>
          <w:b/>
          <w:color w:val="5B9BD5" w:themeColor="accent1"/>
          <w:sz w:val="24"/>
          <w:szCs w:val="24"/>
        </w:rPr>
      </w:pPr>
      <w:r w:rsidRPr="00345AD8">
        <w:rPr>
          <w:b/>
          <w:color w:val="5B9BD5" w:themeColor="accent1"/>
          <w:sz w:val="24"/>
          <w:szCs w:val="24"/>
        </w:rPr>
        <w:t xml:space="preserve">Vzťahy s EÚ </w:t>
      </w:r>
    </w:p>
    <w:p w14:paraId="6C069E9E" w14:textId="77777777" w:rsidR="0067071E" w:rsidRDefault="0067071E" w:rsidP="0067071E">
      <w:pPr>
        <w:spacing w:after="0" w:line="240" w:lineRule="auto"/>
        <w:rPr>
          <w:sz w:val="24"/>
          <w:szCs w:val="24"/>
        </w:rPr>
      </w:pPr>
      <w:r w:rsidRPr="004A5951">
        <w:rPr>
          <w:b/>
          <w:sz w:val="24"/>
          <w:szCs w:val="24"/>
        </w:rPr>
        <w:t>Odvody do rozpočtu EÚ</w:t>
      </w:r>
      <w:r w:rsidRPr="004A5951">
        <w:rPr>
          <w:sz w:val="24"/>
          <w:szCs w:val="24"/>
        </w:rPr>
        <w:t xml:space="preserve"> </w:t>
      </w:r>
      <w:r>
        <w:rPr>
          <w:sz w:val="24"/>
          <w:szCs w:val="24"/>
        </w:rPr>
        <w:t xml:space="preserve">(bez odvodov z tradičných vlastných zdrojov) </w:t>
      </w:r>
      <w:r w:rsidRPr="004A5951">
        <w:rPr>
          <w:sz w:val="24"/>
          <w:szCs w:val="24"/>
        </w:rPr>
        <w:t>boli na hotovostnej báze nižšie oproti rozpočtu o 35 810 tis. eur. Odvody na akruálnej báze boli v roku 2020 zhodné s hotovostnými odvodmi, preto aj úspora na akruálnej báze predstavovala 35 810 tis. eur.</w:t>
      </w:r>
    </w:p>
    <w:p w14:paraId="550003CA" w14:textId="201DAC61" w:rsidR="0067071E" w:rsidRPr="004A5951" w:rsidRDefault="0067071E" w:rsidP="0067071E">
      <w:pPr>
        <w:spacing w:before="120" w:after="0" w:line="240" w:lineRule="auto"/>
        <w:rPr>
          <w:sz w:val="24"/>
          <w:szCs w:val="24"/>
        </w:rPr>
      </w:pPr>
      <w:r w:rsidRPr="004A5951">
        <w:rPr>
          <w:sz w:val="24"/>
          <w:szCs w:val="24"/>
        </w:rPr>
        <w:t xml:space="preserve">Pod </w:t>
      </w:r>
      <w:r w:rsidRPr="004A5951">
        <w:rPr>
          <w:b/>
          <w:sz w:val="24"/>
          <w:szCs w:val="24"/>
        </w:rPr>
        <w:t>korekciou k fondom EÚ</w:t>
      </w:r>
      <w:r w:rsidRPr="004A5951">
        <w:rPr>
          <w:sz w:val="24"/>
          <w:szCs w:val="24"/>
        </w:rPr>
        <w:t xml:space="preserve"> sa rozumie porušenie uplatniteľného práva EÚ alebo vnútroštátneho práva v súvislosti s výdavkami, ktoré boli vykázané Európskej komisii alebo v súvislosti s výdavkami schvaľovanými na národnej úrovni, v dôsledku čoho Slovenskej republike nie sú preplatené výdavky, ktoré potom musí pokryť štátny rozpočet. Negatívny vplyv na saldo verejnej správy </w:t>
      </w:r>
      <w:r>
        <w:rPr>
          <w:sz w:val="24"/>
          <w:szCs w:val="24"/>
        </w:rPr>
        <w:t xml:space="preserve">mali </w:t>
      </w:r>
      <w:r w:rsidRPr="004A5951">
        <w:rPr>
          <w:sz w:val="24"/>
          <w:szCs w:val="24"/>
        </w:rPr>
        <w:t>finančn</w:t>
      </w:r>
      <w:r>
        <w:rPr>
          <w:sz w:val="24"/>
          <w:szCs w:val="24"/>
        </w:rPr>
        <w:t>é</w:t>
      </w:r>
      <w:r w:rsidRPr="004A5951">
        <w:rPr>
          <w:sz w:val="24"/>
          <w:szCs w:val="24"/>
        </w:rPr>
        <w:t xml:space="preserve"> korekci</w:t>
      </w:r>
      <w:r>
        <w:rPr>
          <w:sz w:val="24"/>
          <w:szCs w:val="24"/>
        </w:rPr>
        <w:t>e</w:t>
      </w:r>
      <w:r w:rsidRPr="004A5951">
        <w:rPr>
          <w:sz w:val="24"/>
          <w:szCs w:val="24"/>
        </w:rPr>
        <w:t xml:space="preserve"> vo výške </w:t>
      </w:r>
      <w:r>
        <w:rPr>
          <w:sz w:val="24"/>
          <w:szCs w:val="24"/>
        </w:rPr>
        <w:t>181</w:t>
      </w:r>
      <w:r w:rsidR="00A1636E">
        <w:rPr>
          <w:sz w:val="24"/>
          <w:szCs w:val="24"/>
        </w:rPr>
        <w:t> </w:t>
      </w:r>
      <w:r>
        <w:rPr>
          <w:sz w:val="24"/>
          <w:szCs w:val="24"/>
        </w:rPr>
        <w:t>145</w:t>
      </w:r>
      <w:r w:rsidRPr="004A5951">
        <w:rPr>
          <w:sz w:val="24"/>
          <w:szCs w:val="24"/>
        </w:rPr>
        <w:t> tis. eur</w:t>
      </w:r>
      <w:r>
        <w:rPr>
          <w:sz w:val="24"/>
          <w:szCs w:val="24"/>
        </w:rPr>
        <w:t xml:space="preserve"> (v skutočnosti boli korekcie oproti rozpočtovaným korekciám nižšie o 61 855 tis. eur)</w:t>
      </w:r>
      <w:r w:rsidRPr="004A5951">
        <w:rPr>
          <w:sz w:val="24"/>
          <w:szCs w:val="24"/>
        </w:rPr>
        <w:t>, z toho v dôsledku zníženia pohľadávky voči EÚ z dôvodu systémových korekcií</w:t>
      </w:r>
      <w:r w:rsidRPr="004A5951">
        <w:rPr>
          <w:rStyle w:val="Odkaznapoznmkupodiarou"/>
          <w:sz w:val="24"/>
          <w:szCs w:val="24"/>
        </w:rPr>
        <w:footnoteReference w:id="16"/>
      </w:r>
      <w:r w:rsidRPr="004A5951">
        <w:rPr>
          <w:sz w:val="24"/>
          <w:szCs w:val="24"/>
        </w:rPr>
        <w:t xml:space="preserve"> v sume </w:t>
      </w:r>
      <w:r>
        <w:rPr>
          <w:sz w:val="24"/>
          <w:szCs w:val="24"/>
        </w:rPr>
        <w:t>106 649</w:t>
      </w:r>
      <w:r w:rsidRPr="004A5951">
        <w:rPr>
          <w:sz w:val="24"/>
          <w:szCs w:val="24"/>
        </w:rPr>
        <w:t> tis. eur a individuálnych korekcií</w:t>
      </w:r>
      <w:r w:rsidRPr="004A5951">
        <w:rPr>
          <w:sz w:val="24"/>
          <w:szCs w:val="24"/>
          <w:vertAlign w:val="superscript"/>
        </w:rPr>
        <w:footnoteReference w:id="17"/>
      </w:r>
      <w:r w:rsidRPr="004A5951">
        <w:rPr>
          <w:sz w:val="24"/>
          <w:szCs w:val="24"/>
        </w:rPr>
        <w:t xml:space="preserve"> v sume </w:t>
      </w:r>
      <w:r w:rsidRPr="00E64612">
        <w:rPr>
          <w:sz w:val="24"/>
          <w:szCs w:val="24"/>
        </w:rPr>
        <w:t>74 496</w:t>
      </w:r>
      <w:r w:rsidRPr="004A5951">
        <w:rPr>
          <w:sz w:val="24"/>
          <w:szCs w:val="24"/>
        </w:rPr>
        <w:t xml:space="preserve"> tis. eur. </w:t>
      </w:r>
    </w:p>
    <w:p w14:paraId="7C9E47E7" w14:textId="2D6ACB60" w:rsidR="0067071E" w:rsidRPr="00A93C97" w:rsidRDefault="0067071E" w:rsidP="0067071E">
      <w:pPr>
        <w:spacing w:before="120" w:after="0" w:line="240" w:lineRule="auto"/>
        <w:rPr>
          <w:sz w:val="24"/>
          <w:szCs w:val="24"/>
        </w:rPr>
      </w:pPr>
      <w:r w:rsidRPr="004A5951">
        <w:rPr>
          <w:sz w:val="24"/>
          <w:szCs w:val="24"/>
        </w:rPr>
        <w:t xml:space="preserve">V prípade, ak boli korekcie nahradené novými výdavkami, realizujú sa aj príjmy na príjmovom účte platobných jednotiek a zároveň bola v minulosti zaznamenaná programová (systémová) korekcia podľa požiadaviek </w:t>
      </w:r>
      <w:proofErr w:type="spellStart"/>
      <w:r w:rsidRPr="004A5951">
        <w:rPr>
          <w:sz w:val="24"/>
          <w:szCs w:val="24"/>
        </w:rPr>
        <w:t>Eurostatu</w:t>
      </w:r>
      <w:proofErr w:type="spellEnd"/>
      <w:r w:rsidRPr="004A5951">
        <w:rPr>
          <w:sz w:val="24"/>
          <w:szCs w:val="24"/>
        </w:rPr>
        <w:t xml:space="preserve"> v čase, keď bolo o nej rozhodnuté, išlo by o duplicitné zaznamenanie zníženia pohľadávky EÚ, jednak prostredníctvom nahlásenia korekcií v roku rozhodnutia a potom aj zmenou stavu pohľadávky vypočítanej ako rozdiel príjmov a výdavkov zo zdroja EÚ na rozpočtovom účte štátnych rozpočtových organizácií. Z tohto dôvodu je duplicitný negatívny vplyv na schodok eliminovaný. Uvedené zohľadnila upravujúca položka očistenie vplyvu príjmov za prostriedky EÚ z dôvodu úhrady korekcií na náklady štátu</w:t>
      </w:r>
      <w:r>
        <w:rPr>
          <w:sz w:val="24"/>
          <w:szCs w:val="24"/>
        </w:rPr>
        <w:t xml:space="preserve"> vo výške 382 940 tis. eur </w:t>
      </w:r>
      <w:r w:rsidRPr="0067071E">
        <w:rPr>
          <w:sz w:val="24"/>
          <w:szCs w:val="24"/>
        </w:rPr>
        <w:t>(</w:t>
      </w:r>
      <w:r w:rsidR="00934430" w:rsidRPr="00A93C97">
        <w:rPr>
          <w:sz w:val="24"/>
          <w:szCs w:val="24"/>
        </w:rPr>
        <w:t>S</w:t>
      </w:r>
      <w:r w:rsidRPr="00A93C97">
        <w:rPr>
          <w:sz w:val="24"/>
          <w:szCs w:val="24"/>
        </w:rPr>
        <w:t>kutočn</w:t>
      </w:r>
      <w:r w:rsidR="00934430" w:rsidRPr="00A93C97">
        <w:rPr>
          <w:sz w:val="24"/>
          <w:szCs w:val="24"/>
        </w:rPr>
        <w:t>á výška</w:t>
      </w:r>
      <w:r w:rsidRPr="00A93C97">
        <w:rPr>
          <w:sz w:val="24"/>
          <w:szCs w:val="24"/>
        </w:rPr>
        <w:t xml:space="preserve"> upravujúc</w:t>
      </w:r>
      <w:r w:rsidR="00934430" w:rsidRPr="00A93C97">
        <w:rPr>
          <w:sz w:val="24"/>
          <w:szCs w:val="24"/>
        </w:rPr>
        <w:t>ej</w:t>
      </w:r>
      <w:r w:rsidRPr="00A93C97">
        <w:rPr>
          <w:sz w:val="24"/>
          <w:szCs w:val="24"/>
        </w:rPr>
        <w:t xml:space="preserve"> položk</w:t>
      </w:r>
      <w:r w:rsidR="00934430" w:rsidRPr="00A93C97">
        <w:rPr>
          <w:sz w:val="24"/>
          <w:szCs w:val="24"/>
        </w:rPr>
        <w:t>y</w:t>
      </w:r>
      <w:r w:rsidRPr="00A93C97">
        <w:rPr>
          <w:sz w:val="24"/>
          <w:szCs w:val="24"/>
        </w:rPr>
        <w:t xml:space="preserve"> „očistenie vplyvu“</w:t>
      </w:r>
      <w:r w:rsidR="001547BC" w:rsidRPr="00A93C97">
        <w:rPr>
          <w:sz w:val="24"/>
          <w:szCs w:val="24"/>
        </w:rPr>
        <w:t xml:space="preserve"> bola vyššia</w:t>
      </w:r>
      <w:r w:rsidRPr="00A93C97">
        <w:rPr>
          <w:sz w:val="24"/>
          <w:szCs w:val="24"/>
        </w:rPr>
        <w:t xml:space="preserve"> </w:t>
      </w:r>
      <w:r w:rsidR="00934430" w:rsidRPr="00A93C97">
        <w:rPr>
          <w:sz w:val="24"/>
          <w:szCs w:val="24"/>
        </w:rPr>
        <w:t>o </w:t>
      </w:r>
      <w:r w:rsidRPr="00A93C97">
        <w:rPr>
          <w:sz w:val="24"/>
          <w:szCs w:val="24"/>
        </w:rPr>
        <w:t>289 540 tis. eur</w:t>
      </w:r>
      <w:r w:rsidR="00934430" w:rsidRPr="00A93C97">
        <w:rPr>
          <w:sz w:val="24"/>
          <w:szCs w:val="24"/>
        </w:rPr>
        <w:t xml:space="preserve"> ako sa predpokladalo</w:t>
      </w:r>
      <w:r w:rsidR="00A1636E">
        <w:rPr>
          <w:sz w:val="24"/>
          <w:szCs w:val="24"/>
        </w:rPr>
        <w:t xml:space="preserve"> v rozpočte</w:t>
      </w:r>
      <w:r w:rsidRPr="00A93C97">
        <w:rPr>
          <w:sz w:val="24"/>
          <w:szCs w:val="24"/>
        </w:rPr>
        <w:t>.).</w:t>
      </w:r>
    </w:p>
    <w:p w14:paraId="5F395BDB" w14:textId="3F6106D7" w:rsidR="0067071E" w:rsidRPr="004A5951" w:rsidRDefault="0067071E" w:rsidP="0067071E">
      <w:pPr>
        <w:spacing w:before="120" w:after="0" w:line="240" w:lineRule="auto"/>
        <w:rPr>
          <w:sz w:val="24"/>
          <w:szCs w:val="24"/>
        </w:rPr>
      </w:pPr>
      <w:r w:rsidRPr="00A93C97">
        <w:rPr>
          <w:sz w:val="24"/>
          <w:szCs w:val="24"/>
        </w:rPr>
        <w:t xml:space="preserve">Podľa Rozhodnutia </w:t>
      </w:r>
      <w:proofErr w:type="spellStart"/>
      <w:r w:rsidRPr="00A93C97">
        <w:rPr>
          <w:sz w:val="24"/>
          <w:szCs w:val="24"/>
        </w:rPr>
        <w:t>Eurostatu</w:t>
      </w:r>
      <w:proofErr w:type="spellEnd"/>
      <w:r w:rsidRPr="00A93C97">
        <w:rPr>
          <w:sz w:val="24"/>
          <w:szCs w:val="24"/>
        </w:rPr>
        <w:t xml:space="preserve"> č. 22/2005 o zaznamenávaní transferov z EÚ do členských krajín má byť celkový vplyv EÚ tokov podľa metodiky ESA 2010 na schodok verejnej správy neutrálny. Upravujúca položka, ktorou sa eliminuje vplyv EÚ fondov na saldo verejnej správy, v skutoč</w:t>
      </w:r>
      <w:r w:rsidR="00934430" w:rsidRPr="00A93C97">
        <w:rPr>
          <w:sz w:val="24"/>
          <w:szCs w:val="24"/>
        </w:rPr>
        <w:t>nosti dosiahla negatívnu hodnotu</w:t>
      </w:r>
      <w:r w:rsidR="00C4733A" w:rsidRPr="00A93C97">
        <w:rPr>
          <w:sz w:val="24"/>
          <w:szCs w:val="24"/>
        </w:rPr>
        <w:t xml:space="preserve"> 234</w:t>
      </w:r>
      <w:r w:rsidR="00A93C97" w:rsidRPr="00A93C97">
        <w:rPr>
          <w:sz w:val="24"/>
          <w:szCs w:val="24"/>
        </w:rPr>
        <w:t> </w:t>
      </w:r>
      <w:r w:rsidR="00C4733A" w:rsidRPr="00A93C97">
        <w:rPr>
          <w:sz w:val="24"/>
          <w:szCs w:val="24"/>
        </w:rPr>
        <w:t>621</w:t>
      </w:r>
      <w:r w:rsidR="00A93C97" w:rsidRPr="00A93C97">
        <w:rPr>
          <w:sz w:val="24"/>
          <w:szCs w:val="24"/>
        </w:rPr>
        <w:t> </w:t>
      </w:r>
      <w:r w:rsidR="00C4733A" w:rsidRPr="00A93C97">
        <w:rPr>
          <w:sz w:val="24"/>
          <w:szCs w:val="24"/>
        </w:rPr>
        <w:t>tis.</w:t>
      </w:r>
      <w:r w:rsidR="00A93C97" w:rsidRPr="00A93C97">
        <w:rPr>
          <w:sz w:val="24"/>
          <w:szCs w:val="24"/>
        </w:rPr>
        <w:t> </w:t>
      </w:r>
      <w:r w:rsidR="00C4733A" w:rsidRPr="00A93C97">
        <w:rPr>
          <w:sz w:val="24"/>
          <w:szCs w:val="24"/>
        </w:rPr>
        <w:t>eur. Nao</w:t>
      </w:r>
      <w:r w:rsidR="006A45BA">
        <w:rPr>
          <w:sz w:val="24"/>
          <w:szCs w:val="24"/>
        </w:rPr>
        <w:t xml:space="preserve">pak v rozpočte sa predpokladal </w:t>
      </w:r>
      <w:r w:rsidR="00C4733A" w:rsidRPr="00A93C97">
        <w:rPr>
          <w:sz w:val="24"/>
          <w:szCs w:val="24"/>
        </w:rPr>
        <w:t>pozitívny vplyv</w:t>
      </w:r>
      <w:r w:rsidR="001547BC" w:rsidRPr="00A93C97">
        <w:rPr>
          <w:sz w:val="24"/>
          <w:szCs w:val="24"/>
        </w:rPr>
        <w:t xml:space="preserve"> vo výške 8</w:t>
      </w:r>
      <w:r w:rsidRPr="00A93C97">
        <w:rPr>
          <w:sz w:val="24"/>
          <w:szCs w:val="24"/>
        </w:rPr>
        <w:t>61</w:t>
      </w:r>
      <w:r w:rsidR="001547BC" w:rsidRPr="00A93C97">
        <w:rPr>
          <w:sz w:val="24"/>
          <w:szCs w:val="24"/>
        </w:rPr>
        <w:t> </w:t>
      </w:r>
      <w:r w:rsidRPr="00A93C97">
        <w:rPr>
          <w:sz w:val="24"/>
          <w:szCs w:val="24"/>
        </w:rPr>
        <w:t>953</w:t>
      </w:r>
      <w:r w:rsidR="001547BC" w:rsidRPr="00A93C97">
        <w:rPr>
          <w:sz w:val="24"/>
          <w:szCs w:val="24"/>
        </w:rPr>
        <w:t> </w:t>
      </w:r>
      <w:r w:rsidRPr="00A93C97">
        <w:rPr>
          <w:sz w:val="24"/>
          <w:szCs w:val="24"/>
        </w:rPr>
        <w:t>tis.</w:t>
      </w:r>
      <w:r w:rsidR="001547BC" w:rsidRPr="00A93C97">
        <w:rPr>
          <w:sz w:val="24"/>
          <w:szCs w:val="24"/>
        </w:rPr>
        <w:t> </w:t>
      </w:r>
      <w:r w:rsidRPr="00A93C97">
        <w:rPr>
          <w:sz w:val="24"/>
          <w:szCs w:val="24"/>
        </w:rPr>
        <w:t>eur</w:t>
      </w:r>
      <w:r w:rsidR="00A1636E">
        <w:rPr>
          <w:sz w:val="24"/>
          <w:szCs w:val="24"/>
        </w:rPr>
        <w:t>, keďže n</w:t>
      </w:r>
      <w:r w:rsidR="00FB1705" w:rsidRPr="00FB1705">
        <w:rPr>
          <w:sz w:val="24"/>
          <w:szCs w:val="24"/>
        </w:rPr>
        <w:t>ovelou sa zvýšil objem prostriedkov</w:t>
      </w:r>
      <w:r w:rsidR="00A1636E">
        <w:rPr>
          <w:sz w:val="24"/>
          <w:szCs w:val="24"/>
        </w:rPr>
        <w:t>,</w:t>
      </w:r>
      <w:r w:rsidR="00FB1705" w:rsidRPr="00FB1705">
        <w:rPr>
          <w:sz w:val="24"/>
          <w:szCs w:val="24"/>
        </w:rPr>
        <w:t xml:space="preserve"> o ktorých sa predpokladalo že budú refundované z prostriedkov E</w:t>
      </w:r>
      <w:r w:rsidR="00A1636E">
        <w:rPr>
          <w:sz w:val="24"/>
          <w:szCs w:val="24"/>
        </w:rPr>
        <w:t>Ú</w:t>
      </w:r>
      <w:r w:rsidR="00FB1705" w:rsidRPr="00FB1705">
        <w:rPr>
          <w:sz w:val="24"/>
          <w:szCs w:val="24"/>
        </w:rPr>
        <w:t xml:space="preserve"> zdrojov o 775</w:t>
      </w:r>
      <w:r w:rsidR="00A1636E">
        <w:rPr>
          <w:sz w:val="24"/>
          <w:szCs w:val="24"/>
        </w:rPr>
        <w:t> </w:t>
      </w:r>
      <w:r w:rsidR="00FB1705" w:rsidRPr="00FB1705">
        <w:rPr>
          <w:sz w:val="24"/>
          <w:szCs w:val="24"/>
        </w:rPr>
        <w:t>000</w:t>
      </w:r>
      <w:r w:rsidR="00A1636E">
        <w:rPr>
          <w:sz w:val="24"/>
          <w:szCs w:val="24"/>
        </w:rPr>
        <w:t> </w:t>
      </w:r>
      <w:r w:rsidR="00FB1705" w:rsidRPr="00FB1705">
        <w:rPr>
          <w:sz w:val="24"/>
          <w:szCs w:val="24"/>
        </w:rPr>
        <w:t>tis.</w:t>
      </w:r>
      <w:r w:rsidR="00A1636E">
        <w:rPr>
          <w:sz w:val="24"/>
          <w:szCs w:val="24"/>
        </w:rPr>
        <w:t> </w:t>
      </w:r>
      <w:r w:rsidR="00FB1705" w:rsidRPr="00FB1705">
        <w:rPr>
          <w:sz w:val="24"/>
          <w:szCs w:val="24"/>
        </w:rPr>
        <w:t xml:space="preserve">eur (Išlo o prostriedky vynaložené v súvislosti s opatreniami </w:t>
      </w:r>
      <w:r w:rsidR="00FB1705">
        <w:rPr>
          <w:sz w:val="24"/>
          <w:szCs w:val="24"/>
        </w:rPr>
        <w:t xml:space="preserve">na boj </w:t>
      </w:r>
      <w:r w:rsidR="00FB1705" w:rsidRPr="00FB1705">
        <w:rPr>
          <w:sz w:val="24"/>
          <w:szCs w:val="24"/>
        </w:rPr>
        <w:t>proti</w:t>
      </w:r>
      <w:r w:rsidR="00FB1705">
        <w:rPr>
          <w:sz w:val="24"/>
          <w:szCs w:val="24"/>
        </w:rPr>
        <w:t xml:space="preserve"> pandémii</w:t>
      </w:r>
      <w:r w:rsidR="00FB1705" w:rsidRPr="00FB1705">
        <w:rPr>
          <w:sz w:val="24"/>
          <w:szCs w:val="24"/>
        </w:rPr>
        <w:t xml:space="preserve"> COVID</w:t>
      </w:r>
      <w:r w:rsidR="00FB1705">
        <w:rPr>
          <w:sz w:val="24"/>
          <w:szCs w:val="24"/>
        </w:rPr>
        <w:t>-19</w:t>
      </w:r>
      <w:r w:rsidR="00FB1705" w:rsidRPr="00FB1705">
        <w:rPr>
          <w:sz w:val="24"/>
          <w:szCs w:val="24"/>
        </w:rPr>
        <w:t>.).</w:t>
      </w:r>
      <w:r w:rsidR="00A1636E">
        <w:rPr>
          <w:sz w:val="24"/>
          <w:szCs w:val="24"/>
        </w:rPr>
        <w:t xml:space="preserve"> </w:t>
      </w:r>
      <w:r w:rsidR="00FB1705" w:rsidRPr="00FB1705">
        <w:rPr>
          <w:sz w:val="24"/>
          <w:szCs w:val="24"/>
        </w:rPr>
        <w:t>Tento rozdiel oproti skutočnosti mal negatívny vplyv na plnenie rozpočtu vo výške 1 096 574 tis. eur.</w:t>
      </w:r>
      <w:r w:rsidRPr="00A93C97">
        <w:rPr>
          <w:sz w:val="24"/>
          <w:szCs w:val="24"/>
        </w:rPr>
        <w:t xml:space="preserve"> Znamená</w:t>
      </w:r>
      <w:r w:rsidRPr="004A5951">
        <w:rPr>
          <w:sz w:val="24"/>
          <w:szCs w:val="24"/>
        </w:rPr>
        <w:t xml:space="preserve"> to, že štát realizoval nižšie výdavky z EU zdrojov, ako boli rozpočtované, preto upravujúca položka na eliminovanie vplyvu EU fondov na schodok bola nižšia (nebola potreba takej vysokej eliminácie výdavkov hradených z EU zdroja).</w:t>
      </w:r>
    </w:p>
    <w:p w14:paraId="0E50D9CF" w14:textId="77777777" w:rsidR="00FA0757" w:rsidRDefault="00FA0757" w:rsidP="00FA0757">
      <w:pPr>
        <w:spacing w:before="120" w:after="0" w:line="240" w:lineRule="auto"/>
        <w:rPr>
          <w:b/>
          <w:color w:val="5B9BD5" w:themeColor="accent1"/>
          <w:sz w:val="24"/>
          <w:szCs w:val="24"/>
        </w:rPr>
      </w:pPr>
    </w:p>
    <w:p w14:paraId="669764C0" w14:textId="40B575AE" w:rsidR="00CB3C45" w:rsidRPr="00F25F9F" w:rsidRDefault="00CB3C45" w:rsidP="00F25F9F">
      <w:pPr>
        <w:spacing w:line="240" w:lineRule="auto"/>
        <w:rPr>
          <w:b/>
          <w:color w:val="5B9BD5" w:themeColor="accent1"/>
          <w:sz w:val="24"/>
          <w:szCs w:val="24"/>
        </w:rPr>
      </w:pPr>
      <w:r w:rsidRPr="00F25F9F">
        <w:rPr>
          <w:b/>
          <w:color w:val="5B9BD5" w:themeColor="accent1"/>
          <w:sz w:val="24"/>
          <w:szCs w:val="24"/>
        </w:rPr>
        <w:t>Zelená energia</w:t>
      </w:r>
    </w:p>
    <w:p w14:paraId="75F92E42" w14:textId="07777939" w:rsidR="00F25F9F" w:rsidRDefault="00CB3C45" w:rsidP="004A5951">
      <w:pPr>
        <w:spacing w:after="0" w:line="240" w:lineRule="auto"/>
        <w:rPr>
          <w:sz w:val="24"/>
          <w:szCs w:val="24"/>
        </w:rPr>
      </w:pPr>
      <w:r w:rsidRPr="004A5951">
        <w:rPr>
          <w:sz w:val="24"/>
          <w:szCs w:val="24"/>
        </w:rPr>
        <w:t xml:space="preserve">Podpora obnoviteľných zdrojov energie (OZE) sa realizuje prostredníctvom štátu, ktorý chce podporiť OZE pomocou povinného výkupu energie za vyššiu cenu. Od roku 2020 už túto povinnosť výkupu nemajú distribučné spoločnosti ako v minulosti, ale SPP/OKTE (Organizátor krátkodobého trhu s elektrinou). Pri podpore výroby ide o nekomerčnú aktivitu vykonávanú jednotkami nepatriacimi do sektora verejnej správy, ktoré </w:t>
      </w:r>
      <w:r w:rsidR="00F25F9F">
        <w:rPr>
          <w:sz w:val="24"/>
          <w:szCs w:val="24"/>
        </w:rPr>
        <w:t>vykupujú</w:t>
      </w:r>
      <w:r w:rsidRPr="004A5951">
        <w:rPr>
          <w:sz w:val="24"/>
          <w:szCs w:val="24"/>
        </w:rPr>
        <w:t xml:space="preserve"> viac za elektrinu z OZE, pretože im to ukladá zákon, teda vykonávajú vládnu politiku v oblasti podpory OZE.</w:t>
      </w:r>
    </w:p>
    <w:p w14:paraId="160EE833" w14:textId="1C5D1146" w:rsidR="00CB3C45" w:rsidRPr="004A5951" w:rsidRDefault="00CB3C45" w:rsidP="00F25F9F">
      <w:pPr>
        <w:spacing w:before="120" w:after="0" w:line="240" w:lineRule="auto"/>
        <w:rPr>
          <w:sz w:val="24"/>
          <w:szCs w:val="24"/>
        </w:rPr>
      </w:pPr>
      <w:r w:rsidRPr="004A5951">
        <w:rPr>
          <w:sz w:val="24"/>
          <w:szCs w:val="24"/>
        </w:rPr>
        <w:t xml:space="preserve">Z toho dôvodu sa </w:t>
      </w:r>
      <w:proofErr w:type="spellStart"/>
      <w:r w:rsidRPr="004A5951">
        <w:rPr>
          <w:sz w:val="24"/>
          <w:szCs w:val="24"/>
        </w:rPr>
        <w:t>presmerovávajú</w:t>
      </w:r>
      <w:proofErr w:type="spellEnd"/>
      <w:r w:rsidRPr="004A5951">
        <w:rPr>
          <w:sz w:val="24"/>
          <w:szCs w:val="24"/>
        </w:rPr>
        <w:t xml:space="preserve"> predmetné transakcie cez sektor verejnej správy, kde neverejné jednotky vyberajú dane a zároveň poskytujú subvencie výrobcom energie. Dane platí obyvateľstvo v cenách energie v rámci tarify za prevádzku systému</w:t>
      </w:r>
      <w:r w:rsidR="00C50A41">
        <w:rPr>
          <w:sz w:val="24"/>
          <w:szCs w:val="24"/>
        </w:rPr>
        <w:t xml:space="preserve"> (TPS)</w:t>
      </w:r>
      <w:r w:rsidRPr="004A5951">
        <w:rPr>
          <w:sz w:val="24"/>
          <w:szCs w:val="24"/>
        </w:rPr>
        <w:t xml:space="preserve"> a podpora OZE sa realizuje výkupom elektriny za zvýšenú cenu v podobe subvencie.</w:t>
      </w:r>
    </w:p>
    <w:p w14:paraId="43496143" w14:textId="0A7FF7E2" w:rsidR="00CB3C45" w:rsidRPr="00577050" w:rsidRDefault="00CB3C45" w:rsidP="00AB2D5B">
      <w:pPr>
        <w:spacing w:after="0" w:line="240" w:lineRule="auto"/>
        <w:rPr>
          <w:b/>
          <w:sz w:val="24"/>
          <w:szCs w:val="24"/>
        </w:rPr>
      </w:pPr>
      <w:r w:rsidRPr="004A5951">
        <w:rPr>
          <w:sz w:val="24"/>
          <w:szCs w:val="24"/>
        </w:rPr>
        <w:t xml:space="preserve">V roku 2020 boli inkasované daňové príjmy prostredníctvom TPS vo výške 518 727 tis. eur, čo bolo o 18 355 tis. eur menej oproti </w:t>
      </w:r>
      <w:r w:rsidRPr="00AB2D5B">
        <w:rPr>
          <w:sz w:val="24"/>
          <w:szCs w:val="24"/>
        </w:rPr>
        <w:t>rozpočtovaným príjmom.</w:t>
      </w:r>
      <w:r w:rsidR="00AB2D5B" w:rsidRPr="00AB2D5B">
        <w:rPr>
          <w:sz w:val="24"/>
          <w:szCs w:val="24"/>
        </w:rPr>
        <w:t xml:space="preserve"> Na strane výdavkov </w:t>
      </w:r>
      <w:r w:rsidRPr="00AB2D5B">
        <w:rPr>
          <w:sz w:val="24"/>
          <w:szCs w:val="24"/>
        </w:rPr>
        <w:t>na podporu obnoviteľných zdrojov energie a vysoko účinnej kombinovanej výroby energie bol vyplatený objem subvencií vo výške 604 820 tis. eur, čo bolo viac</w:t>
      </w:r>
      <w:r w:rsidRPr="004A5951">
        <w:rPr>
          <w:sz w:val="24"/>
          <w:szCs w:val="24"/>
        </w:rPr>
        <w:t xml:space="preserve"> oproti rozpočtu o 67 738 tis. eur.</w:t>
      </w:r>
      <w:r w:rsidR="00577050">
        <w:rPr>
          <w:sz w:val="24"/>
          <w:szCs w:val="24"/>
        </w:rPr>
        <w:t xml:space="preserve"> </w:t>
      </w:r>
      <w:r w:rsidR="00577050">
        <w:rPr>
          <w:b/>
          <w:sz w:val="24"/>
          <w:szCs w:val="24"/>
        </w:rPr>
        <w:t>Saldo schémy podpory zelenej energie v roku 2020 dosiahlo deficit 86 093 tis. eur.</w:t>
      </w:r>
    </w:p>
    <w:p w14:paraId="7F9211A5" w14:textId="77777777" w:rsidR="00AB2D5B" w:rsidRDefault="00AB2D5B" w:rsidP="004A5951">
      <w:pPr>
        <w:spacing w:after="0" w:line="240" w:lineRule="auto"/>
        <w:rPr>
          <w:sz w:val="24"/>
          <w:szCs w:val="24"/>
        </w:rPr>
      </w:pPr>
    </w:p>
    <w:p w14:paraId="4F1BF9C8" w14:textId="4AE8438B" w:rsidR="0065403D" w:rsidRPr="004A5951" w:rsidRDefault="004901E5" w:rsidP="0065403D">
      <w:pPr>
        <w:spacing w:after="0" w:line="240" w:lineRule="auto"/>
        <w:rPr>
          <w:sz w:val="24"/>
          <w:szCs w:val="24"/>
        </w:rPr>
      </w:pPr>
      <w:r>
        <w:rPr>
          <w:sz w:val="24"/>
          <w:szCs w:val="24"/>
        </w:rPr>
        <w:t xml:space="preserve">Nevyplatené úhrady distribučným spoločnostiam za predchádzajúce roky podpory predstavujú maastrichtský dlh </w:t>
      </w:r>
      <w:r w:rsidR="00AB2D5B" w:rsidRPr="004A5951">
        <w:rPr>
          <w:sz w:val="24"/>
          <w:szCs w:val="24"/>
        </w:rPr>
        <w:t>verejnej správy, pričom dĺžka a výška splácania bude určovaná</w:t>
      </w:r>
      <w:r>
        <w:rPr>
          <w:sz w:val="24"/>
          <w:szCs w:val="24"/>
        </w:rPr>
        <w:t xml:space="preserve"> </w:t>
      </w:r>
      <w:r w:rsidR="00AB2D5B" w:rsidRPr="004A5951">
        <w:rPr>
          <w:sz w:val="24"/>
          <w:szCs w:val="24"/>
        </w:rPr>
        <w:t>Úrad</w:t>
      </w:r>
      <w:r>
        <w:rPr>
          <w:sz w:val="24"/>
          <w:szCs w:val="24"/>
        </w:rPr>
        <w:t>om</w:t>
      </w:r>
      <w:r w:rsidR="00AB2D5B" w:rsidRPr="004A5951">
        <w:rPr>
          <w:sz w:val="24"/>
          <w:szCs w:val="24"/>
        </w:rPr>
        <w:t xml:space="preserve"> pre reguláciu sieťových odvetv</w:t>
      </w:r>
      <w:r>
        <w:rPr>
          <w:sz w:val="24"/>
          <w:szCs w:val="24"/>
        </w:rPr>
        <w:t>í</w:t>
      </w:r>
      <w:r w:rsidR="00AB2D5B" w:rsidRPr="004A5951">
        <w:rPr>
          <w:sz w:val="24"/>
          <w:szCs w:val="24"/>
        </w:rPr>
        <w:t xml:space="preserve">. </w:t>
      </w:r>
      <w:r w:rsidR="0065403D">
        <w:rPr>
          <w:sz w:val="24"/>
          <w:szCs w:val="24"/>
        </w:rPr>
        <w:t>Novelizovaný rozpočet predpokladal úhradu týchto záväzkov v objeme 320 000 tis. eur, v skutočnosti bolo uhradených 161 885 tis. eur za rok 2018</w:t>
      </w:r>
      <w:r w:rsidR="0065403D" w:rsidRPr="0065403D">
        <w:rPr>
          <w:rStyle w:val="Odkaznapoznmkupodiarou"/>
          <w:sz w:val="24"/>
          <w:szCs w:val="24"/>
        </w:rPr>
        <w:footnoteReference w:id="18"/>
      </w:r>
      <w:r w:rsidR="0065403D">
        <w:rPr>
          <w:sz w:val="24"/>
          <w:szCs w:val="24"/>
        </w:rPr>
        <w:t>. S</w:t>
      </w:r>
      <w:r w:rsidR="0065403D" w:rsidRPr="004A5951">
        <w:rPr>
          <w:sz w:val="24"/>
          <w:szCs w:val="24"/>
        </w:rPr>
        <w:t>plátka sa podľa metodiky ESA</w:t>
      </w:r>
      <w:r w:rsidR="00E92051">
        <w:rPr>
          <w:sz w:val="24"/>
          <w:szCs w:val="24"/>
        </w:rPr>
        <w:t xml:space="preserve"> </w:t>
      </w:r>
      <w:r w:rsidR="0065403D" w:rsidRPr="004A5951">
        <w:rPr>
          <w:sz w:val="24"/>
          <w:szCs w:val="24"/>
        </w:rPr>
        <w:t xml:space="preserve">2010 nepovažuje za výdavok ovplyvňujúci schodok a hotovostný výdavok sa </w:t>
      </w:r>
      <w:proofErr w:type="spellStart"/>
      <w:r w:rsidR="0065403D" w:rsidRPr="004A5951">
        <w:rPr>
          <w:sz w:val="24"/>
          <w:szCs w:val="24"/>
        </w:rPr>
        <w:t>reklasifikuje</w:t>
      </w:r>
      <w:proofErr w:type="spellEnd"/>
      <w:r w:rsidR="0065403D" w:rsidRPr="004A5951">
        <w:rPr>
          <w:sz w:val="24"/>
          <w:szCs w:val="24"/>
        </w:rPr>
        <w:t xml:space="preserve"> na splátku dlhu. </w:t>
      </w:r>
      <w:r w:rsidR="00E92051">
        <w:rPr>
          <w:sz w:val="24"/>
          <w:szCs w:val="24"/>
        </w:rPr>
        <w:t>N</w:t>
      </w:r>
      <w:r w:rsidR="0065403D" w:rsidRPr="004A5951">
        <w:rPr>
          <w:sz w:val="24"/>
          <w:szCs w:val="24"/>
        </w:rPr>
        <w:t xml:space="preserve">ižšia vyplatená splátka </w:t>
      </w:r>
      <w:r w:rsidR="00E92051">
        <w:rPr>
          <w:sz w:val="24"/>
          <w:szCs w:val="24"/>
        </w:rPr>
        <w:t>oproti rozpočtu</w:t>
      </w:r>
      <w:r w:rsidR="0065403D" w:rsidRPr="004A5951">
        <w:rPr>
          <w:sz w:val="24"/>
          <w:szCs w:val="24"/>
        </w:rPr>
        <w:t xml:space="preserve"> má negatívny vplyv na skutočné plnenie rozpočtu (vylúčil sa nižší výdavok ako rozpočtovaný).</w:t>
      </w:r>
    </w:p>
    <w:p w14:paraId="0C161A87" w14:textId="153C8DE3" w:rsidR="0065403D" w:rsidRDefault="0065403D" w:rsidP="004901E5">
      <w:pPr>
        <w:spacing w:after="0" w:line="240" w:lineRule="auto"/>
        <w:rPr>
          <w:sz w:val="24"/>
          <w:szCs w:val="24"/>
        </w:rPr>
      </w:pPr>
      <w:r>
        <w:rPr>
          <w:sz w:val="24"/>
          <w:szCs w:val="24"/>
        </w:rPr>
        <w:t xml:space="preserve"> </w:t>
      </w:r>
    </w:p>
    <w:p w14:paraId="36E4457D" w14:textId="77777777" w:rsidR="00CB3C45" w:rsidRPr="00C50A41" w:rsidRDefault="00CB3C45" w:rsidP="00C50A41">
      <w:pPr>
        <w:spacing w:line="240" w:lineRule="auto"/>
        <w:rPr>
          <w:b/>
          <w:bCs/>
          <w:color w:val="5B9BD5" w:themeColor="accent1"/>
          <w:sz w:val="24"/>
          <w:szCs w:val="24"/>
        </w:rPr>
      </w:pPr>
      <w:r w:rsidRPr="00C50A41">
        <w:rPr>
          <w:b/>
          <w:color w:val="5B9BD5" w:themeColor="accent1"/>
          <w:sz w:val="24"/>
          <w:szCs w:val="24"/>
        </w:rPr>
        <w:t xml:space="preserve">Vplyv </w:t>
      </w:r>
      <w:r w:rsidRPr="00C50A41">
        <w:rPr>
          <w:b/>
          <w:bCs/>
          <w:color w:val="5B9BD5" w:themeColor="accent1"/>
          <w:sz w:val="24"/>
          <w:szCs w:val="24"/>
        </w:rPr>
        <w:t>akruálnych príjmov a výdavkov na obsluhu štátneho dlhu</w:t>
      </w:r>
    </w:p>
    <w:p w14:paraId="6E4AA772" w14:textId="77777777" w:rsidR="00CB3C45" w:rsidRPr="004A5951" w:rsidRDefault="00CB3C45" w:rsidP="004A5951">
      <w:pPr>
        <w:spacing w:after="0" w:line="240" w:lineRule="auto"/>
        <w:rPr>
          <w:sz w:val="24"/>
          <w:szCs w:val="24"/>
        </w:rPr>
      </w:pPr>
      <w:r w:rsidRPr="004A5951">
        <w:rPr>
          <w:sz w:val="24"/>
          <w:szCs w:val="24"/>
        </w:rPr>
        <w:t>Predstavoval schodok 298 187 tis. eur a schodok oproti rozpočtovaným príjmom a výdavkom bol nižší o 306 216 tis. eur. Rozdiel medzi rozpočtovaným a skutočným hotovostným transferom zo štátneho rozpočtu na krytie nákladov štátneho dlhu bol vo výške 266 098 tis. eur. Úspora bola dosiahnutá najmä vplyvom monetárnej politiky Európskej centrálnej banky na finančné trhy a domácimi makroekonomickými fundamentami.</w:t>
      </w:r>
    </w:p>
    <w:p w14:paraId="465C6CA6" w14:textId="77777777" w:rsidR="00C50A41" w:rsidRDefault="00C50A41" w:rsidP="004A5951">
      <w:pPr>
        <w:spacing w:after="0" w:line="240" w:lineRule="auto"/>
        <w:rPr>
          <w:rFonts w:cs="Times New Roman"/>
          <w:b/>
          <w:i/>
          <w:sz w:val="24"/>
          <w:szCs w:val="24"/>
        </w:rPr>
      </w:pPr>
    </w:p>
    <w:p w14:paraId="4106B4DA" w14:textId="77777777" w:rsidR="00CB3C45" w:rsidRPr="00C50A41" w:rsidRDefault="00CB3C45" w:rsidP="004A5951">
      <w:pPr>
        <w:spacing w:after="0" w:line="240" w:lineRule="auto"/>
        <w:rPr>
          <w:rFonts w:cs="Times New Roman"/>
          <w:b/>
          <w:color w:val="5B9BD5" w:themeColor="accent1"/>
          <w:sz w:val="24"/>
          <w:szCs w:val="24"/>
        </w:rPr>
      </w:pPr>
      <w:r w:rsidRPr="00C50A41">
        <w:rPr>
          <w:rFonts w:cs="Times New Roman"/>
          <w:b/>
          <w:color w:val="5B9BD5" w:themeColor="accent1"/>
          <w:sz w:val="24"/>
          <w:szCs w:val="24"/>
        </w:rPr>
        <w:t>Hospodárenie vybraných subjektov verejnej správy (na nekonsolidovanej báze)</w:t>
      </w:r>
    </w:p>
    <w:p w14:paraId="3954F386" w14:textId="2A5F84A8" w:rsidR="00CB3C45" w:rsidRPr="004A5951" w:rsidRDefault="00CB3C45" w:rsidP="004A5951">
      <w:pPr>
        <w:spacing w:before="120" w:after="0" w:line="240" w:lineRule="auto"/>
        <w:rPr>
          <w:rFonts w:cs="Times New Roman"/>
          <w:sz w:val="24"/>
          <w:szCs w:val="24"/>
        </w:rPr>
      </w:pPr>
      <w:r w:rsidRPr="004A5951">
        <w:rPr>
          <w:rFonts w:cs="Times New Roman"/>
          <w:b/>
          <w:sz w:val="24"/>
          <w:szCs w:val="24"/>
        </w:rPr>
        <w:t xml:space="preserve">Sociálna poisťovňa </w:t>
      </w:r>
      <w:r w:rsidRPr="004A5951">
        <w:rPr>
          <w:rFonts w:cs="Times New Roman"/>
          <w:sz w:val="24"/>
          <w:szCs w:val="24"/>
        </w:rPr>
        <w:t xml:space="preserve">dosiahla hotovostný prebytok vo výške 159 003 tis. eur (rozdiel oproti rozpočtu je o 120 110 tis. eur vyšší ako sa plánovalo). Pozitívny vplyv na hotovostný prebytok mali vyššie príjmy na poistnom, do ktorých patrí aj odplata za pohľadávky z poistného voči zdravotníckym zariadeniam postúpené na štátnu spoločnosť </w:t>
      </w:r>
      <w:proofErr w:type="spellStart"/>
      <w:r w:rsidRPr="004A5951">
        <w:rPr>
          <w:rFonts w:cs="Times New Roman"/>
          <w:sz w:val="24"/>
          <w:szCs w:val="24"/>
        </w:rPr>
        <w:t>Debitum</w:t>
      </w:r>
      <w:proofErr w:type="spellEnd"/>
      <w:r w:rsidRPr="004A5951">
        <w:rPr>
          <w:rFonts w:cs="Times New Roman"/>
          <w:sz w:val="24"/>
          <w:szCs w:val="24"/>
        </w:rPr>
        <w:t>, a.</w:t>
      </w:r>
      <w:r w:rsidR="00E53B12">
        <w:rPr>
          <w:rFonts w:cs="Times New Roman"/>
          <w:sz w:val="24"/>
          <w:szCs w:val="24"/>
        </w:rPr>
        <w:t> </w:t>
      </w:r>
      <w:r w:rsidRPr="004A5951">
        <w:rPr>
          <w:rFonts w:cs="Times New Roman"/>
          <w:sz w:val="24"/>
          <w:szCs w:val="24"/>
        </w:rPr>
        <w:t>s. v</w:t>
      </w:r>
      <w:r w:rsidR="00E53B12">
        <w:rPr>
          <w:rFonts w:cs="Times New Roman"/>
          <w:sz w:val="24"/>
          <w:szCs w:val="24"/>
        </w:rPr>
        <w:t> </w:t>
      </w:r>
      <w:r w:rsidRPr="004A5951">
        <w:rPr>
          <w:rFonts w:cs="Times New Roman"/>
          <w:sz w:val="24"/>
          <w:szCs w:val="24"/>
        </w:rPr>
        <w:t>sume 109 331 tis. eur. Išlo o vplyv ostatnej etapy oddlžovania</w:t>
      </w:r>
      <w:r w:rsidRPr="004A5951">
        <w:rPr>
          <w:sz w:val="24"/>
          <w:szCs w:val="24"/>
        </w:rPr>
        <w:t xml:space="preserve"> v súlade s Koncepciou oddlženia zdravotníckych zariadení schválenej vládou SR v roku 2017</w:t>
      </w:r>
      <w:r w:rsidRPr="004A5951">
        <w:rPr>
          <w:rStyle w:val="Odkaznapoznmkupodiarou"/>
          <w:sz w:val="24"/>
          <w:szCs w:val="24"/>
        </w:rPr>
        <w:footnoteReference w:id="19"/>
      </w:r>
      <w:r w:rsidRPr="004A5951">
        <w:rPr>
          <w:sz w:val="24"/>
          <w:szCs w:val="24"/>
        </w:rPr>
        <w:t>. Ďalej sa v rozpočte predpokladalo s vyššími výdavkami poistenia v súvislosti s pandémiou COVID-19 (</w:t>
      </w:r>
      <w:proofErr w:type="spellStart"/>
      <w:r w:rsidRPr="004A5951">
        <w:rPr>
          <w:sz w:val="24"/>
          <w:szCs w:val="24"/>
        </w:rPr>
        <w:t>pandemické</w:t>
      </w:r>
      <w:proofErr w:type="spellEnd"/>
      <w:r w:rsidRPr="004A5951">
        <w:rPr>
          <w:sz w:val="24"/>
          <w:szCs w:val="24"/>
        </w:rPr>
        <w:t xml:space="preserve"> nemocenské dávky, ošetrovné a dávky v nezamestnanosti). </w:t>
      </w:r>
      <w:r w:rsidRPr="004A5951">
        <w:rPr>
          <w:rFonts w:cs="Times New Roman"/>
          <w:sz w:val="24"/>
          <w:szCs w:val="24"/>
        </w:rPr>
        <w:t>Výdavky poistenia v roku 2020 prestavovali sumu 9 182 686 tis. eur, čo bolo o 354 331 tis. eur menej ako sa predpokladalo.</w:t>
      </w:r>
    </w:p>
    <w:p w14:paraId="6F948088" w14:textId="16B0F6FC" w:rsidR="006949F5" w:rsidRDefault="00CB3C45" w:rsidP="00DE4B01">
      <w:pPr>
        <w:spacing w:before="120" w:after="0" w:line="240" w:lineRule="auto"/>
        <w:rPr>
          <w:rFonts w:cs="Times New Roman"/>
          <w:b/>
          <w:sz w:val="24"/>
          <w:szCs w:val="24"/>
        </w:rPr>
      </w:pPr>
      <w:r w:rsidRPr="004A5951">
        <w:rPr>
          <w:rFonts w:cs="Times New Roman"/>
          <w:sz w:val="24"/>
          <w:szCs w:val="24"/>
        </w:rPr>
        <w:t>Sociálna poisťovňa dosiahla ESA prebytok vo výške 201 896 tis. eur (rozdiel oproti rozpočtu je o 132 574 tis. eur vyšší ako sa plánovalo). Na zlepšenie hospodárenia oproti hotovostnému prebytku sa podieľala najmä imputácia pohľadávok na poistnom voči zdravotníckym zariadeniam vo výške 109 </w:t>
      </w:r>
      <w:r w:rsidRPr="004A5951">
        <w:rPr>
          <w:sz w:val="24"/>
          <w:szCs w:val="24"/>
        </w:rPr>
        <w:t>255 tis</w:t>
      </w:r>
      <w:r w:rsidRPr="004A5951">
        <w:rPr>
          <w:rFonts w:cs="Times New Roman"/>
          <w:sz w:val="24"/>
          <w:szCs w:val="24"/>
        </w:rPr>
        <w:t xml:space="preserve">. eur, </w:t>
      </w:r>
      <w:proofErr w:type="spellStart"/>
      <w:r w:rsidRPr="004A5951">
        <w:rPr>
          <w:rFonts w:cs="Times New Roman"/>
          <w:sz w:val="24"/>
          <w:szCs w:val="24"/>
        </w:rPr>
        <w:t>akrualizácia</w:t>
      </w:r>
      <w:proofErr w:type="spellEnd"/>
      <w:r w:rsidRPr="004A5951">
        <w:rPr>
          <w:rFonts w:cs="Times New Roman"/>
          <w:sz w:val="24"/>
          <w:szCs w:val="24"/>
        </w:rPr>
        <w:t xml:space="preserve"> hotovostného výdavku z dôchodkových dávok</w:t>
      </w:r>
      <w:r w:rsidRPr="004A5951">
        <w:rPr>
          <w:rStyle w:val="Odkaznapoznmkupodiarou"/>
          <w:rFonts w:cs="Times New Roman"/>
          <w:sz w:val="24"/>
          <w:szCs w:val="24"/>
        </w:rPr>
        <w:footnoteReference w:id="20"/>
      </w:r>
      <w:r w:rsidRPr="004A5951">
        <w:rPr>
          <w:rFonts w:cs="Times New Roman"/>
          <w:sz w:val="24"/>
          <w:szCs w:val="24"/>
        </w:rPr>
        <w:t xml:space="preserve"> o 71 774 tis. eur a </w:t>
      </w:r>
      <w:proofErr w:type="spellStart"/>
      <w:r w:rsidRPr="004A5951">
        <w:rPr>
          <w:rFonts w:cs="Times New Roman"/>
          <w:sz w:val="24"/>
          <w:szCs w:val="24"/>
        </w:rPr>
        <w:t>akrualizácie</w:t>
      </w:r>
      <w:proofErr w:type="spellEnd"/>
      <w:r w:rsidRPr="004A5951">
        <w:rPr>
          <w:rFonts w:cs="Times New Roman"/>
          <w:sz w:val="24"/>
          <w:szCs w:val="24"/>
        </w:rPr>
        <w:t xml:space="preserve"> poistného vo výške 40 654 tis. eur (o 61 333 tis. eur viac ako sa predpokladalo)</w:t>
      </w:r>
      <w:r w:rsidRPr="004A5951">
        <w:rPr>
          <w:rStyle w:val="Odkaznapoznmkupodiarou"/>
          <w:rFonts w:cs="Times New Roman"/>
          <w:sz w:val="24"/>
          <w:szCs w:val="24"/>
        </w:rPr>
        <w:footnoteReference w:id="21"/>
      </w:r>
      <w:r w:rsidRPr="004A5951">
        <w:rPr>
          <w:rFonts w:cs="Times New Roman"/>
          <w:sz w:val="24"/>
          <w:szCs w:val="24"/>
        </w:rPr>
        <w:t xml:space="preserve">. Negatívny vplyv predstavoval pokles pohľadávok na poistnom voči zdravotníckym zariadeniam v súvislosti s oddlžením vo výške 168 775 tis. eur (z toho istina 123 055 tis. eur a penále 45 720 tis. eur). </w:t>
      </w:r>
      <w:r w:rsidR="006949F5">
        <w:rPr>
          <w:rFonts w:cs="Times New Roman"/>
          <w:b/>
          <w:sz w:val="24"/>
          <w:szCs w:val="24"/>
        </w:rPr>
        <w:br w:type="page"/>
      </w:r>
    </w:p>
    <w:p w14:paraId="05312759" w14:textId="543456AB" w:rsidR="006949F5" w:rsidRDefault="00CB3C45" w:rsidP="004A5951">
      <w:pPr>
        <w:spacing w:after="0" w:line="240" w:lineRule="auto"/>
        <w:rPr>
          <w:rFonts w:cs="Times New Roman"/>
          <w:sz w:val="24"/>
          <w:szCs w:val="24"/>
        </w:rPr>
      </w:pPr>
      <w:r w:rsidRPr="004A5951">
        <w:rPr>
          <w:rFonts w:cs="Times New Roman"/>
          <w:b/>
          <w:sz w:val="24"/>
          <w:szCs w:val="24"/>
        </w:rPr>
        <w:t>Zdravotné poisťovne</w:t>
      </w:r>
      <w:r w:rsidRPr="004A5951">
        <w:rPr>
          <w:rFonts w:cs="Times New Roman"/>
          <w:sz w:val="24"/>
          <w:szCs w:val="24"/>
        </w:rPr>
        <w:t xml:space="preserve"> dosiahli ESA prebytok 127 292 tis. eur (rozdiel oproti rozpočtu je o 126 394 tis. eur vyšší ako sa plánovalo). Najväčší pozitívny vplyv predstavoval transfer Všeobecnej zdravotnej poisťovni, a. s. poskytnutý zo štátnych finančných aktív formou vkladu do základného imania vo výške 198 000 tis. eur. Na základe vecného účelu použitia týchto prostriedkov bola finančná operácia </w:t>
      </w:r>
      <w:r w:rsidR="006949F5">
        <w:rPr>
          <w:rFonts w:cs="Times New Roman"/>
          <w:sz w:val="24"/>
          <w:szCs w:val="24"/>
        </w:rPr>
        <w:t>p</w:t>
      </w:r>
      <w:r w:rsidRPr="004A5951">
        <w:rPr>
          <w:rFonts w:cs="Times New Roman"/>
          <w:sz w:val="24"/>
          <w:szCs w:val="24"/>
        </w:rPr>
        <w:t>reklasifikovaná na kapitálový transfer.</w:t>
      </w:r>
    </w:p>
    <w:p w14:paraId="1BF5E4AB" w14:textId="592CE910" w:rsidR="006949F5" w:rsidRDefault="00CB3C45" w:rsidP="006949F5">
      <w:pPr>
        <w:spacing w:before="120" w:after="0" w:line="240" w:lineRule="auto"/>
        <w:rPr>
          <w:rFonts w:cs="Times New Roman"/>
          <w:sz w:val="24"/>
          <w:szCs w:val="24"/>
        </w:rPr>
      </w:pPr>
      <w:r w:rsidRPr="004A5951">
        <w:rPr>
          <w:rFonts w:cs="Times New Roman"/>
          <w:sz w:val="24"/>
          <w:szCs w:val="24"/>
        </w:rPr>
        <w:t>Ďalším pozitívnym vplyvom bol medziročný nárast pohľadávok o 32 456 tis. eur (išlo najmä o</w:t>
      </w:r>
      <w:r w:rsidR="00E53B12">
        <w:rPr>
          <w:rFonts w:cs="Times New Roman"/>
          <w:sz w:val="24"/>
          <w:szCs w:val="24"/>
        </w:rPr>
        <w:t> </w:t>
      </w:r>
      <w:r w:rsidRPr="004A5951">
        <w:rPr>
          <w:rFonts w:cs="Times New Roman"/>
          <w:sz w:val="24"/>
          <w:szCs w:val="24"/>
        </w:rPr>
        <w:t>ostatné pohľadávky 35 359 tis. eur a pohľadávky voči Úradu pre dohľad nad zdravotnou starostlivosťou o 10 057 tis. eur). Nárast ostatných pohľadávok vo Všeobecnej zdravotnej poisťovni, a. s. súvisí s mimoriadnymi opatreniami v súvislosti s pandémiou COVID-19, kedy sa prvýkrát v roku 2020 nevykonávalo ročné zúčtovanie so štátom za rok 2019 a uhrádzali sa príspevky vo forme preddavkov, čo spôsobilo t</w:t>
      </w:r>
      <w:r w:rsidR="006949F5">
        <w:rPr>
          <w:rFonts w:cs="Times New Roman"/>
          <w:sz w:val="24"/>
          <w:szCs w:val="24"/>
        </w:rPr>
        <w:t>ento výrazný medziročný nárast.</w:t>
      </w:r>
    </w:p>
    <w:p w14:paraId="073D31DE" w14:textId="62399556" w:rsidR="0079025D" w:rsidRDefault="00CB3C45" w:rsidP="006949F5">
      <w:pPr>
        <w:spacing w:before="120" w:after="0" w:line="240" w:lineRule="auto"/>
        <w:rPr>
          <w:rFonts w:cs="Times New Roman"/>
          <w:sz w:val="24"/>
          <w:szCs w:val="24"/>
        </w:rPr>
      </w:pPr>
      <w:r w:rsidRPr="004A5951">
        <w:rPr>
          <w:rFonts w:cs="Times New Roman"/>
          <w:sz w:val="24"/>
          <w:szCs w:val="24"/>
        </w:rPr>
        <w:t xml:space="preserve">Imputácia </w:t>
      </w:r>
      <w:proofErr w:type="spellStart"/>
      <w:r w:rsidRPr="004A5951">
        <w:rPr>
          <w:rFonts w:cs="Times New Roman"/>
          <w:sz w:val="24"/>
          <w:szCs w:val="24"/>
        </w:rPr>
        <w:t>akrualizácie</w:t>
      </w:r>
      <w:proofErr w:type="spellEnd"/>
      <w:r w:rsidRPr="004A5951">
        <w:rPr>
          <w:rFonts w:cs="Times New Roman"/>
          <w:sz w:val="24"/>
          <w:szCs w:val="24"/>
        </w:rPr>
        <w:t xml:space="preserve"> poistného predstavovala pozitívny vplyv vo výške 2 387 tis. eur. Na hospodárenie negatívne vplýval výdavkový transfer z verejnej časti zdravotného poistenia do súkromnej časti zdravotných poisťovní (išlo o splátku istiny úveru </w:t>
      </w:r>
      <w:r w:rsidR="00165360">
        <w:rPr>
          <w:rFonts w:cs="Times New Roman"/>
          <w:sz w:val="24"/>
          <w:szCs w:val="24"/>
        </w:rPr>
        <w:t>z</w:t>
      </w:r>
      <w:r w:rsidRPr="004A5951">
        <w:rPr>
          <w:rFonts w:cs="Times New Roman"/>
          <w:sz w:val="24"/>
          <w:szCs w:val="24"/>
        </w:rPr>
        <w:t>dravotnej poisťovne Dôvera</w:t>
      </w:r>
      <w:r w:rsidR="00165360">
        <w:rPr>
          <w:rFonts w:cs="Times New Roman"/>
          <w:sz w:val="24"/>
          <w:szCs w:val="24"/>
        </w:rPr>
        <w:t>, a. s.</w:t>
      </w:r>
      <w:r w:rsidRPr="004A5951">
        <w:rPr>
          <w:rFonts w:cs="Times New Roman"/>
          <w:sz w:val="24"/>
          <w:szCs w:val="24"/>
        </w:rPr>
        <w:t>) a platba za správu verejného zdravotného poistenia spolu vo výške 143 717 tis. eur (nárast o 103 357 </w:t>
      </w:r>
      <w:r w:rsidR="0079025D">
        <w:rPr>
          <w:rFonts w:cs="Times New Roman"/>
          <w:sz w:val="24"/>
          <w:szCs w:val="24"/>
        </w:rPr>
        <w:t>tis. eur ako sa predpokladalo).</w:t>
      </w:r>
    </w:p>
    <w:p w14:paraId="170BAD2B" w14:textId="6F35F93C" w:rsidR="00CB3C45" w:rsidRPr="004A5951" w:rsidRDefault="00CB3C45" w:rsidP="006949F5">
      <w:pPr>
        <w:spacing w:before="120" w:after="0" w:line="240" w:lineRule="auto"/>
        <w:rPr>
          <w:rFonts w:cs="Times New Roman"/>
          <w:sz w:val="24"/>
          <w:szCs w:val="24"/>
        </w:rPr>
      </w:pPr>
      <w:r w:rsidRPr="004A5951">
        <w:rPr>
          <w:rFonts w:cs="Times New Roman"/>
          <w:sz w:val="24"/>
          <w:szCs w:val="24"/>
        </w:rPr>
        <w:t>Medziročný nárast záväzkov zhoršil hospodárenie zdravotných poisťovní o 93 349 tis. eur (išlo predovšetkým o záväzky voči poskytovateľom zdravotnej starostlivosti o 63 080 tis. eur, voči lekárňam o 11 082 tis. eur a ostatné záväzky o 20 297 tis. eur). Nárast ostatných záväzkov tvorí prijatý a nezúčtovaný preddavok z ročného zúčtovania poistného so štátom za rok 2019</w:t>
      </w:r>
      <w:r w:rsidRPr="004A5951">
        <w:rPr>
          <w:sz w:val="24"/>
          <w:szCs w:val="24"/>
        </w:rPr>
        <w:t xml:space="preserve"> v zmysle legislatívnej zmeny v súvislosti s mimoriadnymi opatreniami so šírením COVID-19 pandémie</w:t>
      </w:r>
      <w:r w:rsidRPr="004A5951">
        <w:rPr>
          <w:rFonts w:cs="Times New Roman"/>
          <w:sz w:val="24"/>
          <w:szCs w:val="24"/>
        </w:rPr>
        <w:t xml:space="preserve">. Negatívny vplyv predstavoval aj pokles pohľadávok voči poskytovateľom zdravotnej starostlivosti o 12 347 tis. eur. </w:t>
      </w:r>
    </w:p>
    <w:p w14:paraId="35FEF5B5" w14:textId="77777777" w:rsidR="00CB3C45" w:rsidRPr="004A5951" w:rsidRDefault="00CB3C45" w:rsidP="0079025D">
      <w:pPr>
        <w:spacing w:before="120" w:after="0" w:line="240" w:lineRule="auto"/>
        <w:rPr>
          <w:sz w:val="24"/>
          <w:szCs w:val="24"/>
          <w:highlight w:val="yellow"/>
        </w:rPr>
      </w:pPr>
      <w:r w:rsidRPr="004A5951">
        <w:rPr>
          <w:rFonts w:eastAsia="Times New Roman" w:cs="Times New Roman"/>
          <w:b/>
          <w:color w:val="000000"/>
          <w:sz w:val="24"/>
          <w:szCs w:val="24"/>
          <w:lang w:eastAsia="sk-SK"/>
        </w:rPr>
        <w:t>Výdavky verejného zdravotného poistenia</w:t>
      </w:r>
      <w:r w:rsidRPr="004A5951">
        <w:rPr>
          <w:rFonts w:eastAsia="Times New Roman" w:cs="Times New Roman"/>
          <w:color w:val="000000"/>
          <w:sz w:val="24"/>
          <w:szCs w:val="24"/>
          <w:lang w:eastAsia="sk-SK"/>
        </w:rPr>
        <w:t xml:space="preserve"> na zdravotnú starostlivosť poskytnutú zdravotníckym zariadeniam </w:t>
      </w:r>
      <w:r w:rsidRPr="004A5951">
        <w:rPr>
          <w:sz w:val="24"/>
          <w:szCs w:val="24"/>
        </w:rPr>
        <w:t xml:space="preserve">boli rozpočtované v sume 5 167 508 tis. eur, skutočnosť bola o 232 759 tis. eur nižšia. Nižšie čerpanie výdavkov na zdravotnú starostlivosť súviselo so zhoršujúcou sa </w:t>
      </w:r>
      <w:proofErr w:type="spellStart"/>
      <w:r w:rsidRPr="004A5951">
        <w:rPr>
          <w:sz w:val="24"/>
          <w:szCs w:val="24"/>
        </w:rPr>
        <w:t>pandemickou</w:t>
      </w:r>
      <w:proofErr w:type="spellEnd"/>
      <w:r w:rsidRPr="004A5951">
        <w:rPr>
          <w:sz w:val="24"/>
          <w:szCs w:val="24"/>
        </w:rPr>
        <w:t xml:space="preserve"> situáciou, kedy sa poskytovala najmä neodkladná zdravotná starostlivosť a štandardné realizované plánované výkony boli pozastavené.</w:t>
      </w:r>
    </w:p>
    <w:p w14:paraId="1124E53E" w14:textId="255DC0B5" w:rsidR="00CB3C45" w:rsidRPr="004A5951" w:rsidRDefault="00CB3C45" w:rsidP="0079025D">
      <w:pPr>
        <w:spacing w:before="120" w:after="0" w:line="240" w:lineRule="auto"/>
        <w:rPr>
          <w:sz w:val="24"/>
          <w:szCs w:val="24"/>
        </w:rPr>
      </w:pPr>
      <w:r w:rsidRPr="004A5951">
        <w:rPr>
          <w:b/>
          <w:sz w:val="24"/>
          <w:szCs w:val="24"/>
        </w:rPr>
        <w:t>Obchodné spoločnosti ústrednej správy</w:t>
      </w:r>
      <w:r w:rsidRPr="004A5951">
        <w:rPr>
          <w:sz w:val="24"/>
          <w:szCs w:val="24"/>
        </w:rPr>
        <w:t xml:space="preserve"> dosiahli zlepšenie hospodárenia o 122 381 tis. eur oproti plánu, úhrnom bol dosiahnutý prebytok 8 685 tis. eur, pričom v rozpočte sa očakával schodok 113 696 tis. eur. V rámci tejto zložky verejnej správy je vykazované hospodárenie celkovo za 9 subjektov, pričom v rozhodujúcej miere sa na výsledku podieľajú najmä spoločnosti ako Želez</w:t>
      </w:r>
      <w:r w:rsidR="00E53B12">
        <w:rPr>
          <w:sz w:val="24"/>
          <w:szCs w:val="24"/>
        </w:rPr>
        <w:t>nice Slovenskej republiky š. p.</w:t>
      </w:r>
      <w:r w:rsidRPr="004A5951">
        <w:rPr>
          <w:sz w:val="24"/>
          <w:szCs w:val="24"/>
        </w:rPr>
        <w:t>, Železničná spoločnosť Slovensko, a. s., Národná diaľničná spoločnosť, a. s. a Jadrová a vyraďovacia spoločnosť, a. s.</w:t>
      </w:r>
    </w:p>
    <w:p w14:paraId="45E32B8E" w14:textId="77777777" w:rsidR="008F6C40" w:rsidRDefault="00CB3C45" w:rsidP="0079025D">
      <w:pPr>
        <w:spacing w:before="120" w:after="0" w:line="240" w:lineRule="auto"/>
        <w:rPr>
          <w:rFonts w:cs="Times New Roman"/>
          <w:sz w:val="24"/>
          <w:szCs w:val="24"/>
        </w:rPr>
      </w:pPr>
      <w:r w:rsidRPr="004A5951">
        <w:rPr>
          <w:rFonts w:cs="Times New Roman"/>
          <w:b/>
          <w:sz w:val="24"/>
          <w:szCs w:val="24"/>
        </w:rPr>
        <w:t>Železnice Slovenskej republiky š. p.</w:t>
      </w:r>
      <w:r w:rsidRPr="004A5951">
        <w:rPr>
          <w:rFonts w:cs="Times New Roman"/>
          <w:sz w:val="24"/>
          <w:szCs w:val="24"/>
        </w:rPr>
        <w:t xml:space="preserve"> </w:t>
      </w:r>
      <w:r w:rsidRPr="004A5951">
        <w:rPr>
          <w:rFonts w:cs="Times New Roman"/>
          <w:b/>
          <w:sz w:val="24"/>
          <w:szCs w:val="24"/>
        </w:rPr>
        <w:t>(ŽSR)</w:t>
      </w:r>
      <w:r w:rsidRPr="004A5951">
        <w:rPr>
          <w:rFonts w:cs="Times New Roman"/>
          <w:sz w:val="24"/>
          <w:szCs w:val="24"/>
        </w:rPr>
        <w:t xml:space="preserve"> zlepšili svoje hotovostné hospodárenie o 7 507 tis. eur oproti rozpočtu, príčina zlepšenia na strane príjmov je väčší objem prijatých plnení z poistného majetku, prijaté dividendy z dcérskych a pridružených spoločností v sume 700 tis. eur a tiež zvýšené príjmy z predaja trakčnej energie dopravcom ako predpokladal rozpočet. Nedaňové pr</w:t>
      </w:r>
      <w:r w:rsidR="008F6C40">
        <w:rPr>
          <w:rFonts w:cs="Times New Roman"/>
          <w:sz w:val="24"/>
          <w:szCs w:val="24"/>
        </w:rPr>
        <w:t>íjmy vzrástli o 7 491 tis. eur.</w:t>
      </w:r>
    </w:p>
    <w:p w14:paraId="2091DF43" w14:textId="77777777" w:rsidR="008F6C40" w:rsidRDefault="00CB3C45" w:rsidP="0079025D">
      <w:pPr>
        <w:spacing w:before="120" w:after="0" w:line="240" w:lineRule="auto"/>
        <w:rPr>
          <w:rFonts w:cs="Times New Roman"/>
          <w:sz w:val="24"/>
          <w:szCs w:val="24"/>
        </w:rPr>
      </w:pPr>
      <w:r w:rsidRPr="004A5951">
        <w:rPr>
          <w:rFonts w:cs="Times New Roman"/>
          <w:sz w:val="24"/>
          <w:szCs w:val="24"/>
        </w:rPr>
        <w:t xml:space="preserve">Na strane výdavkov boli nižšie výdavky oproti rozpočtu za tovary a služby o sumu 17 714 tis. eur (najviac na materiál na opravu a údržbu infraštruktúry). V súvislosti so zabezpečením správy a prevádzky železničnej infraštruktúry spoločnosť prijala účelovo viazané prostriedky vo výške 280 495 tis. eur na sanáciu výdavkov priamo implikovaných vznikom pandémie súvisiacej s ochorením COVID-19. V nadväznosti na výšku prijatých grantov a transferov (menej o 22 618 tis. eur oproti rozpočtu) mali ŽSR nižšie výdavky na obstaranie kapitálových aktív o sumu 6 909 tis. eur. Dôvodom nižšieho čerpania kapitálových výdavkov je, že časť finančných prostriedkov bola v danom roku viazaná v zmysle §8 na použitie výdavkov do nasledujúcich </w:t>
      </w:r>
      <w:r w:rsidR="008F6C40">
        <w:rPr>
          <w:rFonts w:cs="Times New Roman"/>
          <w:sz w:val="24"/>
          <w:szCs w:val="24"/>
        </w:rPr>
        <w:t>rokov.</w:t>
      </w:r>
    </w:p>
    <w:p w14:paraId="23EF140B" w14:textId="18B693C2" w:rsidR="008F6C40" w:rsidRDefault="00CB3C45" w:rsidP="0079025D">
      <w:pPr>
        <w:spacing w:before="120" w:after="0" w:line="240" w:lineRule="auto"/>
        <w:rPr>
          <w:rFonts w:cs="Times New Roman"/>
          <w:sz w:val="24"/>
          <w:szCs w:val="24"/>
        </w:rPr>
      </w:pPr>
      <w:r w:rsidRPr="004A5951">
        <w:rPr>
          <w:rFonts w:cs="Times New Roman"/>
          <w:sz w:val="24"/>
          <w:szCs w:val="24"/>
        </w:rPr>
        <w:t>Spoločnosť v roku 2020 alokovala investičné výdavky v sume 187 293 tis. eur v rámci jednotlivých projektov, z ktorých najvýznamnejšie boli investície do modernizácie trate</w:t>
      </w:r>
      <w:r w:rsidRPr="004A5951">
        <w:rPr>
          <w:sz w:val="24"/>
          <w:szCs w:val="24"/>
        </w:rPr>
        <w:t xml:space="preserve"> Púchov - Žilina, I. etapa, úsek Púchov - Považská Teplá, na projekt Komunikačná infraštruktúra služieb </w:t>
      </w:r>
      <w:proofErr w:type="spellStart"/>
      <w:r w:rsidRPr="004A5951">
        <w:rPr>
          <w:sz w:val="24"/>
          <w:szCs w:val="24"/>
        </w:rPr>
        <w:t>telematiky</w:t>
      </w:r>
      <w:proofErr w:type="spellEnd"/>
      <w:r w:rsidRPr="004A5951">
        <w:rPr>
          <w:sz w:val="24"/>
          <w:szCs w:val="24"/>
        </w:rPr>
        <w:t xml:space="preserve"> ŽSR (modernizácia elektronickej komunikačnej siete), na realizáciu záchytných parkovísk a rekonštrukciu ozubnice Štrba - Štrbské Pleso.</w:t>
      </w:r>
    </w:p>
    <w:p w14:paraId="1815390B" w14:textId="77777777" w:rsidR="008F6C40" w:rsidRDefault="00CB3C45" w:rsidP="008F6C40">
      <w:pPr>
        <w:spacing w:before="120" w:after="0" w:line="240" w:lineRule="auto"/>
        <w:rPr>
          <w:rFonts w:cs="Times New Roman"/>
          <w:sz w:val="24"/>
          <w:szCs w:val="24"/>
        </w:rPr>
      </w:pPr>
      <w:r w:rsidRPr="004A5951">
        <w:rPr>
          <w:rFonts w:cs="Times New Roman"/>
          <w:sz w:val="24"/>
          <w:szCs w:val="24"/>
        </w:rPr>
        <w:t xml:space="preserve">Pozitívne na ESA schodok vplýval nárast pohľadávok o 2 658 tis. eur a pokles záväzkov o 6 821 tis. eur. Najviac narástli ostatné pohľadávky o sumu 3 445 tis. eur z dôvodu zaúčtovania pohľadávky </w:t>
      </w:r>
      <w:r w:rsidRPr="004A5951">
        <w:rPr>
          <w:rFonts w:cs="Times New Roman"/>
          <w:color w:val="000000"/>
          <w:sz w:val="24"/>
          <w:szCs w:val="24"/>
        </w:rPr>
        <w:t>za stavebné práce pre Finančné riaditeľstvo, ktorá bude vysporiadaná po podpise Dohody</w:t>
      </w:r>
      <w:r w:rsidRPr="004A5951">
        <w:rPr>
          <w:rFonts w:cs="Times New Roman"/>
          <w:color w:val="1F497D"/>
          <w:sz w:val="24"/>
          <w:szCs w:val="24"/>
        </w:rPr>
        <w:t xml:space="preserve"> </w:t>
      </w:r>
      <w:r w:rsidRPr="004A5951">
        <w:rPr>
          <w:rFonts w:cs="Times New Roman"/>
          <w:sz w:val="24"/>
          <w:szCs w:val="24"/>
        </w:rPr>
        <w:t xml:space="preserve">a nárast </w:t>
      </w:r>
      <w:r w:rsidRPr="004A5951">
        <w:rPr>
          <w:rFonts w:cs="Times New Roman"/>
          <w:bCs/>
          <w:sz w:val="24"/>
          <w:szCs w:val="24"/>
        </w:rPr>
        <w:t xml:space="preserve">daňových pohľadávok z dôvodu predpísaného nadmerného odpočtu. V záväzkoch sa najviac prejavil pozitívny vplyv na schodok v poklese záväzkov voči dodávateľom v nadväznosti na nečerpanie výdavkov. </w:t>
      </w:r>
    </w:p>
    <w:p w14:paraId="419E5C74" w14:textId="1DEBA69D" w:rsidR="00186138" w:rsidRDefault="00CB3C45" w:rsidP="000D0C9C">
      <w:pPr>
        <w:spacing w:before="120" w:after="0" w:line="240" w:lineRule="auto"/>
        <w:rPr>
          <w:rFonts w:cs="Times New Roman"/>
          <w:sz w:val="24"/>
          <w:szCs w:val="24"/>
        </w:rPr>
      </w:pPr>
      <w:r w:rsidRPr="004A5951">
        <w:rPr>
          <w:rFonts w:cs="Times New Roman"/>
          <w:b/>
          <w:sz w:val="24"/>
          <w:szCs w:val="24"/>
        </w:rPr>
        <w:t>Železničná spoločnosť Slovensko, a. s. (ZSSK)</w:t>
      </w:r>
      <w:r w:rsidRPr="004A5951">
        <w:rPr>
          <w:rFonts w:cs="Times New Roman"/>
          <w:sz w:val="24"/>
          <w:szCs w:val="24"/>
        </w:rPr>
        <w:t xml:space="preserve"> hospodárila s hotovostným prebytkom vo výške 25 887 tis. eur, na ktorý mal vplyv vyšší pokles výdavkov ako pokles príjmov. Celkové príjmy boli nižšie z dôvodu poklesu grantov a transferov o 57 968 tis. eur v nadväznosti na viazanie finančných prostriedkov, ktoré boli kapito</w:t>
      </w:r>
      <w:r w:rsidR="006A45BA">
        <w:rPr>
          <w:rFonts w:cs="Times New Roman"/>
          <w:sz w:val="24"/>
          <w:szCs w:val="24"/>
        </w:rPr>
        <w:t xml:space="preserve">le MDV SR v zmysle § 8 viazané </w:t>
      </w:r>
      <w:r w:rsidRPr="004A5951">
        <w:rPr>
          <w:rFonts w:cs="Times New Roman"/>
          <w:sz w:val="24"/>
          <w:szCs w:val="24"/>
        </w:rPr>
        <w:t>na použitie výdavkov do nasledujúcich rokov. Z dôvodu mimoriadnej situácie v súvislosti s pandémiou COVID-19 sa redukovali dopravné výkony v nadväznosti na znížený dopyt po vlakovej doprave a výrazne poklesli tržby od cestujúcich takmer o polovicu oproti predchádzajúcemu roku. V tejto súvislosti bol ZSSK v zmysle Dodatku k Zmluve o dopravných službách vo verejnom záujme poskytnutý transfer ako kompenzácia negatívneho vplyvu pandémie na hospodárenie a </w:t>
      </w:r>
      <w:r w:rsidR="00186138">
        <w:rPr>
          <w:rFonts w:cs="Times New Roman"/>
          <w:sz w:val="24"/>
          <w:szCs w:val="24"/>
        </w:rPr>
        <w:t>finančnú stabilitu spoločnosti.</w:t>
      </w:r>
    </w:p>
    <w:p w14:paraId="26B92919" w14:textId="414A6CAD" w:rsidR="000D0C9C" w:rsidRDefault="00CB3C45" w:rsidP="000D0C9C">
      <w:pPr>
        <w:spacing w:before="120" w:after="0" w:line="240" w:lineRule="auto"/>
        <w:rPr>
          <w:rFonts w:cs="Times New Roman"/>
          <w:sz w:val="24"/>
          <w:szCs w:val="24"/>
        </w:rPr>
      </w:pPr>
      <w:r w:rsidRPr="004A5951">
        <w:rPr>
          <w:rFonts w:cs="Times New Roman"/>
          <w:sz w:val="24"/>
          <w:szCs w:val="24"/>
        </w:rPr>
        <w:t>Spoločnosť predpokladala nárast nákladov a s tým spojených výdavkov, avšak oproti očakávaniam dosiahla výraznú úsporu v objeme čerpania bežných výdavkov o 52 017 tis. eur a kapitálových výdavkov o 69 044 tis. eur. Znížili sa výdavky na ľudských zdrojoch v podobe „</w:t>
      </w:r>
      <w:proofErr w:type="spellStart"/>
      <w:r w:rsidRPr="004A5951">
        <w:rPr>
          <w:rFonts w:cs="Times New Roman"/>
          <w:sz w:val="24"/>
          <w:szCs w:val="24"/>
        </w:rPr>
        <w:t>home</w:t>
      </w:r>
      <w:proofErr w:type="spellEnd"/>
      <w:r w:rsidRPr="004A5951">
        <w:rPr>
          <w:rFonts w:cs="Times New Roman"/>
          <w:sz w:val="24"/>
          <w:szCs w:val="24"/>
        </w:rPr>
        <w:t xml:space="preserve"> </w:t>
      </w:r>
      <w:proofErr w:type="spellStart"/>
      <w:r w:rsidRPr="004A5951">
        <w:rPr>
          <w:rFonts w:cs="Times New Roman"/>
          <w:sz w:val="24"/>
          <w:szCs w:val="24"/>
        </w:rPr>
        <w:t>office</w:t>
      </w:r>
      <w:proofErr w:type="spellEnd"/>
      <w:r w:rsidRPr="004A5951">
        <w:rPr>
          <w:rFonts w:cs="Times New Roman"/>
          <w:sz w:val="24"/>
          <w:szCs w:val="24"/>
        </w:rPr>
        <w:t>“ a krátenia úväzkov, zaznamenala sa úspora vo výdavkoch na energie, na pohonné hmoty, ale zároveň narástli výdavky v spojitosti s opatreniami proti šíreniu nákazy. Vo zvýšenej miere sa opravovali koľajové vozidlá a dezinfikovali vlakové súpravy. Z celkových výdavkov spoločnosť postúpila na faktoring výdavky v sume 71 559 tis. eur, a tieto negatívne ovplyvnili ESA schodok až na úroveň 86 682 tis. eur. Ďalším negatívnym vplyvom bol nárast záväzkov o </w:t>
      </w:r>
      <w:r w:rsidR="00975B99">
        <w:rPr>
          <w:rFonts w:cs="Times New Roman"/>
          <w:sz w:val="24"/>
          <w:szCs w:val="24"/>
        </w:rPr>
        <w:t>46 326</w:t>
      </w:r>
      <w:r w:rsidRPr="004A5951">
        <w:rPr>
          <w:rFonts w:cs="Times New Roman"/>
          <w:sz w:val="24"/>
          <w:szCs w:val="24"/>
        </w:rPr>
        <w:t> tis. eur. Medziročne došlo k nárastu na účtoch dodávateľov a nevyfakturovaných dodávok hlavne v súvislosti s modernizáciou vozového parku v rámci OPII. Najvýznamnejšiu položku tvorí nákup 4 ks elektrických jednotiek „</w:t>
      </w:r>
      <w:proofErr w:type="spellStart"/>
      <w:r w:rsidRPr="004A5951">
        <w:rPr>
          <w:rFonts w:cs="Times New Roman"/>
          <w:sz w:val="24"/>
          <w:szCs w:val="24"/>
        </w:rPr>
        <w:t>Panter</w:t>
      </w:r>
      <w:proofErr w:type="spellEnd"/>
      <w:r w:rsidRPr="004A5951">
        <w:rPr>
          <w:rFonts w:cs="Times New Roman"/>
          <w:sz w:val="24"/>
          <w:szCs w:val="24"/>
        </w:rPr>
        <w:t xml:space="preserve">“ od dodávateľa ŠKODA TRANSPORTATION, CZ v hodnote 43 600 tis. eur. Ekologické elektrické jednotky boli obstarané v rámci Integrovaného dopravného systému zameraného na obnovu parku železničných koľajových vozidiel pre prímestskú a regionálnu verejnú železničnú osobnú dopravu a v roku </w:t>
      </w:r>
      <w:r w:rsidR="005F211B">
        <w:rPr>
          <w:rFonts w:cs="Times New Roman"/>
          <w:sz w:val="24"/>
          <w:szCs w:val="24"/>
        </w:rPr>
        <w:t xml:space="preserve">2020 </w:t>
      </w:r>
      <w:r w:rsidRPr="004A5951">
        <w:rPr>
          <w:rFonts w:cs="Times New Roman"/>
          <w:sz w:val="24"/>
          <w:szCs w:val="24"/>
        </w:rPr>
        <w:t xml:space="preserve">pre trenčiansky a žilinský región. </w:t>
      </w:r>
    </w:p>
    <w:p w14:paraId="7E86B43A" w14:textId="7463873C" w:rsidR="00AE02C9" w:rsidRDefault="00CB3C45" w:rsidP="000D0C9C">
      <w:pPr>
        <w:spacing w:before="120" w:after="0" w:line="240" w:lineRule="auto"/>
        <w:rPr>
          <w:rFonts w:eastAsia="Times New Roman" w:cs="Times New Roman"/>
          <w:sz w:val="24"/>
          <w:szCs w:val="24"/>
          <w:lang w:eastAsia="sk-SK"/>
        </w:rPr>
      </w:pPr>
      <w:r w:rsidRPr="004A5951">
        <w:rPr>
          <w:rFonts w:cs="Times New Roman"/>
          <w:b/>
          <w:sz w:val="24"/>
          <w:szCs w:val="24"/>
        </w:rPr>
        <w:t>Národná diaľničná spoločnosť, a. s.</w:t>
      </w:r>
      <w:r w:rsidRPr="004A5951">
        <w:rPr>
          <w:rFonts w:cs="Times New Roman"/>
          <w:sz w:val="24"/>
          <w:szCs w:val="24"/>
        </w:rPr>
        <w:t xml:space="preserve"> dosiahla v roku 2020 hotovostný prebytok vo výške 144 408 tis. eur, čo predstavuje zlepšenie o 121 748 tis. eur oproti rozpočtu. Na zlepšenie hospodárenia spoločnosti mal vplyv vyšší pokles výdavkov ako pokles príjmov. Z bežných výdavkov bola zaznamenaná najväčšia úspora oproti rozpočtu na výdavkoch</w:t>
      </w:r>
      <w:r w:rsidRPr="004A5951">
        <w:rPr>
          <w:rFonts w:eastAsia="Times New Roman" w:cs="Times New Roman"/>
          <w:sz w:val="24"/>
          <w:szCs w:val="24"/>
          <w:lang w:eastAsia="sk-SK"/>
        </w:rPr>
        <w:t xml:space="preserve"> na tovary a služby o 72 703 tis. eur. Dôvodom bol časový posun realizácie projektov a prác z dôvodu pandémie COVID-19. Išlo najmä o posun zapracovania legislatívnych úprav do systému elektronického výberu mýta (ETC), posun realizácie vodorovného dopravného značenia, na ktorú nebol ukončený proces verejného obstarávania a o opravy a údržby. Oproti očakávaniam sa znížili aj výdavky na dane, úspory sa dosiahli z legislatívnych zmien v oblasti DPH, samozdanenie stavebných prác. Výdavky na obstaranie kapitálových aktív klesli o 122 202 tis. eur (dosiahli výšku 451 363 tis. eur), </w:t>
      </w:r>
      <w:r w:rsidRPr="004A5951">
        <w:rPr>
          <w:rFonts w:cs="Times New Roman"/>
          <w:sz w:val="24"/>
          <w:szCs w:val="24"/>
        </w:rPr>
        <w:t>najmä z dôvodu posunov termínov stavieb, resp. neukončených verejných obstarávaní</w:t>
      </w:r>
      <w:r w:rsidR="00AE02C9">
        <w:rPr>
          <w:rFonts w:eastAsia="Times New Roman" w:cs="Times New Roman"/>
          <w:sz w:val="24"/>
          <w:szCs w:val="24"/>
          <w:lang w:eastAsia="sk-SK"/>
        </w:rPr>
        <w:t>.</w:t>
      </w:r>
    </w:p>
    <w:p w14:paraId="09557646" w14:textId="7D7FF638" w:rsidR="00AE02C9" w:rsidRDefault="00CB3C45" w:rsidP="000D0C9C">
      <w:pPr>
        <w:spacing w:before="120" w:after="0" w:line="240" w:lineRule="auto"/>
        <w:rPr>
          <w:rFonts w:eastAsia="Times New Roman" w:cs="Times New Roman"/>
          <w:sz w:val="24"/>
          <w:szCs w:val="24"/>
          <w:lang w:eastAsia="sk-SK"/>
        </w:rPr>
      </w:pPr>
      <w:r w:rsidRPr="004A5951">
        <w:rPr>
          <w:rFonts w:eastAsia="Times New Roman" w:cs="Times New Roman"/>
          <w:sz w:val="24"/>
          <w:szCs w:val="24"/>
          <w:lang w:eastAsia="sk-SK"/>
        </w:rPr>
        <w:t>Najvyššie investície v roku 2020 boli vynaložené na stavby diaľnic a rýchlostných ciest D1</w:t>
      </w:r>
      <w:r w:rsidR="00E53B12">
        <w:rPr>
          <w:rFonts w:eastAsia="Times New Roman" w:cs="Times New Roman"/>
          <w:sz w:val="24"/>
          <w:szCs w:val="24"/>
          <w:lang w:eastAsia="sk-SK"/>
        </w:rPr>
        <w:t> </w:t>
      </w:r>
      <w:r w:rsidRPr="004A5951">
        <w:rPr>
          <w:rFonts w:eastAsia="Times New Roman" w:cs="Times New Roman"/>
          <w:sz w:val="24"/>
          <w:szCs w:val="24"/>
          <w:lang w:eastAsia="sk-SK"/>
        </w:rPr>
        <w:t>Prešov západ – Prešov juh (87 100 tis. eur), D3 Čadca Bukov – Svrčinovec (72 200 tis. eur), D1</w:t>
      </w:r>
      <w:r w:rsidR="00E53B12">
        <w:rPr>
          <w:rFonts w:eastAsia="Times New Roman" w:cs="Times New Roman"/>
          <w:sz w:val="24"/>
          <w:szCs w:val="24"/>
          <w:lang w:eastAsia="sk-SK"/>
        </w:rPr>
        <w:t> </w:t>
      </w:r>
      <w:r w:rsidRPr="004A5951">
        <w:rPr>
          <w:rFonts w:eastAsia="Times New Roman" w:cs="Times New Roman"/>
          <w:sz w:val="24"/>
          <w:szCs w:val="24"/>
          <w:lang w:eastAsia="sk-SK"/>
        </w:rPr>
        <w:t>Hubová – Ivachnová (53 900 tis. eur), R2 Mýtna – Lovinobaňa (45 600 tis. eur) a R4</w:t>
      </w:r>
      <w:r w:rsidR="00E53B12">
        <w:rPr>
          <w:rFonts w:eastAsia="Times New Roman" w:cs="Times New Roman"/>
          <w:sz w:val="24"/>
          <w:szCs w:val="24"/>
          <w:lang w:eastAsia="sk-SK"/>
        </w:rPr>
        <w:t> </w:t>
      </w:r>
      <w:r w:rsidRPr="004A5951">
        <w:rPr>
          <w:rFonts w:eastAsia="Times New Roman" w:cs="Times New Roman"/>
          <w:sz w:val="24"/>
          <w:szCs w:val="24"/>
          <w:lang w:eastAsia="sk-SK"/>
        </w:rPr>
        <w:t>Prešov – severný obch</w:t>
      </w:r>
      <w:r w:rsidR="00AE02C9">
        <w:rPr>
          <w:rFonts w:eastAsia="Times New Roman" w:cs="Times New Roman"/>
          <w:sz w:val="24"/>
          <w:szCs w:val="24"/>
          <w:lang w:eastAsia="sk-SK"/>
        </w:rPr>
        <w:t>vat I. etapa (33 600 tis. eur).</w:t>
      </w:r>
    </w:p>
    <w:p w14:paraId="1C85EF62" w14:textId="7FC9473A" w:rsidR="000D0C9C" w:rsidRDefault="00CB3C45" w:rsidP="000D0C9C">
      <w:pPr>
        <w:spacing w:before="120" w:after="0" w:line="240" w:lineRule="auto"/>
        <w:rPr>
          <w:rFonts w:cs="Times New Roman"/>
          <w:sz w:val="24"/>
          <w:szCs w:val="24"/>
        </w:rPr>
      </w:pPr>
      <w:r w:rsidRPr="004A5951">
        <w:rPr>
          <w:rFonts w:eastAsia="Times New Roman" w:cs="Times New Roman"/>
          <w:sz w:val="24"/>
          <w:szCs w:val="24"/>
          <w:lang w:eastAsia="sk-SK"/>
        </w:rPr>
        <w:t>Pokles celkových príjmov spoločnosti o 73 118 tis. eur oproti rozpočtu bol podmienený nižšími príjmami z grantov a transferov zo štátneho rozpočtu a z prostriedkov EÚ o 102 646 tis. eur ako dôsledok poklesu investičných výdavkov a teda ich nižšej refundácie. Tento negatívny vplyv bol mierne kompenzovaný nárastom príjmov z predaja diaľničných známok a mýta o 28 724 tis. eur oproti rozpočtu. Na ESA prebytok vo výške 109 400 tis. eur negatívne vplýval pokles pohľadávok</w:t>
      </w:r>
      <w:r w:rsidR="007F093C">
        <w:rPr>
          <w:rFonts w:eastAsia="Times New Roman" w:cs="Times New Roman"/>
          <w:sz w:val="24"/>
          <w:szCs w:val="24"/>
          <w:lang w:eastAsia="sk-SK"/>
        </w:rPr>
        <w:t xml:space="preserve"> o 36 559 tis. eur, najmä pohľadávok</w:t>
      </w:r>
      <w:r w:rsidRPr="004A5951">
        <w:rPr>
          <w:rFonts w:eastAsia="Times New Roman" w:cs="Times New Roman"/>
          <w:sz w:val="24"/>
          <w:szCs w:val="24"/>
          <w:lang w:eastAsia="sk-SK"/>
        </w:rPr>
        <w:t xml:space="preserve"> súvisiacich s realizáciou elektronického mýta </w:t>
      </w:r>
      <w:r w:rsidR="007F093C">
        <w:rPr>
          <w:rFonts w:eastAsia="Times New Roman" w:cs="Times New Roman"/>
          <w:sz w:val="24"/>
          <w:szCs w:val="24"/>
          <w:lang w:eastAsia="sk-SK"/>
        </w:rPr>
        <w:t xml:space="preserve">(pokles </w:t>
      </w:r>
      <w:r w:rsidRPr="004A5951">
        <w:rPr>
          <w:rFonts w:eastAsia="Times New Roman" w:cs="Times New Roman"/>
          <w:sz w:val="24"/>
          <w:szCs w:val="24"/>
          <w:lang w:eastAsia="sk-SK"/>
        </w:rPr>
        <w:t>o 25 016 tis. eur</w:t>
      </w:r>
      <w:r w:rsidR="007F093C">
        <w:rPr>
          <w:rFonts w:eastAsia="Times New Roman" w:cs="Times New Roman"/>
          <w:sz w:val="24"/>
          <w:szCs w:val="24"/>
          <w:lang w:eastAsia="sk-SK"/>
        </w:rPr>
        <w:t>)</w:t>
      </w:r>
      <w:r w:rsidRPr="004A5951">
        <w:rPr>
          <w:rFonts w:eastAsia="Times New Roman" w:cs="Times New Roman"/>
          <w:sz w:val="24"/>
          <w:szCs w:val="24"/>
          <w:lang w:eastAsia="sk-SK"/>
        </w:rPr>
        <w:t xml:space="preserve"> a pohľadávok voči odberateľom</w:t>
      </w:r>
      <w:r w:rsidR="007F093C">
        <w:rPr>
          <w:rFonts w:eastAsia="Times New Roman" w:cs="Times New Roman"/>
          <w:sz w:val="24"/>
          <w:szCs w:val="24"/>
          <w:lang w:eastAsia="sk-SK"/>
        </w:rPr>
        <w:t xml:space="preserve"> (pokles</w:t>
      </w:r>
      <w:r w:rsidRPr="004A5951">
        <w:rPr>
          <w:rFonts w:eastAsia="Times New Roman" w:cs="Times New Roman"/>
          <w:sz w:val="24"/>
          <w:szCs w:val="24"/>
          <w:lang w:eastAsia="sk-SK"/>
        </w:rPr>
        <w:t xml:space="preserve"> o </w:t>
      </w:r>
      <w:r w:rsidR="007F093C">
        <w:rPr>
          <w:rFonts w:eastAsia="Times New Roman" w:cs="Times New Roman"/>
          <w:sz w:val="24"/>
          <w:szCs w:val="24"/>
          <w:lang w:eastAsia="sk-SK"/>
        </w:rPr>
        <w:t>6 439 tis. eur).</w:t>
      </w:r>
    </w:p>
    <w:p w14:paraId="07C46AA2" w14:textId="49D36AAA" w:rsidR="000D0C9C" w:rsidRDefault="00CB3C45" w:rsidP="000D0C9C">
      <w:pPr>
        <w:spacing w:before="120" w:after="0" w:line="240" w:lineRule="auto"/>
        <w:rPr>
          <w:rFonts w:cs="Times New Roman"/>
          <w:sz w:val="24"/>
          <w:szCs w:val="24"/>
        </w:rPr>
      </w:pPr>
      <w:r w:rsidRPr="004A5951">
        <w:rPr>
          <w:rFonts w:cs="Times New Roman"/>
          <w:sz w:val="24"/>
          <w:szCs w:val="24"/>
        </w:rPr>
        <w:t xml:space="preserve">Rozpočtovaný hotovostný schodok </w:t>
      </w:r>
      <w:r w:rsidRPr="004A5951">
        <w:rPr>
          <w:rFonts w:cs="Times New Roman"/>
          <w:b/>
          <w:sz w:val="24"/>
          <w:szCs w:val="24"/>
        </w:rPr>
        <w:t>Jadrovej a vyraďovacej spoločnosti, a. s.</w:t>
      </w:r>
      <w:r w:rsidRPr="004A5951">
        <w:rPr>
          <w:rFonts w:cs="Times New Roman"/>
          <w:sz w:val="24"/>
          <w:szCs w:val="24"/>
        </w:rPr>
        <w:t xml:space="preserve"> (JAVYS) bol vo výške 14 996 tis. eur, v skutočnosti však hospodáril s hotovostným prebytkom 3 981 tis. eur. Zlepšenie hospodárenia o 18 977 tis. sa dosiahlo poklesom bežných výdavkov o 20 111 tis. eur a kapitálových výdavkov o 13 291 tis. eur. Dôvodom bol posun realizácie projektov spojených s vyraďovaním jadrových zariadení, resp. záverečnou časťou jadrovej energetiky do budúcich období. S tým súviseli aj nižšie príjmy z grantov a transferov z refundácie oprávnených výkonov o 9 512 tis. eur. Oproti rozpočtu klesla aj suma iných nedaňových príjmov o 3 219 tis. eur, nižšie boli najmä príjmy z vrátenej DPH z minulých období. Na ESA prebytok vo výške 10 876 tis. eur mal pozitívny vplyv medziročný nárast pohľadávok o 4 491 tis. eur, najmä daňových pohľadávok a ESA úprava v sume 4 321 tis. eur vylučujúca z výdavkov 99 % z povinných platieb uhradených Národnému jadrovému fondu (NJF). Tento výdavok predstavuje šetrenie na budúce vyraďovanie rádioaktívnych zariadení, ktoré prevádzkuje JAVYS, pričom má na tieto prostriedky v budúcnosti nárok. Z uvedeného dôvodu položka predstavuje finančnú operáciu. 1 % z povinných platieb si môže ponechať NJF na svoju správu, a teda zostáva výdavkom JAVYS-u.</w:t>
      </w:r>
    </w:p>
    <w:p w14:paraId="36171764" w14:textId="153B6C72" w:rsidR="00CB3C45" w:rsidRPr="000D0C9C" w:rsidRDefault="00CB3C45" w:rsidP="000D0C9C">
      <w:pPr>
        <w:spacing w:before="120" w:after="0" w:line="240" w:lineRule="auto"/>
        <w:rPr>
          <w:rFonts w:cs="Times New Roman"/>
          <w:sz w:val="24"/>
          <w:szCs w:val="24"/>
        </w:rPr>
      </w:pPr>
      <w:r w:rsidRPr="004A5951">
        <w:rPr>
          <w:rFonts w:eastAsia="Times New Roman" w:cs="Times New Roman"/>
          <w:b/>
          <w:sz w:val="24"/>
          <w:szCs w:val="24"/>
          <w:lang w:eastAsia="sk-SK"/>
        </w:rPr>
        <w:t>Slovenská konsolidačná, a. s.</w:t>
      </w:r>
      <w:r w:rsidRPr="004A5951">
        <w:rPr>
          <w:rFonts w:eastAsia="Times New Roman" w:cs="Times New Roman"/>
          <w:sz w:val="24"/>
          <w:szCs w:val="24"/>
          <w:lang w:eastAsia="sk-SK"/>
        </w:rPr>
        <w:t xml:space="preserve"> dosiahla hotovostný schodok vo výške 9 893 tis. eur, čo predstavovalo zlepšenie oproti rozpočtu o 6 530 tis. eur. Na zlepšenie hospodárenia spoločnosti mal pozitívny vplyv najmä pokles celkových výdavkov o 6 004 tis. eur. Príjmy boli vyššie o 526 tis. eur. Z bežných výdavkov klesli oproti rozpočtu výdavky na mzdy a poistné spolu o 543 tis. eur a výdavky na tovary a služby o 4 940 tis. eur, </w:t>
      </w:r>
      <w:r w:rsidRPr="004A5951">
        <w:rPr>
          <w:rFonts w:cs="Times New Roman"/>
          <w:sz w:val="24"/>
          <w:szCs w:val="24"/>
        </w:rPr>
        <w:t xml:space="preserve">a to hlavne z dôvodu vyplácania trov konaní exekúcií v zmysle zákona č. 233/2019 Z. z. o ukončení niektorých exekučných konaní, keď sa pôvodne očakávali výdavky vo výške 12 600 tis. eur, ale čerpanie v roku 2020 bolo nakoniec len vo výške 7 216 tis. eur. Hlavným dôvodom nárastu príjmov bolo zvýšenie iných nedaňových príjmov, kde spoločnosť eviduje najmä príjmy z realizácie pohľadávok prevzatých zo sektora verejnej správy. </w:t>
      </w:r>
      <w:r w:rsidRPr="004A5951">
        <w:rPr>
          <w:rFonts w:eastAsia="Times New Roman" w:cs="Times New Roman"/>
          <w:sz w:val="24"/>
          <w:szCs w:val="24"/>
          <w:lang w:eastAsia="sk-SK"/>
        </w:rPr>
        <w:t>Na ESA schodok v sume 9 317 tis. eur mal pozitívny vplyv aj pokles záväzkov o 488 tis. eur (najmä ostatných záväzkov).</w:t>
      </w:r>
    </w:p>
    <w:p w14:paraId="00AF7E03" w14:textId="4812EE77" w:rsidR="000D0C9C" w:rsidRDefault="00CB3C45" w:rsidP="000D0C9C">
      <w:pPr>
        <w:spacing w:before="120" w:after="0" w:line="240" w:lineRule="auto"/>
        <w:rPr>
          <w:rFonts w:cs="Times New Roman"/>
          <w:sz w:val="24"/>
          <w:szCs w:val="24"/>
        </w:rPr>
      </w:pPr>
      <w:r w:rsidRPr="004A5951">
        <w:rPr>
          <w:rFonts w:cs="Times New Roman"/>
          <w:b/>
          <w:sz w:val="24"/>
          <w:szCs w:val="24"/>
        </w:rPr>
        <w:t>MH Manažment, a. s.</w:t>
      </w:r>
      <w:r w:rsidRPr="004A5951">
        <w:rPr>
          <w:rFonts w:cs="Times New Roman"/>
          <w:sz w:val="24"/>
          <w:szCs w:val="24"/>
        </w:rPr>
        <w:t xml:space="preserve"> svoje hospodárenie zlepšil o 1 223 tis. eur, keď oproti rozpočtovanému hotovostnému schodku vo výške 1 606 tis. eur dosiahol v skutočnosti schodok vo</w:t>
      </w:r>
      <w:r w:rsidR="00E53B12">
        <w:rPr>
          <w:rFonts w:cs="Times New Roman"/>
          <w:sz w:val="24"/>
          <w:szCs w:val="24"/>
        </w:rPr>
        <w:t xml:space="preserve"> </w:t>
      </w:r>
      <w:r w:rsidRPr="004A5951">
        <w:rPr>
          <w:rFonts w:cs="Times New Roman"/>
          <w:sz w:val="24"/>
          <w:szCs w:val="24"/>
        </w:rPr>
        <w:t>výške</w:t>
      </w:r>
      <w:r w:rsidR="00E53B12">
        <w:rPr>
          <w:rFonts w:cs="Times New Roman"/>
          <w:sz w:val="24"/>
          <w:szCs w:val="24"/>
        </w:rPr>
        <w:t xml:space="preserve"> </w:t>
      </w:r>
      <w:r w:rsidRPr="004A5951">
        <w:rPr>
          <w:rFonts w:cs="Times New Roman"/>
          <w:sz w:val="24"/>
          <w:szCs w:val="24"/>
        </w:rPr>
        <w:t>383 tis. eur, čo bolo spôsobené nárastom nedaňových príjmov o 492 tis. eur a poklesom bežných výdavkov o 73</w:t>
      </w:r>
      <w:r w:rsidR="00970AB4">
        <w:rPr>
          <w:rFonts w:cs="Times New Roman"/>
          <w:sz w:val="24"/>
          <w:szCs w:val="24"/>
        </w:rPr>
        <w:t>9</w:t>
      </w:r>
      <w:r w:rsidRPr="004A5951">
        <w:rPr>
          <w:rFonts w:cs="Times New Roman"/>
          <w:sz w:val="24"/>
          <w:szCs w:val="24"/>
        </w:rPr>
        <w:t> tis. eur. Najväčší nárast zaznamenali príjmy z dividend (dosiahli výšku 1 018 tis. eur). Z tejto sumy sú ESA dividendy 785 tis. eur a superdividenda 233 tis. eur. Pozitívny vplyv na saldo mal aj celkový pokles výdavkov. Najväčší vplyv na ich zníženie mali nižšie výdavky súvisiace s právnymi službami na zastupovanie spoločnosti MH Manažment, a. s. v súdnych konaniach, nižšie náklady súvisiace s bezodplatným prevodom cenných papierov od fyzických osôb a nižšie výdavky na splátku dlhopisov. Na nárast ESA schodku na sumu 3 619 tis. eur oproti rozpočtovanému (2 115 tis. eur) negatívne vplývalo preklasifikovanie poskytnutej pôžičky vo výške 250 tis. eur na vydaný kapitálový transfer a superdividenda vo výške 233 tis. eur. ESA hospodárenie zhoršilo aj preklasifikovanie vkladov do základného imania na vydané kapitálové transfery vo v</w:t>
      </w:r>
      <w:r w:rsidR="006A45BA">
        <w:rPr>
          <w:rFonts w:cs="Times New Roman"/>
          <w:sz w:val="24"/>
          <w:szCs w:val="24"/>
        </w:rPr>
        <w:t xml:space="preserve">ýške 22 498 tis. eur pre </w:t>
      </w:r>
      <w:r w:rsidRPr="004A5951">
        <w:rPr>
          <w:rFonts w:cs="Times New Roman"/>
          <w:sz w:val="24"/>
          <w:szCs w:val="24"/>
        </w:rPr>
        <w:t>Kúpele Sliač,</w:t>
      </w:r>
      <w:r w:rsidR="00D65994">
        <w:rPr>
          <w:rFonts w:cs="Times New Roman"/>
          <w:sz w:val="24"/>
          <w:szCs w:val="24"/>
        </w:rPr>
        <w:t xml:space="preserve"> a. s.,</w:t>
      </w:r>
      <w:r w:rsidRPr="004A5951">
        <w:rPr>
          <w:rFonts w:cs="Times New Roman"/>
          <w:sz w:val="24"/>
          <w:szCs w:val="24"/>
        </w:rPr>
        <w:t xml:space="preserve"> spoločnosť Zvolenská teplárenská</w:t>
      </w:r>
      <w:r w:rsidR="00D65994">
        <w:rPr>
          <w:rFonts w:cs="Times New Roman"/>
          <w:sz w:val="24"/>
          <w:szCs w:val="24"/>
        </w:rPr>
        <w:t>, a. s.</w:t>
      </w:r>
      <w:r w:rsidRPr="004A5951">
        <w:rPr>
          <w:rFonts w:cs="Times New Roman"/>
          <w:sz w:val="24"/>
          <w:szCs w:val="24"/>
        </w:rPr>
        <w:t xml:space="preserve"> a BAT a.</w:t>
      </w:r>
      <w:r w:rsidR="00D65994">
        <w:rPr>
          <w:rFonts w:cs="Times New Roman"/>
          <w:sz w:val="24"/>
          <w:szCs w:val="24"/>
        </w:rPr>
        <w:t xml:space="preserve"> </w:t>
      </w:r>
      <w:r w:rsidRPr="004A5951">
        <w:rPr>
          <w:rFonts w:cs="Times New Roman"/>
          <w:sz w:val="24"/>
          <w:szCs w:val="24"/>
        </w:rPr>
        <w:t>s., ktoré bolo čiastočne kompenzované preklasifikovaním vkladu do základného imania zo ŠFA na prijatý kapitálový transfer vo výške 20 000 tis. eur a tiež nárastom pohľadávky za poskytnutú pôžičku Kúpeľom Sliač</w:t>
      </w:r>
      <w:r w:rsidR="00D65994">
        <w:rPr>
          <w:rFonts w:cs="Times New Roman"/>
          <w:sz w:val="24"/>
          <w:szCs w:val="24"/>
        </w:rPr>
        <w:t>, a. s</w:t>
      </w:r>
      <w:r w:rsidRPr="004A5951">
        <w:rPr>
          <w:rFonts w:cs="Times New Roman"/>
          <w:sz w:val="24"/>
          <w:szCs w:val="24"/>
        </w:rPr>
        <w:t xml:space="preserve">. Saldo negatívne ovplyvnil aj nárast záväzkov z prijatých preddavkov za predaj bytov. </w:t>
      </w:r>
    </w:p>
    <w:p w14:paraId="1882E108" w14:textId="07CAD29C" w:rsidR="000D0C9C" w:rsidRDefault="00CB3C45" w:rsidP="000D0C9C">
      <w:pPr>
        <w:spacing w:before="120" w:after="0" w:line="240" w:lineRule="auto"/>
        <w:rPr>
          <w:rFonts w:cs="Times New Roman"/>
          <w:sz w:val="24"/>
          <w:szCs w:val="24"/>
        </w:rPr>
      </w:pPr>
      <w:r w:rsidRPr="004A5951">
        <w:rPr>
          <w:b/>
          <w:sz w:val="24"/>
          <w:szCs w:val="24"/>
        </w:rPr>
        <w:t>Zdravotnícke zariadenia v ústrednej správe</w:t>
      </w:r>
      <w:r w:rsidRPr="004A5951">
        <w:rPr>
          <w:sz w:val="24"/>
          <w:szCs w:val="24"/>
        </w:rPr>
        <w:t xml:space="preserve"> dosiahli hotovostný schodok na úrovni 30 937 tis. eur, čo bolo takmer 100 % rozpočtovanej hodnoty (30 958 tis. eur). Negatívny vplyv predstavoval nárast bežných aj kapitálových výdavkov spolu o 115 512 tis. eur viac ako sa predpokladalo a zároveň pozitívny vplyv mali vyššie príjmy o 141 877 tis. eur viac </w:t>
      </w:r>
      <w:r w:rsidR="00E16EAF">
        <w:rPr>
          <w:sz w:val="24"/>
          <w:szCs w:val="24"/>
        </w:rPr>
        <w:t>v kategórii granty a transfery</w:t>
      </w:r>
      <w:r w:rsidRPr="004A5951">
        <w:rPr>
          <w:sz w:val="24"/>
          <w:szCs w:val="24"/>
        </w:rPr>
        <w:t xml:space="preserve">. Ministerstvo zdravotníctva SR priebežne uvoľňovalo finančné prostriedky formou transferu podľa potrieb zdravotníckych zariadení najmä v súvislosti so zvýšenými výdavkami na mzdy, tovary a služby a na kapitálové výdavky súvisiace s riešením </w:t>
      </w:r>
      <w:proofErr w:type="spellStart"/>
      <w:r w:rsidRPr="004A5951">
        <w:rPr>
          <w:sz w:val="24"/>
          <w:szCs w:val="24"/>
        </w:rPr>
        <w:t>protipandemických</w:t>
      </w:r>
      <w:proofErr w:type="spellEnd"/>
      <w:r w:rsidRPr="004A5951">
        <w:rPr>
          <w:sz w:val="24"/>
          <w:szCs w:val="24"/>
        </w:rPr>
        <w:t xml:space="preserve"> opatrení.</w:t>
      </w:r>
    </w:p>
    <w:p w14:paraId="28189D9B" w14:textId="00B00D02" w:rsidR="00CB3C45" w:rsidRPr="000D0C9C" w:rsidRDefault="00CB3C45" w:rsidP="000D0C9C">
      <w:pPr>
        <w:spacing w:before="120" w:after="0" w:line="240" w:lineRule="auto"/>
        <w:rPr>
          <w:rFonts w:cs="Times New Roman"/>
          <w:sz w:val="24"/>
          <w:szCs w:val="24"/>
        </w:rPr>
      </w:pPr>
      <w:r w:rsidRPr="004A5951">
        <w:rPr>
          <w:sz w:val="24"/>
          <w:szCs w:val="24"/>
        </w:rPr>
        <w:t xml:space="preserve">V metodike ESA však zdravotnícke zariadenia dosiahli schodok vo výške 42 918 tis. eur a rozpočtovaný bol schodok vo výške 43 558 tis. eur. Hotovostný schodok bol zvýšený </w:t>
      </w:r>
      <w:proofErr w:type="spellStart"/>
      <w:r w:rsidRPr="004A5951">
        <w:rPr>
          <w:sz w:val="24"/>
          <w:szCs w:val="24"/>
        </w:rPr>
        <w:t>akrualizáciou</w:t>
      </w:r>
      <w:proofErr w:type="spellEnd"/>
      <w:r w:rsidRPr="004A5951">
        <w:rPr>
          <w:sz w:val="24"/>
          <w:szCs w:val="24"/>
        </w:rPr>
        <w:t xml:space="preserve"> pohľadávok a záväzkov, ktorá je v prípade zdravotníckych zariadení významnejšia ako pri iných subjektoch verejnej správy. Najväčší vplyv na zhoršenie hospodárenia oproti hotovostnému schodku predstavoval nárast celkových záväzkov o</w:t>
      </w:r>
      <w:r w:rsidR="00E53B12">
        <w:rPr>
          <w:sz w:val="24"/>
          <w:szCs w:val="24"/>
        </w:rPr>
        <w:t xml:space="preserve"> 24 </w:t>
      </w:r>
      <w:r w:rsidRPr="004A5951">
        <w:rPr>
          <w:sz w:val="24"/>
          <w:szCs w:val="24"/>
        </w:rPr>
        <w:t>800 tis. eur. V príspevkových organizáciách, ktoré tvoria najväčšiu skupinu zdravotníckych zariadení z pohľadu právnej formy, došlo medziročne k nárastu záväzkov o 30 584 tis. eur. Na jednej strane došlo k nárastu záväzkov voči dodávateľom o 74 803 tis. eur, na druhej strane z dôvodu oddlžovania došlo k poklesu záväzkov za poistné odvody voči Sociálnej poisťovni o 50 584 tis. eur.</w:t>
      </w:r>
    </w:p>
    <w:p w14:paraId="4D0B3091" w14:textId="195314BD" w:rsidR="006E0B6D" w:rsidRDefault="00CB3C45" w:rsidP="004A5951">
      <w:pPr>
        <w:spacing w:after="0" w:line="240" w:lineRule="auto"/>
        <w:rPr>
          <w:sz w:val="24"/>
          <w:szCs w:val="24"/>
        </w:rPr>
      </w:pPr>
      <w:r w:rsidRPr="004A5951">
        <w:rPr>
          <w:sz w:val="24"/>
          <w:szCs w:val="24"/>
        </w:rPr>
        <w:t xml:space="preserve">V podnikateľských subjektov došlo v roku 2020 k poklesu celkových záväzkov o 5 972 tis. eur, z toho voči dodávateľom o 5 377 tis. eur. Negatívny vplyv na hospodárenie mala imputácia </w:t>
      </w:r>
      <w:proofErr w:type="spellStart"/>
      <w:r w:rsidRPr="004A5951">
        <w:rPr>
          <w:sz w:val="24"/>
          <w:szCs w:val="24"/>
        </w:rPr>
        <w:t>novopostúpených</w:t>
      </w:r>
      <w:proofErr w:type="spellEnd"/>
      <w:r w:rsidRPr="004A5951">
        <w:rPr>
          <w:sz w:val="24"/>
          <w:szCs w:val="24"/>
        </w:rPr>
        <w:t xml:space="preserve"> záväzkov na iného veriteľa (tzv. </w:t>
      </w:r>
      <w:proofErr w:type="spellStart"/>
      <w:r w:rsidRPr="004A5951">
        <w:rPr>
          <w:sz w:val="24"/>
          <w:szCs w:val="24"/>
        </w:rPr>
        <w:t>doakrualizácia</w:t>
      </w:r>
      <w:proofErr w:type="spellEnd"/>
      <w:r w:rsidRPr="004A5951">
        <w:rPr>
          <w:sz w:val="24"/>
          <w:szCs w:val="24"/>
        </w:rPr>
        <w:t>) vrátane časového rozlíšenia úrokov vyplývajúcich z týchto záväzkov o 19 763 tis. eur a imputácia obstarania kapitálových aktív prostredníctvom investičného dodávateľské</w:t>
      </w:r>
      <w:r w:rsidR="006E0B6D">
        <w:rPr>
          <w:sz w:val="24"/>
          <w:szCs w:val="24"/>
        </w:rPr>
        <w:t>ho úveru v sume 4 3</w:t>
      </w:r>
      <w:r w:rsidR="00975B99">
        <w:rPr>
          <w:sz w:val="24"/>
          <w:szCs w:val="24"/>
        </w:rPr>
        <w:t>3</w:t>
      </w:r>
      <w:r w:rsidR="006E0B6D">
        <w:rPr>
          <w:sz w:val="24"/>
          <w:szCs w:val="24"/>
        </w:rPr>
        <w:t>2 tis. eur.</w:t>
      </w:r>
    </w:p>
    <w:p w14:paraId="7E90B672" w14:textId="234F5168" w:rsidR="000D0C9C" w:rsidRDefault="00CB3C45" w:rsidP="000D0C9C">
      <w:pPr>
        <w:spacing w:before="120" w:after="0" w:line="240" w:lineRule="auto"/>
        <w:rPr>
          <w:sz w:val="24"/>
          <w:szCs w:val="24"/>
        </w:rPr>
      </w:pPr>
      <w:r w:rsidRPr="004A5951">
        <w:rPr>
          <w:b/>
          <w:sz w:val="24"/>
          <w:szCs w:val="24"/>
        </w:rPr>
        <w:t>Príspevkové organizácie ústrednej správy</w:t>
      </w:r>
      <w:r w:rsidRPr="004A5951">
        <w:rPr>
          <w:sz w:val="24"/>
          <w:szCs w:val="24"/>
        </w:rPr>
        <w:t xml:space="preserve"> dosiahli </w:t>
      </w:r>
      <w:r w:rsidRPr="004A5951">
        <w:rPr>
          <w:rFonts w:eastAsia="Times New Roman" w:cs="Times New Roman"/>
          <w:sz w:val="24"/>
          <w:szCs w:val="24"/>
          <w:lang w:eastAsia="sk-SK"/>
        </w:rPr>
        <w:t xml:space="preserve">ESA prebytok vo výške 34 154 tis. eur, podstatnou mierou k tomu prispel </w:t>
      </w:r>
      <w:r w:rsidRPr="004A5951">
        <w:rPr>
          <w:sz w:val="24"/>
          <w:szCs w:val="24"/>
        </w:rPr>
        <w:t>hotovostný prebytok vo výške 35 036 tis. eur, čo predstavuje zlepšenie o 40 898 tis. eur oproti rozpočtu. Na zlepšenie hospodárenia oproti rozpočtu vplývali nižšie výdavky na tovary a služby o 105 771 tis. eur, nižšie výdavky na mzdy o 60 753 tis. eur, nižšie výdavky na poistnom o 24 518 tis. eur, nižšie výdavky na obstarávanie kapitálových aktív o 15 602 tis. eur a naopak tieto boli čiastočne eliminované vyššími výdavkami oproti rozpočtu na položke bežné transfery vo výške 29 519 tis. eur. Pozitívny vplyv nižších výdavkov čiastočne eliminovali aj nižšie príjmy a to hlavne nižší objem prijatých grantov a transferov ako predpokladal rozpočet o 135 160 tis. eur.</w:t>
      </w:r>
    </w:p>
    <w:p w14:paraId="654B3E92" w14:textId="77777777" w:rsidR="000D0C9C" w:rsidRDefault="00CB3C45" w:rsidP="000D0C9C">
      <w:pPr>
        <w:spacing w:before="120" w:after="0" w:line="240" w:lineRule="auto"/>
        <w:rPr>
          <w:sz w:val="24"/>
          <w:szCs w:val="24"/>
        </w:rPr>
      </w:pPr>
      <w:r w:rsidRPr="004A5951">
        <w:rPr>
          <w:b/>
          <w:sz w:val="24"/>
          <w:szCs w:val="24"/>
        </w:rPr>
        <w:t>Verejné vysoké školy</w:t>
      </w:r>
      <w:r w:rsidRPr="004A5951">
        <w:rPr>
          <w:sz w:val="24"/>
          <w:szCs w:val="24"/>
        </w:rPr>
        <w:t xml:space="preserve"> hospodárili v roku 2020 s hotovostným prebytkom 106 741 tis. eur. Lepšie hospodárenie oproti </w:t>
      </w:r>
      <w:r w:rsidRPr="004A5951">
        <w:rPr>
          <w:rFonts w:eastAsia="Times New Roman" w:cs="Times New Roman"/>
          <w:sz w:val="24"/>
          <w:szCs w:val="24"/>
          <w:lang w:eastAsia="sk-SK"/>
        </w:rPr>
        <w:t xml:space="preserve">rozpočtu o 154 024 tis. eur bolo spôsobené na strane príjmov vyššími grantmi a transfermi o 69 702 tis. eur z dôvodu vyššieho </w:t>
      </w:r>
      <w:r w:rsidRPr="004A5951">
        <w:rPr>
          <w:rFonts w:cs="Times New Roman"/>
          <w:sz w:val="24"/>
          <w:szCs w:val="24"/>
        </w:rPr>
        <w:t xml:space="preserve">čerpania prostriedkov štátneho rozpočtu určeného na krytie dôsledkov </w:t>
      </w:r>
      <w:proofErr w:type="spellStart"/>
      <w:r w:rsidRPr="004A5951">
        <w:rPr>
          <w:rFonts w:cs="Times New Roman"/>
          <w:sz w:val="24"/>
          <w:szCs w:val="24"/>
        </w:rPr>
        <w:t>pandemickej</w:t>
      </w:r>
      <w:proofErr w:type="spellEnd"/>
      <w:r w:rsidRPr="004A5951">
        <w:rPr>
          <w:rFonts w:cs="Times New Roman"/>
          <w:sz w:val="24"/>
          <w:szCs w:val="24"/>
        </w:rPr>
        <w:t xml:space="preserve"> situácie ako aj prostriedkov určených na rekonštrukcie vysokoškolských študentských domovov. Zároveň vyššie čerpanie bolo zo zdrojov EÚ a spolufinancovania presunutých z minulých rokov. Pozitívny vplyv spôsobený vyšším čerpaním grantov a transferov oproti rozpočtu je čiastočne neutralizovaný nižšími príjmami z administratívnych a iných poplatkov o 35 421 tis. eur. Na strane výdavkov k zlepšeniu hospodárenia vysokých škôl prispelo nižšie čerpanie výdavkov na tovary a služby o 71 716 tis. eur a taktiež na mzdy o 50 083 tis. eur. </w:t>
      </w:r>
      <w:r w:rsidRPr="004A5951">
        <w:rPr>
          <w:rFonts w:eastAsia="Times New Roman" w:cs="Times New Roman"/>
          <w:sz w:val="24"/>
          <w:szCs w:val="24"/>
          <w:lang w:eastAsia="sk-SK"/>
        </w:rPr>
        <w:t>ESA prebytok dosiahol výšku 107 496 tis. eur a v porovnaní s hotovostným prebytkom sa zvýšil vplyvom medziročnej zmeny pohľadávok a záväzkov spolu o 760 tis. eur. Rozdiel oproti rozpočtu však klesol o 2 481 tis. eur, keď novela štátneho rozpočtu počítala s vplyvom medziročnej zmeny pohľadávok a záväzkov spolu o 3 241 tis. eur. </w:t>
      </w:r>
    </w:p>
    <w:p w14:paraId="78D6D9B0" w14:textId="4353A5AD" w:rsidR="00CB3C45" w:rsidRPr="004A5951" w:rsidRDefault="00CB3C45" w:rsidP="000D0C9C">
      <w:pPr>
        <w:spacing w:before="120" w:after="0" w:line="240" w:lineRule="auto"/>
        <w:rPr>
          <w:sz w:val="24"/>
          <w:szCs w:val="24"/>
        </w:rPr>
      </w:pPr>
      <w:r w:rsidRPr="004A5951">
        <w:rPr>
          <w:b/>
          <w:sz w:val="24"/>
          <w:szCs w:val="24"/>
        </w:rPr>
        <w:t>Štátne fondy</w:t>
      </w:r>
      <w:r w:rsidRPr="004A5951">
        <w:rPr>
          <w:sz w:val="24"/>
          <w:szCs w:val="24"/>
        </w:rPr>
        <w:t xml:space="preserve"> v roku 2020 hospodárili s ESA s úhrnným prebytkom 140 513 tis. eur, čo je o 42 849 tis. eur viac oproti </w:t>
      </w:r>
      <w:r w:rsidRPr="004A5951">
        <w:rPr>
          <w:rFonts w:eastAsia="Times New Roman" w:cs="Times New Roman"/>
          <w:sz w:val="24"/>
          <w:szCs w:val="24"/>
          <w:lang w:eastAsia="sk-SK"/>
        </w:rPr>
        <w:t>rozpočtu</w:t>
      </w:r>
      <w:r w:rsidRPr="004A5951">
        <w:rPr>
          <w:sz w:val="24"/>
          <w:szCs w:val="24"/>
        </w:rPr>
        <w:t xml:space="preserve">, ktorý bol na úrovni 97 664 tis. eur. Najväčší vplyv na dosiahnutý výsledok mal </w:t>
      </w:r>
      <w:r w:rsidRPr="004A5951">
        <w:rPr>
          <w:b/>
          <w:sz w:val="24"/>
          <w:szCs w:val="24"/>
        </w:rPr>
        <w:t>Environmentálny fond</w:t>
      </w:r>
      <w:r w:rsidRPr="004A5951">
        <w:rPr>
          <w:sz w:val="24"/>
          <w:szCs w:val="24"/>
        </w:rPr>
        <w:t>, ktorý hospodáril s hotovostným prebytkom 192 203 tis. eur, čo je o 125 570 tis. eur viac v porovnaní s rozpočtom. Pozitívny vplyv na strane príjmov je spôsobený najmä vyššími príjmami z predaja emisných kvót o 79 863 tis. eur. Negatívny vplyv na hospodárenie fondu mali nižšie daňové príjmy za špecifické služby (za</w:t>
      </w:r>
      <w:r w:rsidR="00C148B1">
        <w:rPr>
          <w:sz w:val="24"/>
          <w:szCs w:val="24"/>
        </w:rPr>
        <w:t> </w:t>
      </w:r>
      <w:r w:rsidRPr="004A5951">
        <w:rPr>
          <w:sz w:val="24"/>
          <w:szCs w:val="24"/>
        </w:rPr>
        <w:t>ukladanie komunálnych odpadov) o 7 809 tis. eur. Na strane výdavkov je pozitívny vplyv spôsobený nižšími bežnými a kapitálovými transfermi prevažne obciam o 53 518 tis. eur.</w:t>
      </w:r>
    </w:p>
    <w:p w14:paraId="602C1E05" w14:textId="77777777" w:rsidR="000D0C9C" w:rsidRDefault="00CB3C45" w:rsidP="00AF598C">
      <w:pPr>
        <w:spacing w:before="120" w:after="0" w:line="240" w:lineRule="auto"/>
        <w:rPr>
          <w:rFonts w:eastAsia="Times New Roman" w:cs="Times New Roman"/>
          <w:sz w:val="24"/>
          <w:szCs w:val="24"/>
          <w:lang w:eastAsia="sk-SK"/>
        </w:rPr>
      </w:pPr>
      <w:r w:rsidRPr="004A5951">
        <w:rPr>
          <w:sz w:val="24"/>
          <w:szCs w:val="24"/>
        </w:rPr>
        <w:t xml:space="preserve">ESA prebytok fondu dosiahol výšku 101 595 tis. eur, čo je už len o 35 346 tis. eur lepší hospodársky výsledok oproti rozpočtu. Zmena je spôsobená tým, že podľa metodiky ESA 2010 sú príjmom len tie príjmy z predaja emisií, ktoré sú spotrebované v danom roku v ekonomike. V roku 2020 bol tento príjem vo výške 141 093 tis. eur, čo je o 100 733 tis. eur menej ako bol celkový predaj emisných kvót. </w:t>
      </w:r>
      <w:r w:rsidRPr="004A5951">
        <w:rPr>
          <w:rFonts w:eastAsia="Times New Roman" w:cs="Times New Roman"/>
          <w:sz w:val="24"/>
          <w:szCs w:val="24"/>
          <w:lang w:eastAsia="sk-SK"/>
        </w:rPr>
        <w:t>Pozitívnym vplyvom na hospodárenie je medziročná zmena pohľadávok a záväzkov spolu o 10 125 tis. eur.</w:t>
      </w:r>
    </w:p>
    <w:p w14:paraId="742B9277" w14:textId="74AE0F1F" w:rsidR="007504F3" w:rsidRDefault="00CB3C45" w:rsidP="000D0C9C">
      <w:pPr>
        <w:spacing w:before="120" w:after="0" w:line="240" w:lineRule="auto"/>
        <w:rPr>
          <w:rFonts w:cs="Times New Roman"/>
          <w:color w:val="000000" w:themeColor="text1"/>
          <w:sz w:val="24"/>
          <w:szCs w:val="24"/>
        </w:rPr>
      </w:pPr>
      <w:r w:rsidRPr="004A5951">
        <w:rPr>
          <w:rFonts w:eastAsia="Times New Roman" w:cs="Times New Roman"/>
          <w:sz w:val="24"/>
          <w:szCs w:val="24"/>
          <w:lang w:eastAsia="sk-SK"/>
        </w:rPr>
        <w:t>V roku 2020 došlo k lepšiemu hospodáreniu oproti rozpočtu aj u </w:t>
      </w:r>
      <w:r w:rsidRPr="004A5951">
        <w:rPr>
          <w:rFonts w:eastAsia="Times New Roman" w:cs="Times New Roman"/>
          <w:b/>
          <w:sz w:val="24"/>
          <w:szCs w:val="24"/>
          <w:lang w:eastAsia="sk-SK"/>
        </w:rPr>
        <w:t>Národného jadrového fondu</w:t>
      </w:r>
      <w:r w:rsidRPr="004A5951">
        <w:rPr>
          <w:rFonts w:eastAsia="Times New Roman" w:cs="Times New Roman"/>
          <w:sz w:val="24"/>
          <w:szCs w:val="24"/>
          <w:lang w:eastAsia="sk-SK"/>
        </w:rPr>
        <w:t xml:space="preserve">, ktorý hospodáril s hotovostným prebytkom 109 129 tis. eur, čo je o 7 499 tis. eur lepšie hospodárenie oproti rozpočtu. Na strane príjmov negatívne vplýval na celkový hospodársky výsledok nižší transfer z Ministerstva hospodárska Slovenskej republiky </w:t>
      </w:r>
      <w:r w:rsidRPr="004A5951">
        <w:rPr>
          <w:rFonts w:cs="Times New Roman"/>
          <w:color w:val="000000" w:themeColor="text1"/>
          <w:sz w:val="24"/>
          <w:szCs w:val="24"/>
        </w:rPr>
        <w:t xml:space="preserve">z odvodu od prevádzkovateľov prenosovej a distribučných sústav v sume 3 030 tis. eur. </w:t>
      </w:r>
      <w:r w:rsidRPr="004A5951">
        <w:rPr>
          <w:rFonts w:cs="Times New Roman"/>
          <w:sz w:val="24"/>
          <w:szCs w:val="24"/>
        </w:rPr>
        <w:t xml:space="preserve">Na strane výdavkov k zlepšeniu hospodárenia </w:t>
      </w:r>
      <w:r w:rsidRPr="004A5951">
        <w:rPr>
          <w:rFonts w:cs="Times New Roman"/>
          <w:color w:val="000000" w:themeColor="text1"/>
          <w:sz w:val="24"/>
          <w:szCs w:val="24"/>
        </w:rPr>
        <w:t>prispeli nižšie celkové výdavky oproti rozpočtu o 10 527 tis. eur. Je to kvôli nižším bežným a kapitálovým transferom z dôvodu nižšieho plnenia naplánovaných výkonov u spoločnosti JAVYS, a.</w:t>
      </w:r>
      <w:r w:rsidR="00C148B1">
        <w:rPr>
          <w:rFonts w:cs="Times New Roman"/>
          <w:color w:val="000000" w:themeColor="text1"/>
          <w:sz w:val="24"/>
          <w:szCs w:val="24"/>
        </w:rPr>
        <w:t> </w:t>
      </w:r>
      <w:r w:rsidRPr="004A5951">
        <w:rPr>
          <w:rFonts w:cs="Times New Roman"/>
          <w:color w:val="000000" w:themeColor="text1"/>
          <w:sz w:val="24"/>
          <w:szCs w:val="24"/>
        </w:rPr>
        <w:t>s. v sume 1</w:t>
      </w:r>
      <w:r w:rsidR="007504F3">
        <w:rPr>
          <w:rFonts w:cs="Times New Roman"/>
          <w:color w:val="000000" w:themeColor="text1"/>
          <w:sz w:val="24"/>
          <w:szCs w:val="24"/>
        </w:rPr>
        <w:t>0 357 tis. eur oproti rozpočtu.</w:t>
      </w:r>
    </w:p>
    <w:p w14:paraId="56EA107A" w14:textId="5AE28015" w:rsidR="000D0C9C" w:rsidRDefault="00CB3C45" w:rsidP="000D0C9C">
      <w:pPr>
        <w:spacing w:before="120" w:after="0" w:line="240" w:lineRule="auto"/>
        <w:rPr>
          <w:rFonts w:eastAsia="Times New Roman" w:cs="Times New Roman"/>
          <w:sz w:val="24"/>
          <w:szCs w:val="24"/>
          <w:lang w:eastAsia="sk-SK"/>
        </w:rPr>
      </w:pPr>
      <w:r w:rsidRPr="004A5951">
        <w:rPr>
          <w:rFonts w:cs="Times New Roman"/>
          <w:color w:val="000000" w:themeColor="text1"/>
          <w:sz w:val="24"/>
          <w:szCs w:val="24"/>
        </w:rPr>
        <w:t xml:space="preserve">Na základe zmeny </w:t>
      </w:r>
      <w:r w:rsidRPr="004A5951">
        <w:rPr>
          <w:sz w:val="24"/>
          <w:szCs w:val="24"/>
        </w:rPr>
        <w:t>metodiky zaznamenávania príspevkov od prevádzkovateľov jadrových zariadení, kedy sa do príjmov NJF zaznamenáva len 1 % z príspevkov od prevádzkovateľov jadrových zariadení a taktiež 1 % z úrokov, ktoré jadrový fond získava za správu naakumulovaných prostriedkov prevádzkovateľov jadrových zariadení, a zvyšných 99 % z</w:t>
      </w:r>
      <w:r w:rsidR="00C148B1">
        <w:rPr>
          <w:sz w:val="24"/>
          <w:szCs w:val="24"/>
        </w:rPr>
        <w:t> </w:t>
      </w:r>
      <w:r w:rsidRPr="004A5951">
        <w:rPr>
          <w:sz w:val="24"/>
          <w:szCs w:val="24"/>
        </w:rPr>
        <w:t xml:space="preserve">príspevkov sa zaznamenáva ako záväzok voči týmto prevádzkovateľom určený na budúce vyraďovanie jadrových zariadení, dochádza k tomu, že jadrový fond vylúčil sumu 111 033 tis. eur z príjmov a hospodáril s ESA schodkom 1 507 tis. eur. S touto metodickom úpravou počítal aj rozpočet. </w:t>
      </w:r>
      <w:r w:rsidRPr="004A5951">
        <w:rPr>
          <w:rFonts w:eastAsia="Times New Roman" w:cs="Times New Roman"/>
          <w:sz w:val="24"/>
          <w:szCs w:val="24"/>
          <w:lang w:eastAsia="sk-SK"/>
        </w:rPr>
        <w:t>Medziročná zmena pohľadávok a záväzkov spolu o 995 tis. eur prispela, že ESA schodok je nižší o 8 495 tis. eur oproti rozpočtu.</w:t>
      </w:r>
    </w:p>
    <w:p w14:paraId="35AC713B" w14:textId="77777777" w:rsidR="000D0C9C" w:rsidRDefault="00CB3C45" w:rsidP="000D0C9C">
      <w:pPr>
        <w:spacing w:before="120" w:after="0" w:line="240" w:lineRule="auto"/>
        <w:rPr>
          <w:rFonts w:eastAsia="Times New Roman" w:cs="Times New Roman"/>
          <w:sz w:val="24"/>
          <w:szCs w:val="24"/>
          <w:lang w:eastAsia="sk-SK"/>
        </w:rPr>
      </w:pPr>
      <w:r w:rsidRPr="004A5951">
        <w:rPr>
          <w:rFonts w:eastAsia="Times New Roman" w:cs="Times New Roman"/>
          <w:b/>
          <w:sz w:val="24"/>
          <w:szCs w:val="24"/>
          <w:lang w:eastAsia="sk-SK"/>
        </w:rPr>
        <w:t>Štátny fond rozvoja bývania</w:t>
      </w:r>
      <w:r w:rsidRPr="004A5951">
        <w:rPr>
          <w:rFonts w:eastAsia="Times New Roman" w:cs="Times New Roman"/>
          <w:sz w:val="24"/>
          <w:szCs w:val="24"/>
          <w:lang w:eastAsia="sk-SK"/>
        </w:rPr>
        <w:t xml:space="preserve"> hospodáril s hotovostným prebytkom 43 446 tis. eur, čo je o 2 539 tis. eur viac oproti rozpočtu. Najväčším pozitívnym vplyvom na strane príjmov v sume 1 008 tis. eur bol nárast úrokov z úverov. Na strane výdavkov je to najmä pokles prostriedkov vyplatených za tovary a služby v sume 440 tis. eur. ESA prebytok vo výške 40 425 tis. eur sa znížil v porovnaní s hotovostným prebytkom najmä vplyvom </w:t>
      </w:r>
      <w:r w:rsidRPr="004A5951">
        <w:rPr>
          <w:sz w:val="24"/>
          <w:szCs w:val="24"/>
        </w:rPr>
        <w:t>úpravy v súlade s metodikou ESA2010 vo výške 3 384 tis. eur</w:t>
      </w:r>
      <w:r w:rsidRPr="004A5951">
        <w:rPr>
          <w:rFonts w:eastAsia="Times New Roman" w:cs="Times New Roman"/>
          <w:sz w:val="24"/>
          <w:szCs w:val="24"/>
          <w:lang w:eastAsia="sk-SK"/>
        </w:rPr>
        <w:t>. Táto úprava spôsobila, že ŠFRB hospodárilo s nižším ESA prebytkom oproti rozpočtu o 992 tis. eur.</w:t>
      </w:r>
    </w:p>
    <w:p w14:paraId="2739315F" w14:textId="7BB58510" w:rsidR="000D0C9C" w:rsidRDefault="00CB3C45" w:rsidP="000D0C9C">
      <w:pPr>
        <w:spacing w:before="120" w:after="0" w:line="240" w:lineRule="auto"/>
        <w:rPr>
          <w:rFonts w:eastAsia="Times New Roman" w:cs="Times New Roman"/>
          <w:sz w:val="24"/>
          <w:szCs w:val="24"/>
          <w:lang w:eastAsia="sk-SK"/>
        </w:rPr>
      </w:pPr>
      <w:r w:rsidRPr="004A5951">
        <w:rPr>
          <w:b/>
          <w:sz w:val="24"/>
          <w:szCs w:val="24"/>
        </w:rPr>
        <w:t xml:space="preserve">Ostatné subjekty ústrednej správy </w:t>
      </w:r>
      <w:r w:rsidRPr="004A5951">
        <w:rPr>
          <w:sz w:val="24"/>
          <w:szCs w:val="24"/>
        </w:rPr>
        <w:t>(v tom Rozhlas a televízia Slovenska, Slovenský pozemkový fond, Agentúra pre núdzové zásoby ropy a ropných výrobkov, neziskové organizácie štátu a ostatné podniky ústrednej správy)</w:t>
      </w:r>
      <w:r w:rsidRPr="004A5951">
        <w:rPr>
          <w:b/>
          <w:sz w:val="24"/>
          <w:szCs w:val="24"/>
        </w:rPr>
        <w:t xml:space="preserve"> </w:t>
      </w:r>
      <w:r w:rsidRPr="004A5951">
        <w:rPr>
          <w:sz w:val="24"/>
          <w:szCs w:val="24"/>
        </w:rPr>
        <w:t xml:space="preserve">spolu dosiahli prebytok 7 743 tis. eur a zhoršili tak svoje hospodárenie o 34 800 tis. eur oproti rozpočtu </w:t>
      </w:r>
      <w:r w:rsidRPr="004A5951">
        <w:rPr>
          <w:rFonts w:eastAsia="Times New Roman"/>
          <w:sz w:val="24"/>
          <w:szCs w:val="24"/>
        </w:rPr>
        <w:t>na rok 2020</w:t>
      </w:r>
      <w:r w:rsidRPr="004A5951">
        <w:rPr>
          <w:sz w:val="24"/>
          <w:szCs w:val="24"/>
        </w:rPr>
        <w:t>. N</w:t>
      </w:r>
      <w:r w:rsidRPr="004A5951">
        <w:rPr>
          <w:rFonts w:cs="Times New Roman"/>
          <w:sz w:val="24"/>
          <w:szCs w:val="24"/>
        </w:rPr>
        <w:t xml:space="preserve">a tomto výsledku mala výrazný podiel spoločnosť </w:t>
      </w:r>
      <w:proofErr w:type="spellStart"/>
      <w:r w:rsidRPr="004A5951">
        <w:rPr>
          <w:rFonts w:cs="Times New Roman"/>
          <w:sz w:val="24"/>
          <w:szCs w:val="24"/>
          <w:u w:val="single"/>
        </w:rPr>
        <w:t>Debitum</w:t>
      </w:r>
      <w:proofErr w:type="spellEnd"/>
      <w:r w:rsidRPr="004A5951">
        <w:rPr>
          <w:rFonts w:cs="Times New Roman"/>
          <w:sz w:val="24"/>
          <w:szCs w:val="24"/>
          <w:u w:val="single"/>
        </w:rPr>
        <w:t>, a. s.</w:t>
      </w:r>
      <w:r w:rsidRPr="004A5951">
        <w:rPr>
          <w:rFonts w:cs="Times New Roman"/>
          <w:b/>
          <w:sz w:val="24"/>
          <w:szCs w:val="24"/>
        </w:rPr>
        <w:t xml:space="preserve"> </w:t>
      </w:r>
      <w:r w:rsidRPr="004A5951">
        <w:rPr>
          <w:rFonts w:cs="Times New Roman"/>
          <w:sz w:val="24"/>
          <w:szCs w:val="24"/>
        </w:rPr>
        <w:t>svojím</w:t>
      </w:r>
      <w:r w:rsidRPr="004A5951">
        <w:rPr>
          <w:rFonts w:cs="Times New Roman"/>
          <w:b/>
          <w:sz w:val="24"/>
          <w:szCs w:val="24"/>
        </w:rPr>
        <w:t xml:space="preserve"> </w:t>
      </w:r>
      <w:r w:rsidRPr="004A5951">
        <w:rPr>
          <w:rFonts w:cs="Times New Roman"/>
          <w:sz w:val="24"/>
          <w:szCs w:val="24"/>
        </w:rPr>
        <w:t>schodkom 109 337 tis. eur, ktorý dosiahla v</w:t>
      </w:r>
      <w:r w:rsidR="00C148B1">
        <w:rPr>
          <w:rFonts w:cs="Times New Roman"/>
          <w:sz w:val="24"/>
          <w:szCs w:val="24"/>
        </w:rPr>
        <w:t> </w:t>
      </w:r>
      <w:r w:rsidRPr="004A5951">
        <w:rPr>
          <w:rFonts w:cs="Times New Roman"/>
          <w:sz w:val="24"/>
          <w:szCs w:val="24"/>
        </w:rPr>
        <w:t>dôsledku odkúpenia pohľadávok Sociálnej poisťovne voči zdravotníckym zariadeniam. Postúpené pohľadávky boli v roku 2020 zároveň odpustené v </w:t>
      </w:r>
      <w:r w:rsidR="006A45BA">
        <w:rPr>
          <w:rFonts w:cs="Times New Roman"/>
          <w:sz w:val="24"/>
          <w:szCs w:val="24"/>
        </w:rPr>
        <w:t xml:space="preserve">súlade s „Koncepciou oddlženia </w:t>
      </w:r>
      <w:r w:rsidRPr="004A5951">
        <w:rPr>
          <w:rFonts w:cs="Times New Roman"/>
          <w:sz w:val="24"/>
          <w:szCs w:val="24"/>
        </w:rPr>
        <w:t xml:space="preserve">zdravotníckych zariadení“ z roku 2017. Tento negatívny vplyv bol čiastočne kompenzovaný zlepšením hospodárenia štátnych neziskových </w:t>
      </w:r>
      <w:r w:rsidR="006A45BA">
        <w:rPr>
          <w:rFonts w:cs="Times New Roman"/>
          <w:sz w:val="24"/>
          <w:szCs w:val="24"/>
        </w:rPr>
        <w:t xml:space="preserve">organizácií o 32 316 tis. eur, </w:t>
      </w:r>
      <w:r w:rsidRPr="004A5951">
        <w:rPr>
          <w:rFonts w:cs="Times New Roman"/>
          <w:sz w:val="24"/>
          <w:szCs w:val="24"/>
        </w:rPr>
        <w:t xml:space="preserve">Rozhlasu a televízie Slovenska o 25 869 tis. eur a Slovenského pozemkového fondu o 12 201 tis. eur oproti rozpočtu. Na lepšie hospodárenie </w:t>
      </w:r>
      <w:r w:rsidRPr="004A5951">
        <w:rPr>
          <w:rFonts w:cs="Times New Roman"/>
          <w:sz w:val="24"/>
          <w:szCs w:val="24"/>
          <w:u w:val="single"/>
        </w:rPr>
        <w:t>štátnych neziskových organizácií</w:t>
      </w:r>
      <w:r w:rsidRPr="004A5951">
        <w:rPr>
          <w:rFonts w:cs="Times New Roman"/>
          <w:sz w:val="24"/>
          <w:szCs w:val="24"/>
        </w:rPr>
        <w:t xml:space="preserve"> oproti rozpočtu malo vplyv viacero faktorov.</w:t>
      </w:r>
    </w:p>
    <w:p w14:paraId="4A4A7CBA" w14:textId="46EDC898" w:rsidR="007146C6" w:rsidRPr="007146C6" w:rsidRDefault="00CB3C45" w:rsidP="006F44BE">
      <w:pPr>
        <w:spacing w:after="0" w:line="240" w:lineRule="auto"/>
        <w:rPr>
          <w:rFonts w:eastAsia="Times New Roman" w:cs="Times New Roman"/>
          <w:sz w:val="24"/>
          <w:szCs w:val="24"/>
          <w:lang w:eastAsia="sk-SK"/>
        </w:rPr>
      </w:pPr>
      <w:r w:rsidRPr="004A5951">
        <w:rPr>
          <w:rFonts w:cs="Times New Roman"/>
          <w:sz w:val="24"/>
          <w:szCs w:val="24"/>
        </w:rPr>
        <w:t xml:space="preserve">Najväčší vplyv mal </w:t>
      </w:r>
      <w:r w:rsidRPr="007504F3">
        <w:rPr>
          <w:rFonts w:cs="Times New Roman"/>
          <w:sz w:val="24"/>
          <w:szCs w:val="24"/>
          <w:u w:val="single"/>
        </w:rPr>
        <w:t>Fond na podporu športu</w:t>
      </w:r>
      <w:r w:rsidRPr="004A5951">
        <w:rPr>
          <w:rFonts w:cs="Times New Roman"/>
          <w:sz w:val="24"/>
          <w:szCs w:val="24"/>
        </w:rPr>
        <w:t xml:space="preserve">, ktorý získal z MH SR transfer, ktorý nebol zahrnutý v rozpočte, v sume 10 000 tis. eur určených na podporu športovým klubom v čase pandémie. </w:t>
      </w:r>
      <w:r w:rsidRPr="007504F3">
        <w:rPr>
          <w:rFonts w:cs="Times New Roman"/>
          <w:sz w:val="24"/>
          <w:szCs w:val="24"/>
          <w:u w:val="single"/>
        </w:rPr>
        <w:t>Fond na podporu umenia</w:t>
      </w:r>
      <w:r w:rsidRPr="004A5951">
        <w:rPr>
          <w:rFonts w:cs="Times New Roman"/>
          <w:sz w:val="24"/>
          <w:szCs w:val="24"/>
        </w:rPr>
        <w:t xml:space="preserve"> taktiež dostal transfer zo štátneho rozpočtu v sume 9 500 tis. eur určených na pomoc umelcom v čase pandémie, čo rovnako spôsobilo pozitívnejšie hospodárenie oproti rozpočtu. </w:t>
      </w:r>
      <w:r w:rsidRPr="004A5951">
        <w:rPr>
          <w:rFonts w:cs="Times New Roman"/>
          <w:sz w:val="24"/>
          <w:szCs w:val="24"/>
          <w:u w:val="single"/>
        </w:rPr>
        <w:t xml:space="preserve">Rozhlas a televízia Slovenska </w:t>
      </w:r>
      <w:r w:rsidRPr="004A5951">
        <w:rPr>
          <w:rFonts w:cs="Times New Roman"/>
          <w:sz w:val="24"/>
          <w:szCs w:val="24"/>
        </w:rPr>
        <w:t xml:space="preserve">dosiahli ESA schodok 2 844 tis. eur, ktorý je o 25 869 tis. eur nižší oproti rozpočtu. </w:t>
      </w:r>
      <w:r w:rsidRPr="004A5951">
        <w:rPr>
          <w:rFonts w:eastAsia="Times New Roman" w:cs="Times New Roman"/>
          <w:sz w:val="24"/>
          <w:szCs w:val="24"/>
          <w:lang w:eastAsia="sk-SK"/>
        </w:rPr>
        <w:t>Najväčším pozitívnym vplyvom na strane príjmov v sume 2 427 tis. eur bol nárast transferov zo štátneho rozpočtu a taktiež nárast daňových príjmov od koncesionárov v sume 2 381 tis. eur. Na strane výdavkov bolo hospodárenie oproti rozpočtu ovplyvnené najmä poklesom úhrad za tovary a služby o 15 465 tis. eur z dôvodu, že v roku 2020 sa v súvislosti s pandémiou rušili alebo presúvali do nasledujúcich rokov výroby nových projektov, čo spôsobilo najväčšiu úsporu v platbách extern</w:t>
      </w:r>
      <w:r w:rsidR="007146C6">
        <w:rPr>
          <w:rFonts w:eastAsia="Times New Roman" w:cs="Times New Roman"/>
          <w:sz w:val="24"/>
          <w:szCs w:val="24"/>
          <w:lang w:eastAsia="sk-SK"/>
        </w:rPr>
        <w:t>ým dodávateľom. Taktiež došlo k</w:t>
      </w:r>
      <w:r w:rsidR="00C148B1">
        <w:rPr>
          <w:rFonts w:eastAsia="Times New Roman" w:cs="Times New Roman"/>
          <w:sz w:val="24"/>
          <w:szCs w:val="24"/>
          <w:lang w:eastAsia="sk-SK"/>
        </w:rPr>
        <w:t> </w:t>
      </w:r>
      <w:r w:rsidRPr="004A5951">
        <w:rPr>
          <w:rFonts w:eastAsia="Times New Roman" w:cs="Times New Roman"/>
          <w:sz w:val="24"/>
          <w:szCs w:val="24"/>
          <w:lang w:eastAsia="sk-SK"/>
        </w:rPr>
        <w:t>zníženiu výdavkov na obstaranie kapitálových aktív v hodnote 2 828 tis. eur, kde došlo k</w:t>
      </w:r>
      <w:r w:rsidR="00C148B1">
        <w:rPr>
          <w:rFonts w:eastAsia="Times New Roman" w:cs="Times New Roman"/>
          <w:sz w:val="24"/>
          <w:szCs w:val="24"/>
          <w:lang w:eastAsia="sk-SK"/>
        </w:rPr>
        <w:t> </w:t>
      </w:r>
      <w:r w:rsidRPr="004A5951">
        <w:rPr>
          <w:rFonts w:eastAsia="Times New Roman" w:cs="Times New Roman"/>
          <w:sz w:val="24"/>
          <w:szCs w:val="24"/>
          <w:lang w:eastAsia="sk-SK"/>
        </w:rPr>
        <w:t xml:space="preserve">úspore na rekonštrukciách budov a nákupe novej techniky. </w:t>
      </w:r>
      <w:r w:rsidRPr="004A5951">
        <w:rPr>
          <w:rFonts w:eastAsia="Times New Roman" w:cs="Times New Roman"/>
          <w:sz w:val="24"/>
          <w:szCs w:val="24"/>
          <w:u w:val="single"/>
          <w:lang w:eastAsia="sk-SK"/>
        </w:rPr>
        <w:t>Slovenský pozemkový fond</w:t>
      </w:r>
      <w:r w:rsidRPr="004A5951">
        <w:rPr>
          <w:rFonts w:eastAsia="Times New Roman" w:cs="Times New Roman"/>
          <w:sz w:val="24"/>
          <w:szCs w:val="24"/>
          <w:lang w:eastAsia="sk-SK"/>
        </w:rPr>
        <w:t xml:space="preserve"> hospodáril s ESA prebytkom 15 750 tis. eur, čo j</w:t>
      </w:r>
      <w:r w:rsidR="007146C6">
        <w:rPr>
          <w:rFonts w:eastAsia="Times New Roman" w:cs="Times New Roman"/>
          <w:sz w:val="24"/>
          <w:szCs w:val="24"/>
          <w:lang w:eastAsia="sk-SK"/>
        </w:rPr>
        <w:t xml:space="preserve">e o 12 201 tis. eur viac oproti </w:t>
      </w:r>
      <w:r w:rsidRPr="004A5951">
        <w:rPr>
          <w:rFonts w:eastAsia="Times New Roman" w:cs="Times New Roman"/>
          <w:sz w:val="24"/>
          <w:szCs w:val="24"/>
          <w:lang w:eastAsia="sk-SK"/>
        </w:rPr>
        <w:t>rozpočtu. Pozitívne vplývali najmä vyššie príjmy z predaja a prenájmu pozemkov o 5 780 tis. eur, nižšie výdavky za tovary a služby o 3 093 </w:t>
      </w:r>
      <w:r w:rsidRPr="007146C6">
        <w:rPr>
          <w:rFonts w:eastAsia="Times New Roman" w:cs="Times New Roman"/>
          <w:sz w:val="24"/>
          <w:szCs w:val="24"/>
          <w:lang w:eastAsia="sk-SK"/>
        </w:rPr>
        <w:t xml:space="preserve">tis. eur, </w:t>
      </w:r>
      <w:r w:rsidR="007146C6" w:rsidRPr="007146C6">
        <w:rPr>
          <w:rFonts w:eastAsia="Times New Roman" w:cs="Times New Roman"/>
          <w:sz w:val="24"/>
          <w:szCs w:val="24"/>
          <w:lang w:eastAsia="sk-SK"/>
        </w:rPr>
        <w:t xml:space="preserve">nižšie čerpanie výdavkov na nákup pozemkov o 1 133 tis. eur, pokles bežných </w:t>
      </w:r>
      <w:r w:rsidRPr="007146C6">
        <w:rPr>
          <w:rFonts w:eastAsia="Times New Roman" w:cs="Times New Roman"/>
          <w:sz w:val="24"/>
          <w:szCs w:val="24"/>
          <w:lang w:eastAsia="sk-SK"/>
        </w:rPr>
        <w:t>transfer</w:t>
      </w:r>
      <w:r w:rsidR="007146C6" w:rsidRPr="007146C6">
        <w:rPr>
          <w:rFonts w:eastAsia="Times New Roman" w:cs="Times New Roman"/>
          <w:sz w:val="24"/>
          <w:szCs w:val="24"/>
          <w:lang w:eastAsia="sk-SK"/>
        </w:rPr>
        <w:t>ov</w:t>
      </w:r>
      <w:r w:rsidRPr="007146C6">
        <w:rPr>
          <w:rFonts w:eastAsia="Times New Roman" w:cs="Times New Roman"/>
          <w:sz w:val="24"/>
          <w:szCs w:val="24"/>
          <w:lang w:eastAsia="sk-SK"/>
        </w:rPr>
        <w:t xml:space="preserve"> o 1 933 ti</w:t>
      </w:r>
      <w:r w:rsidR="007146C6" w:rsidRPr="007146C6">
        <w:rPr>
          <w:rFonts w:eastAsia="Times New Roman" w:cs="Times New Roman"/>
          <w:sz w:val="24"/>
          <w:szCs w:val="24"/>
          <w:lang w:eastAsia="sk-SK"/>
        </w:rPr>
        <w:t>s. eur, a to najmä v súvislosti s</w:t>
      </w:r>
      <w:r w:rsidR="00C148B1">
        <w:rPr>
          <w:rFonts w:eastAsia="Times New Roman" w:cs="Times New Roman"/>
          <w:sz w:val="24"/>
          <w:szCs w:val="24"/>
          <w:lang w:eastAsia="sk-SK"/>
        </w:rPr>
        <w:t> </w:t>
      </w:r>
      <w:r w:rsidR="007146C6" w:rsidRPr="007146C6">
        <w:rPr>
          <w:rFonts w:eastAsia="Times New Roman" w:cs="Times New Roman"/>
          <w:sz w:val="24"/>
          <w:szCs w:val="24"/>
          <w:lang w:eastAsia="sk-SK"/>
        </w:rPr>
        <w:t>nízkym čerpaním výdavkov na reštitučné náhrady a náhrady doplatkov za záhradkárske osady, ktoré poklesli o</w:t>
      </w:r>
      <w:r w:rsidR="00C148B1">
        <w:rPr>
          <w:rFonts w:eastAsia="Times New Roman" w:cs="Times New Roman"/>
          <w:sz w:val="24"/>
          <w:szCs w:val="24"/>
          <w:lang w:eastAsia="sk-SK"/>
        </w:rPr>
        <w:t> </w:t>
      </w:r>
      <w:r w:rsidR="007146C6" w:rsidRPr="007146C6">
        <w:rPr>
          <w:rFonts w:eastAsia="Times New Roman" w:cs="Times New Roman"/>
          <w:sz w:val="24"/>
          <w:szCs w:val="24"/>
          <w:lang w:eastAsia="sk-SK"/>
        </w:rPr>
        <w:t>1</w:t>
      </w:r>
      <w:r w:rsidR="00C148B1">
        <w:rPr>
          <w:rFonts w:eastAsia="Times New Roman" w:cs="Times New Roman"/>
          <w:sz w:val="24"/>
          <w:szCs w:val="24"/>
          <w:lang w:eastAsia="sk-SK"/>
        </w:rPr>
        <w:t> 780 </w:t>
      </w:r>
      <w:r w:rsidR="007146C6" w:rsidRPr="007146C6">
        <w:rPr>
          <w:rFonts w:eastAsia="Times New Roman" w:cs="Times New Roman"/>
          <w:sz w:val="24"/>
          <w:szCs w:val="24"/>
          <w:lang w:eastAsia="sk-SK"/>
        </w:rPr>
        <w:t>tis.</w:t>
      </w:r>
      <w:r w:rsidR="00C148B1">
        <w:rPr>
          <w:rFonts w:eastAsia="Times New Roman" w:cs="Times New Roman"/>
          <w:sz w:val="24"/>
          <w:szCs w:val="24"/>
          <w:lang w:eastAsia="sk-SK"/>
        </w:rPr>
        <w:t> </w:t>
      </w:r>
      <w:r w:rsidR="007146C6" w:rsidRPr="007146C6">
        <w:rPr>
          <w:rFonts w:eastAsia="Times New Roman" w:cs="Times New Roman"/>
          <w:sz w:val="24"/>
          <w:szCs w:val="24"/>
          <w:lang w:eastAsia="sk-SK"/>
        </w:rPr>
        <w:t>eur.</w:t>
      </w:r>
    </w:p>
    <w:p w14:paraId="24F3C228" w14:textId="77777777" w:rsidR="000D0C9C" w:rsidRPr="000D0C9C" w:rsidRDefault="00CB3C45" w:rsidP="000D0C9C">
      <w:pPr>
        <w:spacing w:before="120" w:after="0" w:line="240" w:lineRule="auto"/>
        <w:rPr>
          <w:rFonts w:eastAsia="Times New Roman" w:cs="Times New Roman"/>
          <w:b/>
          <w:sz w:val="24"/>
          <w:szCs w:val="24"/>
          <w:lang w:eastAsia="sk-SK"/>
        </w:rPr>
      </w:pPr>
      <w:r w:rsidRPr="000D0C9C">
        <w:rPr>
          <w:b/>
          <w:sz w:val="24"/>
          <w:szCs w:val="24"/>
        </w:rPr>
        <w:t>Územná samospráva dosiahla prebytok 179 959 tis. eur, čo je oproti rozpočtu viac o 375 909 tis. eur.</w:t>
      </w:r>
    </w:p>
    <w:p w14:paraId="680AA8CD" w14:textId="48EF616A" w:rsidR="00AE1F8C" w:rsidRDefault="00CB3C45" w:rsidP="000D0C9C">
      <w:pPr>
        <w:spacing w:before="120" w:after="0" w:line="240" w:lineRule="auto"/>
        <w:rPr>
          <w:rFonts w:cs="Times New Roman"/>
          <w:sz w:val="24"/>
          <w:szCs w:val="24"/>
        </w:rPr>
      </w:pPr>
      <w:r w:rsidRPr="004A5951">
        <w:rPr>
          <w:sz w:val="24"/>
          <w:szCs w:val="24"/>
        </w:rPr>
        <w:t xml:space="preserve">Výšku prebytku ovplyvnilo </w:t>
      </w:r>
      <w:r w:rsidRPr="004A5951">
        <w:rPr>
          <w:b/>
          <w:sz w:val="24"/>
          <w:szCs w:val="24"/>
        </w:rPr>
        <w:t>hospodárenie obcí</w:t>
      </w:r>
      <w:r w:rsidRPr="004A5951">
        <w:rPr>
          <w:sz w:val="24"/>
          <w:szCs w:val="24"/>
        </w:rPr>
        <w:t xml:space="preserve">, ktoré </w:t>
      </w:r>
      <w:r w:rsidRPr="004A5951">
        <w:rPr>
          <w:rFonts w:cs="Times New Roman"/>
          <w:sz w:val="24"/>
          <w:szCs w:val="24"/>
        </w:rPr>
        <w:t xml:space="preserve">mali rozpočtovaný hotovostný schodok 226 701 tis. eur, v skutočnosti dosiahli prebytok vo výške 163 884 tis. eur. </w:t>
      </w:r>
      <w:r w:rsidRPr="00A92EDA">
        <w:rPr>
          <w:rFonts w:cs="Times New Roman"/>
          <w:sz w:val="24"/>
          <w:szCs w:val="24"/>
        </w:rPr>
        <w:t>K lepšiemu hospodáreniu prispel nárast daňov</w:t>
      </w:r>
      <w:r w:rsidR="00A92EDA" w:rsidRPr="00A92EDA">
        <w:rPr>
          <w:rFonts w:cs="Times New Roman"/>
          <w:sz w:val="24"/>
          <w:szCs w:val="24"/>
        </w:rPr>
        <w:t>ých príjmov o 60 344 tis. eur, išlo</w:t>
      </w:r>
      <w:r w:rsidRPr="00A92EDA">
        <w:rPr>
          <w:rFonts w:cs="Times New Roman"/>
          <w:sz w:val="24"/>
          <w:szCs w:val="24"/>
        </w:rPr>
        <w:t xml:space="preserve"> najmä </w:t>
      </w:r>
      <w:r w:rsidR="00A92EDA" w:rsidRPr="00A92EDA">
        <w:rPr>
          <w:rFonts w:cs="Times New Roman"/>
          <w:sz w:val="24"/>
          <w:szCs w:val="24"/>
        </w:rPr>
        <w:t xml:space="preserve">o </w:t>
      </w:r>
      <w:r w:rsidRPr="00A92EDA">
        <w:rPr>
          <w:rFonts w:cs="Times New Roman"/>
          <w:sz w:val="24"/>
          <w:szCs w:val="24"/>
        </w:rPr>
        <w:t xml:space="preserve">príjmy </w:t>
      </w:r>
      <w:r w:rsidR="00643048" w:rsidRPr="00A92EDA">
        <w:rPr>
          <w:rFonts w:cs="Times New Roman"/>
          <w:sz w:val="24"/>
          <w:szCs w:val="24"/>
        </w:rPr>
        <w:t>z podielových daní</w:t>
      </w:r>
      <w:r w:rsidR="00D07B24" w:rsidRPr="00A92EDA">
        <w:rPr>
          <w:rFonts w:cs="Times New Roman"/>
          <w:sz w:val="24"/>
          <w:szCs w:val="24"/>
        </w:rPr>
        <w:t>, príjmy z</w:t>
      </w:r>
      <w:r w:rsidR="00643048" w:rsidRPr="00A92EDA">
        <w:rPr>
          <w:rFonts w:cs="Times New Roman"/>
          <w:sz w:val="24"/>
          <w:szCs w:val="24"/>
        </w:rPr>
        <w:t xml:space="preserve"> dane z </w:t>
      </w:r>
      <w:r w:rsidR="00D07B24" w:rsidRPr="00A92EDA">
        <w:rPr>
          <w:rFonts w:cs="Times New Roman"/>
          <w:sz w:val="24"/>
          <w:szCs w:val="24"/>
        </w:rPr>
        <w:t>nebytových priestorov a</w:t>
      </w:r>
      <w:r w:rsidR="00643048" w:rsidRPr="00A92EDA">
        <w:rPr>
          <w:rFonts w:cs="Times New Roman"/>
          <w:sz w:val="24"/>
          <w:szCs w:val="24"/>
        </w:rPr>
        <w:t> </w:t>
      </w:r>
      <w:r w:rsidR="00D07B24" w:rsidRPr="00A92EDA">
        <w:rPr>
          <w:rFonts w:cs="Times New Roman"/>
          <w:sz w:val="24"/>
          <w:szCs w:val="24"/>
        </w:rPr>
        <w:t>príjmy</w:t>
      </w:r>
      <w:r w:rsidR="00643048" w:rsidRPr="00A92EDA">
        <w:rPr>
          <w:rFonts w:cs="Times New Roman"/>
          <w:sz w:val="24"/>
          <w:szCs w:val="24"/>
        </w:rPr>
        <w:t xml:space="preserve"> z</w:t>
      </w:r>
      <w:r w:rsidR="00D07B24" w:rsidRPr="00A92EDA">
        <w:rPr>
          <w:rFonts w:cs="Times New Roman"/>
          <w:sz w:val="24"/>
          <w:szCs w:val="24"/>
        </w:rPr>
        <w:t xml:space="preserve"> dane za rozvoj</w:t>
      </w:r>
      <w:r w:rsidR="00A92EDA" w:rsidRPr="00A92EDA">
        <w:rPr>
          <w:rFonts w:cs="Times New Roman"/>
          <w:sz w:val="24"/>
          <w:szCs w:val="24"/>
        </w:rPr>
        <w:t xml:space="preserve">. Ďalším pozitívny vplyv mal nárast </w:t>
      </w:r>
      <w:r w:rsidRPr="00A92EDA">
        <w:rPr>
          <w:rFonts w:cs="Times New Roman"/>
          <w:sz w:val="24"/>
          <w:szCs w:val="24"/>
        </w:rPr>
        <w:t xml:space="preserve">prijatých </w:t>
      </w:r>
      <w:r w:rsidR="00291BCA" w:rsidRPr="00A92EDA">
        <w:rPr>
          <w:rFonts w:cs="Times New Roman"/>
          <w:sz w:val="24"/>
          <w:szCs w:val="24"/>
        </w:rPr>
        <w:t xml:space="preserve">hotovostných </w:t>
      </w:r>
      <w:r w:rsidR="00A92EDA" w:rsidRPr="00A92EDA">
        <w:rPr>
          <w:rFonts w:cs="Times New Roman"/>
          <w:sz w:val="24"/>
          <w:szCs w:val="24"/>
        </w:rPr>
        <w:t>grantov</w:t>
      </w:r>
      <w:r w:rsidRPr="00A92EDA">
        <w:rPr>
          <w:rFonts w:cs="Times New Roman"/>
          <w:sz w:val="24"/>
          <w:szCs w:val="24"/>
        </w:rPr>
        <w:t xml:space="preserve"> a transfero</w:t>
      </w:r>
      <w:r w:rsidR="00A92EDA" w:rsidRPr="00A92EDA">
        <w:rPr>
          <w:rFonts w:cs="Times New Roman"/>
          <w:sz w:val="24"/>
          <w:szCs w:val="24"/>
        </w:rPr>
        <w:t xml:space="preserve">v o 343 211 tis. eur oproti rozpočtu. </w:t>
      </w:r>
    </w:p>
    <w:p w14:paraId="31B6AE88" w14:textId="7DBEA554" w:rsidR="00AE1F8C" w:rsidRDefault="00CB3C45" w:rsidP="000D0C9C">
      <w:pPr>
        <w:spacing w:before="120" w:after="0" w:line="240" w:lineRule="auto"/>
        <w:rPr>
          <w:rFonts w:cs="Times New Roman"/>
          <w:sz w:val="24"/>
          <w:szCs w:val="24"/>
        </w:rPr>
      </w:pPr>
      <w:r w:rsidRPr="004A5951">
        <w:rPr>
          <w:rFonts w:cs="Times New Roman"/>
          <w:sz w:val="24"/>
          <w:szCs w:val="24"/>
        </w:rPr>
        <w:t>Najvyšší nárast zaznamenali transfery v rámci verejnej správy, z toho bežné transfery na prenesený výkon štátnej správy zo štátneho rozpočtu v sume 974 619 tis. eur. Hotovostný prebytok obcí pozitívne ovplyvnilo aj nižšie čerpanie bežných výdavkov oproti rozpočtovaným, najmä na položke tovarov a služieb o 124 096 tis. eur (z toho materiál, rutinná údržba a služby) a pokles výdavkov na kapitálových transferoch o 40 684 tis. eur (najmenej transferov sa poukázalo pre príspevkové organizácie a ostatné subjekty VS v porovnaní s plánovanými). Z investičných výdavkov sa čerpali finančné zdroje najmä na vybudovanie kanalizácií a čističiek odpadových vôd, na projekty zlepšenia životného prostredia, na zníženie energetickej náročnosti budov, na výstavbu, modernizáciu a rekonštrukciu budov, bezpečná a ekologická doprava (budovanie cyklotrás) a projekty soci</w:t>
      </w:r>
      <w:r w:rsidR="00AE1F8C">
        <w:rPr>
          <w:rFonts w:cs="Times New Roman"/>
          <w:sz w:val="24"/>
          <w:szCs w:val="24"/>
        </w:rPr>
        <w:t>álnej inklúzie.</w:t>
      </w:r>
    </w:p>
    <w:p w14:paraId="3EB3A95B" w14:textId="38D8983F" w:rsidR="000D0C9C" w:rsidRDefault="00AE1F8C" w:rsidP="000D0C9C">
      <w:pPr>
        <w:spacing w:before="120" w:after="0" w:line="240" w:lineRule="auto"/>
        <w:rPr>
          <w:rFonts w:eastAsia="Times New Roman" w:cs="Times New Roman"/>
          <w:sz w:val="24"/>
          <w:szCs w:val="24"/>
          <w:lang w:eastAsia="sk-SK"/>
        </w:rPr>
      </w:pPr>
      <w:r>
        <w:rPr>
          <w:rFonts w:cs="Times New Roman"/>
          <w:sz w:val="24"/>
          <w:szCs w:val="24"/>
        </w:rPr>
        <w:t>H</w:t>
      </w:r>
      <w:r w:rsidR="00CB3C45" w:rsidRPr="004A5951">
        <w:rPr>
          <w:rFonts w:cs="Times New Roman"/>
          <w:sz w:val="24"/>
          <w:szCs w:val="24"/>
        </w:rPr>
        <w:t>ospodárenie podľa metodiky ESA</w:t>
      </w:r>
      <w:r>
        <w:rPr>
          <w:rFonts w:cs="Times New Roman"/>
          <w:sz w:val="24"/>
          <w:szCs w:val="24"/>
        </w:rPr>
        <w:t xml:space="preserve"> skončilo s prebytkom </w:t>
      </w:r>
      <w:r w:rsidR="00CB3C45" w:rsidRPr="004A5951">
        <w:rPr>
          <w:rFonts w:cs="Times New Roman"/>
          <w:sz w:val="24"/>
          <w:szCs w:val="24"/>
        </w:rPr>
        <w:t>140 673 tis. eur</w:t>
      </w:r>
      <w:r>
        <w:rPr>
          <w:rFonts w:cs="Times New Roman"/>
          <w:sz w:val="24"/>
          <w:szCs w:val="24"/>
        </w:rPr>
        <w:t>, z dôvodu</w:t>
      </w:r>
      <w:r w:rsidR="00CB3C45" w:rsidRPr="004A5951">
        <w:rPr>
          <w:rFonts w:cs="Times New Roman"/>
          <w:sz w:val="24"/>
          <w:szCs w:val="24"/>
        </w:rPr>
        <w:t xml:space="preserve"> časového rozlíšenia vo</w:t>
      </w:r>
      <w:r>
        <w:rPr>
          <w:rFonts w:cs="Times New Roman"/>
          <w:sz w:val="24"/>
          <w:szCs w:val="24"/>
        </w:rPr>
        <w:t xml:space="preserve"> výške 20 812 tis. eur a ostatných</w:t>
      </w:r>
      <w:r w:rsidR="00CB3C45" w:rsidRPr="004A5951">
        <w:rPr>
          <w:rFonts w:cs="Times New Roman"/>
          <w:sz w:val="24"/>
          <w:szCs w:val="24"/>
        </w:rPr>
        <w:t xml:space="preserve"> úprav vo výške 2 399 tis. eur. Z nich sa najviac na </w:t>
      </w:r>
      <w:r>
        <w:rPr>
          <w:rFonts w:cs="Times New Roman"/>
          <w:sz w:val="24"/>
          <w:szCs w:val="24"/>
        </w:rPr>
        <w:t>nižšom</w:t>
      </w:r>
      <w:r w:rsidR="00CB3C45" w:rsidRPr="004A5951">
        <w:rPr>
          <w:rFonts w:cs="Times New Roman"/>
          <w:sz w:val="24"/>
          <w:szCs w:val="24"/>
        </w:rPr>
        <w:t xml:space="preserve"> ESA prebytku podieľal nárast záväzkov o 27 736 tis. eur</w:t>
      </w:r>
      <w:r>
        <w:rPr>
          <w:rFonts w:cs="Times New Roman"/>
          <w:sz w:val="24"/>
          <w:szCs w:val="24"/>
        </w:rPr>
        <w:t xml:space="preserve"> (</w:t>
      </w:r>
      <w:r w:rsidR="00CB3C45" w:rsidRPr="004A5951">
        <w:rPr>
          <w:rFonts w:cs="Times New Roman"/>
          <w:sz w:val="24"/>
          <w:szCs w:val="24"/>
        </w:rPr>
        <w:t>na osobné náklady o 14 329 tis. eur v nadväznosti na prijaté opatrenia v odmeňovaní zamestnancov verejnej správy, voči orgánom sociálneho a zdravotného poistenia o 10 411 tis. eur a nárast ostatných dlhodobých aj krátkodobých záväzkov a prijatých preddavkov o 7 399 tis. eur</w:t>
      </w:r>
      <w:r>
        <w:rPr>
          <w:rFonts w:cs="Times New Roman"/>
          <w:sz w:val="24"/>
          <w:szCs w:val="24"/>
        </w:rPr>
        <w:t>)</w:t>
      </w:r>
      <w:r w:rsidR="00CB3C45" w:rsidRPr="004A5951">
        <w:rPr>
          <w:rFonts w:cs="Times New Roman"/>
          <w:sz w:val="24"/>
          <w:szCs w:val="24"/>
        </w:rPr>
        <w:t>. Nárast pohľadávok z</w:t>
      </w:r>
      <w:r w:rsidR="00C148B1">
        <w:rPr>
          <w:rFonts w:cs="Times New Roman"/>
          <w:sz w:val="24"/>
          <w:szCs w:val="24"/>
        </w:rPr>
        <w:t> </w:t>
      </w:r>
      <w:r w:rsidR="00CB3C45" w:rsidRPr="004A5951">
        <w:rPr>
          <w:rFonts w:cs="Times New Roman"/>
          <w:sz w:val="24"/>
          <w:szCs w:val="24"/>
        </w:rPr>
        <w:t>nedaňových príjmov o sumu 7 200 tis. eur čiastočne eliminoval vplyv spôsobený nárastom záväzkov.</w:t>
      </w:r>
    </w:p>
    <w:p w14:paraId="77C46265" w14:textId="361D4896" w:rsidR="003B1965" w:rsidRDefault="00CB3C45" w:rsidP="000D0C9C">
      <w:pPr>
        <w:spacing w:before="120" w:after="0" w:line="240" w:lineRule="auto"/>
        <w:rPr>
          <w:rFonts w:cs="Times New Roman"/>
          <w:sz w:val="24"/>
          <w:szCs w:val="24"/>
        </w:rPr>
      </w:pPr>
      <w:r w:rsidRPr="004A5951">
        <w:rPr>
          <w:rFonts w:cs="Times New Roman"/>
          <w:b/>
          <w:sz w:val="24"/>
          <w:szCs w:val="24"/>
        </w:rPr>
        <w:t>Vyššie územné celky</w:t>
      </w:r>
      <w:r w:rsidRPr="004A5951">
        <w:rPr>
          <w:rFonts w:cs="Times New Roman"/>
          <w:sz w:val="24"/>
          <w:szCs w:val="24"/>
        </w:rPr>
        <w:t xml:space="preserve"> hospodárili oproti rozpočtu lepšie o </w:t>
      </w:r>
      <w:r w:rsidR="006A45BA">
        <w:rPr>
          <w:rFonts w:cs="Times New Roman"/>
          <w:sz w:val="24"/>
          <w:szCs w:val="24"/>
        </w:rPr>
        <w:t xml:space="preserve">sumu 2 109 tis. eur a dosiahli </w:t>
      </w:r>
      <w:r w:rsidRPr="004A5951">
        <w:rPr>
          <w:rFonts w:cs="Times New Roman"/>
          <w:sz w:val="24"/>
          <w:szCs w:val="24"/>
        </w:rPr>
        <w:t xml:space="preserve">prebytok vo výške 15 997 tis. eur v dôsledku zvýšenia prijatého výnosu z dane z prímov o 29 470 tis. eur a nárastu bežných a kapitálových grantov a transferov o 82 998 tis. eur. Dosiahnutý hotovostný prebytok negatívne ovplyvnil nárast bežných aj kapitálových výdavkov, z toho o sumu 45 394 tis. eur narástli výdavky na bežné transfery (transfery v rámci VS) a o sumu 61 803 tis. eur narástli kapitálové výdavky, najmä výdavky na obstaranie kapitálových aktív o 55 084 tis. eur. Tieto výdavky boli alokované na realizáciu stavieb a ich technické zhodnotenie, na obstaranie prevádzkových strojov a zariadení a na rekonštrukcie ciest a modernizácie mostných objektov. </w:t>
      </w:r>
    </w:p>
    <w:p w14:paraId="1094A5D7" w14:textId="43FFBD91" w:rsidR="000D0C9C" w:rsidRDefault="00CB3C45" w:rsidP="000D0C9C">
      <w:pPr>
        <w:spacing w:before="120" w:after="0" w:line="240" w:lineRule="auto"/>
        <w:rPr>
          <w:rFonts w:eastAsia="Times New Roman" w:cs="Times New Roman"/>
          <w:sz w:val="24"/>
          <w:szCs w:val="24"/>
          <w:lang w:eastAsia="sk-SK"/>
        </w:rPr>
      </w:pPr>
      <w:r w:rsidRPr="004A5951">
        <w:rPr>
          <w:rFonts w:cs="Times New Roman"/>
          <w:sz w:val="24"/>
          <w:szCs w:val="24"/>
        </w:rPr>
        <w:t xml:space="preserve">Oproti hotovostnému prebytku sa ESA prebytok znížil na sumu 7 735 tis. eur vplyvom nárastu záväzkov o 8 581 tis. eur, z toho najvyšší nárast mali záväzky na osobné náklady, záväzky voči orgánom sociálneho a zdravotného poistenia a daňové záväzky v nadväznosti na prijaté opatrenia v odmeňovaní zamestnancov verejnej správy (o 7 936 tis. eur). V menšej miere k zhoršeniu prebytku prispel aj nárast prijatých preddavkov oproti predchádzajúcemu obdobiu. </w:t>
      </w:r>
    </w:p>
    <w:p w14:paraId="3CB2DFB4" w14:textId="05201D77" w:rsidR="003B1965" w:rsidRDefault="00CB3C45" w:rsidP="000D0C9C">
      <w:pPr>
        <w:spacing w:before="120" w:after="0" w:line="240" w:lineRule="auto"/>
        <w:rPr>
          <w:rFonts w:cs="Times New Roman"/>
          <w:sz w:val="24"/>
          <w:szCs w:val="24"/>
        </w:rPr>
      </w:pPr>
      <w:r w:rsidRPr="004A5951">
        <w:rPr>
          <w:rFonts w:cs="Times New Roman"/>
          <w:b/>
          <w:sz w:val="24"/>
          <w:szCs w:val="24"/>
        </w:rPr>
        <w:t>Dopravné podniky</w:t>
      </w:r>
      <w:r w:rsidRPr="004A5951">
        <w:rPr>
          <w:rFonts w:cs="Times New Roman"/>
          <w:sz w:val="24"/>
          <w:szCs w:val="24"/>
        </w:rPr>
        <w:t xml:space="preserve"> zhoršili svoje hospodárenie oproti rozpočtu o 4 911 tis. eur a dosiahli hotovostný prebytok vo výške 2 213 tis. eur. V dôsledku mimoriadnej situácie spojenej s pandémiou COVID-19 sa nedosiahli očakávané výnosy a to z dôvodu znížených tržieb za cestovné a nízkeho dopytu na zájazdovú, zmluvnú a príležitostnú dopravu, čo sa prejavilo v</w:t>
      </w:r>
      <w:r w:rsidR="00C148B1">
        <w:rPr>
          <w:rFonts w:cs="Times New Roman"/>
          <w:sz w:val="24"/>
          <w:szCs w:val="24"/>
        </w:rPr>
        <w:t> </w:t>
      </w:r>
      <w:r w:rsidRPr="004A5951">
        <w:rPr>
          <w:rFonts w:cs="Times New Roman"/>
          <w:sz w:val="24"/>
          <w:szCs w:val="24"/>
        </w:rPr>
        <w:t>poklese nedaňových príjmov o 9 625 tis. eur. Presun plánovaných investičných akcií v rámci projektov modernizácie a obstarania technologických vozidiel spôsobil pokles na položke grantov a transferov o 32 144 tis. eur. V bežných výdavkoch sa dosiahla na niektorých položkách úspora z dôvodu poskytovania dopravy v úspornom prázdninovom režime, k čomu prispelo aj zníženie cien palív, zníženie cien náhradných dielov vplyvom mimoriadnych verejných obstarávaní. V súvislosti s pandémiou poklesli aj výdavky na mzdy a poistné z dôvodu zníženia výkonov v MHD. Časť plánovaných výdavkov bola použitá na</w:t>
      </w:r>
      <w:r w:rsidRPr="004A5951">
        <w:rPr>
          <w:rFonts w:eastAsia="Times New Roman" w:cs="Times New Roman"/>
          <w:sz w:val="24"/>
          <w:szCs w:val="24"/>
          <w:lang w:eastAsia="sk-SK"/>
        </w:rPr>
        <w:t xml:space="preserve"> </w:t>
      </w:r>
      <w:r w:rsidRPr="004A5951">
        <w:rPr>
          <w:rFonts w:cs="Times New Roman"/>
          <w:sz w:val="24"/>
          <w:szCs w:val="24"/>
        </w:rPr>
        <w:t>zvýšenú dezinfekciu dopravných prostriedkov. V nadväznosti na prehodnotenie priorít v rámci investičných akcií, ich presun do ďalších rokov (modernizácia električkového depa, nákup autobusov) a prebiehajúce verejné obstarávania, sa zaznamenal pokles vo výdavkoch na</w:t>
      </w:r>
      <w:r w:rsidR="006A45BA">
        <w:rPr>
          <w:rFonts w:cs="Times New Roman"/>
          <w:sz w:val="24"/>
          <w:szCs w:val="24"/>
        </w:rPr>
        <w:t xml:space="preserve"> obstaranie kapitálových aktív </w:t>
      </w:r>
      <w:r w:rsidRPr="004A5951">
        <w:rPr>
          <w:rFonts w:cs="Times New Roman"/>
          <w:sz w:val="24"/>
          <w:szCs w:val="24"/>
        </w:rPr>
        <w:t>o 36 725 tis.</w:t>
      </w:r>
      <w:r w:rsidR="003B1965">
        <w:rPr>
          <w:rFonts w:cs="Times New Roman"/>
          <w:sz w:val="24"/>
          <w:szCs w:val="24"/>
        </w:rPr>
        <w:t> eur oproti pôvodne plánovaným.</w:t>
      </w:r>
    </w:p>
    <w:p w14:paraId="4F0C26E1" w14:textId="5E1E0A13" w:rsidR="00CB3C45" w:rsidRDefault="00CB3C45" w:rsidP="003B1965">
      <w:pPr>
        <w:spacing w:before="120" w:after="0" w:line="240" w:lineRule="auto"/>
        <w:rPr>
          <w:rFonts w:cs="Times New Roman"/>
          <w:sz w:val="24"/>
          <w:szCs w:val="24"/>
        </w:rPr>
      </w:pPr>
      <w:r w:rsidRPr="004A5951">
        <w:rPr>
          <w:rFonts w:cs="Times New Roman"/>
          <w:sz w:val="24"/>
          <w:szCs w:val="24"/>
        </w:rPr>
        <w:t xml:space="preserve">Prebytkové </w:t>
      </w:r>
      <w:r w:rsidR="003B1965">
        <w:rPr>
          <w:rFonts w:cs="Times New Roman"/>
          <w:sz w:val="24"/>
          <w:szCs w:val="24"/>
        </w:rPr>
        <w:t xml:space="preserve">hotovostné </w:t>
      </w:r>
      <w:r w:rsidRPr="004A5951">
        <w:rPr>
          <w:rFonts w:cs="Times New Roman"/>
          <w:sz w:val="24"/>
          <w:szCs w:val="24"/>
        </w:rPr>
        <w:t>hospodárenie bolo negatívne ovplyvnené poklesom pohľadávok o 11 241 tis. eur, ktoré čiastočne eliminoval pokles záväzkov</w:t>
      </w:r>
      <w:r w:rsidR="003B1965">
        <w:rPr>
          <w:rFonts w:cs="Times New Roman"/>
          <w:sz w:val="24"/>
          <w:szCs w:val="24"/>
        </w:rPr>
        <w:t xml:space="preserve"> </w:t>
      </w:r>
      <w:r w:rsidRPr="004A5951">
        <w:rPr>
          <w:rFonts w:cs="Times New Roman"/>
          <w:sz w:val="24"/>
          <w:szCs w:val="24"/>
        </w:rPr>
        <w:t xml:space="preserve">o 3 037 tis. eur a dopravné podniky dosiahli ESA schodok vo výške 6 040 tis. eur. </w:t>
      </w:r>
    </w:p>
    <w:p w14:paraId="01F86403" w14:textId="77777777" w:rsidR="00657D4F" w:rsidRDefault="00657D4F">
      <w:pPr>
        <w:spacing w:after="160" w:line="259" w:lineRule="auto"/>
        <w:jc w:val="left"/>
        <w:rPr>
          <w:sz w:val="24"/>
          <w:szCs w:val="24"/>
        </w:rPr>
      </w:pPr>
      <w:r>
        <w:rPr>
          <w:sz w:val="24"/>
          <w:szCs w:val="24"/>
        </w:rPr>
        <w:br w:type="page"/>
      </w:r>
    </w:p>
    <w:p w14:paraId="203C7562" w14:textId="4B75D1A4" w:rsidR="00CB3C45" w:rsidRDefault="00CB3C45" w:rsidP="004A5951">
      <w:pPr>
        <w:spacing w:after="0" w:line="240" w:lineRule="auto"/>
        <w:rPr>
          <w:sz w:val="24"/>
          <w:szCs w:val="24"/>
        </w:rPr>
      </w:pPr>
      <w:r w:rsidRPr="004A5951">
        <w:rPr>
          <w:sz w:val="24"/>
          <w:szCs w:val="24"/>
        </w:rPr>
        <w:t>Saldo verejnej správy podľa jednotlivých subjektov v roku 2020 obsahuje nasledovná tabuľka:</w:t>
      </w:r>
    </w:p>
    <w:tbl>
      <w:tblPr>
        <w:tblW w:w="8672" w:type="dxa"/>
        <w:tblLayout w:type="fixed"/>
        <w:tblCellMar>
          <w:left w:w="70" w:type="dxa"/>
          <w:right w:w="70" w:type="dxa"/>
        </w:tblCellMar>
        <w:tblLook w:val="04A0" w:firstRow="1" w:lastRow="0" w:firstColumn="1" w:lastColumn="0" w:noHBand="0" w:noVBand="1"/>
      </w:tblPr>
      <w:tblGrid>
        <w:gridCol w:w="168"/>
        <w:gridCol w:w="168"/>
        <w:gridCol w:w="2240"/>
        <w:gridCol w:w="979"/>
        <w:gridCol w:w="958"/>
        <w:gridCol w:w="1004"/>
        <w:gridCol w:w="1146"/>
        <w:gridCol w:w="1134"/>
        <w:gridCol w:w="875"/>
      </w:tblGrid>
      <w:tr w:rsidR="00F76EE4" w:rsidRPr="00331790" w14:paraId="4575594C" w14:textId="77777777" w:rsidTr="000379CA">
        <w:trPr>
          <w:trHeight w:val="348"/>
          <w:tblHeader/>
        </w:trPr>
        <w:tc>
          <w:tcPr>
            <w:tcW w:w="8672" w:type="dxa"/>
            <w:gridSpan w:val="9"/>
            <w:tcBorders>
              <w:top w:val="nil"/>
              <w:left w:val="nil"/>
              <w:bottom w:val="single" w:sz="4" w:space="0" w:color="auto"/>
              <w:right w:val="nil"/>
            </w:tcBorders>
            <w:shd w:val="clear" w:color="000000" w:fill="000000"/>
            <w:noWrap/>
            <w:vAlign w:val="center"/>
            <w:hideMark/>
          </w:tcPr>
          <w:p w14:paraId="35A992E6" w14:textId="77777777" w:rsidR="00F76EE4" w:rsidRPr="006D659D" w:rsidRDefault="00F76EE4" w:rsidP="000379CA">
            <w:pPr>
              <w:spacing w:after="0" w:line="240" w:lineRule="auto"/>
              <w:jc w:val="left"/>
              <w:rPr>
                <w:rFonts w:eastAsia="Times New Roman" w:cs="Times New Roman"/>
                <w:b/>
                <w:bCs/>
                <w:color w:val="FFFFFF"/>
                <w:sz w:val="18"/>
                <w:szCs w:val="18"/>
                <w:lang w:eastAsia="sk-SK"/>
              </w:rPr>
            </w:pPr>
            <w:r w:rsidRPr="006D659D">
              <w:rPr>
                <w:rFonts w:eastAsia="Times New Roman" w:cs="Times New Roman"/>
                <w:b/>
                <w:bCs/>
                <w:color w:val="FFFFFF"/>
                <w:sz w:val="18"/>
                <w:szCs w:val="18"/>
                <w:lang w:eastAsia="sk-SK"/>
              </w:rPr>
              <w:t xml:space="preserve">Schodok verejnej správy podľa jednotlivých subjektov                                                        </w:t>
            </w:r>
            <w:r>
              <w:rPr>
                <w:rFonts w:eastAsia="Times New Roman" w:cs="Times New Roman"/>
                <w:b/>
                <w:bCs/>
                <w:color w:val="FFFFFF"/>
                <w:sz w:val="18"/>
                <w:szCs w:val="18"/>
                <w:lang w:eastAsia="sk-SK"/>
              </w:rPr>
              <w:t xml:space="preserve">                       </w:t>
            </w:r>
            <w:r w:rsidRPr="006D659D">
              <w:rPr>
                <w:rFonts w:eastAsia="Times New Roman" w:cs="Times New Roman"/>
                <w:b/>
                <w:bCs/>
                <w:color w:val="FFFFFF"/>
                <w:sz w:val="18"/>
                <w:szCs w:val="18"/>
                <w:lang w:eastAsia="sk-SK"/>
              </w:rPr>
              <w:t xml:space="preserve"> v  tis. eur</w:t>
            </w:r>
          </w:p>
        </w:tc>
      </w:tr>
      <w:tr w:rsidR="00F76EE4" w:rsidRPr="00331790" w14:paraId="50BC8FC1" w14:textId="77777777" w:rsidTr="000379CA">
        <w:trPr>
          <w:trHeight w:val="499"/>
          <w:tblHeader/>
        </w:trPr>
        <w:tc>
          <w:tcPr>
            <w:tcW w:w="168" w:type="dxa"/>
            <w:tcBorders>
              <w:top w:val="single" w:sz="4" w:space="0" w:color="auto"/>
              <w:left w:val="nil"/>
              <w:bottom w:val="nil"/>
              <w:right w:val="nil"/>
            </w:tcBorders>
            <w:shd w:val="clear" w:color="000000" w:fill="BFBFBF"/>
            <w:noWrap/>
            <w:vAlign w:val="center"/>
            <w:hideMark/>
          </w:tcPr>
          <w:p w14:paraId="41EF86FC" w14:textId="77777777" w:rsidR="00F76EE4" w:rsidRPr="00331790" w:rsidRDefault="00F76EE4" w:rsidP="000379CA">
            <w:pPr>
              <w:spacing w:after="0" w:line="240" w:lineRule="auto"/>
              <w:jc w:val="center"/>
              <w:rPr>
                <w:rFonts w:eastAsia="Times New Roman" w:cs="Times New Roman"/>
                <w:b/>
                <w:bCs/>
                <w:sz w:val="20"/>
                <w:szCs w:val="20"/>
                <w:lang w:eastAsia="sk-SK"/>
              </w:rPr>
            </w:pPr>
            <w:r w:rsidRPr="00331790">
              <w:rPr>
                <w:rFonts w:eastAsia="Times New Roman" w:cs="Times New Roman"/>
                <w:b/>
                <w:bCs/>
                <w:sz w:val="20"/>
                <w:szCs w:val="20"/>
                <w:lang w:eastAsia="sk-SK"/>
              </w:rPr>
              <w:t> </w:t>
            </w:r>
          </w:p>
        </w:tc>
        <w:tc>
          <w:tcPr>
            <w:tcW w:w="168" w:type="dxa"/>
            <w:tcBorders>
              <w:top w:val="single" w:sz="4" w:space="0" w:color="auto"/>
              <w:left w:val="nil"/>
              <w:bottom w:val="nil"/>
              <w:right w:val="nil"/>
            </w:tcBorders>
            <w:shd w:val="clear" w:color="000000" w:fill="BFBFBF"/>
            <w:noWrap/>
            <w:vAlign w:val="center"/>
            <w:hideMark/>
          </w:tcPr>
          <w:p w14:paraId="1D1A4B3D" w14:textId="77777777" w:rsidR="00F76EE4" w:rsidRPr="00331790" w:rsidRDefault="00F76EE4" w:rsidP="000379CA">
            <w:pPr>
              <w:spacing w:after="0" w:line="240" w:lineRule="auto"/>
              <w:jc w:val="center"/>
              <w:rPr>
                <w:rFonts w:eastAsia="Times New Roman" w:cs="Times New Roman"/>
                <w:b/>
                <w:bCs/>
                <w:sz w:val="20"/>
                <w:szCs w:val="20"/>
                <w:lang w:eastAsia="sk-SK"/>
              </w:rPr>
            </w:pPr>
            <w:r w:rsidRPr="00331790">
              <w:rPr>
                <w:rFonts w:eastAsia="Times New Roman" w:cs="Times New Roman"/>
                <w:b/>
                <w:bCs/>
                <w:sz w:val="20"/>
                <w:szCs w:val="20"/>
                <w:lang w:eastAsia="sk-SK"/>
              </w:rPr>
              <w:t> </w:t>
            </w:r>
          </w:p>
        </w:tc>
        <w:tc>
          <w:tcPr>
            <w:tcW w:w="2240" w:type="dxa"/>
            <w:tcBorders>
              <w:top w:val="single" w:sz="4" w:space="0" w:color="auto"/>
              <w:left w:val="nil"/>
              <w:bottom w:val="nil"/>
              <w:right w:val="nil"/>
            </w:tcBorders>
            <w:shd w:val="clear" w:color="000000" w:fill="BFBFBF"/>
            <w:noWrap/>
            <w:vAlign w:val="center"/>
            <w:hideMark/>
          </w:tcPr>
          <w:p w14:paraId="14C526E6" w14:textId="77777777" w:rsidR="00F76EE4" w:rsidRPr="00331790" w:rsidRDefault="00F76EE4" w:rsidP="000379CA">
            <w:pPr>
              <w:spacing w:after="0" w:line="240" w:lineRule="auto"/>
              <w:jc w:val="center"/>
              <w:rPr>
                <w:rFonts w:eastAsia="Times New Roman" w:cs="Times New Roman"/>
                <w:b/>
                <w:bCs/>
                <w:sz w:val="20"/>
                <w:szCs w:val="20"/>
                <w:lang w:eastAsia="sk-SK"/>
              </w:rPr>
            </w:pPr>
            <w:r w:rsidRPr="00331790">
              <w:rPr>
                <w:rFonts w:eastAsia="Times New Roman" w:cs="Times New Roman"/>
                <w:b/>
                <w:bCs/>
                <w:sz w:val="20"/>
                <w:szCs w:val="20"/>
                <w:lang w:eastAsia="sk-SK"/>
              </w:rPr>
              <w:t> </w:t>
            </w:r>
          </w:p>
        </w:tc>
        <w:tc>
          <w:tcPr>
            <w:tcW w:w="1937" w:type="dxa"/>
            <w:gridSpan w:val="2"/>
            <w:tcBorders>
              <w:top w:val="single" w:sz="4" w:space="0" w:color="auto"/>
              <w:left w:val="nil"/>
              <w:bottom w:val="nil"/>
              <w:right w:val="nil"/>
            </w:tcBorders>
            <w:shd w:val="clear" w:color="000000" w:fill="BFBFBF"/>
            <w:noWrap/>
            <w:vAlign w:val="center"/>
            <w:hideMark/>
          </w:tcPr>
          <w:p w14:paraId="6A7200D2" w14:textId="77777777" w:rsidR="00F76EE4" w:rsidRPr="006D659D" w:rsidRDefault="00F76EE4" w:rsidP="000379CA">
            <w:pPr>
              <w:spacing w:after="0" w:line="240" w:lineRule="auto"/>
              <w:jc w:val="center"/>
              <w:rPr>
                <w:rFonts w:eastAsia="Times New Roman" w:cs="Times New Roman"/>
                <w:b/>
                <w:bCs/>
                <w:sz w:val="18"/>
                <w:szCs w:val="18"/>
                <w:lang w:eastAsia="sk-SK"/>
              </w:rPr>
            </w:pPr>
            <w:r w:rsidRPr="006D659D">
              <w:rPr>
                <w:rFonts w:eastAsia="Times New Roman" w:cs="Times New Roman"/>
                <w:b/>
                <w:bCs/>
                <w:sz w:val="18"/>
                <w:szCs w:val="18"/>
                <w:lang w:eastAsia="sk-SK"/>
              </w:rPr>
              <w:t>Skutočnosť</w:t>
            </w:r>
          </w:p>
        </w:tc>
        <w:tc>
          <w:tcPr>
            <w:tcW w:w="1004" w:type="dxa"/>
            <w:tcBorders>
              <w:top w:val="single" w:sz="4" w:space="0" w:color="auto"/>
              <w:left w:val="nil"/>
              <w:bottom w:val="nil"/>
              <w:right w:val="nil"/>
            </w:tcBorders>
            <w:shd w:val="clear" w:color="000000" w:fill="BFBFBF"/>
            <w:vAlign w:val="center"/>
            <w:hideMark/>
          </w:tcPr>
          <w:p w14:paraId="32966C21" w14:textId="77777777" w:rsidR="00F76EE4" w:rsidRPr="006D659D" w:rsidRDefault="00F76EE4" w:rsidP="000379CA">
            <w:pPr>
              <w:spacing w:after="0" w:line="240" w:lineRule="auto"/>
              <w:jc w:val="center"/>
              <w:rPr>
                <w:rFonts w:eastAsia="Times New Roman" w:cs="Times New Roman"/>
                <w:b/>
                <w:bCs/>
                <w:sz w:val="18"/>
                <w:szCs w:val="18"/>
                <w:lang w:eastAsia="sk-SK"/>
              </w:rPr>
            </w:pPr>
            <w:r w:rsidRPr="006D659D">
              <w:rPr>
                <w:rFonts w:eastAsia="Times New Roman" w:cs="Times New Roman"/>
                <w:b/>
                <w:bCs/>
                <w:sz w:val="18"/>
                <w:szCs w:val="18"/>
                <w:lang w:eastAsia="sk-SK"/>
              </w:rPr>
              <w:t>Schválený rozpočet</w:t>
            </w:r>
          </w:p>
        </w:tc>
        <w:tc>
          <w:tcPr>
            <w:tcW w:w="1146" w:type="dxa"/>
            <w:tcBorders>
              <w:top w:val="single" w:sz="4" w:space="0" w:color="auto"/>
              <w:left w:val="nil"/>
              <w:bottom w:val="nil"/>
              <w:right w:val="nil"/>
            </w:tcBorders>
            <w:shd w:val="clear" w:color="000000" w:fill="BFBFBF"/>
            <w:vAlign w:val="center"/>
            <w:hideMark/>
          </w:tcPr>
          <w:p w14:paraId="4FBF00C9" w14:textId="77777777" w:rsidR="00F76EE4" w:rsidRPr="006D659D" w:rsidRDefault="00F76EE4" w:rsidP="000379CA">
            <w:pPr>
              <w:spacing w:after="0" w:line="240" w:lineRule="auto"/>
              <w:jc w:val="center"/>
              <w:rPr>
                <w:rFonts w:eastAsia="Times New Roman" w:cs="Times New Roman"/>
                <w:b/>
                <w:bCs/>
                <w:sz w:val="18"/>
                <w:szCs w:val="18"/>
                <w:lang w:eastAsia="sk-SK"/>
              </w:rPr>
            </w:pPr>
            <w:r w:rsidRPr="006D659D">
              <w:rPr>
                <w:rFonts w:eastAsia="Times New Roman" w:cs="Times New Roman"/>
                <w:b/>
                <w:bCs/>
                <w:sz w:val="18"/>
                <w:szCs w:val="18"/>
                <w:lang w:eastAsia="sk-SK"/>
              </w:rPr>
              <w:t>Rozpočet po novele ŠR</w:t>
            </w:r>
          </w:p>
        </w:tc>
        <w:tc>
          <w:tcPr>
            <w:tcW w:w="1134" w:type="dxa"/>
            <w:tcBorders>
              <w:top w:val="single" w:sz="4" w:space="0" w:color="auto"/>
              <w:left w:val="nil"/>
              <w:bottom w:val="nil"/>
              <w:right w:val="nil"/>
            </w:tcBorders>
            <w:shd w:val="clear" w:color="000000" w:fill="BFBFBF"/>
            <w:noWrap/>
            <w:vAlign w:val="center"/>
            <w:hideMark/>
          </w:tcPr>
          <w:p w14:paraId="6D8DEDD7" w14:textId="77777777" w:rsidR="00F76EE4" w:rsidRPr="00434DBB" w:rsidRDefault="00F76EE4" w:rsidP="000379CA">
            <w:pPr>
              <w:spacing w:after="0" w:line="240" w:lineRule="auto"/>
              <w:jc w:val="center"/>
              <w:rPr>
                <w:rFonts w:eastAsia="Times New Roman" w:cs="Times New Roman"/>
                <w:b/>
                <w:bCs/>
                <w:sz w:val="18"/>
                <w:szCs w:val="18"/>
                <w:lang w:eastAsia="sk-SK"/>
              </w:rPr>
            </w:pPr>
            <w:r w:rsidRPr="00434DBB">
              <w:rPr>
                <w:rFonts w:eastAsia="Times New Roman" w:cs="Times New Roman"/>
                <w:b/>
                <w:bCs/>
                <w:sz w:val="18"/>
                <w:szCs w:val="18"/>
                <w:lang w:eastAsia="sk-SK"/>
              </w:rPr>
              <w:t>Skutočnosť</w:t>
            </w:r>
          </w:p>
        </w:tc>
        <w:tc>
          <w:tcPr>
            <w:tcW w:w="875" w:type="dxa"/>
            <w:tcBorders>
              <w:top w:val="single" w:sz="4" w:space="0" w:color="auto"/>
              <w:left w:val="nil"/>
              <w:bottom w:val="nil"/>
              <w:right w:val="nil"/>
            </w:tcBorders>
            <w:shd w:val="clear" w:color="000000" w:fill="BFBFBF"/>
            <w:noWrap/>
            <w:vAlign w:val="center"/>
            <w:hideMark/>
          </w:tcPr>
          <w:p w14:paraId="78EA549A" w14:textId="77777777" w:rsidR="00F76EE4" w:rsidRPr="00434DBB" w:rsidRDefault="00F76EE4" w:rsidP="000379CA">
            <w:pPr>
              <w:spacing w:after="0" w:line="240" w:lineRule="auto"/>
              <w:jc w:val="center"/>
              <w:rPr>
                <w:rFonts w:eastAsia="Times New Roman" w:cs="Times New Roman"/>
                <w:b/>
                <w:bCs/>
                <w:sz w:val="18"/>
                <w:szCs w:val="18"/>
                <w:lang w:eastAsia="sk-SK"/>
              </w:rPr>
            </w:pPr>
            <w:r w:rsidRPr="00434DBB">
              <w:rPr>
                <w:rFonts w:eastAsia="Times New Roman" w:cs="Times New Roman"/>
                <w:b/>
                <w:bCs/>
                <w:sz w:val="18"/>
                <w:szCs w:val="18"/>
                <w:lang w:eastAsia="sk-SK"/>
              </w:rPr>
              <w:t>Rozdiel</w:t>
            </w:r>
          </w:p>
        </w:tc>
      </w:tr>
      <w:tr w:rsidR="00F76EE4" w:rsidRPr="00331790" w14:paraId="596E5549" w14:textId="77777777" w:rsidTr="000379CA">
        <w:trPr>
          <w:trHeight w:val="224"/>
          <w:tblHeader/>
        </w:trPr>
        <w:tc>
          <w:tcPr>
            <w:tcW w:w="168" w:type="dxa"/>
            <w:tcBorders>
              <w:top w:val="nil"/>
              <w:left w:val="nil"/>
              <w:bottom w:val="nil"/>
              <w:right w:val="nil"/>
            </w:tcBorders>
            <w:shd w:val="clear" w:color="000000" w:fill="BFBFBF"/>
            <w:noWrap/>
            <w:vAlign w:val="center"/>
            <w:hideMark/>
          </w:tcPr>
          <w:p w14:paraId="6CE3CA09" w14:textId="77777777" w:rsidR="00F76EE4" w:rsidRPr="00331790" w:rsidRDefault="00F76EE4" w:rsidP="000379CA">
            <w:pPr>
              <w:spacing w:after="0" w:line="240" w:lineRule="auto"/>
              <w:jc w:val="center"/>
              <w:rPr>
                <w:rFonts w:eastAsia="Times New Roman" w:cs="Times New Roman"/>
                <w:b/>
                <w:bCs/>
                <w:sz w:val="20"/>
                <w:szCs w:val="20"/>
                <w:lang w:eastAsia="sk-SK"/>
              </w:rPr>
            </w:pPr>
            <w:r w:rsidRPr="00331790">
              <w:rPr>
                <w:rFonts w:eastAsia="Times New Roman" w:cs="Times New Roman"/>
                <w:b/>
                <w:bCs/>
                <w:sz w:val="20"/>
                <w:szCs w:val="20"/>
                <w:lang w:eastAsia="sk-SK"/>
              </w:rPr>
              <w:t> </w:t>
            </w:r>
          </w:p>
        </w:tc>
        <w:tc>
          <w:tcPr>
            <w:tcW w:w="168" w:type="dxa"/>
            <w:tcBorders>
              <w:top w:val="nil"/>
              <w:left w:val="nil"/>
              <w:bottom w:val="nil"/>
              <w:right w:val="nil"/>
            </w:tcBorders>
            <w:shd w:val="clear" w:color="000000" w:fill="BFBFBF"/>
            <w:noWrap/>
            <w:vAlign w:val="center"/>
            <w:hideMark/>
          </w:tcPr>
          <w:p w14:paraId="79CA9CD3" w14:textId="77777777" w:rsidR="00F76EE4" w:rsidRPr="00331790" w:rsidRDefault="00F76EE4" w:rsidP="000379CA">
            <w:pPr>
              <w:spacing w:after="0" w:line="240" w:lineRule="auto"/>
              <w:jc w:val="center"/>
              <w:rPr>
                <w:rFonts w:eastAsia="Times New Roman" w:cs="Times New Roman"/>
                <w:b/>
                <w:bCs/>
                <w:sz w:val="20"/>
                <w:szCs w:val="20"/>
                <w:lang w:eastAsia="sk-SK"/>
              </w:rPr>
            </w:pPr>
            <w:r w:rsidRPr="00331790">
              <w:rPr>
                <w:rFonts w:eastAsia="Times New Roman" w:cs="Times New Roman"/>
                <w:b/>
                <w:bCs/>
                <w:sz w:val="20"/>
                <w:szCs w:val="20"/>
                <w:lang w:eastAsia="sk-SK"/>
              </w:rPr>
              <w:t> </w:t>
            </w:r>
          </w:p>
        </w:tc>
        <w:tc>
          <w:tcPr>
            <w:tcW w:w="2240" w:type="dxa"/>
            <w:tcBorders>
              <w:top w:val="nil"/>
              <w:left w:val="nil"/>
              <w:bottom w:val="nil"/>
              <w:right w:val="nil"/>
            </w:tcBorders>
            <w:shd w:val="clear" w:color="000000" w:fill="BFBFBF"/>
            <w:noWrap/>
            <w:vAlign w:val="center"/>
            <w:hideMark/>
          </w:tcPr>
          <w:p w14:paraId="6CEF37AC" w14:textId="77777777" w:rsidR="00F76EE4" w:rsidRPr="00331790" w:rsidRDefault="00F76EE4" w:rsidP="000379CA">
            <w:pPr>
              <w:spacing w:after="0" w:line="240" w:lineRule="auto"/>
              <w:jc w:val="center"/>
              <w:rPr>
                <w:rFonts w:eastAsia="Times New Roman" w:cs="Times New Roman"/>
                <w:b/>
                <w:bCs/>
                <w:sz w:val="20"/>
                <w:szCs w:val="20"/>
                <w:lang w:eastAsia="sk-SK"/>
              </w:rPr>
            </w:pPr>
            <w:r w:rsidRPr="00331790">
              <w:rPr>
                <w:rFonts w:eastAsia="Times New Roman" w:cs="Times New Roman"/>
                <w:b/>
                <w:bCs/>
                <w:sz w:val="20"/>
                <w:szCs w:val="20"/>
                <w:lang w:eastAsia="sk-SK"/>
              </w:rPr>
              <w:t> </w:t>
            </w:r>
          </w:p>
        </w:tc>
        <w:tc>
          <w:tcPr>
            <w:tcW w:w="979" w:type="dxa"/>
            <w:tcBorders>
              <w:top w:val="nil"/>
              <w:left w:val="nil"/>
              <w:bottom w:val="nil"/>
              <w:right w:val="nil"/>
            </w:tcBorders>
            <w:shd w:val="clear" w:color="000000" w:fill="BFBFBF"/>
            <w:noWrap/>
            <w:vAlign w:val="center"/>
            <w:hideMark/>
          </w:tcPr>
          <w:p w14:paraId="3037A66A" w14:textId="77777777" w:rsidR="00F76EE4" w:rsidRPr="006D659D" w:rsidRDefault="00F76EE4" w:rsidP="000379CA">
            <w:pPr>
              <w:spacing w:after="0" w:line="240" w:lineRule="auto"/>
              <w:jc w:val="center"/>
              <w:rPr>
                <w:rFonts w:eastAsia="Times New Roman" w:cs="Times New Roman"/>
                <w:b/>
                <w:bCs/>
                <w:sz w:val="18"/>
                <w:szCs w:val="18"/>
                <w:lang w:eastAsia="sk-SK"/>
              </w:rPr>
            </w:pPr>
            <w:r w:rsidRPr="006D659D">
              <w:rPr>
                <w:rFonts w:eastAsia="Times New Roman" w:cs="Times New Roman"/>
                <w:b/>
                <w:bCs/>
                <w:sz w:val="18"/>
                <w:szCs w:val="18"/>
                <w:lang w:eastAsia="sk-SK"/>
              </w:rPr>
              <w:t>2018</w:t>
            </w:r>
          </w:p>
        </w:tc>
        <w:tc>
          <w:tcPr>
            <w:tcW w:w="958" w:type="dxa"/>
            <w:tcBorders>
              <w:top w:val="nil"/>
              <w:left w:val="nil"/>
              <w:bottom w:val="nil"/>
              <w:right w:val="nil"/>
            </w:tcBorders>
            <w:shd w:val="clear" w:color="000000" w:fill="BFBFBF"/>
            <w:noWrap/>
            <w:vAlign w:val="center"/>
            <w:hideMark/>
          </w:tcPr>
          <w:p w14:paraId="61F7FDC2" w14:textId="77777777" w:rsidR="00F76EE4" w:rsidRPr="006D659D" w:rsidRDefault="00F76EE4" w:rsidP="000379CA">
            <w:pPr>
              <w:spacing w:after="0" w:line="240" w:lineRule="auto"/>
              <w:jc w:val="center"/>
              <w:rPr>
                <w:rFonts w:eastAsia="Times New Roman" w:cs="Times New Roman"/>
                <w:b/>
                <w:bCs/>
                <w:sz w:val="18"/>
                <w:szCs w:val="18"/>
                <w:lang w:eastAsia="sk-SK"/>
              </w:rPr>
            </w:pPr>
            <w:r w:rsidRPr="006D659D">
              <w:rPr>
                <w:rFonts w:eastAsia="Times New Roman" w:cs="Times New Roman"/>
                <w:b/>
                <w:bCs/>
                <w:sz w:val="18"/>
                <w:szCs w:val="18"/>
                <w:lang w:eastAsia="sk-SK"/>
              </w:rPr>
              <w:t>2019</w:t>
            </w:r>
          </w:p>
        </w:tc>
        <w:tc>
          <w:tcPr>
            <w:tcW w:w="1004" w:type="dxa"/>
            <w:tcBorders>
              <w:top w:val="nil"/>
              <w:left w:val="nil"/>
              <w:bottom w:val="nil"/>
              <w:right w:val="nil"/>
            </w:tcBorders>
            <w:shd w:val="clear" w:color="000000" w:fill="BFBFBF"/>
            <w:noWrap/>
            <w:vAlign w:val="center"/>
            <w:hideMark/>
          </w:tcPr>
          <w:p w14:paraId="01CEDFBC" w14:textId="77777777" w:rsidR="00F76EE4" w:rsidRPr="006D659D" w:rsidRDefault="00F76EE4" w:rsidP="000379CA">
            <w:pPr>
              <w:spacing w:after="0" w:line="240" w:lineRule="auto"/>
              <w:jc w:val="center"/>
              <w:rPr>
                <w:rFonts w:eastAsia="Times New Roman" w:cs="Times New Roman"/>
                <w:b/>
                <w:bCs/>
                <w:sz w:val="18"/>
                <w:szCs w:val="18"/>
                <w:lang w:eastAsia="sk-SK"/>
              </w:rPr>
            </w:pPr>
            <w:r w:rsidRPr="006D659D">
              <w:rPr>
                <w:rFonts w:eastAsia="Times New Roman" w:cs="Times New Roman"/>
                <w:b/>
                <w:bCs/>
                <w:sz w:val="18"/>
                <w:szCs w:val="18"/>
                <w:lang w:eastAsia="sk-SK"/>
              </w:rPr>
              <w:t>2020</w:t>
            </w:r>
          </w:p>
        </w:tc>
        <w:tc>
          <w:tcPr>
            <w:tcW w:w="1146" w:type="dxa"/>
            <w:tcBorders>
              <w:top w:val="nil"/>
              <w:left w:val="nil"/>
              <w:bottom w:val="nil"/>
              <w:right w:val="nil"/>
            </w:tcBorders>
            <w:shd w:val="clear" w:color="000000" w:fill="BFBFBF"/>
            <w:noWrap/>
            <w:vAlign w:val="center"/>
            <w:hideMark/>
          </w:tcPr>
          <w:p w14:paraId="7869E41E" w14:textId="77777777" w:rsidR="00F76EE4" w:rsidRPr="006D659D" w:rsidRDefault="00F76EE4" w:rsidP="000379CA">
            <w:pPr>
              <w:spacing w:after="0" w:line="240" w:lineRule="auto"/>
              <w:jc w:val="center"/>
              <w:rPr>
                <w:rFonts w:eastAsia="Times New Roman" w:cs="Times New Roman"/>
                <w:b/>
                <w:bCs/>
                <w:sz w:val="18"/>
                <w:szCs w:val="18"/>
                <w:lang w:eastAsia="sk-SK"/>
              </w:rPr>
            </w:pPr>
            <w:r w:rsidRPr="006D659D">
              <w:rPr>
                <w:rFonts w:eastAsia="Times New Roman" w:cs="Times New Roman"/>
                <w:b/>
                <w:bCs/>
                <w:sz w:val="18"/>
                <w:szCs w:val="18"/>
                <w:lang w:eastAsia="sk-SK"/>
              </w:rPr>
              <w:t>2020</w:t>
            </w:r>
          </w:p>
        </w:tc>
        <w:tc>
          <w:tcPr>
            <w:tcW w:w="1134" w:type="dxa"/>
            <w:tcBorders>
              <w:top w:val="nil"/>
              <w:left w:val="nil"/>
              <w:bottom w:val="nil"/>
              <w:right w:val="nil"/>
            </w:tcBorders>
            <w:shd w:val="clear" w:color="000000" w:fill="BFBFBF"/>
            <w:noWrap/>
            <w:vAlign w:val="center"/>
            <w:hideMark/>
          </w:tcPr>
          <w:p w14:paraId="11615547" w14:textId="77777777" w:rsidR="00F76EE4" w:rsidRPr="006D659D" w:rsidRDefault="00F76EE4" w:rsidP="000379CA">
            <w:pPr>
              <w:spacing w:after="0" w:line="240" w:lineRule="auto"/>
              <w:jc w:val="center"/>
              <w:rPr>
                <w:rFonts w:eastAsia="Times New Roman" w:cs="Times New Roman"/>
                <w:b/>
                <w:bCs/>
                <w:sz w:val="18"/>
                <w:szCs w:val="18"/>
                <w:lang w:eastAsia="sk-SK"/>
              </w:rPr>
            </w:pPr>
            <w:r w:rsidRPr="006D659D">
              <w:rPr>
                <w:rFonts w:eastAsia="Times New Roman" w:cs="Times New Roman"/>
                <w:b/>
                <w:bCs/>
                <w:sz w:val="18"/>
                <w:szCs w:val="18"/>
                <w:lang w:eastAsia="sk-SK"/>
              </w:rPr>
              <w:t>2020</w:t>
            </w:r>
          </w:p>
        </w:tc>
        <w:tc>
          <w:tcPr>
            <w:tcW w:w="875" w:type="dxa"/>
            <w:tcBorders>
              <w:top w:val="nil"/>
              <w:left w:val="nil"/>
              <w:bottom w:val="nil"/>
              <w:right w:val="nil"/>
            </w:tcBorders>
            <w:shd w:val="clear" w:color="000000" w:fill="BFBFBF"/>
            <w:noWrap/>
            <w:vAlign w:val="center"/>
            <w:hideMark/>
          </w:tcPr>
          <w:p w14:paraId="5E115171" w14:textId="77777777" w:rsidR="00F76EE4" w:rsidRPr="006D659D" w:rsidRDefault="00F76EE4" w:rsidP="000379CA">
            <w:pPr>
              <w:spacing w:after="0" w:line="240" w:lineRule="auto"/>
              <w:jc w:val="center"/>
              <w:rPr>
                <w:rFonts w:eastAsia="Times New Roman" w:cs="Times New Roman"/>
                <w:b/>
                <w:bCs/>
                <w:sz w:val="18"/>
                <w:szCs w:val="18"/>
                <w:lang w:eastAsia="sk-SK"/>
              </w:rPr>
            </w:pPr>
            <w:r w:rsidRPr="006D659D">
              <w:rPr>
                <w:rFonts w:eastAsia="Times New Roman" w:cs="Times New Roman"/>
                <w:b/>
                <w:bCs/>
                <w:sz w:val="18"/>
                <w:szCs w:val="18"/>
                <w:lang w:eastAsia="sk-SK"/>
              </w:rPr>
              <w:t>2020</w:t>
            </w:r>
          </w:p>
        </w:tc>
      </w:tr>
      <w:tr w:rsidR="00F76EE4" w:rsidRPr="00331790" w14:paraId="4C6995EE" w14:textId="77777777" w:rsidTr="000379CA">
        <w:trPr>
          <w:trHeight w:val="143"/>
          <w:tblHeader/>
        </w:trPr>
        <w:tc>
          <w:tcPr>
            <w:tcW w:w="168" w:type="dxa"/>
            <w:tcBorders>
              <w:top w:val="nil"/>
              <w:left w:val="nil"/>
              <w:bottom w:val="nil"/>
              <w:right w:val="nil"/>
            </w:tcBorders>
            <w:shd w:val="clear" w:color="000000" w:fill="BFBFBF"/>
            <w:noWrap/>
            <w:vAlign w:val="center"/>
            <w:hideMark/>
          </w:tcPr>
          <w:p w14:paraId="78CAA74F" w14:textId="77777777" w:rsidR="00F76EE4" w:rsidRPr="00331790" w:rsidRDefault="00F76EE4" w:rsidP="000379CA">
            <w:pPr>
              <w:spacing w:after="0" w:line="240" w:lineRule="auto"/>
              <w:jc w:val="center"/>
              <w:rPr>
                <w:rFonts w:eastAsia="Times New Roman" w:cs="Times New Roman"/>
                <w:b/>
                <w:bCs/>
                <w:sz w:val="20"/>
                <w:szCs w:val="20"/>
                <w:lang w:eastAsia="sk-SK"/>
              </w:rPr>
            </w:pPr>
            <w:r w:rsidRPr="00331790">
              <w:rPr>
                <w:rFonts w:eastAsia="Times New Roman" w:cs="Times New Roman"/>
                <w:b/>
                <w:bCs/>
                <w:sz w:val="20"/>
                <w:szCs w:val="20"/>
                <w:lang w:eastAsia="sk-SK"/>
              </w:rPr>
              <w:t> </w:t>
            </w:r>
          </w:p>
        </w:tc>
        <w:tc>
          <w:tcPr>
            <w:tcW w:w="168" w:type="dxa"/>
            <w:tcBorders>
              <w:top w:val="nil"/>
              <w:left w:val="nil"/>
              <w:bottom w:val="nil"/>
              <w:right w:val="nil"/>
            </w:tcBorders>
            <w:shd w:val="clear" w:color="000000" w:fill="BFBFBF"/>
            <w:noWrap/>
            <w:vAlign w:val="center"/>
            <w:hideMark/>
          </w:tcPr>
          <w:p w14:paraId="11818115" w14:textId="77777777" w:rsidR="00F76EE4" w:rsidRPr="00331790" w:rsidRDefault="00F76EE4" w:rsidP="000379CA">
            <w:pPr>
              <w:spacing w:after="0" w:line="240" w:lineRule="auto"/>
              <w:jc w:val="center"/>
              <w:rPr>
                <w:rFonts w:eastAsia="Times New Roman" w:cs="Times New Roman"/>
                <w:b/>
                <w:bCs/>
                <w:sz w:val="20"/>
                <w:szCs w:val="20"/>
                <w:lang w:eastAsia="sk-SK"/>
              </w:rPr>
            </w:pPr>
            <w:r w:rsidRPr="00331790">
              <w:rPr>
                <w:rFonts w:eastAsia="Times New Roman" w:cs="Times New Roman"/>
                <w:b/>
                <w:bCs/>
                <w:sz w:val="20"/>
                <w:szCs w:val="20"/>
                <w:lang w:eastAsia="sk-SK"/>
              </w:rPr>
              <w:t> </w:t>
            </w:r>
          </w:p>
        </w:tc>
        <w:tc>
          <w:tcPr>
            <w:tcW w:w="2240" w:type="dxa"/>
            <w:tcBorders>
              <w:top w:val="nil"/>
              <w:left w:val="nil"/>
              <w:bottom w:val="nil"/>
              <w:right w:val="nil"/>
            </w:tcBorders>
            <w:shd w:val="clear" w:color="000000" w:fill="BFBFBF"/>
            <w:noWrap/>
            <w:vAlign w:val="center"/>
            <w:hideMark/>
          </w:tcPr>
          <w:p w14:paraId="3041AE04" w14:textId="77777777" w:rsidR="00F76EE4" w:rsidRPr="00331790" w:rsidRDefault="00F76EE4" w:rsidP="000379CA">
            <w:pPr>
              <w:spacing w:after="0" w:line="240" w:lineRule="auto"/>
              <w:jc w:val="center"/>
              <w:rPr>
                <w:rFonts w:eastAsia="Times New Roman" w:cs="Times New Roman"/>
                <w:b/>
                <w:bCs/>
                <w:sz w:val="20"/>
                <w:szCs w:val="20"/>
                <w:lang w:eastAsia="sk-SK"/>
              </w:rPr>
            </w:pPr>
            <w:r w:rsidRPr="00331790">
              <w:rPr>
                <w:rFonts w:eastAsia="Times New Roman" w:cs="Times New Roman"/>
                <w:b/>
                <w:bCs/>
                <w:sz w:val="20"/>
                <w:szCs w:val="20"/>
                <w:lang w:eastAsia="sk-SK"/>
              </w:rPr>
              <w:t> </w:t>
            </w:r>
          </w:p>
        </w:tc>
        <w:tc>
          <w:tcPr>
            <w:tcW w:w="979" w:type="dxa"/>
            <w:tcBorders>
              <w:top w:val="nil"/>
              <w:left w:val="nil"/>
              <w:bottom w:val="nil"/>
              <w:right w:val="nil"/>
            </w:tcBorders>
            <w:shd w:val="clear" w:color="000000" w:fill="BFBFBF"/>
            <w:noWrap/>
            <w:vAlign w:val="center"/>
            <w:hideMark/>
          </w:tcPr>
          <w:p w14:paraId="62BD8972" w14:textId="77777777" w:rsidR="00F76EE4" w:rsidRPr="006D659D" w:rsidRDefault="00F76EE4" w:rsidP="000379CA">
            <w:pPr>
              <w:spacing w:after="0" w:line="240" w:lineRule="auto"/>
              <w:jc w:val="center"/>
              <w:rPr>
                <w:rFonts w:eastAsia="Times New Roman" w:cs="Times New Roman"/>
                <w:b/>
                <w:bCs/>
                <w:sz w:val="18"/>
                <w:szCs w:val="18"/>
                <w:lang w:eastAsia="sk-SK"/>
              </w:rPr>
            </w:pPr>
            <w:r w:rsidRPr="006D659D">
              <w:rPr>
                <w:b/>
                <w:bCs/>
                <w:sz w:val="18"/>
                <w:szCs w:val="18"/>
              </w:rPr>
              <w:t>1</w:t>
            </w:r>
          </w:p>
        </w:tc>
        <w:tc>
          <w:tcPr>
            <w:tcW w:w="958" w:type="dxa"/>
            <w:tcBorders>
              <w:top w:val="nil"/>
              <w:left w:val="nil"/>
              <w:bottom w:val="nil"/>
              <w:right w:val="nil"/>
            </w:tcBorders>
            <w:shd w:val="clear" w:color="000000" w:fill="BFBFBF"/>
            <w:noWrap/>
            <w:vAlign w:val="center"/>
            <w:hideMark/>
          </w:tcPr>
          <w:p w14:paraId="1C4ECAE2" w14:textId="77777777" w:rsidR="00F76EE4" w:rsidRPr="006D659D" w:rsidRDefault="00F76EE4" w:rsidP="000379CA">
            <w:pPr>
              <w:spacing w:after="0" w:line="240" w:lineRule="auto"/>
              <w:jc w:val="center"/>
              <w:rPr>
                <w:rFonts w:eastAsia="Times New Roman" w:cs="Times New Roman"/>
                <w:b/>
                <w:bCs/>
                <w:sz w:val="18"/>
                <w:szCs w:val="18"/>
                <w:lang w:eastAsia="sk-SK"/>
              </w:rPr>
            </w:pPr>
            <w:r w:rsidRPr="006D659D">
              <w:rPr>
                <w:b/>
                <w:bCs/>
                <w:sz w:val="18"/>
                <w:szCs w:val="18"/>
              </w:rPr>
              <w:t>2</w:t>
            </w:r>
          </w:p>
        </w:tc>
        <w:tc>
          <w:tcPr>
            <w:tcW w:w="1004" w:type="dxa"/>
            <w:tcBorders>
              <w:top w:val="nil"/>
              <w:left w:val="nil"/>
              <w:bottom w:val="nil"/>
              <w:right w:val="nil"/>
            </w:tcBorders>
            <w:shd w:val="clear" w:color="000000" w:fill="BFBFBF"/>
            <w:noWrap/>
            <w:vAlign w:val="center"/>
            <w:hideMark/>
          </w:tcPr>
          <w:p w14:paraId="15CA0C3B" w14:textId="77777777" w:rsidR="00F76EE4" w:rsidRPr="006D659D" w:rsidRDefault="00F76EE4" w:rsidP="000379CA">
            <w:pPr>
              <w:spacing w:after="0" w:line="240" w:lineRule="auto"/>
              <w:jc w:val="center"/>
              <w:rPr>
                <w:rFonts w:eastAsia="Times New Roman" w:cs="Times New Roman"/>
                <w:b/>
                <w:bCs/>
                <w:sz w:val="18"/>
                <w:szCs w:val="18"/>
                <w:lang w:eastAsia="sk-SK"/>
              </w:rPr>
            </w:pPr>
            <w:r w:rsidRPr="006D659D">
              <w:rPr>
                <w:b/>
                <w:bCs/>
                <w:sz w:val="18"/>
                <w:szCs w:val="18"/>
              </w:rPr>
              <w:t>3</w:t>
            </w:r>
          </w:p>
        </w:tc>
        <w:tc>
          <w:tcPr>
            <w:tcW w:w="1146" w:type="dxa"/>
            <w:tcBorders>
              <w:top w:val="nil"/>
              <w:left w:val="nil"/>
              <w:bottom w:val="nil"/>
              <w:right w:val="nil"/>
            </w:tcBorders>
            <w:shd w:val="clear" w:color="000000" w:fill="BFBFBF"/>
            <w:noWrap/>
            <w:vAlign w:val="center"/>
            <w:hideMark/>
          </w:tcPr>
          <w:p w14:paraId="0343FBE5" w14:textId="77777777" w:rsidR="00F76EE4" w:rsidRPr="006D659D" w:rsidRDefault="00F76EE4" w:rsidP="000379CA">
            <w:pPr>
              <w:spacing w:after="0" w:line="240" w:lineRule="auto"/>
              <w:jc w:val="center"/>
              <w:rPr>
                <w:rFonts w:eastAsia="Times New Roman" w:cs="Times New Roman"/>
                <w:b/>
                <w:bCs/>
                <w:sz w:val="18"/>
                <w:szCs w:val="18"/>
                <w:lang w:eastAsia="sk-SK"/>
              </w:rPr>
            </w:pPr>
            <w:r w:rsidRPr="006D659D">
              <w:rPr>
                <w:b/>
                <w:bCs/>
                <w:sz w:val="18"/>
                <w:szCs w:val="18"/>
              </w:rPr>
              <w:t>4</w:t>
            </w:r>
          </w:p>
        </w:tc>
        <w:tc>
          <w:tcPr>
            <w:tcW w:w="1134" w:type="dxa"/>
            <w:tcBorders>
              <w:top w:val="nil"/>
              <w:left w:val="nil"/>
              <w:bottom w:val="nil"/>
              <w:right w:val="nil"/>
            </w:tcBorders>
            <w:shd w:val="clear" w:color="000000" w:fill="BFBFBF"/>
            <w:noWrap/>
            <w:vAlign w:val="center"/>
            <w:hideMark/>
          </w:tcPr>
          <w:p w14:paraId="6223261A" w14:textId="77777777" w:rsidR="00F76EE4" w:rsidRPr="006D659D" w:rsidRDefault="00F76EE4" w:rsidP="000379CA">
            <w:pPr>
              <w:spacing w:after="0" w:line="240" w:lineRule="auto"/>
              <w:jc w:val="center"/>
              <w:rPr>
                <w:rFonts w:eastAsia="Times New Roman" w:cs="Times New Roman"/>
                <w:b/>
                <w:bCs/>
                <w:sz w:val="18"/>
                <w:szCs w:val="18"/>
                <w:lang w:eastAsia="sk-SK"/>
              </w:rPr>
            </w:pPr>
            <w:r w:rsidRPr="006D659D">
              <w:rPr>
                <w:b/>
                <w:bCs/>
                <w:sz w:val="18"/>
                <w:szCs w:val="18"/>
              </w:rPr>
              <w:t>5</w:t>
            </w:r>
          </w:p>
        </w:tc>
        <w:tc>
          <w:tcPr>
            <w:tcW w:w="875" w:type="dxa"/>
            <w:tcBorders>
              <w:top w:val="nil"/>
              <w:left w:val="nil"/>
              <w:bottom w:val="nil"/>
              <w:right w:val="nil"/>
            </w:tcBorders>
            <w:shd w:val="clear" w:color="000000" w:fill="BFBFBF"/>
            <w:noWrap/>
            <w:vAlign w:val="center"/>
            <w:hideMark/>
          </w:tcPr>
          <w:p w14:paraId="7979B033" w14:textId="77777777" w:rsidR="00F76EE4" w:rsidRPr="006D659D" w:rsidRDefault="00F76EE4" w:rsidP="000379CA">
            <w:pPr>
              <w:spacing w:after="0" w:line="240" w:lineRule="auto"/>
              <w:jc w:val="center"/>
              <w:rPr>
                <w:rFonts w:eastAsia="Times New Roman" w:cs="Times New Roman"/>
                <w:b/>
                <w:bCs/>
                <w:sz w:val="18"/>
                <w:szCs w:val="18"/>
                <w:lang w:eastAsia="sk-SK"/>
              </w:rPr>
            </w:pPr>
            <w:r w:rsidRPr="006D659D">
              <w:rPr>
                <w:b/>
                <w:bCs/>
                <w:sz w:val="18"/>
                <w:szCs w:val="18"/>
              </w:rPr>
              <w:t>6=5-4</w:t>
            </w:r>
          </w:p>
        </w:tc>
      </w:tr>
      <w:tr w:rsidR="00F76EE4" w:rsidRPr="00B77B1C" w14:paraId="3CD01FB8" w14:textId="77777777" w:rsidTr="00DD13A1">
        <w:trPr>
          <w:trHeight w:val="348"/>
        </w:trPr>
        <w:tc>
          <w:tcPr>
            <w:tcW w:w="2576" w:type="dxa"/>
            <w:gridSpan w:val="3"/>
            <w:tcBorders>
              <w:top w:val="nil"/>
              <w:left w:val="nil"/>
              <w:bottom w:val="nil"/>
              <w:right w:val="nil"/>
            </w:tcBorders>
            <w:shd w:val="clear" w:color="000000" w:fill="FFFFFF"/>
            <w:noWrap/>
            <w:vAlign w:val="center"/>
            <w:hideMark/>
          </w:tcPr>
          <w:p w14:paraId="09A9999D" w14:textId="77777777" w:rsidR="00F76EE4" w:rsidRPr="00B77B1C" w:rsidRDefault="00F76EE4" w:rsidP="000379CA">
            <w:pPr>
              <w:spacing w:after="0" w:line="240" w:lineRule="auto"/>
              <w:jc w:val="left"/>
              <w:rPr>
                <w:rFonts w:eastAsia="Times New Roman" w:cs="Times New Roman"/>
                <w:b/>
                <w:bCs/>
                <w:color w:val="000000"/>
                <w:sz w:val="18"/>
                <w:szCs w:val="18"/>
                <w:lang w:eastAsia="sk-SK"/>
              </w:rPr>
            </w:pPr>
            <w:r w:rsidRPr="00B77B1C">
              <w:rPr>
                <w:rFonts w:eastAsia="Times New Roman" w:cs="Times New Roman"/>
                <w:b/>
                <w:bCs/>
                <w:color w:val="000000"/>
                <w:sz w:val="18"/>
                <w:szCs w:val="18"/>
                <w:lang w:eastAsia="sk-SK"/>
              </w:rPr>
              <w:t>Ústredná správa, z toho</w:t>
            </w:r>
          </w:p>
        </w:tc>
        <w:tc>
          <w:tcPr>
            <w:tcW w:w="979" w:type="dxa"/>
            <w:tcBorders>
              <w:top w:val="nil"/>
              <w:left w:val="nil"/>
              <w:bottom w:val="nil"/>
              <w:right w:val="nil"/>
            </w:tcBorders>
            <w:shd w:val="clear" w:color="000000" w:fill="FFFFFF"/>
            <w:noWrap/>
            <w:vAlign w:val="center"/>
            <w:hideMark/>
          </w:tcPr>
          <w:p w14:paraId="4A76E0D2" w14:textId="77777777" w:rsidR="00F76EE4" w:rsidRPr="00B77B1C" w:rsidRDefault="00F76EE4" w:rsidP="000379CA">
            <w:pPr>
              <w:spacing w:after="0" w:line="240" w:lineRule="auto"/>
              <w:jc w:val="left"/>
              <w:rPr>
                <w:rFonts w:eastAsia="Times New Roman" w:cs="Times New Roman"/>
                <w:b/>
                <w:bCs/>
                <w:color w:val="000000"/>
                <w:sz w:val="18"/>
                <w:szCs w:val="18"/>
                <w:lang w:eastAsia="sk-SK"/>
              </w:rPr>
            </w:pPr>
            <w:r w:rsidRPr="00B77B1C">
              <w:rPr>
                <w:rFonts w:eastAsia="Times New Roman" w:cs="Times New Roman"/>
                <w:b/>
                <w:bCs/>
                <w:color w:val="000000"/>
                <w:sz w:val="18"/>
                <w:szCs w:val="18"/>
                <w:lang w:eastAsia="sk-SK"/>
              </w:rPr>
              <w:t> </w:t>
            </w:r>
          </w:p>
        </w:tc>
        <w:tc>
          <w:tcPr>
            <w:tcW w:w="958" w:type="dxa"/>
            <w:tcBorders>
              <w:top w:val="nil"/>
              <w:left w:val="nil"/>
              <w:bottom w:val="nil"/>
              <w:right w:val="nil"/>
            </w:tcBorders>
            <w:shd w:val="clear" w:color="000000" w:fill="FFFFFF"/>
            <w:noWrap/>
            <w:vAlign w:val="center"/>
            <w:hideMark/>
          </w:tcPr>
          <w:p w14:paraId="4D9BA863" w14:textId="77777777" w:rsidR="00F76EE4" w:rsidRPr="00B77B1C" w:rsidRDefault="00F76EE4" w:rsidP="000379CA">
            <w:pPr>
              <w:spacing w:after="0" w:line="240" w:lineRule="auto"/>
              <w:jc w:val="left"/>
              <w:rPr>
                <w:rFonts w:eastAsia="Times New Roman" w:cs="Times New Roman"/>
                <w:b/>
                <w:bCs/>
                <w:color w:val="000000"/>
                <w:sz w:val="18"/>
                <w:szCs w:val="18"/>
                <w:lang w:eastAsia="sk-SK"/>
              </w:rPr>
            </w:pPr>
            <w:r w:rsidRPr="00B77B1C">
              <w:rPr>
                <w:rFonts w:eastAsia="Times New Roman" w:cs="Times New Roman"/>
                <w:b/>
                <w:bCs/>
                <w:color w:val="000000"/>
                <w:sz w:val="18"/>
                <w:szCs w:val="18"/>
                <w:lang w:eastAsia="sk-SK"/>
              </w:rPr>
              <w:t> </w:t>
            </w:r>
          </w:p>
        </w:tc>
        <w:tc>
          <w:tcPr>
            <w:tcW w:w="1004" w:type="dxa"/>
            <w:tcBorders>
              <w:top w:val="nil"/>
              <w:left w:val="nil"/>
              <w:bottom w:val="nil"/>
              <w:right w:val="nil"/>
            </w:tcBorders>
            <w:shd w:val="clear" w:color="000000" w:fill="FFFFFF"/>
            <w:noWrap/>
            <w:vAlign w:val="center"/>
            <w:hideMark/>
          </w:tcPr>
          <w:p w14:paraId="6797BE78" w14:textId="77777777" w:rsidR="00F76EE4" w:rsidRPr="00B77B1C" w:rsidRDefault="00F76EE4" w:rsidP="000379CA">
            <w:pPr>
              <w:spacing w:after="0" w:line="240" w:lineRule="auto"/>
              <w:jc w:val="left"/>
              <w:rPr>
                <w:rFonts w:eastAsia="Times New Roman" w:cs="Times New Roman"/>
                <w:b/>
                <w:bCs/>
                <w:color w:val="000000"/>
                <w:sz w:val="18"/>
                <w:szCs w:val="18"/>
                <w:lang w:eastAsia="sk-SK"/>
              </w:rPr>
            </w:pPr>
            <w:r w:rsidRPr="00B77B1C">
              <w:rPr>
                <w:rFonts w:eastAsia="Times New Roman" w:cs="Times New Roman"/>
                <w:b/>
                <w:bCs/>
                <w:color w:val="000000"/>
                <w:sz w:val="18"/>
                <w:szCs w:val="18"/>
                <w:lang w:eastAsia="sk-SK"/>
              </w:rPr>
              <w:t> </w:t>
            </w:r>
          </w:p>
        </w:tc>
        <w:tc>
          <w:tcPr>
            <w:tcW w:w="1146" w:type="dxa"/>
            <w:tcBorders>
              <w:top w:val="nil"/>
              <w:left w:val="nil"/>
              <w:bottom w:val="nil"/>
              <w:right w:val="nil"/>
            </w:tcBorders>
            <w:shd w:val="clear" w:color="000000" w:fill="FFFFFF"/>
            <w:noWrap/>
            <w:vAlign w:val="center"/>
            <w:hideMark/>
          </w:tcPr>
          <w:p w14:paraId="4372FFFF" w14:textId="77777777" w:rsidR="00F76EE4" w:rsidRPr="00B77B1C" w:rsidRDefault="00F76EE4" w:rsidP="000379CA">
            <w:pPr>
              <w:spacing w:after="0" w:line="240" w:lineRule="auto"/>
              <w:jc w:val="left"/>
              <w:rPr>
                <w:rFonts w:eastAsia="Times New Roman" w:cs="Times New Roman"/>
                <w:b/>
                <w:bCs/>
                <w:color w:val="000000"/>
                <w:sz w:val="18"/>
                <w:szCs w:val="18"/>
                <w:lang w:eastAsia="sk-SK"/>
              </w:rPr>
            </w:pPr>
            <w:r w:rsidRPr="00B77B1C">
              <w:rPr>
                <w:rFonts w:eastAsia="Times New Roman" w:cs="Times New Roman"/>
                <w:b/>
                <w:bCs/>
                <w:color w:val="000000"/>
                <w:sz w:val="18"/>
                <w:szCs w:val="18"/>
                <w:lang w:eastAsia="sk-SK"/>
              </w:rPr>
              <w:t> </w:t>
            </w:r>
          </w:p>
        </w:tc>
        <w:tc>
          <w:tcPr>
            <w:tcW w:w="1134" w:type="dxa"/>
            <w:tcBorders>
              <w:top w:val="nil"/>
              <w:left w:val="nil"/>
              <w:bottom w:val="nil"/>
              <w:right w:val="nil"/>
            </w:tcBorders>
            <w:shd w:val="clear" w:color="auto" w:fill="BFBFBF" w:themeFill="background1" w:themeFillShade="BF"/>
            <w:noWrap/>
            <w:vAlign w:val="center"/>
            <w:hideMark/>
          </w:tcPr>
          <w:p w14:paraId="2DD3C3E3" w14:textId="77777777" w:rsidR="00F76EE4" w:rsidRPr="00B77B1C" w:rsidRDefault="00F76EE4" w:rsidP="000379CA">
            <w:pPr>
              <w:spacing w:after="0" w:line="240" w:lineRule="auto"/>
              <w:jc w:val="left"/>
              <w:rPr>
                <w:rFonts w:eastAsia="Times New Roman" w:cs="Times New Roman"/>
                <w:b/>
                <w:bCs/>
                <w:color w:val="000000"/>
                <w:sz w:val="18"/>
                <w:szCs w:val="18"/>
                <w:lang w:eastAsia="sk-SK"/>
              </w:rPr>
            </w:pPr>
            <w:r w:rsidRPr="00B77B1C">
              <w:rPr>
                <w:rFonts w:eastAsia="Times New Roman" w:cs="Times New Roman"/>
                <w:b/>
                <w:bCs/>
                <w:color w:val="000000"/>
                <w:sz w:val="18"/>
                <w:szCs w:val="18"/>
                <w:lang w:eastAsia="sk-SK"/>
              </w:rPr>
              <w:t> </w:t>
            </w:r>
          </w:p>
        </w:tc>
        <w:tc>
          <w:tcPr>
            <w:tcW w:w="875" w:type="dxa"/>
            <w:tcBorders>
              <w:top w:val="nil"/>
              <w:left w:val="nil"/>
              <w:bottom w:val="nil"/>
              <w:right w:val="nil"/>
            </w:tcBorders>
            <w:shd w:val="clear" w:color="000000" w:fill="FFFFFF"/>
            <w:noWrap/>
            <w:vAlign w:val="center"/>
            <w:hideMark/>
          </w:tcPr>
          <w:p w14:paraId="300EA4AC" w14:textId="77777777" w:rsidR="00F76EE4" w:rsidRPr="00B77B1C" w:rsidRDefault="00F76EE4" w:rsidP="000379CA">
            <w:pPr>
              <w:spacing w:after="0" w:line="240" w:lineRule="auto"/>
              <w:jc w:val="left"/>
              <w:rPr>
                <w:rFonts w:eastAsia="Times New Roman" w:cs="Times New Roman"/>
                <w:b/>
                <w:bCs/>
                <w:color w:val="000000"/>
                <w:sz w:val="18"/>
                <w:szCs w:val="18"/>
                <w:lang w:eastAsia="sk-SK"/>
              </w:rPr>
            </w:pPr>
            <w:r w:rsidRPr="00B77B1C">
              <w:rPr>
                <w:rFonts w:eastAsia="Times New Roman" w:cs="Times New Roman"/>
                <w:b/>
                <w:bCs/>
                <w:color w:val="000000"/>
                <w:sz w:val="18"/>
                <w:szCs w:val="18"/>
                <w:lang w:eastAsia="sk-SK"/>
              </w:rPr>
              <w:t> </w:t>
            </w:r>
          </w:p>
        </w:tc>
      </w:tr>
      <w:tr w:rsidR="00F76EE4" w:rsidRPr="00331790" w14:paraId="293A2F6A" w14:textId="77777777" w:rsidTr="000379CA">
        <w:trPr>
          <w:trHeight w:val="348"/>
        </w:trPr>
        <w:tc>
          <w:tcPr>
            <w:tcW w:w="168" w:type="dxa"/>
            <w:tcBorders>
              <w:top w:val="nil"/>
              <w:left w:val="nil"/>
              <w:bottom w:val="nil"/>
              <w:right w:val="nil"/>
            </w:tcBorders>
            <w:shd w:val="clear" w:color="000000" w:fill="FFFFFF"/>
            <w:noWrap/>
            <w:vAlign w:val="center"/>
            <w:hideMark/>
          </w:tcPr>
          <w:p w14:paraId="175DA964" w14:textId="77777777" w:rsidR="00F76EE4" w:rsidRPr="00331790" w:rsidRDefault="00F76EE4" w:rsidP="000379CA">
            <w:pPr>
              <w:spacing w:after="0" w:line="240" w:lineRule="auto"/>
              <w:jc w:val="right"/>
              <w:rPr>
                <w:rFonts w:eastAsia="Times New Roman" w:cs="Times New Roman"/>
                <w:sz w:val="20"/>
                <w:szCs w:val="20"/>
                <w:lang w:eastAsia="sk-SK"/>
              </w:rPr>
            </w:pPr>
            <w:r w:rsidRPr="00331790">
              <w:rPr>
                <w:rFonts w:eastAsia="Times New Roman" w:cs="Times New Roman"/>
                <w:sz w:val="20"/>
                <w:szCs w:val="20"/>
                <w:lang w:eastAsia="sk-SK"/>
              </w:rPr>
              <w:t> </w:t>
            </w:r>
          </w:p>
        </w:tc>
        <w:tc>
          <w:tcPr>
            <w:tcW w:w="2408" w:type="dxa"/>
            <w:gridSpan w:val="2"/>
            <w:tcBorders>
              <w:top w:val="nil"/>
              <w:left w:val="nil"/>
              <w:bottom w:val="nil"/>
              <w:right w:val="nil"/>
            </w:tcBorders>
            <w:shd w:val="clear" w:color="000000" w:fill="FFFFFF"/>
            <w:noWrap/>
            <w:vAlign w:val="center"/>
            <w:hideMark/>
          </w:tcPr>
          <w:p w14:paraId="7F38291B" w14:textId="77777777" w:rsidR="00F76EE4" w:rsidRPr="00B77B1C" w:rsidRDefault="00F76EE4" w:rsidP="000379CA">
            <w:pPr>
              <w:spacing w:after="0" w:line="240" w:lineRule="auto"/>
              <w:jc w:val="left"/>
              <w:rPr>
                <w:rFonts w:eastAsia="Times New Roman" w:cs="Times New Roman"/>
                <w:sz w:val="18"/>
                <w:szCs w:val="18"/>
                <w:lang w:eastAsia="sk-SK"/>
              </w:rPr>
            </w:pPr>
            <w:r w:rsidRPr="00B77B1C">
              <w:rPr>
                <w:rFonts w:eastAsia="Times New Roman" w:cs="Times New Roman"/>
                <w:sz w:val="18"/>
                <w:szCs w:val="18"/>
                <w:lang w:eastAsia="sk-SK"/>
              </w:rPr>
              <w:t>Štátny rozpočet</w:t>
            </w:r>
            <w:r w:rsidRPr="00B77B1C">
              <w:rPr>
                <w:rFonts w:eastAsia="Times New Roman" w:cs="Times New Roman"/>
                <w:sz w:val="18"/>
                <w:szCs w:val="18"/>
                <w:vertAlign w:val="superscript"/>
                <w:lang w:eastAsia="sk-SK"/>
              </w:rPr>
              <w:t>1)</w:t>
            </w:r>
          </w:p>
        </w:tc>
        <w:tc>
          <w:tcPr>
            <w:tcW w:w="979" w:type="dxa"/>
            <w:tcBorders>
              <w:top w:val="nil"/>
              <w:left w:val="nil"/>
              <w:bottom w:val="nil"/>
              <w:right w:val="nil"/>
            </w:tcBorders>
            <w:shd w:val="clear" w:color="000000" w:fill="FFFFFF"/>
            <w:noWrap/>
            <w:vAlign w:val="center"/>
            <w:hideMark/>
          </w:tcPr>
          <w:p w14:paraId="288DF176"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-1 498 741</w:t>
            </w:r>
          </w:p>
        </w:tc>
        <w:tc>
          <w:tcPr>
            <w:tcW w:w="958" w:type="dxa"/>
            <w:tcBorders>
              <w:top w:val="nil"/>
              <w:left w:val="nil"/>
              <w:bottom w:val="nil"/>
              <w:right w:val="nil"/>
            </w:tcBorders>
            <w:shd w:val="clear" w:color="000000" w:fill="FFFFFF"/>
            <w:noWrap/>
            <w:vAlign w:val="center"/>
            <w:hideMark/>
          </w:tcPr>
          <w:p w14:paraId="6875110F"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-1</w:t>
            </w:r>
            <w:r>
              <w:rPr>
                <w:rFonts w:eastAsia="Times New Roman" w:cs="Times New Roman"/>
                <w:sz w:val="18"/>
                <w:szCs w:val="18"/>
                <w:lang w:eastAsia="sk-SK"/>
              </w:rPr>
              <w:t> 774 115</w:t>
            </w:r>
            <w:r w:rsidRPr="00B77B1C">
              <w:rPr>
                <w:rFonts w:eastAsia="Times New Roman" w:cs="Times New Roman"/>
                <w:sz w:val="18"/>
                <w:szCs w:val="18"/>
                <w:lang w:eastAsia="sk-SK"/>
              </w:rPr>
              <w:t xml:space="preserve"> </w:t>
            </w:r>
          </w:p>
        </w:tc>
        <w:tc>
          <w:tcPr>
            <w:tcW w:w="1004" w:type="dxa"/>
            <w:tcBorders>
              <w:top w:val="nil"/>
              <w:left w:val="nil"/>
              <w:bottom w:val="nil"/>
              <w:right w:val="nil"/>
            </w:tcBorders>
            <w:shd w:val="clear" w:color="000000" w:fill="FFFFFF"/>
            <w:noWrap/>
            <w:vAlign w:val="center"/>
            <w:hideMark/>
          </w:tcPr>
          <w:p w14:paraId="6E1C5A71"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-1 519 086</w:t>
            </w:r>
          </w:p>
        </w:tc>
        <w:tc>
          <w:tcPr>
            <w:tcW w:w="1146" w:type="dxa"/>
            <w:tcBorders>
              <w:top w:val="nil"/>
              <w:left w:val="nil"/>
              <w:bottom w:val="nil"/>
              <w:right w:val="nil"/>
            </w:tcBorders>
            <w:shd w:val="clear" w:color="000000" w:fill="FFFFFF"/>
            <w:noWrap/>
            <w:vAlign w:val="center"/>
            <w:hideMark/>
          </w:tcPr>
          <w:p w14:paraId="50C693C4"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-9 833 796</w:t>
            </w:r>
          </w:p>
        </w:tc>
        <w:tc>
          <w:tcPr>
            <w:tcW w:w="1134" w:type="dxa"/>
            <w:tcBorders>
              <w:top w:val="nil"/>
              <w:left w:val="nil"/>
              <w:bottom w:val="nil"/>
              <w:right w:val="nil"/>
            </w:tcBorders>
            <w:shd w:val="clear" w:color="auto" w:fill="BFBFBF" w:themeFill="background1" w:themeFillShade="BF"/>
            <w:noWrap/>
            <w:vAlign w:val="center"/>
            <w:hideMark/>
          </w:tcPr>
          <w:p w14:paraId="6D1FA3A3"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-6 369 492</w:t>
            </w:r>
          </w:p>
        </w:tc>
        <w:tc>
          <w:tcPr>
            <w:tcW w:w="875" w:type="dxa"/>
            <w:tcBorders>
              <w:top w:val="nil"/>
              <w:left w:val="nil"/>
              <w:bottom w:val="nil"/>
              <w:right w:val="nil"/>
            </w:tcBorders>
            <w:shd w:val="clear" w:color="000000" w:fill="FFFFFF"/>
            <w:noWrap/>
            <w:vAlign w:val="center"/>
            <w:hideMark/>
          </w:tcPr>
          <w:p w14:paraId="71D59175"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3 464 304</w:t>
            </w:r>
          </w:p>
        </w:tc>
      </w:tr>
      <w:tr w:rsidR="00F76EE4" w:rsidRPr="00331790" w14:paraId="1AA4F035" w14:textId="77777777" w:rsidTr="000379CA">
        <w:trPr>
          <w:trHeight w:val="348"/>
        </w:trPr>
        <w:tc>
          <w:tcPr>
            <w:tcW w:w="168" w:type="dxa"/>
            <w:tcBorders>
              <w:top w:val="nil"/>
              <w:left w:val="nil"/>
              <w:bottom w:val="nil"/>
              <w:right w:val="nil"/>
            </w:tcBorders>
            <w:shd w:val="clear" w:color="000000" w:fill="FFFFFF"/>
            <w:noWrap/>
            <w:vAlign w:val="center"/>
            <w:hideMark/>
          </w:tcPr>
          <w:p w14:paraId="3839BD5D" w14:textId="77777777" w:rsidR="00F76EE4" w:rsidRPr="00331790" w:rsidRDefault="00F76EE4" w:rsidP="000379CA">
            <w:pPr>
              <w:spacing w:after="0" w:line="240" w:lineRule="auto"/>
              <w:jc w:val="right"/>
              <w:rPr>
                <w:rFonts w:eastAsia="Times New Roman" w:cs="Times New Roman"/>
                <w:sz w:val="20"/>
                <w:szCs w:val="20"/>
                <w:lang w:eastAsia="sk-SK"/>
              </w:rPr>
            </w:pPr>
            <w:r w:rsidRPr="00331790">
              <w:rPr>
                <w:rFonts w:eastAsia="Times New Roman" w:cs="Times New Roman"/>
                <w:sz w:val="20"/>
                <w:szCs w:val="20"/>
                <w:lang w:eastAsia="sk-SK"/>
              </w:rPr>
              <w:t> </w:t>
            </w:r>
          </w:p>
        </w:tc>
        <w:tc>
          <w:tcPr>
            <w:tcW w:w="2408" w:type="dxa"/>
            <w:gridSpan w:val="2"/>
            <w:tcBorders>
              <w:top w:val="nil"/>
              <w:left w:val="nil"/>
              <w:bottom w:val="nil"/>
              <w:right w:val="nil"/>
            </w:tcBorders>
            <w:shd w:val="clear" w:color="000000" w:fill="FFFFFF"/>
            <w:noWrap/>
            <w:vAlign w:val="center"/>
            <w:hideMark/>
          </w:tcPr>
          <w:p w14:paraId="1A227A0B" w14:textId="77777777" w:rsidR="00F76EE4" w:rsidRPr="00B77B1C" w:rsidRDefault="00F76EE4" w:rsidP="000379CA">
            <w:pPr>
              <w:spacing w:after="0" w:line="240" w:lineRule="auto"/>
              <w:jc w:val="left"/>
              <w:rPr>
                <w:rFonts w:eastAsia="Times New Roman" w:cs="Times New Roman"/>
                <w:sz w:val="18"/>
                <w:szCs w:val="18"/>
                <w:lang w:eastAsia="sk-SK"/>
              </w:rPr>
            </w:pPr>
            <w:r w:rsidRPr="00B77B1C">
              <w:rPr>
                <w:rFonts w:eastAsia="Times New Roman" w:cs="Times New Roman"/>
                <w:sz w:val="18"/>
                <w:szCs w:val="18"/>
                <w:lang w:eastAsia="sk-SK"/>
              </w:rPr>
              <w:t>Príspevkové organizácie ústrednej správy</w:t>
            </w:r>
          </w:p>
        </w:tc>
        <w:tc>
          <w:tcPr>
            <w:tcW w:w="979" w:type="dxa"/>
            <w:tcBorders>
              <w:top w:val="nil"/>
              <w:left w:val="nil"/>
              <w:bottom w:val="nil"/>
              <w:right w:val="nil"/>
            </w:tcBorders>
            <w:shd w:val="clear" w:color="000000" w:fill="FFFFFF"/>
            <w:noWrap/>
            <w:vAlign w:val="center"/>
            <w:hideMark/>
          </w:tcPr>
          <w:p w14:paraId="37B0C8FF"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2 002</w:t>
            </w:r>
          </w:p>
        </w:tc>
        <w:tc>
          <w:tcPr>
            <w:tcW w:w="958" w:type="dxa"/>
            <w:tcBorders>
              <w:top w:val="nil"/>
              <w:left w:val="nil"/>
              <w:bottom w:val="nil"/>
              <w:right w:val="nil"/>
            </w:tcBorders>
            <w:shd w:val="clear" w:color="000000" w:fill="FFFFFF"/>
            <w:noWrap/>
            <w:vAlign w:val="center"/>
            <w:hideMark/>
          </w:tcPr>
          <w:p w14:paraId="141B9FAD"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22 675</w:t>
            </w:r>
          </w:p>
        </w:tc>
        <w:tc>
          <w:tcPr>
            <w:tcW w:w="1004" w:type="dxa"/>
            <w:tcBorders>
              <w:top w:val="nil"/>
              <w:left w:val="nil"/>
              <w:bottom w:val="nil"/>
              <w:right w:val="nil"/>
            </w:tcBorders>
            <w:shd w:val="clear" w:color="000000" w:fill="FFFFFF"/>
            <w:noWrap/>
            <w:vAlign w:val="center"/>
            <w:hideMark/>
          </w:tcPr>
          <w:p w14:paraId="02C97CCE"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-5 862</w:t>
            </w:r>
          </w:p>
        </w:tc>
        <w:tc>
          <w:tcPr>
            <w:tcW w:w="1146" w:type="dxa"/>
            <w:tcBorders>
              <w:top w:val="nil"/>
              <w:left w:val="nil"/>
              <w:bottom w:val="nil"/>
              <w:right w:val="nil"/>
            </w:tcBorders>
            <w:shd w:val="clear" w:color="000000" w:fill="FFFFFF"/>
            <w:noWrap/>
            <w:vAlign w:val="center"/>
            <w:hideMark/>
          </w:tcPr>
          <w:p w14:paraId="06C58CDB"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-5 862</w:t>
            </w:r>
          </w:p>
        </w:tc>
        <w:tc>
          <w:tcPr>
            <w:tcW w:w="1134" w:type="dxa"/>
            <w:tcBorders>
              <w:top w:val="nil"/>
              <w:left w:val="nil"/>
              <w:bottom w:val="nil"/>
              <w:right w:val="nil"/>
            </w:tcBorders>
            <w:shd w:val="clear" w:color="auto" w:fill="BFBFBF" w:themeFill="background1" w:themeFillShade="BF"/>
            <w:noWrap/>
            <w:vAlign w:val="center"/>
            <w:hideMark/>
          </w:tcPr>
          <w:p w14:paraId="63B972DE"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34 154</w:t>
            </w:r>
          </w:p>
        </w:tc>
        <w:tc>
          <w:tcPr>
            <w:tcW w:w="875" w:type="dxa"/>
            <w:tcBorders>
              <w:top w:val="nil"/>
              <w:left w:val="nil"/>
              <w:bottom w:val="nil"/>
              <w:right w:val="nil"/>
            </w:tcBorders>
            <w:shd w:val="clear" w:color="000000" w:fill="FFFFFF"/>
            <w:noWrap/>
            <w:vAlign w:val="center"/>
            <w:hideMark/>
          </w:tcPr>
          <w:p w14:paraId="5C78A027"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40 016</w:t>
            </w:r>
          </w:p>
        </w:tc>
      </w:tr>
      <w:tr w:rsidR="00F76EE4" w:rsidRPr="00331790" w14:paraId="6DDDA098" w14:textId="77777777" w:rsidTr="000379CA">
        <w:trPr>
          <w:trHeight w:val="348"/>
        </w:trPr>
        <w:tc>
          <w:tcPr>
            <w:tcW w:w="168" w:type="dxa"/>
            <w:tcBorders>
              <w:top w:val="nil"/>
              <w:left w:val="nil"/>
              <w:bottom w:val="nil"/>
              <w:right w:val="nil"/>
            </w:tcBorders>
            <w:shd w:val="clear" w:color="000000" w:fill="FFFFFF"/>
            <w:noWrap/>
            <w:vAlign w:val="center"/>
            <w:hideMark/>
          </w:tcPr>
          <w:p w14:paraId="449FD448" w14:textId="77777777" w:rsidR="00F76EE4" w:rsidRPr="00331790" w:rsidRDefault="00F76EE4" w:rsidP="000379CA">
            <w:pPr>
              <w:spacing w:after="0" w:line="240" w:lineRule="auto"/>
              <w:jc w:val="right"/>
              <w:rPr>
                <w:rFonts w:eastAsia="Times New Roman" w:cs="Times New Roman"/>
                <w:sz w:val="20"/>
                <w:szCs w:val="20"/>
                <w:lang w:eastAsia="sk-SK"/>
              </w:rPr>
            </w:pPr>
            <w:r w:rsidRPr="00331790">
              <w:rPr>
                <w:rFonts w:eastAsia="Times New Roman" w:cs="Times New Roman"/>
                <w:sz w:val="20"/>
                <w:szCs w:val="20"/>
                <w:lang w:eastAsia="sk-SK"/>
              </w:rPr>
              <w:t> </w:t>
            </w:r>
          </w:p>
        </w:tc>
        <w:tc>
          <w:tcPr>
            <w:tcW w:w="2408" w:type="dxa"/>
            <w:gridSpan w:val="2"/>
            <w:tcBorders>
              <w:top w:val="nil"/>
              <w:left w:val="nil"/>
              <w:bottom w:val="nil"/>
              <w:right w:val="nil"/>
            </w:tcBorders>
            <w:shd w:val="clear" w:color="000000" w:fill="FFFFFF"/>
            <w:noWrap/>
            <w:vAlign w:val="center"/>
            <w:hideMark/>
          </w:tcPr>
          <w:p w14:paraId="429F9C62" w14:textId="77777777" w:rsidR="00F76EE4" w:rsidRPr="00B77B1C" w:rsidRDefault="00F76EE4" w:rsidP="000379CA">
            <w:pPr>
              <w:spacing w:after="0" w:line="240" w:lineRule="auto"/>
              <w:jc w:val="left"/>
              <w:rPr>
                <w:rFonts w:eastAsia="Times New Roman" w:cs="Times New Roman"/>
                <w:sz w:val="18"/>
                <w:szCs w:val="18"/>
                <w:lang w:eastAsia="sk-SK"/>
              </w:rPr>
            </w:pPr>
            <w:r w:rsidRPr="00B77B1C">
              <w:rPr>
                <w:rFonts w:eastAsia="Times New Roman" w:cs="Times New Roman"/>
                <w:sz w:val="18"/>
                <w:szCs w:val="18"/>
                <w:lang w:eastAsia="sk-SK"/>
              </w:rPr>
              <w:t>Štátne fondy</w:t>
            </w:r>
          </w:p>
        </w:tc>
        <w:tc>
          <w:tcPr>
            <w:tcW w:w="979" w:type="dxa"/>
            <w:tcBorders>
              <w:top w:val="nil"/>
              <w:left w:val="nil"/>
              <w:bottom w:val="nil"/>
              <w:right w:val="nil"/>
            </w:tcBorders>
            <w:shd w:val="clear" w:color="000000" w:fill="FFFFFF"/>
            <w:noWrap/>
            <w:vAlign w:val="center"/>
            <w:hideMark/>
          </w:tcPr>
          <w:p w14:paraId="003F275C"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101 098</w:t>
            </w:r>
          </w:p>
        </w:tc>
        <w:tc>
          <w:tcPr>
            <w:tcW w:w="958" w:type="dxa"/>
            <w:tcBorders>
              <w:top w:val="nil"/>
              <w:left w:val="nil"/>
              <w:bottom w:val="nil"/>
              <w:right w:val="nil"/>
            </w:tcBorders>
            <w:shd w:val="clear" w:color="000000" w:fill="FFFFFF"/>
            <w:noWrap/>
            <w:vAlign w:val="center"/>
            <w:hideMark/>
          </w:tcPr>
          <w:p w14:paraId="11D59A0A"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87 162</w:t>
            </w:r>
          </w:p>
        </w:tc>
        <w:tc>
          <w:tcPr>
            <w:tcW w:w="1004" w:type="dxa"/>
            <w:tcBorders>
              <w:top w:val="nil"/>
              <w:left w:val="nil"/>
              <w:bottom w:val="nil"/>
              <w:right w:val="nil"/>
            </w:tcBorders>
            <w:shd w:val="clear" w:color="000000" w:fill="FFFFFF"/>
            <w:noWrap/>
            <w:vAlign w:val="center"/>
            <w:hideMark/>
          </w:tcPr>
          <w:p w14:paraId="4A832C27"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297 729</w:t>
            </w:r>
          </w:p>
        </w:tc>
        <w:tc>
          <w:tcPr>
            <w:tcW w:w="1146" w:type="dxa"/>
            <w:tcBorders>
              <w:top w:val="nil"/>
              <w:left w:val="nil"/>
              <w:bottom w:val="nil"/>
              <w:right w:val="nil"/>
            </w:tcBorders>
            <w:shd w:val="clear" w:color="000000" w:fill="FFFFFF"/>
            <w:noWrap/>
            <w:vAlign w:val="center"/>
            <w:hideMark/>
          </w:tcPr>
          <w:p w14:paraId="2541B70E"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97 664</w:t>
            </w:r>
          </w:p>
        </w:tc>
        <w:tc>
          <w:tcPr>
            <w:tcW w:w="1134" w:type="dxa"/>
            <w:tcBorders>
              <w:top w:val="nil"/>
              <w:left w:val="nil"/>
              <w:bottom w:val="nil"/>
              <w:right w:val="nil"/>
            </w:tcBorders>
            <w:shd w:val="clear" w:color="auto" w:fill="BFBFBF" w:themeFill="background1" w:themeFillShade="BF"/>
            <w:noWrap/>
            <w:vAlign w:val="center"/>
            <w:hideMark/>
          </w:tcPr>
          <w:p w14:paraId="65186CCD"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140 513</w:t>
            </w:r>
          </w:p>
        </w:tc>
        <w:tc>
          <w:tcPr>
            <w:tcW w:w="875" w:type="dxa"/>
            <w:tcBorders>
              <w:top w:val="nil"/>
              <w:left w:val="nil"/>
              <w:bottom w:val="nil"/>
              <w:right w:val="nil"/>
            </w:tcBorders>
            <w:shd w:val="clear" w:color="000000" w:fill="FFFFFF"/>
            <w:noWrap/>
            <w:vAlign w:val="center"/>
            <w:hideMark/>
          </w:tcPr>
          <w:p w14:paraId="7512D0B5"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42 849</w:t>
            </w:r>
          </w:p>
        </w:tc>
      </w:tr>
      <w:tr w:rsidR="00F76EE4" w:rsidRPr="00331790" w14:paraId="4CE4725D" w14:textId="77777777" w:rsidTr="000379CA">
        <w:trPr>
          <w:trHeight w:val="348"/>
        </w:trPr>
        <w:tc>
          <w:tcPr>
            <w:tcW w:w="168" w:type="dxa"/>
            <w:tcBorders>
              <w:top w:val="nil"/>
              <w:left w:val="nil"/>
              <w:bottom w:val="nil"/>
              <w:right w:val="nil"/>
            </w:tcBorders>
            <w:shd w:val="clear" w:color="000000" w:fill="FFFFFF"/>
            <w:noWrap/>
            <w:vAlign w:val="center"/>
            <w:hideMark/>
          </w:tcPr>
          <w:p w14:paraId="6A66D656" w14:textId="77777777" w:rsidR="00F76EE4" w:rsidRPr="00331790" w:rsidRDefault="00F76EE4" w:rsidP="000379CA">
            <w:pPr>
              <w:spacing w:after="0" w:line="240" w:lineRule="auto"/>
              <w:jc w:val="right"/>
              <w:rPr>
                <w:rFonts w:eastAsia="Times New Roman" w:cs="Times New Roman"/>
                <w:sz w:val="20"/>
                <w:szCs w:val="20"/>
                <w:lang w:eastAsia="sk-SK"/>
              </w:rPr>
            </w:pPr>
            <w:r w:rsidRPr="00331790">
              <w:rPr>
                <w:rFonts w:eastAsia="Times New Roman" w:cs="Times New Roman"/>
                <w:sz w:val="20"/>
                <w:szCs w:val="20"/>
                <w:lang w:eastAsia="sk-SK"/>
              </w:rPr>
              <w:t> </w:t>
            </w:r>
          </w:p>
        </w:tc>
        <w:tc>
          <w:tcPr>
            <w:tcW w:w="2408" w:type="dxa"/>
            <w:gridSpan w:val="2"/>
            <w:tcBorders>
              <w:top w:val="nil"/>
              <w:left w:val="nil"/>
              <w:bottom w:val="nil"/>
              <w:right w:val="nil"/>
            </w:tcBorders>
            <w:shd w:val="clear" w:color="000000" w:fill="FFFFFF"/>
            <w:noWrap/>
            <w:vAlign w:val="center"/>
            <w:hideMark/>
          </w:tcPr>
          <w:p w14:paraId="06398979" w14:textId="77777777" w:rsidR="00F76EE4" w:rsidRPr="00B77B1C" w:rsidRDefault="00F76EE4" w:rsidP="000379CA">
            <w:pPr>
              <w:spacing w:after="0" w:line="240" w:lineRule="auto"/>
              <w:jc w:val="left"/>
              <w:rPr>
                <w:rFonts w:eastAsia="Times New Roman" w:cs="Times New Roman"/>
                <w:sz w:val="18"/>
                <w:szCs w:val="18"/>
                <w:lang w:eastAsia="sk-SK"/>
              </w:rPr>
            </w:pPr>
            <w:r w:rsidRPr="00B77B1C">
              <w:rPr>
                <w:rFonts w:eastAsia="Times New Roman" w:cs="Times New Roman"/>
                <w:sz w:val="18"/>
                <w:szCs w:val="18"/>
                <w:lang w:eastAsia="sk-SK"/>
              </w:rPr>
              <w:t>Eximbanka SR</w:t>
            </w:r>
          </w:p>
        </w:tc>
        <w:tc>
          <w:tcPr>
            <w:tcW w:w="979" w:type="dxa"/>
            <w:tcBorders>
              <w:top w:val="nil"/>
              <w:left w:val="nil"/>
              <w:bottom w:val="nil"/>
              <w:right w:val="nil"/>
            </w:tcBorders>
            <w:shd w:val="clear" w:color="000000" w:fill="FFFFFF"/>
            <w:noWrap/>
            <w:vAlign w:val="center"/>
            <w:hideMark/>
          </w:tcPr>
          <w:p w14:paraId="685B8D78"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13 776</w:t>
            </w:r>
          </w:p>
        </w:tc>
        <w:tc>
          <w:tcPr>
            <w:tcW w:w="958" w:type="dxa"/>
            <w:tcBorders>
              <w:top w:val="nil"/>
              <w:left w:val="nil"/>
              <w:bottom w:val="nil"/>
              <w:right w:val="nil"/>
            </w:tcBorders>
            <w:shd w:val="clear" w:color="000000" w:fill="FFFFFF"/>
            <w:noWrap/>
            <w:vAlign w:val="center"/>
            <w:hideMark/>
          </w:tcPr>
          <w:p w14:paraId="1B4F1C5F"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4 414</w:t>
            </w:r>
          </w:p>
        </w:tc>
        <w:tc>
          <w:tcPr>
            <w:tcW w:w="1004" w:type="dxa"/>
            <w:tcBorders>
              <w:top w:val="nil"/>
              <w:left w:val="nil"/>
              <w:bottom w:val="nil"/>
              <w:right w:val="nil"/>
            </w:tcBorders>
            <w:shd w:val="clear" w:color="000000" w:fill="FFFFFF"/>
            <w:noWrap/>
            <w:vAlign w:val="center"/>
            <w:hideMark/>
          </w:tcPr>
          <w:p w14:paraId="450031F1"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900</w:t>
            </w:r>
          </w:p>
        </w:tc>
        <w:tc>
          <w:tcPr>
            <w:tcW w:w="1146" w:type="dxa"/>
            <w:tcBorders>
              <w:top w:val="nil"/>
              <w:left w:val="nil"/>
              <w:bottom w:val="nil"/>
              <w:right w:val="nil"/>
            </w:tcBorders>
            <w:shd w:val="clear" w:color="000000" w:fill="FFFFFF"/>
            <w:noWrap/>
            <w:vAlign w:val="center"/>
            <w:hideMark/>
          </w:tcPr>
          <w:p w14:paraId="3388C4B1"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1 100</w:t>
            </w:r>
          </w:p>
        </w:tc>
        <w:tc>
          <w:tcPr>
            <w:tcW w:w="1134" w:type="dxa"/>
            <w:tcBorders>
              <w:top w:val="nil"/>
              <w:left w:val="nil"/>
              <w:bottom w:val="nil"/>
              <w:right w:val="nil"/>
            </w:tcBorders>
            <w:shd w:val="clear" w:color="auto" w:fill="BFBFBF" w:themeFill="background1" w:themeFillShade="BF"/>
            <w:noWrap/>
            <w:vAlign w:val="center"/>
            <w:hideMark/>
          </w:tcPr>
          <w:p w14:paraId="20EE817C"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2 026</w:t>
            </w:r>
          </w:p>
        </w:tc>
        <w:tc>
          <w:tcPr>
            <w:tcW w:w="875" w:type="dxa"/>
            <w:tcBorders>
              <w:top w:val="nil"/>
              <w:left w:val="nil"/>
              <w:bottom w:val="nil"/>
              <w:right w:val="nil"/>
            </w:tcBorders>
            <w:shd w:val="clear" w:color="000000" w:fill="FFFFFF"/>
            <w:noWrap/>
            <w:vAlign w:val="center"/>
            <w:hideMark/>
          </w:tcPr>
          <w:p w14:paraId="78EA3AF3"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926</w:t>
            </w:r>
          </w:p>
        </w:tc>
      </w:tr>
      <w:tr w:rsidR="00F76EE4" w:rsidRPr="00331790" w14:paraId="16A37F9B" w14:textId="77777777" w:rsidTr="000379CA">
        <w:trPr>
          <w:trHeight w:val="348"/>
        </w:trPr>
        <w:tc>
          <w:tcPr>
            <w:tcW w:w="168" w:type="dxa"/>
            <w:tcBorders>
              <w:top w:val="nil"/>
              <w:left w:val="nil"/>
              <w:bottom w:val="nil"/>
              <w:right w:val="nil"/>
            </w:tcBorders>
            <w:shd w:val="clear" w:color="000000" w:fill="FFFFFF"/>
            <w:noWrap/>
            <w:vAlign w:val="center"/>
            <w:hideMark/>
          </w:tcPr>
          <w:p w14:paraId="73043DD0" w14:textId="77777777" w:rsidR="00F76EE4" w:rsidRPr="00331790" w:rsidRDefault="00F76EE4" w:rsidP="000379CA">
            <w:pPr>
              <w:spacing w:after="0" w:line="240" w:lineRule="auto"/>
              <w:jc w:val="right"/>
              <w:rPr>
                <w:rFonts w:eastAsia="Times New Roman" w:cs="Times New Roman"/>
                <w:sz w:val="20"/>
                <w:szCs w:val="20"/>
                <w:lang w:eastAsia="sk-SK"/>
              </w:rPr>
            </w:pPr>
            <w:r w:rsidRPr="00331790">
              <w:rPr>
                <w:rFonts w:eastAsia="Times New Roman" w:cs="Times New Roman"/>
                <w:sz w:val="20"/>
                <w:szCs w:val="20"/>
                <w:lang w:eastAsia="sk-SK"/>
              </w:rPr>
              <w:t> </w:t>
            </w:r>
          </w:p>
        </w:tc>
        <w:tc>
          <w:tcPr>
            <w:tcW w:w="2408" w:type="dxa"/>
            <w:gridSpan w:val="2"/>
            <w:tcBorders>
              <w:top w:val="nil"/>
              <w:left w:val="nil"/>
              <w:bottom w:val="nil"/>
              <w:right w:val="nil"/>
            </w:tcBorders>
            <w:shd w:val="clear" w:color="auto" w:fill="auto"/>
            <w:noWrap/>
            <w:vAlign w:val="center"/>
            <w:hideMark/>
          </w:tcPr>
          <w:p w14:paraId="04C44136" w14:textId="77777777" w:rsidR="00F76EE4" w:rsidRPr="00B77B1C" w:rsidRDefault="00F76EE4" w:rsidP="000379CA">
            <w:pPr>
              <w:spacing w:after="0" w:line="240" w:lineRule="auto"/>
              <w:jc w:val="left"/>
              <w:rPr>
                <w:rFonts w:eastAsia="Times New Roman" w:cs="Times New Roman"/>
                <w:color w:val="000000"/>
                <w:sz w:val="18"/>
                <w:szCs w:val="18"/>
                <w:lang w:eastAsia="sk-SK"/>
              </w:rPr>
            </w:pPr>
            <w:r w:rsidRPr="00B77B1C">
              <w:rPr>
                <w:rFonts w:eastAsia="Times New Roman" w:cs="Times New Roman"/>
                <w:color w:val="000000"/>
                <w:sz w:val="18"/>
                <w:szCs w:val="18"/>
                <w:lang w:eastAsia="sk-SK"/>
              </w:rPr>
              <w:t xml:space="preserve">SIH a investičné fondy SIH-u </w:t>
            </w:r>
          </w:p>
        </w:tc>
        <w:tc>
          <w:tcPr>
            <w:tcW w:w="979" w:type="dxa"/>
            <w:tcBorders>
              <w:top w:val="nil"/>
              <w:left w:val="nil"/>
              <w:bottom w:val="nil"/>
              <w:right w:val="nil"/>
            </w:tcBorders>
            <w:shd w:val="clear" w:color="000000" w:fill="FFFFFF"/>
            <w:noWrap/>
            <w:vAlign w:val="center"/>
            <w:hideMark/>
          </w:tcPr>
          <w:p w14:paraId="780676C7"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-4 149</w:t>
            </w:r>
          </w:p>
        </w:tc>
        <w:tc>
          <w:tcPr>
            <w:tcW w:w="958" w:type="dxa"/>
            <w:tcBorders>
              <w:top w:val="nil"/>
              <w:left w:val="nil"/>
              <w:bottom w:val="nil"/>
              <w:right w:val="nil"/>
            </w:tcBorders>
            <w:shd w:val="clear" w:color="000000" w:fill="FFFFFF"/>
            <w:noWrap/>
            <w:vAlign w:val="center"/>
            <w:hideMark/>
          </w:tcPr>
          <w:p w14:paraId="2B07990B"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-829</w:t>
            </w:r>
          </w:p>
        </w:tc>
        <w:tc>
          <w:tcPr>
            <w:tcW w:w="1004" w:type="dxa"/>
            <w:tcBorders>
              <w:top w:val="nil"/>
              <w:left w:val="nil"/>
              <w:bottom w:val="nil"/>
              <w:right w:val="nil"/>
            </w:tcBorders>
            <w:shd w:val="clear" w:color="000000" w:fill="FFFFFF"/>
            <w:noWrap/>
            <w:vAlign w:val="center"/>
            <w:hideMark/>
          </w:tcPr>
          <w:p w14:paraId="5D871270"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0</w:t>
            </w:r>
          </w:p>
        </w:tc>
        <w:tc>
          <w:tcPr>
            <w:tcW w:w="1146" w:type="dxa"/>
            <w:tcBorders>
              <w:top w:val="nil"/>
              <w:left w:val="nil"/>
              <w:bottom w:val="nil"/>
              <w:right w:val="nil"/>
            </w:tcBorders>
            <w:shd w:val="clear" w:color="000000" w:fill="FFFFFF"/>
            <w:noWrap/>
            <w:vAlign w:val="center"/>
            <w:hideMark/>
          </w:tcPr>
          <w:p w14:paraId="21DB2B8E"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0</w:t>
            </w:r>
          </w:p>
        </w:tc>
        <w:tc>
          <w:tcPr>
            <w:tcW w:w="1134" w:type="dxa"/>
            <w:tcBorders>
              <w:top w:val="nil"/>
              <w:left w:val="nil"/>
              <w:bottom w:val="nil"/>
              <w:right w:val="nil"/>
            </w:tcBorders>
            <w:shd w:val="clear" w:color="auto" w:fill="BFBFBF" w:themeFill="background1" w:themeFillShade="BF"/>
            <w:noWrap/>
            <w:vAlign w:val="center"/>
            <w:hideMark/>
          </w:tcPr>
          <w:p w14:paraId="7022AA65"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-6 120</w:t>
            </w:r>
          </w:p>
        </w:tc>
        <w:tc>
          <w:tcPr>
            <w:tcW w:w="875" w:type="dxa"/>
            <w:tcBorders>
              <w:top w:val="nil"/>
              <w:left w:val="nil"/>
              <w:bottom w:val="nil"/>
              <w:right w:val="nil"/>
            </w:tcBorders>
            <w:shd w:val="clear" w:color="000000" w:fill="FFFFFF"/>
            <w:noWrap/>
            <w:vAlign w:val="center"/>
            <w:hideMark/>
          </w:tcPr>
          <w:p w14:paraId="7CEFCD4A"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-6 120</w:t>
            </w:r>
          </w:p>
        </w:tc>
      </w:tr>
      <w:tr w:rsidR="00F76EE4" w:rsidRPr="00331790" w14:paraId="4873ECA0" w14:textId="77777777" w:rsidTr="000379CA">
        <w:trPr>
          <w:trHeight w:val="348"/>
        </w:trPr>
        <w:tc>
          <w:tcPr>
            <w:tcW w:w="168" w:type="dxa"/>
            <w:tcBorders>
              <w:top w:val="nil"/>
              <w:left w:val="nil"/>
              <w:bottom w:val="nil"/>
              <w:right w:val="nil"/>
            </w:tcBorders>
            <w:shd w:val="clear" w:color="000000" w:fill="FFFFFF"/>
            <w:noWrap/>
            <w:vAlign w:val="center"/>
            <w:hideMark/>
          </w:tcPr>
          <w:p w14:paraId="19630A31" w14:textId="77777777" w:rsidR="00F76EE4" w:rsidRPr="00331790" w:rsidRDefault="00F76EE4" w:rsidP="000379CA">
            <w:pPr>
              <w:spacing w:after="0" w:line="240" w:lineRule="auto"/>
              <w:jc w:val="right"/>
              <w:rPr>
                <w:rFonts w:eastAsia="Times New Roman" w:cs="Times New Roman"/>
                <w:sz w:val="20"/>
                <w:szCs w:val="20"/>
                <w:lang w:eastAsia="sk-SK"/>
              </w:rPr>
            </w:pPr>
            <w:r w:rsidRPr="00331790">
              <w:rPr>
                <w:rFonts w:eastAsia="Times New Roman" w:cs="Times New Roman"/>
                <w:sz w:val="20"/>
                <w:szCs w:val="20"/>
                <w:lang w:eastAsia="sk-SK"/>
              </w:rPr>
              <w:t> </w:t>
            </w:r>
          </w:p>
        </w:tc>
        <w:tc>
          <w:tcPr>
            <w:tcW w:w="2408" w:type="dxa"/>
            <w:gridSpan w:val="2"/>
            <w:tcBorders>
              <w:top w:val="nil"/>
              <w:left w:val="nil"/>
              <w:bottom w:val="nil"/>
              <w:right w:val="nil"/>
            </w:tcBorders>
            <w:shd w:val="clear" w:color="000000" w:fill="FFFFFF"/>
            <w:noWrap/>
            <w:vAlign w:val="center"/>
            <w:hideMark/>
          </w:tcPr>
          <w:p w14:paraId="078ACC13" w14:textId="77777777" w:rsidR="00F76EE4" w:rsidRPr="00B77B1C" w:rsidRDefault="00F76EE4" w:rsidP="000379CA">
            <w:pPr>
              <w:spacing w:after="0" w:line="240" w:lineRule="auto"/>
              <w:jc w:val="left"/>
              <w:rPr>
                <w:rFonts w:eastAsia="Times New Roman" w:cs="Times New Roman"/>
                <w:sz w:val="18"/>
                <w:szCs w:val="18"/>
                <w:lang w:eastAsia="sk-SK"/>
              </w:rPr>
            </w:pPr>
            <w:r w:rsidRPr="00B77B1C">
              <w:rPr>
                <w:rFonts w:eastAsia="Times New Roman" w:cs="Times New Roman"/>
                <w:sz w:val="18"/>
                <w:szCs w:val="18"/>
                <w:lang w:eastAsia="sk-SK"/>
              </w:rPr>
              <w:t>Obchodné spoločnosti štátu, z toho:</w:t>
            </w:r>
          </w:p>
        </w:tc>
        <w:tc>
          <w:tcPr>
            <w:tcW w:w="979" w:type="dxa"/>
            <w:tcBorders>
              <w:top w:val="nil"/>
              <w:left w:val="nil"/>
              <w:bottom w:val="nil"/>
              <w:right w:val="nil"/>
            </w:tcBorders>
            <w:shd w:val="clear" w:color="000000" w:fill="FFFFFF"/>
            <w:noWrap/>
            <w:vAlign w:val="center"/>
            <w:hideMark/>
          </w:tcPr>
          <w:p w14:paraId="72C3B94F"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-13 562</w:t>
            </w:r>
          </w:p>
        </w:tc>
        <w:tc>
          <w:tcPr>
            <w:tcW w:w="958" w:type="dxa"/>
            <w:tcBorders>
              <w:top w:val="nil"/>
              <w:left w:val="nil"/>
              <w:bottom w:val="nil"/>
              <w:right w:val="nil"/>
            </w:tcBorders>
            <w:shd w:val="clear" w:color="000000" w:fill="FFFFFF"/>
            <w:noWrap/>
            <w:vAlign w:val="center"/>
            <w:hideMark/>
          </w:tcPr>
          <w:p w14:paraId="59A905AE"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-43 378</w:t>
            </w:r>
          </w:p>
        </w:tc>
        <w:tc>
          <w:tcPr>
            <w:tcW w:w="1004" w:type="dxa"/>
            <w:tcBorders>
              <w:top w:val="nil"/>
              <w:left w:val="nil"/>
              <w:bottom w:val="nil"/>
              <w:right w:val="nil"/>
            </w:tcBorders>
            <w:shd w:val="clear" w:color="000000" w:fill="FFFFFF"/>
            <w:noWrap/>
            <w:vAlign w:val="center"/>
            <w:hideMark/>
          </w:tcPr>
          <w:p w14:paraId="444BD953"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53 262</w:t>
            </w:r>
          </w:p>
        </w:tc>
        <w:tc>
          <w:tcPr>
            <w:tcW w:w="1146" w:type="dxa"/>
            <w:tcBorders>
              <w:top w:val="nil"/>
              <w:left w:val="nil"/>
              <w:bottom w:val="nil"/>
              <w:right w:val="nil"/>
            </w:tcBorders>
            <w:shd w:val="clear" w:color="000000" w:fill="FFFFFF"/>
            <w:noWrap/>
            <w:vAlign w:val="center"/>
            <w:hideMark/>
          </w:tcPr>
          <w:p w14:paraId="2CDD1B52"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-113 696</w:t>
            </w:r>
          </w:p>
        </w:tc>
        <w:tc>
          <w:tcPr>
            <w:tcW w:w="1134" w:type="dxa"/>
            <w:tcBorders>
              <w:top w:val="nil"/>
              <w:left w:val="nil"/>
              <w:bottom w:val="nil"/>
              <w:right w:val="nil"/>
            </w:tcBorders>
            <w:shd w:val="clear" w:color="auto" w:fill="BFBFBF" w:themeFill="background1" w:themeFillShade="BF"/>
            <w:noWrap/>
            <w:vAlign w:val="center"/>
            <w:hideMark/>
          </w:tcPr>
          <w:p w14:paraId="396DEE48"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8 685</w:t>
            </w:r>
          </w:p>
        </w:tc>
        <w:tc>
          <w:tcPr>
            <w:tcW w:w="875" w:type="dxa"/>
            <w:tcBorders>
              <w:top w:val="nil"/>
              <w:left w:val="nil"/>
              <w:bottom w:val="nil"/>
              <w:right w:val="nil"/>
            </w:tcBorders>
            <w:shd w:val="clear" w:color="000000" w:fill="FFFFFF"/>
            <w:noWrap/>
            <w:vAlign w:val="center"/>
            <w:hideMark/>
          </w:tcPr>
          <w:p w14:paraId="495B23A9"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122 381</w:t>
            </w:r>
          </w:p>
        </w:tc>
      </w:tr>
      <w:tr w:rsidR="00F76EE4" w:rsidRPr="00331790" w14:paraId="23E7CC23" w14:textId="77777777" w:rsidTr="000379CA">
        <w:trPr>
          <w:trHeight w:val="348"/>
        </w:trPr>
        <w:tc>
          <w:tcPr>
            <w:tcW w:w="168" w:type="dxa"/>
            <w:tcBorders>
              <w:top w:val="nil"/>
              <w:left w:val="nil"/>
              <w:bottom w:val="nil"/>
              <w:right w:val="nil"/>
            </w:tcBorders>
            <w:shd w:val="clear" w:color="000000" w:fill="FFFFFF"/>
            <w:noWrap/>
            <w:vAlign w:val="center"/>
            <w:hideMark/>
          </w:tcPr>
          <w:p w14:paraId="224994FD" w14:textId="77777777" w:rsidR="00F76EE4" w:rsidRPr="00331790" w:rsidRDefault="00F76EE4" w:rsidP="000379CA">
            <w:pPr>
              <w:spacing w:after="0" w:line="240" w:lineRule="auto"/>
              <w:jc w:val="right"/>
              <w:rPr>
                <w:rFonts w:eastAsia="Times New Roman" w:cs="Times New Roman"/>
                <w:sz w:val="20"/>
                <w:szCs w:val="20"/>
                <w:lang w:eastAsia="sk-SK"/>
              </w:rPr>
            </w:pPr>
            <w:r w:rsidRPr="00331790">
              <w:rPr>
                <w:rFonts w:eastAsia="Times New Roman" w:cs="Times New Roman"/>
                <w:sz w:val="20"/>
                <w:szCs w:val="20"/>
                <w:lang w:eastAsia="sk-SK"/>
              </w:rPr>
              <w:t> </w:t>
            </w:r>
          </w:p>
        </w:tc>
        <w:tc>
          <w:tcPr>
            <w:tcW w:w="168" w:type="dxa"/>
            <w:tcBorders>
              <w:top w:val="nil"/>
              <w:left w:val="nil"/>
              <w:bottom w:val="nil"/>
              <w:right w:val="nil"/>
            </w:tcBorders>
            <w:shd w:val="clear" w:color="000000" w:fill="FFFFFF"/>
            <w:noWrap/>
            <w:vAlign w:val="center"/>
            <w:hideMark/>
          </w:tcPr>
          <w:p w14:paraId="7BE55FBC" w14:textId="77777777" w:rsidR="00F76EE4" w:rsidRPr="00B77B1C" w:rsidRDefault="00F76EE4" w:rsidP="000379CA">
            <w:pPr>
              <w:spacing w:after="0" w:line="240" w:lineRule="auto"/>
              <w:jc w:val="left"/>
              <w:rPr>
                <w:rFonts w:eastAsia="Times New Roman" w:cs="Times New Roman"/>
                <w:sz w:val="18"/>
                <w:szCs w:val="18"/>
                <w:lang w:eastAsia="sk-SK"/>
              </w:rPr>
            </w:pPr>
            <w:r w:rsidRPr="00B77B1C">
              <w:rPr>
                <w:rFonts w:eastAsia="Times New Roman" w:cs="Times New Roman"/>
                <w:sz w:val="18"/>
                <w:szCs w:val="18"/>
                <w:lang w:eastAsia="sk-SK"/>
              </w:rPr>
              <w:t> </w:t>
            </w:r>
          </w:p>
        </w:tc>
        <w:tc>
          <w:tcPr>
            <w:tcW w:w="2240" w:type="dxa"/>
            <w:tcBorders>
              <w:top w:val="nil"/>
              <w:left w:val="nil"/>
              <w:bottom w:val="nil"/>
              <w:right w:val="nil"/>
            </w:tcBorders>
            <w:shd w:val="clear" w:color="000000" w:fill="FFFFFF"/>
            <w:noWrap/>
            <w:vAlign w:val="center"/>
            <w:hideMark/>
          </w:tcPr>
          <w:p w14:paraId="2996A77C" w14:textId="77777777" w:rsidR="00F76EE4" w:rsidRPr="00B77B1C" w:rsidRDefault="00F76EE4" w:rsidP="000379CA">
            <w:pPr>
              <w:spacing w:after="0" w:line="240" w:lineRule="auto"/>
              <w:jc w:val="left"/>
              <w:rPr>
                <w:rFonts w:eastAsia="Times New Roman" w:cs="Times New Roman"/>
                <w:sz w:val="18"/>
                <w:szCs w:val="18"/>
                <w:lang w:eastAsia="sk-SK"/>
              </w:rPr>
            </w:pPr>
            <w:r w:rsidRPr="00B77B1C">
              <w:rPr>
                <w:rFonts w:eastAsia="Times New Roman" w:cs="Times New Roman"/>
                <w:sz w:val="18"/>
                <w:szCs w:val="18"/>
                <w:lang w:eastAsia="sk-SK"/>
              </w:rPr>
              <w:t>Národná diaľničná spoločnosť, a.s.</w:t>
            </w:r>
          </w:p>
        </w:tc>
        <w:tc>
          <w:tcPr>
            <w:tcW w:w="979" w:type="dxa"/>
            <w:tcBorders>
              <w:top w:val="nil"/>
              <w:left w:val="nil"/>
              <w:bottom w:val="nil"/>
              <w:right w:val="nil"/>
            </w:tcBorders>
            <w:shd w:val="clear" w:color="000000" w:fill="FFFFFF"/>
            <w:noWrap/>
            <w:vAlign w:val="center"/>
            <w:hideMark/>
          </w:tcPr>
          <w:p w14:paraId="13A40103"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9 541</w:t>
            </w:r>
          </w:p>
        </w:tc>
        <w:tc>
          <w:tcPr>
            <w:tcW w:w="958" w:type="dxa"/>
            <w:tcBorders>
              <w:top w:val="nil"/>
              <w:left w:val="nil"/>
              <w:bottom w:val="nil"/>
              <w:right w:val="nil"/>
            </w:tcBorders>
            <w:shd w:val="clear" w:color="000000" w:fill="FFFFFF"/>
            <w:noWrap/>
            <w:vAlign w:val="center"/>
            <w:hideMark/>
          </w:tcPr>
          <w:p w14:paraId="15C79613"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10 110</w:t>
            </w:r>
          </w:p>
        </w:tc>
        <w:tc>
          <w:tcPr>
            <w:tcW w:w="1004" w:type="dxa"/>
            <w:tcBorders>
              <w:top w:val="nil"/>
              <w:left w:val="nil"/>
              <w:bottom w:val="nil"/>
              <w:right w:val="nil"/>
            </w:tcBorders>
            <w:shd w:val="clear" w:color="000000" w:fill="FFFFFF"/>
            <w:noWrap/>
            <w:vAlign w:val="center"/>
            <w:hideMark/>
          </w:tcPr>
          <w:p w14:paraId="24D52368"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35 795</w:t>
            </w:r>
          </w:p>
        </w:tc>
        <w:tc>
          <w:tcPr>
            <w:tcW w:w="1146" w:type="dxa"/>
            <w:tcBorders>
              <w:top w:val="nil"/>
              <w:left w:val="nil"/>
              <w:bottom w:val="nil"/>
              <w:right w:val="nil"/>
            </w:tcBorders>
            <w:shd w:val="clear" w:color="000000" w:fill="FFFFFF"/>
            <w:noWrap/>
            <w:vAlign w:val="center"/>
            <w:hideMark/>
          </w:tcPr>
          <w:p w14:paraId="1FBC11B8"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22 660</w:t>
            </w:r>
          </w:p>
        </w:tc>
        <w:tc>
          <w:tcPr>
            <w:tcW w:w="1134" w:type="dxa"/>
            <w:tcBorders>
              <w:top w:val="nil"/>
              <w:left w:val="nil"/>
              <w:bottom w:val="nil"/>
              <w:right w:val="nil"/>
            </w:tcBorders>
            <w:shd w:val="clear" w:color="auto" w:fill="BFBFBF" w:themeFill="background1" w:themeFillShade="BF"/>
            <w:noWrap/>
            <w:vAlign w:val="center"/>
            <w:hideMark/>
          </w:tcPr>
          <w:p w14:paraId="0D007785"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109 400</w:t>
            </w:r>
          </w:p>
        </w:tc>
        <w:tc>
          <w:tcPr>
            <w:tcW w:w="875" w:type="dxa"/>
            <w:tcBorders>
              <w:top w:val="nil"/>
              <w:left w:val="nil"/>
              <w:bottom w:val="nil"/>
              <w:right w:val="nil"/>
            </w:tcBorders>
            <w:shd w:val="clear" w:color="000000" w:fill="FFFFFF"/>
            <w:noWrap/>
            <w:vAlign w:val="center"/>
            <w:hideMark/>
          </w:tcPr>
          <w:p w14:paraId="65F5DB37"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86 740</w:t>
            </w:r>
          </w:p>
        </w:tc>
      </w:tr>
      <w:tr w:rsidR="00F76EE4" w:rsidRPr="00331790" w14:paraId="66933207" w14:textId="77777777" w:rsidTr="000379CA">
        <w:trPr>
          <w:trHeight w:val="348"/>
        </w:trPr>
        <w:tc>
          <w:tcPr>
            <w:tcW w:w="168" w:type="dxa"/>
            <w:tcBorders>
              <w:top w:val="nil"/>
              <w:left w:val="nil"/>
              <w:bottom w:val="nil"/>
              <w:right w:val="nil"/>
            </w:tcBorders>
            <w:shd w:val="clear" w:color="000000" w:fill="FFFFFF"/>
            <w:noWrap/>
            <w:vAlign w:val="center"/>
            <w:hideMark/>
          </w:tcPr>
          <w:p w14:paraId="0E8F178F" w14:textId="77777777" w:rsidR="00F76EE4" w:rsidRPr="00331790" w:rsidRDefault="00F76EE4" w:rsidP="000379CA">
            <w:pPr>
              <w:spacing w:after="0" w:line="240" w:lineRule="auto"/>
              <w:jc w:val="right"/>
              <w:rPr>
                <w:rFonts w:eastAsia="Times New Roman" w:cs="Times New Roman"/>
                <w:sz w:val="20"/>
                <w:szCs w:val="20"/>
                <w:lang w:eastAsia="sk-SK"/>
              </w:rPr>
            </w:pPr>
            <w:r w:rsidRPr="00331790">
              <w:rPr>
                <w:rFonts w:eastAsia="Times New Roman" w:cs="Times New Roman"/>
                <w:sz w:val="20"/>
                <w:szCs w:val="20"/>
                <w:lang w:eastAsia="sk-SK"/>
              </w:rPr>
              <w:t> </w:t>
            </w:r>
          </w:p>
        </w:tc>
        <w:tc>
          <w:tcPr>
            <w:tcW w:w="168" w:type="dxa"/>
            <w:tcBorders>
              <w:top w:val="nil"/>
              <w:left w:val="nil"/>
              <w:bottom w:val="nil"/>
              <w:right w:val="nil"/>
            </w:tcBorders>
            <w:shd w:val="clear" w:color="000000" w:fill="FFFFFF"/>
            <w:noWrap/>
            <w:vAlign w:val="center"/>
            <w:hideMark/>
          </w:tcPr>
          <w:p w14:paraId="22878F4F" w14:textId="77777777" w:rsidR="00F76EE4" w:rsidRPr="00B77B1C" w:rsidRDefault="00F76EE4" w:rsidP="000379CA">
            <w:pPr>
              <w:spacing w:after="0" w:line="240" w:lineRule="auto"/>
              <w:jc w:val="left"/>
              <w:rPr>
                <w:rFonts w:eastAsia="Times New Roman" w:cs="Times New Roman"/>
                <w:sz w:val="18"/>
                <w:szCs w:val="18"/>
                <w:lang w:eastAsia="sk-SK"/>
              </w:rPr>
            </w:pPr>
            <w:r w:rsidRPr="00B77B1C">
              <w:rPr>
                <w:rFonts w:eastAsia="Times New Roman" w:cs="Times New Roman"/>
                <w:sz w:val="18"/>
                <w:szCs w:val="18"/>
                <w:lang w:eastAsia="sk-SK"/>
              </w:rPr>
              <w:t> </w:t>
            </w:r>
          </w:p>
        </w:tc>
        <w:tc>
          <w:tcPr>
            <w:tcW w:w="2240" w:type="dxa"/>
            <w:tcBorders>
              <w:top w:val="nil"/>
              <w:left w:val="nil"/>
              <w:bottom w:val="nil"/>
              <w:right w:val="nil"/>
            </w:tcBorders>
            <w:shd w:val="clear" w:color="000000" w:fill="FFFFFF"/>
            <w:noWrap/>
            <w:vAlign w:val="center"/>
            <w:hideMark/>
          </w:tcPr>
          <w:p w14:paraId="459192AE" w14:textId="77777777" w:rsidR="00F76EE4" w:rsidRPr="00B77B1C" w:rsidRDefault="00F76EE4" w:rsidP="000379CA">
            <w:pPr>
              <w:spacing w:after="0" w:line="240" w:lineRule="auto"/>
              <w:jc w:val="left"/>
              <w:rPr>
                <w:rFonts w:eastAsia="Times New Roman" w:cs="Times New Roman"/>
                <w:sz w:val="18"/>
                <w:szCs w:val="18"/>
                <w:lang w:eastAsia="sk-SK"/>
              </w:rPr>
            </w:pPr>
            <w:r w:rsidRPr="00B77B1C">
              <w:rPr>
                <w:rFonts w:eastAsia="Times New Roman" w:cs="Times New Roman"/>
                <w:sz w:val="18"/>
                <w:szCs w:val="18"/>
                <w:lang w:eastAsia="sk-SK"/>
              </w:rPr>
              <w:t>JAVYS, a.s.</w:t>
            </w:r>
          </w:p>
        </w:tc>
        <w:tc>
          <w:tcPr>
            <w:tcW w:w="979" w:type="dxa"/>
            <w:tcBorders>
              <w:top w:val="nil"/>
              <w:left w:val="nil"/>
              <w:bottom w:val="nil"/>
              <w:right w:val="nil"/>
            </w:tcBorders>
            <w:shd w:val="clear" w:color="000000" w:fill="FFFFFF"/>
            <w:noWrap/>
            <w:vAlign w:val="center"/>
            <w:hideMark/>
          </w:tcPr>
          <w:p w14:paraId="7CB4F3E6"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7 324</w:t>
            </w:r>
          </w:p>
        </w:tc>
        <w:tc>
          <w:tcPr>
            <w:tcW w:w="958" w:type="dxa"/>
            <w:tcBorders>
              <w:top w:val="nil"/>
              <w:left w:val="nil"/>
              <w:bottom w:val="nil"/>
              <w:right w:val="nil"/>
            </w:tcBorders>
            <w:shd w:val="clear" w:color="000000" w:fill="FFFFFF"/>
            <w:noWrap/>
            <w:vAlign w:val="center"/>
            <w:hideMark/>
          </w:tcPr>
          <w:p w14:paraId="44FDC4D4"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403</w:t>
            </w:r>
          </w:p>
        </w:tc>
        <w:tc>
          <w:tcPr>
            <w:tcW w:w="1004" w:type="dxa"/>
            <w:tcBorders>
              <w:top w:val="nil"/>
              <w:left w:val="nil"/>
              <w:bottom w:val="nil"/>
              <w:right w:val="nil"/>
            </w:tcBorders>
            <w:shd w:val="clear" w:color="000000" w:fill="FFFFFF"/>
            <w:noWrap/>
            <w:vAlign w:val="center"/>
            <w:hideMark/>
          </w:tcPr>
          <w:p w14:paraId="5674BFAC"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-14 996</w:t>
            </w:r>
          </w:p>
        </w:tc>
        <w:tc>
          <w:tcPr>
            <w:tcW w:w="1146" w:type="dxa"/>
            <w:tcBorders>
              <w:top w:val="nil"/>
              <w:left w:val="nil"/>
              <w:bottom w:val="nil"/>
              <w:right w:val="nil"/>
            </w:tcBorders>
            <w:shd w:val="clear" w:color="000000" w:fill="FFFFFF"/>
            <w:noWrap/>
            <w:vAlign w:val="center"/>
            <w:hideMark/>
          </w:tcPr>
          <w:p w14:paraId="57EA0E56"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-15 024</w:t>
            </w:r>
          </w:p>
        </w:tc>
        <w:tc>
          <w:tcPr>
            <w:tcW w:w="1134" w:type="dxa"/>
            <w:tcBorders>
              <w:top w:val="nil"/>
              <w:left w:val="nil"/>
              <w:bottom w:val="nil"/>
              <w:right w:val="nil"/>
            </w:tcBorders>
            <w:shd w:val="clear" w:color="auto" w:fill="BFBFBF" w:themeFill="background1" w:themeFillShade="BF"/>
            <w:noWrap/>
            <w:vAlign w:val="center"/>
            <w:hideMark/>
          </w:tcPr>
          <w:p w14:paraId="4934E5D0"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10 876</w:t>
            </w:r>
          </w:p>
        </w:tc>
        <w:tc>
          <w:tcPr>
            <w:tcW w:w="875" w:type="dxa"/>
            <w:tcBorders>
              <w:top w:val="nil"/>
              <w:left w:val="nil"/>
              <w:bottom w:val="nil"/>
              <w:right w:val="nil"/>
            </w:tcBorders>
            <w:shd w:val="clear" w:color="000000" w:fill="FFFFFF"/>
            <w:noWrap/>
            <w:vAlign w:val="center"/>
            <w:hideMark/>
          </w:tcPr>
          <w:p w14:paraId="0D613DF9"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25 900</w:t>
            </w:r>
          </w:p>
        </w:tc>
      </w:tr>
      <w:tr w:rsidR="00F76EE4" w:rsidRPr="00331790" w14:paraId="5B997D30" w14:textId="77777777" w:rsidTr="000379CA">
        <w:trPr>
          <w:trHeight w:val="348"/>
        </w:trPr>
        <w:tc>
          <w:tcPr>
            <w:tcW w:w="168" w:type="dxa"/>
            <w:tcBorders>
              <w:top w:val="nil"/>
              <w:left w:val="nil"/>
              <w:bottom w:val="nil"/>
              <w:right w:val="nil"/>
            </w:tcBorders>
            <w:shd w:val="clear" w:color="000000" w:fill="FFFFFF"/>
            <w:noWrap/>
            <w:vAlign w:val="center"/>
            <w:hideMark/>
          </w:tcPr>
          <w:p w14:paraId="37F315B4" w14:textId="77777777" w:rsidR="00F76EE4" w:rsidRPr="00331790" w:rsidRDefault="00F76EE4" w:rsidP="000379CA">
            <w:pPr>
              <w:spacing w:after="0" w:line="240" w:lineRule="auto"/>
              <w:jc w:val="right"/>
              <w:rPr>
                <w:rFonts w:eastAsia="Times New Roman" w:cs="Times New Roman"/>
                <w:sz w:val="20"/>
                <w:szCs w:val="20"/>
                <w:lang w:eastAsia="sk-SK"/>
              </w:rPr>
            </w:pPr>
            <w:r w:rsidRPr="00331790">
              <w:rPr>
                <w:rFonts w:eastAsia="Times New Roman" w:cs="Times New Roman"/>
                <w:sz w:val="20"/>
                <w:szCs w:val="20"/>
                <w:lang w:eastAsia="sk-SK"/>
              </w:rPr>
              <w:t> </w:t>
            </w:r>
          </w:p>
        </w:tc>
        <w:tc>
          <w:tcPr>
            <w:tcW w:w="168" w:type="dxa"/>
            <w:tcBorders>
              <w:top w:val="nil"/>
              <w:left w:val="nil"/>
              <w:bottom w:val="nil"/>
              <w:right w:val="nil"/>
            </w:tcBorders>
            <w:shd w:val="clear" w:color="000000" w:fill="FFFFFF"/>
            <w:noWrap/>
            <w:vAlign w:val="center"/>
            <w:hideMark/>
          </w:tcPr>
          <w:p w14:paraId="03946818" w14:textId="77777777" w:rsidR="00F76EE4" w:rsidRPr="00B77B1C" w:rsidRDefault="00F76EE4" w:rsidP="000379CA">
            <w:pPr>
              <w:spacing w:after="0" w:line="240" w:lineRule="auto"/>
              <w:jc w:val="left"/>
              <w:rPr>
                <w:rFonts w:eastAsia="Times New Roman" w:cs="Times New Roman"/>
                <w:sz w:val="18"/>
                <w:szCs w:val="18"/>
                <w:lang w:eastAsia="sk-SK"/>
              </w:rPr>
            </w:pPr>
            <w:r w:rsidRPr="00B77B1C">
              <w:rPr>
                <w:rFonts w:eastAsia="Times New Roman" w:cs="Times New Roman"/>
                <w:sz w:val="18"/>
                <w:szCs w:val="18"/>
                <w:lang w:eastAsia="sk-SK"/>
              </w:rPr>
              <w:t> </w:t>
            </w:r>
          </w:p>
        </w:tc>
        <w:tc>
          <w:tcPr>
            <w:tcW w:w="2240" w:type="dxa"/>
            <w:tcBorders>
              <w:top w:val="nil"/>
              <w:left w:val="nil"/>
              <w:bottom w:val="nil"/>
              <w:right w:val="nil"/>
            </w:tcBorders>
            <w:shd w:val="clear" w:color="000000" w:fill="FFFFFF"/>
            <w:noWrap/>
            <w:vAlign w:val="center"/>
            <w:hideMark/>
          </w:tcPr>
          <w:p w14:paraId="6F6A220E" w14:textId="77777777" w:rsidR="00F76EE4" w:rsidRPr="00B77B1C" w:rsidRDefault="00F76EE4" w:rsidP="000379CA">
            <w:pPr>
              <w:spacing w:after="0" w:line="240" w:lineRule="auto"/>
              <w:jc w:val="left"/>
              <w:rPr>
                <w:rFonts w:eastAsia="Times New Roman" w:cs="Times New Roman"/>
                <w:sz w:val="18"/>
                <w:szCs w:val="18"/>
                <w:lang w:eastAsia="sk-SK"/>
              </w:rPr>
            </w:pPr>
            <w:r w:rsidRPr="00B77B1C">
              <w:rPr>
                <w:rFonts w:eastAsia="Times New Roman" w:cs="Times New Roman"/>
                <w:sz w:val="18"/>
                <w:szCs w:val="18"/>
                <w:lang w:eastAsia="sk-SK"/>
              </w:rPr>
              <w:t>Slovenská konsolidačná, a.s.</w:t>
            </w:r>
          </w:p>
        </w:tc>
        <w:tc>
          <w:tcPr>
            <w:tcW w:w="979" w:type="dxa"/>
            <w:tcBorders>
              <w:top w:val="nil"/>
              <w:left w:val="nil"/>
              <w:bottom w:val="nil"/>
              <w:right w:val="nil"/>
            </w:tcBorders>
            <w:shd w:val="clear" w:color="000000" w:fill="FFFFFF"/>
            <w:noWrap/>
            <w:vAlign w:val="center"/>
            <w:hideMark/>
          </w:tcPr>
          <w:p w14:paraId="55A95BE9"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951</w:t>
            </w:r>
          </w:p>
        </w:tc>
        <w:tc>
          <w:tcPr>
            <w:tcW w:w="958" w:type="dxa"/>
            <w:tcBorders>
              <w:top w:val="nil"/>
              <w:left w:val="nil"/>
              <w:bottom w:val="nil"/>
              <w:right w:val="nil"/>
            </w:tcBorders>
            <w:shd w:val="clear" w:color="000000" w:fill="FFFFFF"/>
            <w:noWrap/>
            <w:vAlign w:val="center"/>
            <w:hideMark/>
          </w:tcPr>
          <w:p w14:paraId="5D37D7FA"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1 575</w:t>
            </w:r>
          </w:p>
        </w:tc>
        <w:tc>
          <w:tcPr>
            <w:tcW w:w="1004" w:type="dxa"/>
            <w:tcBorders>
              <w:top w:val="nil"/>
              <w:left w:val="nil"/>
              <w:bottom w:val="nil"/>
              <w:right w:val="nil"/>
            </w:tcBorders>
            <w:shd w:val="clear" w:color="000000" w:fill="FFFFFF"/>
            <w:noWrap/>
            <w:vAlign w:val="center"/>
            <w:hideMark/>
          </w:tcPr>
          <w:p w14:paraId="426585F6"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-5 610</w:t>
            </w:r>
          </w:p>
        </w:tc>
        <w:tc>
          <w:tcPr>
            <w:tcW w:w="1146" w:type="dxa"/>
            <w:tcBorders>
              <w:top w:val="nil"/>
              <w:left w:val="nil"/>
              <w:bottom w:val="nil"/>
              <w:right w:val="nil"/>
            </w:tcBorders>
            <w:shd w:val="clear" w:color="000000" w:fill="FFFFFF"/>
            <w:noWrap/>
            <w:vAlign w:val="center"/>
            <w:hideMark/>
          </w:tcPr>
          <w:p w14:paraId="4BD0F6AC"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-16 356</w:t>
            </w:r>
          </w:p>
        </w:tc>
        <w:tc>
          <w:tcPr>
            <w:tcW w:w="1134" w:type="dxa"/>
            <w:tcBorders>
              <w:top w:val="nil"/>
              <w:left w:val="nil"/>
              <w:bottom w:val="nil"/>
              <w:right w:val="nil"/>
            </w:tcBorders>
            <w:shd w:val="clear" w:color="auto" w:fill="BFBFBF" w:themeFill="background1" w:themeFillShade="BF"/>
            <w:noWrap/>
            <w:vAlign w:val="center"/>
            <w:hideMark/>
          </w:tcPr>
          <w:p w14:paraId="2A940931"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-9 317</w:t>
            </w:r>
          </w:p>
        </w:tc>
        <w:tc>
          <w:tcPr>
            <w:tcW w:w="875" w:type="dxa"/>
            <w:tcBorders>
              <w:top w:val="nil"/>
              <w:left w:val="nil"/>
              <w:bottom w:val="nil"/>
              <w:right w:val="nil"/>
            </w:tcBorders>
            <w:shd w:val="clear" w:color="000000" w:fill="FFFFFF"/>
            <w:noWrap/>
            <w:vAlign w:val="center"/>
            <w:hideMark/>
          </w:tcPr>
          <w:p w14:paraId="0C315513"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7 039</w:t>
            </w:r>
          </w:p>
        </w:tc>
      </w:tr>
      <w:tr w:rsidR="00F76EE4" w:rsidRPr="00331790" w14:paraId="27AFA747" w14:textId="77777777" w:rsidTr="000379CA">
        <w:trPr>
          <w:trHeight w:val="348"/>
        </w:trPr>
        <w:tc>
          <w:tcPr>
            <w:tcW w:w="168" w:type="dxa"/>
            <w:tcBorders>
              <w:top w:val="nil"/>
              <w:left w:val="nil"/>
              <w:bottom w:val="nil"/>
              <w:right w:val="nil"/>
            </w:tcBorders>
            <w:shd w:val="clear" w:color="000000" w:fill="FFFFFF"/>
            <w:noWrap/>
            <w:vAlign w:val="center"/>
            <w:hideMark/>
          </w:tcPr>
          <w:p w14:paraId="2A6478A0" w14:textId="77777777" w:rsidR="00F76EE4" w:rsidRPr="00331790" w:rsidRDefault="00F76EE4" w:rsidP="000379CA">
            <w:pPr>
              <w:spacing w:after="0" w:line="240" w:lineRule="auto"/>
              <w:jc w:val="right"/>
              <w:rPr>
                <w:rFonts w:eastAsia="Times New Roman" w:cs="Times New Roman"/>
                <w:sz w:val="20"/>
                <w:szCs w:val="20"/>
                <w:lang w:eastAsia="sk-SK"/>
              </w:rPr>
            </w:pPr>
            <w:r w:rsidRPr="00331790">
              <w:rPr>
                <w:rFonts w:eastAsia="Times New Roman" w:cs="Times New Roman"/>
                <w:sz w:val="20"/>
                <w:szCs w:val="20"/>
                <w:lang w:eastAsia="sk-SK"/>
              </w:rPr>
              <w:t> </w:t>
            </w:r>
          </w:p>
        </w:tc>
        <w:tc>
          <w:tcPr>
            <w:tcW w:w="168" w:type="dxa"/>
            <w:tcBorders>
              <w:top w:val="nil"/>
              <w:left w:val="nil"/>
              <w:bottom w:val="nil"/>
              <w:right w:val="nil"/>
            </w:tcBorders>
            <w:shd w:val="clear" w:color="000000" w:fill="FFFFFF"/>
            <w:noWrap/>
            <w:vAlign w:val="center"/>
            <w:hideMark/>
          </w:tcPr>
          <w:p w14:paraId="6B7451F6" w14:textId="77777777" w:rsidR="00F76EE4" w:rsidRPr="00B77B1C" w:rsidRDefault="00F76EE4" w:rsidP="000379CA">
            <w:pPr>
              <w:spacing w:after="0" w:line="240" w:lineRule="auto"/>
              <w:jc w:val="left"/>
              <w:rPr>
                <w:rFonts w:eastAsia="Times New Roman" w:cs="Times New Roman"/>
                <w:sz w:val="18"/>
                <w:szCs w:val="18"/>
                <w:lang w:eastAsia="sk-SK"/>
              </w:rPr>
            </w:pPr>
            <w:r w:rsidRPr="00B77B1C">
              <w:rPr>
                <w:rFonts w:eastAsia="Times New Roman" w:cs="Times New Roman"/>
                <w:sz w:val="18"/>
                <w:szCs w:val="18"/>
                <w:lang w:eastAsia="sk-SK"/>
              </w:rPr>
              <w:t> </w:t>
            </w:r>
          </w:p>
        </w:tc>
        <w:tc>
          <w:tcPr>
            <w:tcW w:w="2240" w:type="dxa"/>
            <w:tcBorders>
              <w:top w:val="nil"/>
              <w:left w:val="nil"/>
              <w:bottom w:val="nil"/>
              <w:right w:val="nil"/>
            </w:tcBorders>
            <w:shd w:val="clear" w:color="000000" w:fill="FFFFFF"/>
            <w:noWrap/>
            <w:vAlign w:val="center"/>
            <w:hideMark/>
          </w:tcPr>
          <w:p w14:paraId="68794147" w14:textId="77777777" w:rsidR="00F76EE4" w:rsidRPr="00B77B1C" w:rsidRDefault="00F76EE4" w:rsidP="000379CA">
            <w:pPr>
              <w:spacing w:after="0" w:line="240" w:lineRule="auto"/>
              <w:jc w:val="left"/>
              <w:rPr>
                <w:rFonts w:eastAsia="Times New Roman" w:cs="Times New Roman"/>
                <w:sz w:val="18"/>
                <w:szCs w:val="18"/>
                <w:lang w:eastAsia="sk-SK"/>
              </w:rPr>
            </w:pPr>
            <w:r w:rsidRPr="00B77B1C">
              <w:rPr>
                <w:rFonts w:eastAsia="Times New Roman" w:cs="Times New Roman"/>
                <w:sz w:val="18"/>
                <w:szCs w:val="18"/>
                <w:lang w:eastAsia="sk-SK"/>
              </w:rPr>
              <w:t>MH Invest, s.r.o.</w:t>
            </w:r>
          </w:p>
        </w:tc>
        <w:tc>
          <w:tcPr>
            <w:tcW w:w="979" w:type="dxa"/>
            <w:tcBorders>
              <w:top w:val="nil"/>
              <w:left w:val="nil"/>
              <w:bottom w:val="nil"/>
              <w:right w:val="nil"/>
            </w:tcBorders>
            <w:shd w:val="clear" w:color="000000" w:fill="FFFFFF"/>
            <w:noWrap/>
            <w:vAlign w:val="center"/>
            <w:hideMark/>
          </w:tcPr>
          <w:p w14:paraId="0ECA24D3"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-10 990</w:t>
            </w:r>
          </w:p>
        </w:tc>
        <w:tc>
          <w:tcPr>
            <w:tcW w:w="958" w:type="dxa"/>
            <w:tcBorders>
              <w:top w:val="nil"/>
              <w:left w:val="nil"/>
              <w:bottom w:val="nil"/>
              <w:right w:val="nil"/>
            </w:tcBorders>
            <w:shd w:val="clear" w:color="000000" w:fill="FFFFFF"/>
            <w:noWrap/>
            <w:vAlign w:val="center"/>
            <w:hideMark/>
          </w:tcPr>
          <w:p w14:paraId="7BF378EF"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-3 448</w:t>
            </w:r>
          </w:p>
        </w:tc>
        <w:tc>
          <w:tcPr>
            <w:tcW w:w="1004" w:type="dxa"/>
            <w:tcBorders>
              <w:top w:val="nil"/>
              <w:left w:val="nil"/>
              <w:bottom w:val="nil"/>
              <w:right w:val="nil"/>
            </w:tcBorders>
            <w:shd w:val="clear" w:color="000000" w:fill="FFFFFF"/>
            <w:noWrap/>
            <w:vAlign w:val="center"/>
            <w:hideMark/>
          </w:tcPr>
          <w:p w14:paraId="46735133"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-2 537</w:t>
            </w:r>
          </w:p>
        </w:tc>
        <w:tc>
          <w:tcPr>
            <w:tcW w:w="1146" w:type="dxa"/>
            <w:tcBorders>
              <w:top w:val="nil"/>
              <w:left w:val="nil"/>
              <w:bottom w:val="nil"/>
              <w:right w:val="nil"/>
            </w:tcBorders>
            <w:shd w:val="clear" w:color="000000" w:fill="FFFFFF"/>
            <w:noWrap/>
            <w:vAlign w:val="center"/>
            <w:hideMark/>
          </w:tcPr>
          <w:p w14:paraId="50FEEC6A"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-6 552</w:t>
            </w:r>
          </w:p>
        </w:tc>
        <w:tc>
          <w:tcPr>
            <w:tcW w:w="1134" w:type="dxa"/>
            <w:tcBorders>
              <w:top w:val="nil"/>
              <w:left w:val="nil"/>
              <w:bottom w:val="nil"/>
              <w:right w:val="nil"/>
            </w:tcBorders>
            <w:shd w:val="clear" w:color="auto" w:fill="BFBFBF" w:themeFill="background1" w:themeFillShade="BF"/>
            <w:noWrap/>
            <w:vAlign w:val="center"/>
            <w:hideMark/>
          </w:tcPr>
          <w:p w14:paraId="5EC08502"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-1 428</w:t>
            </w:r>
          </w:p>
        </w:tc>
        <w:tc>
          <w:tcPr>
            <w:tcW w:w="875" w:type="dxa"/>
            <w:tcBorders>
              <w:top w:val="nil"/>
              <w:left w:val="nil"/>
              <w:bottom w:val="nil"/>
              <w:right w:val="nil"/>
            </w:tcBorders>
            <w:shd w:val="clear" w:color="000000" w:fill="FFFFFF"/>
            <w:noWrap/>
            <w:vAlign w:val="center"/>
            <w:hideMark/>
          </w:tcPr>
          <w:p w14:paraId="1ABB8A27"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5 124</w:t>
            </w:r>
          </w:p>
        </w:tc>
      </w:tr>
      <w:tr w:rsidR="00F76EE4" w:rsidRPr="00331790" w14:paraId="6A58D437" w14:textId="77777777" w:rsidTr="000379CA">
        <w:trPr>
          <w:trHeight w:val="348"/>
        </w:trPr>
        <w:tc>
          <w:tcPr>
            <w:tcW w:w="168" w:type="dxa"/>
            <w:tcBorders>
              <w:top w:val="nil"/>
              <w:left w:val="nil"/>
              <w:bottom w:val="nil"/>
              <w:right w:val="nil"/>
            </w:tcBorders>
            <w:shd w:val="clear" w:color="000000" w:fill="FFFFFF"/>
            <w:noWrap/>
            <w:vAlign w:val="center"/>
            <w:hideMark/>
          </w:tcPr>
          <w:p w14:paraId="18B10F9C" w14:textId="77777777" w:rsidR="00F76EE4" w:rsidRPr="00331790" w:rsidRDefault="00F76EE4" w:rsidP="000379CA">
            <w:pPr>
              <w:spacing w:after="0" w:line="240" w:lineRule="auto"/>
              <w:jc w:val="right"/>
              <w:rPr>
                <w:rFonts w:eastAsia="Times New Roman" w:cs="Times New Roman"/>
                <w:sz w:val="20"/>
                <w:szCs w:val="20"/>
                <w:lang w:eastAsia="sk-SK"/>
              </w:rPr>
            </w:pPr>
            <w:r w:rsidRPr="00331790">
              <w:rPr>
                <w:rFonts w:eastAsia="Times New Roman" w:cs="Times New Roman"/>
                <w:sz w:val="20"/>
                <w:szCs w:val="20"/>
                <w:lang w:eastAsia="sk-SK"/>
              </w:rPr>
              <w:t> </w:t>
            </w:r>
          </w:p>
        </w:tc>
        <w:tc>
          <w:tcPr>
            <w:tcW w:w="168" w:type="dxa"/>
            <w:tcBorders>
              <w:top w:val="nil"/>
              <w:left w:val="nil"/>
              <w:bottom w:val="nil"/>
              <w:right w:val="nil"/>
            </w:tcBorders>
            <w:shd w:val="clear" w:color="000000" w:fill="FFFFFF"/>
            <w:noWrap/>
            <w:vAlign w:val="center"/>
            <w:hideMark/>
          </w:tcPr>
          <w:p w14:paraId="5BB08BB8" w14:textId="77777777" w:rsidR="00F76EE4" w:rsidRPr="00B77B1C" w:rsidRDefault="00F76EE4" w:rsidP="000379CA">
            <w:pPr>
              <w:spacing w:after="0" w:line="240" w:lineRule="auto"/>
              <w:jc w:val="left"/>
              <w:rPr>
                <w:rFonts w:eastAsia="Times New Roman" w:cs="Times New Roman"/>
                <w:sz w:val="18"/>
                <w:szCs w:val="18"/>
                <w:lang w:eastAsia="sk-SK"/>
              </w:rPr>
            </w:pPr>
            <w:r w:rsidRPr="00B77B1C">
              <w:rPr>
                <w:rFonts w:eastAsia="Times New Roman" w:cs="Times New Roman"/>
                <w:sz w:val="18"/>
                <w:szCs w:val="18"/>
                <w:lang w:eastAsia="sk-SK"/>
              </w:rPr>
              <w:t> </w:t>
            </w:r>
          </w:p>
        </w:tc>
        <w:tc>
          <w:tcPr>
            <w:tcW w:w="2240" w:type="dxa"/>
            <w:tcBorders>
              <w:top w:val="nil"/>
              <w:left w:val="nil"/>
              <w:bottom w:val="nil"/>
              <w:right w:val="nil"/>
            </w:tcBorders>
            <w:shd w:val="clear" w:color="000000" w:fill="FFFFFF"/>
            <w:noWrap/>
            <w:vAlign w:val="center"/>
            <w:hideMark/>
          </w:tcPr>
          <w:p w14:paraId="1EECE697" w14:textId="77777777" w:rsidR="00F76EE4" w:rsidRPr="00B77B1C" w:rsidRDefault="00F76EE4" w:rsidP="000379CA">
            <w:pPr>
              <w:spacing w:after="0" w:line="240" w:lineRule="auto"/>
              <w:jc w:val="left"/>
              <w:rPr>
                <w:rFonts w:eastAsia="Times New Roman" w:cs="Times New Roman"/>
                <w:sz w:val="18"/>
                <w:szCs w:val="18"/>
                <w:lang w:eastAsia="sk-SK"/>
              </w:rPr>
            </w:pPr>
            <w:r w:rsidRPr="00B77B1C">
              <w:rPr>
                <w:rFonts w:eastAsia="Times New Roman" w:cs="Times New Roman"/>
                <w:sz w:val="18"/>
                <w:szCs w:val="18"/>
                <w:lang w:eastAsia="sk-SK"/>
              </w:rPr>
              <w:t>MH Manažment, a.s.</w:t>
            </w:r>
          </w:p>
        </w:tc>
        <w:tc>
          <w:tcPr>
            <w:tcW w:w="979" w:type="dxa"/>
            <w:tcBorders>
              <w:top w:val="nil"/>
              <w:left w:val="nil"/>
              <w:bottom w:val="nil"/>
              <w:right w:val="nil"/>
            </w:tcBorders>
            <w:shd w:val="clear" w:color="000000" w:fill="FFFFFF"/>
            <w:noWrap/>
            <w:vAlign w:val="center"/>
            <w:hideMark/>
          </w:tcPr>
          <w:p w14:paraId="0156F30B" w14:textId="77777777" w:rsidR="00F76EE4" w:rsidRPr="00B77B1C" w:rsidRDefault="00F76EE4" w:rsidP="000379CA">
            <w:pPr>
              <w:spacing w:after="0" w:line="240" w:lineRule="auto"/>
              <w:jc w:val="right"/>
              <w:rPr>
                <w:rFonts w:eastAsia="Times New Roman" w:cs="Times New Roman"/>
                <w:color w:val="000000"/>
                <w:sz w:val="18"/>
                <w:szCs w:val="18"/>
                <w:lang w:eastAsia="sk-SK"/>
              </w:rPr>
            </w:pPr>
            <w:r w:rsidRPr="00B77B1C">
              <w:rPr>
                <w:rFonts w:eastAsia="Times New Roman" w:cs="Times New Roman"/>
                <w:color w:val="000000"/>
                <w:sz w:val="18"/>
                <w:szCs w:val="18"/>
                <w:lang w:eastAsia="sk-SK"/>
              </w:rPr>
              <w:t>-8 055</w:t>
            </w:r>
          </w:p>
        </w:tc>
        <w:tc>
          <w:tcPr>
            <w:tcW w:w="958" w:type="dxa"/>
            <w:tcBorders>
              <w:top w:val="nil"/>
              <w:left w:val="nil"/>
              <w:bottom w:val="nil"/>
              <w:right w:val="nil"/>
            </w:tcBorders>
            <w:shd w:val="clear" w:color="000000" w:fill="FFFFFF"/>
            <w:noWrap/>
            <w:vAlign w:val="center"/>
            <w:hideMark/>
          </w:tcPr>
          <w:p w14:paraId="7FB6ABB5" w14:textId="77777777" w:rsidR="00F76EE4" w:rsidRPr="00B77B1C" w:rsidRDefault="00F76EE4" w:rsidP="000379CA">
            <w:pPr>
              <w:spacing w:after="0" w:line="240" w:lineRule="auto"/>
              <w:jc w:val="right"/>
              <w:rPr>
                <w:rFonts w:eastAsia="Times New Roman" w:cs="Times New Roman"/>
                <w:color w:val="000000"/>
                <w:sz w:val="18"/>
                <w:szCs w:val="18"/>
                <w:lang w:eastAsia="sk-SK"/>
              </w:rPr>
            </w:pPr>
            <w:r w:rsidRPr="00B77B1C">
              <w:rPr>
                <w:rFonts w:eastAsia="Times New Roman" w:cs="Times New Roman"/>
                <w:color w:val="000000"/>
                <w:sz w:val="18"/>
                <w:szCs w:val="18"/>
                <w:lang w:eastAsia="sk-SK"/>
              </w:rPr>
              <w:t>-2 644</w:t>
            </w:r>
          </w:p>
        </w:tc>
        <w:tc>
          <w:tcPr>
            <w:tcW w:w="1004" w:type="dxa"/>
            <w:tcBorders>
              <w:top w:val="nil"/>
              <w:left w:val="nil"/>
              <w:bottom w:val="nil"/>
              <w:right w:val="nil"/>
            </w:tcBorders>
            <w:shd w:val="clear" w:color="000000" w:fill="FFFFFF"/>
            <w:noWrap/>
            <w:vAlign w:val="center"/>
            <w:hideMark/>
          </w:tcPr>
          <w:p w14:paraId="1DE6403C" w14:textId="77777777" w:rsidR="00F76EE4" w:rsidRPr="00B77B1C" w:rsidRDefault="00F76EE4" w:rsidP="000379CA">
            <w:pPr>
              <w:spacing w:after="0" w:line="240" w:lineRule="auto"/>
              <w:jc w:val="right"/>
              <w:rPr>
                <w:rFonts w:eastAsia="Times New Roman" w:cs="Times New Roman"/>
                <w:color w:val="000000"/>
                <w:sz w:val="18"/>
                <w:szCs w:val="18"/>
                <w:lang w:eastAsia="sk-SK"/>
              </w:rPr>
            </w:pPr>
            <w:r w:rsidRPr="00B77B1C">
              <w:rPr>
                <w:rFonts w:eastAsia="Times New Roman" w:cs="Times New Roman"/>
                <w:color w:val="000000"/>
                <w:sz w:val="18"/>
                <w:szCs w:val="18"/>
                <w:lang w:eastAsia="sk-SK"/>
              </w:rPr>
              <w:t>-2 009</w:t>
            </w:r>
          </w:p>
        </w:tc>
        <w:tc>
          <w:tcPr>
            <w:tcW w:w="1146" w:type="dxa"/>
            <w:tcBorders>
              <w:top w:val="nil"/>
              <w:left w:val="nil"/>
              <w:bottom w:val="nil"/>
              <w:right w:val="nil"/>
            </w:tcBorders>
            <w:shd w:val="clear" w:color="000000" w:fill="FFFFFF"/>
            <w:noWrap/>
            <w:vAlign w:val="center"/>
            <w:hideMark/>
          </w:tcPr>
          <w:p w14:paraId="253AF805" w14:textId="77777777" w:rsidR="00F76EE4" w:rsidRPr="00B77B1C" w:rsidRDefault="00F76EE4" w:rsidP="000379CA">
            <w:pPr>
              <w:spacing w:after="0" w:line="240" w:lineRule="auto"/>
              <w:jc w:val="right"/>
              <w:rPr>
                <w:rFonts w:eastAsia="Times New Roman" w:cs="Times New Roman"/>
                <w:color w:val="000000"/>
                <w:sz w:val="18"/>
                <w:szCs w:val="18"/>
                <w:lang w:eastAsia="sk-SK"/>
              </w:rPr>
            </w:pPr>
            <w:r w:rsidRPr="00B77B1C">
              <w:rPr>
                <w:rFonts w:eastAsia="Times New Roman" w:cs="Times New Roman"/>
                <w:color w:val="000000"/>
                <w:sz w:val="18"/>
                <w:szCs w:val="18"/>
                <w:lang w:eastAsia="sk-SK"/>
              </w:rPr>
              <w:t>-2 115</w:t>
            </w:r>
          </w:p>
        </w:tc>
        <w:tc>
          <w:tcPr>
            <w:tcW w:w="1134" w:type="dxa"/>
            <w:tcBorders>
              <w:top w:val="nil"/>
              <w:left w:val="nil"/>
              <w:bottom w:val="nil"/>
              <w:right w:val="nil"/>
            </w:tcBorders>
            <w:shd w:val="clear" w:color="auto" w:fill="BFBFBF" w:themeFill="background1" w:themeFillShade="BF"/>
            <w:noWrap/>
            <w:vAlign w:val="center"/>
            <w:hideMark/>
          </w:tcPr>
          <w:p w14:paraId="62499076" w14:textId="77777777" w:rsidR="00F76EE4" w:rsidRPr="00B77B1C" w:rsidRDefault="00F76EE4" w:rsidP="000379CA">
            <w:pPr>
              <w:spacing w:after="0" w:line="240" w:lineRule="auto"/>
              <w:jc w:val="right"/>
              <w:rPr>
                <w:rFonts w:eastAsia="Times New Roman" w:cs="Times New Roman"/>
                <w:color w:val="000000"/>
                <w:sz w:val="18"/>
                <w:szCs w:val="18"/>
                <w:lang w:eastAsia="sk-SK"/>
              </w:rPr>
            </w:pPr>
            <w:r w:rsidRPr="00B77B1C">
              <w:rPr>
                <w:rFonts w:eastAsia="Times New Roman" w:cs="Times New Roman"/>
                <w:color w:val="000000"/>
                <w:sz w:val="18"/>
                <w:szCs w:val="18"/>
                <w:lang w:eastAsia="sk-SK"/>
              </w:rPr>
              <w:t>-3 619</w:t>
            </w:r>
          </w:p>
        </w:tc>
        <w:tc>
          <w:tcPr>
            <w:tcW w:w="875" w:type="dxa"/>
            <w:tcBorders>
              <w:top w:val="nil"/>
              <w:left w:val="nil"/>
              <w:bottom w:val="nil"/>
              <w:right w:val="nil"/>
            </w:tcBorders>
            <w:shd w:val="clear" w:color="000000" w:fill="FFFFFF"/>
            <w:noWrap/>
            <w:vAlign w:val="center"/>
            <w:hideMark/>
          </w:tcPr>
          <w:p w14:paraId="3B37E4FF"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-1 504</w:t>
            </w:r>
          </w:p>
        </w:tc>
      </w:tr>
      <w:tr w:rsidR="00F76EE4" w:rsidRPr="00331790" w14:paraId="7FE25C8A" w14:textId="77777777" w:rsidTr="000379CA">
        <w:trPr>
          <w:trHeight w:val="348"/>
        </w:trPr>
        <w:tc>
          <w:tcPr>
            <w:tcW w:w="168" w:type="dxa"/>
            <w:tcBorders>
              <w:top w:val="nil"/>
              <w:left w:val="nil"/>
              <w:bottom w:val="nil"/>
              <w:right w:val="nil"/>
            </w:tcBorders>
            <w:shd w:val="clear" w:color="000000" w:fill="FFFFFF"/>
            <w:noWrap/>
            <w:vAlign w:val="center"/>
            <w:hideMark/>
          </w:tcPr>
          <w:p w14:paraId="6CD22A0E" w14:textId="77777777" w:rsidR="00F76EE4" w:rsidRPr="00331790" w:rsidRDefault="00F76EE4" w:rsidP="000379CA">
            <w:pPr>
              <w:spacing w:after="0" w:line="240" w:lineRule="auto"/>
              <w:jc w:val="right"/>
              <w:rPr>
                <w:rFonts w:eastAsia="Times New Roman" w:cs="Times New Roman"/>
                <w:sz w:val="20"/>
                <w:szCs w:val="20"/>
                <w:lang w:eastAsia="sk-SK"/>
              </w:rPr>
            </w:pPr>
            <w:r w:rsidRPr="00331790">
              <w:rPr>
                <w:rFonts w:eastAsia="Times New Roman" w:cs="Times New Roman"/>
                <w:sz w:val="20"/>
                <w:szCs w:val="20"/>
                <w:lang w:eastAsia="sk-SK"/>
              </w:rPr>
              <w:t> </w:t>
            </w:r>
          </w:p>
        </w:tc>
        <w:tc>
          <w:tcPr>
            <w:tcW w:w="168" w:type="dxa"/>
            <w:tcBorders>
              <w:top w:val="nil"/>
              <w:left w:val="nil"/>
              <w:bottom w:val="nil"/>
              <w:right w:val="nil"/>
            </w:tcBorders>
            <w:shd w:val="clear" w:color="000000" w:fill="FFFFFF"/>
            <w:noWrap/>
            <w:vAlign w:val="center"/>
            <w:hideMark/>
          </w:tcPr>
          <w:p w14:paraId="55A44063" w14:textId="77777777" w:rsidR="00F76EE4" w:rsidRPr="00B77B1C" w:rsidRDefault="00F76EE4" w:rsidP="000379CA">
            <w:pPr>
              <w:spacing w:after="0" w:line="240" w:lineRule="auto"/>
              <w:jc w:val="left"/>
              <w:rPr>
                <w:rFonts w:eastAsia="Times New Roman" w:cs="Times New Roman"/>
                <w:sz w:val="18"/>
                <w:szCs w:val="18"/>
                <w:lang w:eastAsia="sk-SK"/>
              </w:rPr>
            </w:pPr>
            <w:r w:rsidRPr="00B77B1C">
              <w:rPr>
                <w:rFonts w:eastAsia="Times New Roman" w:cs="Times New Roman"/>
                <w:sz w:val="18"/>
                <w:szCs w:val="18"/>
                <w:lang w:eastAsia="sk-SK"/>
              </w:rPr>
              <w:t> </w:t>
            </w:r>
          </w:p>
        </w:tc>
        <w:tc>
          <w:tcPr>
            <w:tcW w:w="2240" w:type="dxa"/>
            <w:tcBorders>
              <w:top w:val="nil"/>
              <w:left w:val="nil"/>
              <w:bottom w:val="nil"/>
              <w:right w:val="nil"/>
            </w:tcBorders>
            <w:shd w:val="clear" w:color="000000" w:fill="FFFFFF"/>
            <w:noWrap/>
            <w:vAlign w:val="center"/>
            <w:hideMark/>
          </w:tcPr>
          <w:p w14:paraId="194705FC" w14:textId="77777777" w:rsidR="00F76EE4" w:rsidRPr="00B77B1C" w:rsidRDefault="00F76EE4" w:rsidP="000379CA">
            <w:pPr>
              <w:spacing w:after="0" w:line="240" w:lineRule="auto"/>
              <w:jc w:val="left"/>
              <w:rPr>
                <w:rFonts w:eastAsia="Times New Roman" w:cs="Times New Roman"/>
                <w:sz w:val="18"/>
                <w:szCs w:val="18"/>
                <w:lang w:eastAsia="sk-SK"/>
              </w:rPr>
            </w:pPr>
            <w:r w:rsidRPr="00B77B1C">
              <w:rPr>
                <w:rFonts w:eastAsia="Times New Roman" w:cs="Times New Roman"/>
                <w:sz w:val="18"/>
                <w:szCs w:val="18"/>
                <w:lang w:eastAsia="sk-SK"/>
              </w:rPr>
              <w:t>MH Invest II, s.r.o.</w:t>
            </w:r>
          </w:p>
        </w:tc>
        <w:tc>
          <w:tcPr>
            <w:tcW w:w="979" w:type="dxa"/>
            <w:tcBorders>
              <w:top w:val="nil"/>
              <w:left w:val="nil"/>
              <w:bottom w:val="nil"/>
              <w:right w:val="nil"/>
            </w:tcBorders>
            <w:shd w:val="clear" w:color="000000" w:fill="FFFFFF"/>
            <w:noWrap/>
            <w:vAlign w:val="center"/>
            <w:hideMark/>
          </w:tcPr>
          <w:p w14:paraId="54BD5D3A"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-538</w:t>
            </w:r>
          </w:p>
        </w:tc>
        <w:tc>
          <w:tcPr>
            <w:tcW w:w="958" w:type="dxa"/>
            <w:tcBorders>
              <w:top w:val="nil"/>
              <w:left w:val="nil"/>
              <w:bottom w:val="nil"/>
              <w:right w:val="nil"/>
            </w:tcBorders>
            <w:shd w:val="clear" w:color="000000" w:fill="FFFFFF"/>
            <w:noWrap/>
            <w:vAlign w:val="center"/>
            <w:hideMark/>
          </w:tcPr>
          <w:p w14:paraId="7FAE5B40"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-459</w:t>
            </w:r>
          </w:p>
        </w:tc>
        <w:tc>
          <w:tcPr>
            <w:tcW w:w="1004" w:type="dxa"/>
            <w:tcBorders>
              <w:top w:val="nil"/>
              <w:left w:val="nil"/>
              <w:bottom w:val="nil"/>
              <w:right w:val="nil"/>
            </w:tcBorders>
            <w:shd w:val="clear" w:color="000000" w:fill="FFFFFF"/>
            <w:noWrap/>
            <w:vAlign w:val="center"/>
            <w:hideMark/>
          </w:tcPr>
          <w:p w14:paraId="5EEF96A4"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2 360</w:t>
            </w:r>
          </w:p>
        </w:tc>
        <w:tc>
          <w:tcPr>
            <w:tcW w:w="1146" w:type="dxa"/>
            <w:tcBorders>
              <w:top w:val="nil"/>
              <w:left w:val="nil"/>
              <w:bottom w:val="nil"/>
              <w:right w:val="nil"/>
            </w:tcBorders>
            <w:shd w:val="clear" w:color="000000" w:fill="FFFFFF"/>
            <w:noWrap/>
            <w:vAlign w:val="center"/>
            <w:hideMark/>
          </w:tcPr>
          <w:p w14:paraId="2872FD1A"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3 846</w:t>
            </w:r>
          </w:p>
        </w:tc>
        <w:tc>
          <w:tcPr>
            <w:tcW w:w="1134" w:type="dxa"/>
            <w:tcBorders>
              <w:top w:val="nil"/>
              <w:left w:val="nil"/>
              <w:bottom w:val="nil"/>
              <w:right w:val="nil"/>
            </w:tcBorders>
            <w:shd w:val="clear" w:color="auto" w:fill="BFBFBF" w:themeFill="background1" w:themeFillShade="BF"/>
            <w:noWrap/>
            <w:vAlign w:val="center"/>
            <w:hideMark/>
          </w:tcPr>
          <w:p w14:paraId="5E649B05"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-447</w:t>
            </w:r>
          </w:p>
        </w:tc>
        <w:tc>
          <w:tcPr>
            <w:tcW w:w="875" w:type="dxa"/>
            <w:tcBorders>
              <w:top w:val="nil"/>
              <w:left w:val="nil"/>
              <w:bottom w:val="nil"/>
              <w:right w:val="nil"/>
            </w:tcBorders>
            <w:shd w:val="clear" w:color="000000" w:fill="FFFFFF"/>
            <w:noWrap/>
            <w:vAlign w:val="center"/>
            <w:hideMark/>
          </w:tcPr>
          <w:p w14:paraId="549C0115"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-4 293</w:t>
            </w:r>
          </w:p>
        </w:tc>
      </w:tr>
      <w:tr w:rsidR="00F76EE4" w:rsidRPr="00331790" w14:paraId="1D115EDD" w14:textId="77777777" w:rsidTr="000379CA">
        <w:trPr>
          <w:trHeight w:val="348"/>
        </w:trPr>
        <w:tc>
          <w:tcPr>
            <w:tcW w:w="168" w:type="dxa"/>
            <w:tcBorders>
              <w:top w:val="nil"/>
              <w:left w:val="nil"/>
              <w:bottom w:val="nil"/>
              <w:right w:val="nil"/>
            </w:tcBorders>
            <w:shd w:val="clear" w:color="000000" w:fill="FFFFFF"/>
            <w:noWrap/>
            <w:vAlign w:val="center"/>
            <w:hideMark/>
          </w:tcPr>
          <w:p w14:paraId="2A051923" w14:textId="77777777" w:rsidR="00F76EE4" w:rsidRPr="00331790" w:rsidRDefault="00F76EE4" w:rsidP="000379CA">
            <w:pPr>
              <w:spacing w:after="0" w:line="240" w:lineRule="auto"/>
              <w:jc w:val="right"/>
              <w:rPr>
                <w:rFonts w:eastAsia="Times New Roman" w:cs="Times New Roman"/>
                <w:sz w:val="20"/>
                <w:szCs w:val="20"/>
                <w:lang w:eastAsia="sk-SK"/>
              </w:rPr>
            </w:pPr>
            <w:r w:rsidRPr="00331790">
              <w:rPr>
                <w:rFonts w:eastAsia="Times New Roman" w:cs="Times New Roman"/>
                <w:sz w:val="20"/>
                <w:szCs w:val="20"/>
                <w:lang w:eastAsia="sk-SK"/>
              </w:rPr>
              <w:t> </w:t>
            </w:r>
          </w:p>
        </w:tc>
        <w:tc>
          <w:tcPr>
            <w:tcW w:w="168" w:type="dxa"/>
            <w:tcBorders>
              <w:top w:val="nil"/>
              <w:left w:val="nil"/>
              <w:bottom w:val="nil"/>
              <w:right w:val="nil"/>
            </w:tcBorders>
            <w:shd w:val="clear" w:color="000000" w:fill="FFFFFF"/>
            <w:noWrap/>
            <w:vAlign w:val="center"/>
            <w:hideMark/>
          </w:tcPr>
          <w:p w14:paraId="20A2290F" w14:textId="77777777" w:rsidR="00F76EE4" w:rsidRPr="00B77B1C" w:rsidRDefault="00F76EE4" w:rsidP="000379CA">
            <w:pPr>
              <w:spacing w:after="0" w:line="240" w:lineRule="auto"/>
              <w:jc w:val="left"/>
              <w:rPr>
                <w:rFonts w:eastAsia="Times New Roman" w:cs="Times New Roman"/>
                <w:sz w:val="18"/>
                <w:szCs w:val="18"/>
                <w:lang w:eastAsia="sk-SK"/>
              </w:rPr>
            </w:pPr>
            <w:r w:rsidRPr="00B77B1C">
              <w:rPr>
                <w:rFonts w:eastAsia="Times New Roman" w:cs="Times New Roman"/>
                <w:sz w:val="18"/>
                <w:szCs w:val="18"/>
                <w:lang w:eastAsia="sk-SK"/>
              </w:rPr>
              <w:t> </w:t>
            </w:r>
          </w:p>
        </w:tc>
        <w:tc>
          <w:tcPr>
            <w:tcW w:w="2240" w:type="dxa"/>
            <w:tcBorders>
              <w:top w:val="nil"/>
              <w:left w:val="nil"/>
              <w:bottom w:val="nil"/>
              <w:right w:val="nil"/>
            </w:tcBorders>
            <w:shd w:val="clear" w:color="000000" w:fill="FFFFFF"/>
            <w:noWrap/>
            <w:vAlign w:val="center"/>
            <w:hideMark/>
          </w:tcPr>
          <w:p w14:paraId="080DFA05" w14:textId="77777777" w:rsidR="00F76EE4" w:rsidRPr="00B77B1C" w:rsidRDefault="00F76EE4" w:rsidP="000379CA">
            <w:pPr>
              <w:spacing w:after="0" w:line="240" w:lineRule="auto"/>
              <w:jc w:val="left"/>
              <w:rPr>
                <w:rFonts w:eastAsia="Times New Roman" w:cs="Times New Roman"/>
                <w:sz w:val="18"/>
                <w:szCs w:val="18"/>
                <w:lang w:eastAsia="sk-SK"/>
              </w:rPr>
            </w:pPr>
            <w:r w:rsidRPr="00B77B1C">
              <w:rPr>
                <w:rFonts w:eastAsia="Times New Roman" w:cs="Times New Roman"/>
                <w:sz w:val="18"/>
                <w:szCs w:val="18"/>
                <w:lang w:eastAsia="sk-SK"/>
              </w:rPr>
              <w:t>Železnice Slovenskej republiky</w:t>
            </w:r>
          </w:p>
        </w:tc>
        <w:tc>
          <w:tcPr>
            <w:tcW w:w="979" w:type="dxa"/>
            <w:tcBorders>
              <w:top w:val="nil"/>
              <w:left w:val="nil"/>
              <w:bottom w:val="nil"/>
              <w:right w:val="nil"/>
            </w:tcBorders>
            <w:shd w:val="clear" w:color="000000" w:fill="FFFFFF"/>
            <w:noWrap/>
            <w:vAlign w:val="center"/>
            <w:hideMark/>
          </w:tcPr>
          <w:p w14:paraId="1B3D55EE"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537</w:t>
            </w:r>
          </w:p>
        </w:tc>
        <w:tc>
          <w:tcPr>
            <w:tcW w:w="958" w:type="dxa"/>
            <w:tcBorders>
              <w:top w:val="nil"/>
              <w:left w:val="nil"/>
              <w:bottom w:val="nil"/>
              <w:right w:val="nil"/>
            </w:tcBorders>
            <w:shd w:val="clear" w:color="000000" w:fill="FFFFFF"/>
            <w:noWrap/>
            <w:vAlign w:val="center"/>
            <w:hideMark/>
          </w:tcPr>
          <w:p w14:paraId="1B164336"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718</w:t>
            </w:r>
          </w:p>
        </w:tc>
        <w:tc>
          <w:tcPr>
            <w:tcW w:w="1004" w:type="dxa"/>
            <w:tcBorders>
              <w:top w:val="nil"/>
              <w:left w:val="nil"/>
              <w:bottom w:val="nil"/>
              <w:right w:val="nil"/>
            </w:tcBorders>
            <w:shd w:val="clear" w:color="000000" w:fill="FFFFFF"/>
            <w:noWrap/>
            <w:vAlign w:val="center"/>
            <w:hideMark/>
          </w:tcPr>
          <w:p w14:paraId="401D277D"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0</w:t>
            </w:r>
          </w:p>
        </w:tc>
        <w:tc>
          <w:tcPr>
            <w:tcW w:w="1146" w:type="dxa"/>
            <w:tcBorders>
              <w:top w:val="nil"/>
              <w:left w:val="nil"/>
              <w:bottom w:val="nil"/>
              <w:right w:val="nil"/>
            </w:tcBorders>
            <w:shd w:val="clear" w:color="000000" w:fill="FFFFFF"/>
            <w:noWrap/>
            <w:vAlign w:val="center"/>
            <w:hideMark/>
          </w:tcPr>
          <w:p w14:paraId="3980BB14" w14:textId="62F47252" w:rsidR="00F76EE4" w:rsidRPr="00B77B1C" w:rsidRDefault="000746D4" w:rsidP="000379CA">
            <w:pPr>
              <w:spacing w:after="0" w:line="240" w:lineRule="auto"/>
              <w:jc w:val="right"/>
              <w:rPr>
                <w:rFonts w:eastAsia="Times New Roman" w:cs="Times New Roman"/>
                <w:sz w:val="18"/>
                <w:szCs w:val="18"/>
                <w:lang w:eastAsia="sk-SK"/>
              </w:rPr>
            </w:pPr>
            <w:r>
              <w:rPr>
                <w:rFonts w:eastAsia="Times New Roman" w:cs="Times New Roman"/>
                <w:sz w:val="18"/>
                <w:szCs w:val="18"/>
                <w:lang w:eastAsia="sk-SK"/>
              </w:rPr>
              <w:t>-26 983</w:t>
            </w:r>
          </w:p>
        </w:tc>
        <w:tc>
          <w:tcPr>
            <w:tcW w:w="1134" w:type="dxa"/>
            <w:tcBorders>
              <w:top w:val="nil"/>
              <w:left w:val="nil"/>
              <w:bottom w:val="nil"/>
              <w:right w:val="nil"/>
            </w:tcBorders>
            <w:shd w:val="clear" w:color="auto" w:fill="BFBFBF" w:themeFill="background1" w:themeFillShade="BF"/>
            <w:noWrap/>
            <w:vAlign w:val="center"/>
            <w:hideMark/>
          </w:tcPr>
          <w:p w14:paraId="1A95D1D9"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-9 997</w:t>
            </w:r>
          </w:p>
        </w:tc>
        <w:tc>
          <w:tcPr>
            <w:tcW w:w="875" w:type="dxa"/>
            <w:tcBorders>
              <w:top w:val="nil"/>
              <w:left w:val="nil"/>
              <w:bottom w:val="nil"/>
              <w:right w:val="nil"/>
            </w:tcBorders>
            <w:shd w:val="clear" w:color="000000" w:fill="FFFFFF"/>
            <w:noWrap/>
            <w:vAlign w:val="center"/>
            <w:hideMark/>
          </w:tcPr>
          <w:p w14:paraId="00A034AC" w14:textId="4201904E" w:rsidR="00F76EE4" w:rsidRPr="00B77B1C" w:rsidRDefault="000746D4" w:rsidP="000379CA">
            <w:pPr>
              <w:spacing w:after="0" w:line="240" w:lineRule="auto"/>
              <w:jc w:val="right"/>
              <w:rPr>
                <w:rFonts w:eastAsia="Times New Roman" w:cs="Times New Roman"/>
                <w:sz w:val="18"/>
                <w:szCs w:val="18"/>
                <w:lang w:eastAsia="sk-SK"/>
              </w:rPr>
            </w:pPr>
            <w:r>
              <w:rPr>
                <w:rFonts w:eastAsia="Times New Roman" w:cs="Times New Roman"/>
                <w:sz w:val="18"/>
                <w:szCs w:val="18"/>
                <w:lang w:eastAsia="sk-SK"/>
              </w:rPr>
              <w:t>16 986</w:t>
            </w:r>
          </w:p>
        </w:tc>
      </w:tr>
      <w:tr w:rsidR="00F76EE4" w:rsidRPr="00331790" w14:paraId="40A7233D" w14:textId="77777777" w:rsidTr="000379CA">
        <w:trPr>
          <w:trHeight w:val="348"/>
        </w:trPr>
        <w:tc>
          <w:tcPr>
            <w:tcW w:w="168" w:type="dxa"/>
            <w:tcBorders>
              <w:top w:val="nil"/>
              <w:left w:val="nil"/>
              <w:bottom w:val="nil"/>
              <w:right w:val="nil"/>
            </w:tcBorders>
            <w:shd w:val="clear" w:color="000000" w:fill="FFFFFF"/>
            <w:noWrap/>
            <w:vAlign w:val="center"/>
            <w:hideMark/>
          </w:tcPr>
          <w:p w14:paraId="3E70F67D" w14:textId="77777777" w:rsidR="00F76EE4" w:rsidRPr="00331790" w:rsidRDefault="00F76EE4" w:rsidP="000379CA">
            <w:pPr>
              <w:spacing w:after="0" w:line="240" w:lineRule="auto"/>
              <w:jc w:val="right"/>
              <w:rPr>
                <w:rFonts w:eastAsia="Times New Roman" w:cs="Times New Roman"/>
                <w:sz w:val="20"/>
                <w:szCs w:val="20"/>
                <w:lang w:eastAsia="sk-SK"/>
              </w:rPr>
            </w:pPr>
            <w:r w:rsidRPr="00331790">
              <w:rPr>
                <w:rFonts w:eastAsia="Times New Roman" w:cs="Times New Roman"/>
                <w:sz w:val="20"/>
                <w:szCs w:val="20"/>
                <w:lang w:eastAsia="sk-SK"/>
              </w:rPr>
              <w:t> </w:t>
            </w:r>
          </w:p>
        </w:tc>
        <w:tc>
          <w:tcPr>
            <w:tcW w:w="168" w:type="dxa"/>
            <w:tcBorders>
              <w:top w:val="nil"/>
              <w:left w:val="nil"/>
              <w:bottom w:val="nil"/>
              <w:right w:val="nil"/>
            </w:tcBorders>
            <w:shd w:val="clear" w:color="000000" w:fill="FFFFFF"/>
            <w:noWrap/>
            <w:vAlign w:val="center"/>
            <w:hideMark/>
          </w:tcPr>
          <w:p w14:paraId="0EACF337" w14:textId="77777777" w:rsidR="00F76EE4" w:rsidRPr="00B77B1C" w:rsidRDefault="00F76EE4" w:rsidP="000379CA">
            <w:pPr>
              <w:spacing w:after="0" w:line="240" w:lineRule="auto"/>
              <w:jc w:val="left"/>
              <w:rPr>
                <w:rFonts w:eastAsia="Times New Roman" w:cs="Times New Roman"/>
                <w:sz w:val="18"/>
                <w:szCs w:val="18"/>
                <w:lang w:eastAsia="sk-SK"/>
              </w:rPr>
            </w:pPr>
            <w:r w:rsidRPr="00B77B1C">
              <w:rPr>
                <w:rFonts w:eastAsia="Times New Roman" w:cs="Times New Roman"/>
                <w:sz w:val="18"/>
                <w:szCs w:val="18"/>
                <w:lang w:eastAsia="sk-SK"/>
              </w:rPr>
              <w:t> </w:t>
            </w:r>
          </w:p>
        </w:tc>
        <w:tc>
          <w:tcPr>
            <w:tcW w:w="2240" w:type="dxa"/>
            <w:tcBorders>
              <w:top w:val="nil"/>
              <w:left w:val="nil"/>
              <w:bottom w:val="nil"/>
              <w:right w:val="nil"/>
            </w:tcBorders>
            <w:shd w:val="clear" w:color="000000" w:fill="FFFFFF"/>
            <w:noWrap/>
            <w:vAlign w:val="center"/>
            <w:hideMark/>
          </w:tcPr>
          <w:p w14:paraId="1BFB4007" w14:textId="77777777" w:rsidR="00F76EE4" w:rsidRPr="00B77B1C" w:rsidRDefault="00F76EE4" w:rsidP="000379CA">
            <w:pPr>
              <w:spacing w:after="0" w:line="240" w:lineRule="auto"/>
              <w:jc w:val="left"/>
              <w:rPr>
                <w:rFonts w:eastAsia="Times New Roman" w:cs="Times New Roman"/>
                <w:sz w:val="18"/>
                <w:szCs w:val="18"/>
                <w:lang w:eastAsia="sk-SK"/>
              </w:rPr>
            </w:pPr>
            <w:r w:rsidRPr="00B77B1C">
              <w:rPr>
                <w:rFonts w:eastAsia="Times New Roman" w:cs="Times New Roman"/>
                <w:sz w:val="18"/>
                <w:szCs w:val="18"/>
                <w:lang w:eastAsia="sk-SK"/>
              </w:rPr>
              <w:t>Železničná spoločnosť Slovensko, a.s.</w:t>
            </w:r>
          </w:p>
        </w:tc>
        <w:tc>
          <w:tcPr>
            <w:tcW w:w="979" w:type="dxa"/>
            <w:tcBorders>
              <w:top w:val="nil"/>
              <w:left w:val="nil"/>
              <w:bottom w:val="nil"/>
              <w:right w:val="nil"/>
            </w:tcBorders>
            <w:shd w:val="clear" w:color="000000" w:fill="FFFFFF"/>
            <w:noWrap/>
            <w:vAlign w:val="center"/>
            <w:hideMark/>
          </w:tcPr>
          <w:p w14:paraId="10D4051E"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-12 221</w:t>
            </w:r>
          </w:p>
        </w:tc>
        <w:tc>
          <w:tcPr>
            <w:tcW w:w="958" w:type="dxa"/>
            <w:tcBorders>
              <w:top w:val="nil"/>
              <w:left w:val="nil"/>
              <w:bottom w:val="nil"/>
              <w:right w:val="nil"/>
            </w:tcBorders>
            <w:shd w:val="clear" w:color="000000" w:fill="FFFFFF"/>
            <w:noWrap/>
            <w:vAlign w:val="center"/>
            <w:hideMark/>
          </w:tcPr>
          <w:p w14:paraId="30D508B2"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-39 517</w:t>
            </w:r>
          </w:p>
        </w:tc>
        <w:tc>
          <w:tcPr>
            <w:tcW w:w="1004" w:type="dxa"/>
            <w:tcBorders>
              <w:top w:val="nil"/>
              <w:left w:val="nil"/>
              <w:bottom w:val="nil"/>
              <w:right w:val="nil"/>
            </w:tcBorders>
            <w:shd w:val="clear" w:color="000000" w:fill="FFFFFF"/>
            <w:noWrap/>
            <w:vAlign w:val="center"/>
            <w:hideMark/>
          </w:tcPr>
          <w:p w14:paraId="77BB625D"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40 259</w:t>
            </w:r>
          </w:p>
        </w:tc>
        <w:tc>
          <w:tcPr>
            <w:tcW w:w="1146" w:type="dxa"/>
            <w:tcBorders>
              <w:top w:val="nil"/>
              <w:left w:val="nil"/>
              <w:bottom w:val="nil"/>
              <w:right w:val="nil"/>
            </w:tcBorders>
            <w:shd w:val="clear" w:color="000000" w:fill="FFFFFF"/>
            <w:noWrap/>
            <w:vAlign w:val="center"/>
            <w:hideMark/>
          </w:tcPr>
          <w:p w14:paraId="6AB9717C"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-73 172</w:t>
            </w:r>
          </w:p>
        </w:tc>
        <w:tc>
          <w:tcPr>
            <w:tcW w:w="1134" w:type="dxa"/>
            <w:tcBorders>
              <w:top w:val="nil"/>
              <w:left w:val="nil"/>
              <w:bottom w:val="nil"/>
              <w:right w:val="nil"/>
            </w:tcBorders>
            <w:shd w:val="clear" w:color="auto" w:fill="BFBFBF" w:themeFill="background1" w:themeFillShade="BF"/>
            <w:noWrap/>
            <w:vAlign w:val="center"/>
            <w:hideMark/>
          </w:tcPr>
          <w:p w14:paraId="67438ADF"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-86 682</w:t>
            </w:r>
          </w:p>
        </w:tc>
        <w:tc>
          <w:tcPr>
            <w:tcW w:w="875" w:type="dxa"/>
            <w:tcBorders>
              <w:top w:val="nil"/>
              <w:left w:val="nil"/>
              <w:bottom w:val="nil"/>
              <w:right w:val="nil"/>
            </w:tcBorders>
            <w:shd w:val="clear" w:color="000000" w:fill="FFFFFF"/>
            <w:noWrap/>
            <w:vAlign w:val="center"/>
            <w:hideMark/>
          </w:tcPr>
          <w:p w14:paraId="25336B46"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-13 510</w:t>
            </w:r>
          </w:p>
        </w:tc>
      </w:tr>
      <w:tr w:rsidR="00F76EE4" w:rsidRPr="00331790" w14:paraId="74589912" w14:textId="77777777" w:rsidTr="000379CA">
        <w:trPr>
          <w:trHeight w:val="348"/>
        </w:trPr>
        <w:tc>
          <w:tcPr>
            <w:tcW w:w="168" w:type="dxa"/>
            <w:tcBorders>
              <w:top w:val="nil"/>
              <w:left w:val="nil"/>
              <w:bottom w:val="nil"/>
              <w:right w:val="nil"/>
            </w:tcBorders>
            <w:shd w:val="clear" w:color="000000" w:fill="FFFFFF"/>
            <w:noWrap/>
            <w:vAlign w:val="center"/>
            <w:hideMark/>
          </w:tcPr>
          <w:p w14:paraId="66FFA796" w14:textId="77777777" w:rsidR="00F76EE4" w:rsidRPr="00331790" w:rsidRDefault="00F76EE4" w:rsidP="000379CA">
            <w:pPr>
              <w:spacing w:after="0" w:line="240" w:lineRule="auto"/>
              <w:jc w:val="right"/>
              <w:rPr>
                <w:rFonts w:eastAsia="Times New Roman" w:cs="Times New Roman"/>
                <w:sz w:val="20"/>
                <w:szCs w:val="20"/>
                <w:lang w:eastAsia="sk-SK"/>
              </w:rPr>
            </w:pPr>
            <w:r w:rsidRPr="00331790">
              <w:rPr>
                <w:rFonts w:eastAsia="Times New Roman" w:cs="Times New Roman"/>
                <w:sz w:val="20"/>
                <w:szCs w:val="20"/>
                <w:lang w:eastAsia="sk-SK"/>
              </w:rPr>
              <w:t> </w:t>
            </w:r>
          </w:p>
        </w:tc>
        <w:tc>
          <w:tcPr>
            <w:tcW w:w="2408" w:type="dxa"/>
            <w:gridSpan w:val="2"/>
            <w:tcBorders>
              <w:top w:val="nil"/>
              <w:left w:val="nil"/>
              <w:bottom w:val="nil"/>
              <w:right w:val="nil"/>
            </w:tcBorders>
            <w:shd w:val="clear" w:color="000000" w:fill="FFFFFF"/>
            <w:noWrap/>
            <w:vAlign w:val="center"/>
            <w:hideMark/>
          </w:tcPr>
          <w:p w14:paraId="78CD09D1" w14:textId="77777777" w:rsidR="00F76EE4" w:rsidRPr="00B77B1C" w:rsidRDefault="00F76EE4" w:rsidP="000379CA">
            <w:pPr>
              <w:spacing w:after="0" w:line="240" w:lineRule="auto"/>
              <w:jc w:val="left"/>
              <w:rPr>
                <w:rFonts w:eastAsia="Times New Roman" w:cs="Times New Roman"/>
                <w:sz w:val="18"/>
                <w:szCs w:val="18"/>
                <w:lang w:eastAsia="sk-SK"/>
              </w:rPr>
            </w:pPr>
            <w:r w:rsidRPr="00B77B1C">
              <w:rPr>
                <w:rFonts w:eastAsia="Times New Roman" w:cs="Times New Roman"/>
                <w:sz w:val="18"/>
                <w:szCs w:val="18"/>
                <w:lang w:eastAsia="sk-SK"/>
              </w:rPr>
              <w:t>Verejné vysoké školy</w:t>
            </w:r>
          </w:p>
        </w:tc>
        <w:tc>
          <w:tcPr>
            <w:tcW w:w="979" w:type="dxa"/>
            <w:tcBorders>
              <w:top w:val="nil"/>
              <w:left w:val="nil"/>
              <w:bottom w:val="nil"/>
              <w:right w:val="nil"/>
            </w:tcBorders>
            <w:shd w:val="clear" w:color="000000" w:fill="FFFFFF"/>
            <w:noWrap/>
            <w:vAlign w:val="center"/>
            <w:hideMark/>
          </w:tcPr>
          <w:p w14:paraId="6CFE9F71"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30 982</w:t>
            </w:r>
          </w:p>
        </w:tc>
        <w:tc>
          <w:tcPr>
            <w:tcW w:w="958" w:type="dxa"/>
            <w:tcBorders>
              <w:top w:val="nil"/>
              <w:left w:val="nil"/>
              <w:bottom w:val="nil"/>
              <w:right w:val="nil"/>
            </w:tcBorders>
            <w:shd w:val="clear" w:color="000000" w:fill="FFFFFF"/>
            <w:noWrap/>
            <w:vAlign w:val="center"/>
            <w:hideMark/>
          </w:tcPr>
          <w:p w14:paraId="7F37B074"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-4 406</w:t>
            </w:r>
          </w:p>
        </w:tc>
        <w:tc>
          <w:tcPr>
            <w:tcW w:w="1004" w:type="dxa"/>
            <w:tcBorders>
              <w:top w:val="nil"/>
              <w:left w:val="nil"/>
              <w:bottom w:val="nil"/>
              <w:right w:val="nil"/>
            </w:tcBorders>
            <w:shd w:val="clear" w:color="000000" w:fill="FFFFFF"/>
            <w:noWrap/>
            <w:vAlign w:val="center"/>
            <w:hideMark/>
          </w:tcPr>
          <w:p w14:paraId="16793C77"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203</w:t>
            </w:r>
          </w:p>
        </w:tc>
        <w:tc>
          <w:tcPr>
            <w:tcW w:w="1146" w:type="dxa"/>
            <w:tcBorders>
              <w:top w:val="nil"/>
              <w:left w:val="nil"/>
              <w:bottom w:val="nil"/>
              <w:right w:val="nil"/>
            </w:tcBorders>
            <w:shd w:val="clear" w:color="000000" w:fill="FFFFFF"/>
            <w:noWrap/>
            <w:vAlign w:val="center"/>
            <w:hideMark/>
          </w:tcPr>
          <w:p w14:paraId="4411717B"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-44 042</w:t>
            </w:r>
          </w:p>
        </w:tc>
        <w:tc>
          <w:tcPr>
            <w:tcW w:w="1134" w:type="dxa"/>
            <w:tcBorders>
              <w:top w:val="nil"/>
              <w:left w:val="nil"/>
              <w:bottom w:val="nil"/>
              <w:right w:val="nil"/>
            </w:tcBorders>
            <w:shd w:val="clear" w:color="auto" w:fill="BFBFBF" w:themeFill="background1" w:themeFillShade="BF"/>
            <w:noWrap/>
            <w:vAlign w:val="center"/>
            <w:hideMark/>
          </w:tcPr>
          <w:p w14:paraId="6C3B43C3"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107 496</w:t>
            </w:r>
          </w:p>
        </w:tc>
        <w:tc>
          <w:tcPr>
            <w:tcW w:w="875" w:type="dxa"/>
            <w:tcBorders>
              <w:top w:val="nil"/>
              <w:left w:val="nil"/>
              <w:bottom w:val="nil"/>
              <w:right w:val="nil"/>
            </w:tcBorders>
            <w:shd w:val="clear" w:color="000000" w:fill="FFFFFF"/>
            <w:noWrap/>
            <w:vAlign w:val="center"/>
            <w:hideMark/>
          </w:tcPr>
          <w:p w14:paraId="38A38601"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151 538</w:t>
            </w:r>
          </w:p>
        </w:tc>
      </w:tr>
      <w:tr w:rsidR="00F76EE4" w:rsidRPr="00331790" w14:paraId="5BFCC5BE" w14:textId="77777777" w:rsidTr="000379CA">
        <w:trPr>
          <w:trHeight w:val="348"/>
        </w:trPr>
        <w:tc>
          <w:tcPr>
            <w:tcW w:w="168" w:type="dxa"/>
            <w:tcBorders>
              <w:top w:val="nil"/>
              <w:left w:val="nil"/>
              <w:bottom w:val="nil"/>
              <w:right w:val="nil"/>
            </w:tcBorders>
            <w:shd w:val="clear" w:color="000000" w:fill="FFFFFF"/>
            <w:noWrap/>
            <w:vAlign w:val="center"/>
            <w:hideMark/>
          </w:tcPr>
          <w:p w14:paraId="05F53709" w14:textId="77777777" w:rsidR="00F76EE4" w:rsidRPr="00331790" w:rsidRDefault="00F76EE4" w:rsidP="000379CA">
            <w:pPr>
              <w:spacing w:after="0" w:line="240" w:lineRule="auto"/>
              <w:jc w:val="right"/>
              <w:rPr>
                <w:rFonts w:eastAsia="Times New Roman" w:cs="Times New Roman"/>
                <w:sz w:val="20"/>
                <w:szCs w:val="20"/>
                <w:lang w:eastAsia="sk-SK"/>
              </w:rPr>
            </w:pPr>
            <w:r w:rsidRPr="00331790">
              <w:rPr>
                <w:rFonts w:eastAsia="Times New Roman" w:cs="Times New Roman"/>
                <w:sz w:val="20"/>
                <w:szCs w:val="20"/>
                <w:lang w:eastAsia="sk-SK"/>
              </w:rPr>
              <w:t> </w:t>
            </w:r>
          </w:p>
        </w:tc>
        <w:tc>
          <w:tcPr>
            <w:tcW w:w="2408" w:type="dxa"/>
            <w:gridSpan w:val="2"/>
            <w:tcBorders>
              <w:top w:val="nil"/>
              <w:left w:val="nil"/>
              <w:bottom w:val="nil"/>
              <w:right w:val="nil"/>
            </w:tcBorders>
            <w:shd w:val="clear" w:color="000000" w:fill="FFFFFF"/>
            <w:noWrap/>
            <w:vAlign w:val="center"/>
            <w:hideMark/>
          </w:tcPr>
          <w:p w14:paraId="2B4D1289" w14:textId="77777777" w:rsidR="00F76EE4" w:rsidRPr="00B77B1C" w:rsidRDefault="00F76EE4" w:rsidP="000379CA">
            <w:pPr>
              <w:spacing w:after="0" w:line="240" w:lineRule="auto"/>
              <w:jc w:val="left"/>
              <w:rPr>
                <w:rFonts w:eastAsia="Times New Roman" w:cs="Times New Roman"/>
                <w:sz w:val="18"/>
                <w:szCs w:val="18"/>
                <w:lang w:eastAsia="sk-SK"/>
              </w:rPr>
            </w:pPr>
            <w:r w:rsidRPr="00B77B1C">
              <w:rPr>
                <w:rFonts w:eastAsia="Times New Roman" w:cs="Times New Roman"/>
                <w:sz w:val="18"/>
                <w:szCs w:val="18"/>
                <w:lang w:eastAsia="sk-SK"/>
              </w:rPr>
              <w:t>Zdravotnícke zariadenia ústrednej správy</w:t>
            </w:r>
          </w:p>
        </w:tc>
        <w:tc>
          <w:tcPr>
            <w:tcW w:w="979" w:type="dxa"/>
            <w:tcBorders>
              <w:top w:val="nil"/>
              <w:left w:val="nil"/>
              <w:bottom w:val="nil"/>
              <w:right w:val="nil"/>
            </w:tcBorders>
            <w:shd w:val="clear" w:color="000000" w:fill="FFFFFF"/>
            <w:noWrap/>
            <w:vAlign w:val="center"/>
            <w:hideMark/>
          </w:tcPr>
          <w:p w14:paraId="46CCE96F"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213 109</w:t>
            </w:r>
          </w:p>
        </w:tc>
        <w:tc>
          <w:tcPr>
            <w:tcW w:w="958" w:type="dxa"/>
            <w:tcBorders>
              <w:top w:val="nil"/>
              <w:left w:val="nil"/>
              <w:bottom w:val="nil"/>
              <w:right w:val="nil"/>
            </w:tcBorders>
            <w:shd w:val="clear" w:color="000000" w:fill="FFFFFF"/>
            <w:noWrap/>
            <w:vAlign w:val="center"/>
            <w:hideMark/>
          </w:tcPr>
          <w:p w14:paraId="3E243518"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-51 277</w:t>
            </w:r>
          </w:p>
        </w:tc>
        <w:tc>
          <w:tcPr>
            <w:tcW w:w="1004" w:type="dxa"/>
            <w:tcBorders>
              <w:top w:val="nil"/>
              <w:left w:val="nil"/>
              <w:bottom w:val="nil"/>
              <w:right w:val="nil"/>
            </w:tcBorders>
            <w:shd w:val="clear" w:color="000000" w:fill="FFFFFF"/>
            <w:noWrap/>
            <w:vAlign w:val="center"/>
            <w:hideMark/>
          </w:tcPr>
          <w:p w14:paraId="0E15B788"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38 208</w:t>
            </w:r>
          </w:p>
        </w:tc>
        <w:tc>
          <w:tcPr>
            <w:tcW w:w="1146" w:type="dxa"/>
            <w:tcBorders>
              <w:top w:val="nil"/>
              <w:left w:val="nil"/>
              <w:bottom w:val="nil"/>
              <w:right w:val="nil"/>
            </w:tcBorders>
            <w:shd w:val="clear" w:color="000000" w:fill="FFFFFF"/>
            <w:noWrap/>
            <w:vAlign w:val="center"/>
            <w:hideMark/>
          </w:tcPr>
          <w:p w14:paraId="722E9FC4"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-43 558</w:t>
            </w:r>
          </w:p>
        </w:tc>
        <w:tc>
          <w:tcPr>
            <w:tcW w:w="1134" w:type="dxa"/>
            <w:tcBorders>
              <w:top w:val="nil"/>
              <w:left w:val="nil"/>
              <w:bottom w:val="nil"/>
              <w:right w:val="nil"/>
            </w:tcBorders>
            <w:shd w:val="clear" w:color="auto" w:fill="BFBFBF" w:themeFill="background1" w:themeFillShade="BF"/>
            <w:noWrap/>
            <w:vAlign w:val="center"/>
            <w:hideMark/>
          </w:tcPr>
          <w:p w14:paraId="01B4075C"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-42 918</w:t>
            </w:r>
          </w:p>
        </w:tc>
        <w:tc>
          <w:tcPr>
            <w:tcW w:w="875" w:type="dxa"/>
            <w:tcBorders>
              <w:top w:val="nil"/>
              <w:left w:val="nil"/>
              <w:bottom w:val="nil"/>
              <w:right w:val="nil"/>
            </w:tcBorders>
            <w:shd w:val="clear" w:color="000000" w:fill="FFFFFF"/>
            <w:noWrap/>
            <w:vAlign w:val="center"/>
            <w:hideMark/>
          </w:tcPr>
          <w:p w14:paraId="728B1049"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640</w:t>
            </w:r>
          </w:p>
        </w:tc>
      </w:tr>
      <w:tr w:rsidR="00F76EE4" w:rsidRPr="00331790" w14:paraId="295A8780" w14:textId="77777777" w:rsidTr="000379CA">
        <w:trPr>
          <w:trHeight w:val="348"/>
        </w:trPr>
        <w:tc>
          <w:tcPr>
            <w:tcW w:w="168" w:type="dxa"/>
            <w:tcBorders>
              <w:top w:val="nil"/>
              <w:left w:val="nil"/>
              <w:bottom w:val="nil"/>
              <w:right w:val="nil"/>
            </w:tcBorders>
            <w:shd w:val="clear" w:color="000000" w:fill="FFFFFF"/>
            <w:noWrap/>
            <w:vAlign w:val="center"/>
            <w:hideMark/>
          </w:tcPr>
          <w:p w14:paraId="0B3AF94C" w14:textId="77777777" w:rsidR="00F76EE4" w:rsidRPr="00331790" w:rsidRDefault="00F76EE4" w:rsidP="000379CA">
            <w:pPr>
              <w:spacing w:after="0" w:line="240" w:lineRule="auto"/>
              <w:jc w:val="right"/>
              <w:rPr>
                <w:rFonts w:eastAsia="Times New Roman" w:cs="Times New Roman"/>
                <w:sz w:val="20"/>
                <w:szCs w:val="20"/>
                <w:lang w:eastAsia="sk-SK"/>
              </w:rPr>
            </w:pPr>
            <w:r w:rsidRPr="00331790">
              <w:rPr>
                <w:rFonts w:eastAsia="Times New Roman" w:cs="Times New Roman"/>
                <w:sz w:val="20"/>
                <w:szCs w:val="20"/>
                <w:lang w:eastAsia="sk-SK"/>
              </w:rPr>
              <w:t> </w:t>
            </w:r>
          </w:p>
        </w:tc>
        <w:tc>
          <w:tcPr>
            <w:tcW w:w="2408" w:type="dxa"/>
            <w:gridSpan w:val="2"/>
            <w:tcBorders>
              <w:top w:val="nil"/>
              <w:left w:val="nil"/>
              <w:bottom w:val="nil"/>
              <w:right w:val="nil"/>
            </w:tcBorders>
            <w:shd w:val="clear" w:color="000000" w:fill="FFFFFF"/>
            <w:noWrap/>
            <w:vAlign w:val="center"/>
            <w:hideMark/>
          </w:tcPr>
          <w:p w14:paraId="707A81F8" w14:textId="77777777" w:rsidR="00F76EE4" w:rsidRPr="00B77B1C" w:rsidRDefault="00F76EE4" w:rsidP="000379CA">
            <w:pPr>
              <w:spacing w:after="0" w:line="240" w:lineRule="auto"/>
              <w:jc w:val="left"/>
              <w:rPr>
                <w:rFonts w:eastAsia="Times New Roman" w:cs="Times New Roman"/>
                <w:sz w:val="18"/>
                <w:szCs w:val="18"/>
                <w:lang w:eastAsia="sk-SK"/>
              </w:rPr>
            </w:pPr>
            <w:r w:rsidRPr="00B77B1C">
              <w:rPr>
                <w:rFonts w:eastAsia="Times New Roman" w:cs="Times New Roman"/>
                <w:sz w:val="18"/>
                <w:szCs w:val="18"/>
                <w:lang w:eastAsia="sk-SK"/>
              </w:rPr>
              <w:t>Ostatné subjekty ústrednej správy</w:t>
            </w:r>
          </w:p>
        </w:tc>
        <w:tc>
          <w:tcPr>
            <w:tcW w:w="979" w:type="dxa"/>
            <w:tcBorders>
              <w:top w:val="nil"/>
              <w:left w:val="nil"/>
              <w:bottom w:val="nil"/>
              <w:right w:val="nil"/>
            </w:tcBorders>
            <w:shd w:val="clear" w:color="000000" w:fill="FFFFFF"/>
            <w:noWrap/>
            <w:vAlign w:val="center"/>
            <w:hideMark/>
          </w:tcPr>
          <w:p w14:paraId="26D8EB20"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90 192</w:t>
            </w:r>
          </w:p>
        </w:tc>
        <w:tc>
          <w:tcPr>
            <w:tcW w:w="958" w:type="dxa"/>
            <w:tcBorders>
              <w:top w:val="nil"/>
              <w:left w:val="nil"/>
              <w:bottom w:val="nil"/>
              <w:right w:val="nil"/>
            </w:tcBorders>
            <w:shd w:val="clear" w:color="000000" w:fill="FFFFFF"/>
            <w:noWrap/>
            <w:vAlign w:val="center"/>
            <w:hideMark/>
          </w:tcPr>
          <w:p w14:paraId="6AC0F0FB"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190 956</w:t>
            </w:r>
          </w:p>
        </w:tc>
        <w:tc>
          <w:tcPr>
            <w:tcW w:w="1004" w:type="dxa"/>
            <w:tcBorders>
              <w:top w:val="nil"/>
              <w:left w:val="nil"/>
              <w:bottom w:val="nil"/>
              <w:right w:val="nil"/>
            </w:tcBorders>
            <w:shd w:val="clear" w:color="000000" w:fill="FFFFFF"/>
            <w:noWrap/>
            <w:vAlign w:val="center"/>
            <w:hideMark/>
          </w:tcPr>
          <w:p w14:paraId="06E9BC88"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68 380</w:t>
            </w:r>
          </w:p>
        </w:tc>
        <w:tc>
          <w:tcPr>
            <w:tcW w:w="1146" w:type="dxa"/>
            <w:tcBorders>
              <w:top w:val="nil"/>
              <w:left w:val="nil"/>
              <w:bottom w:val="nil"/>
              <w:right w:val="nil"/>
            </w:tcBorders>
            <w:shd w:val="clear" w:color="000000" w:fill="FFFFFF"/>
            <w:noWrap/>
            <w:vAlign w:val="center"/>
            <w:hideMark/>
          </w:tcPr>
          <w:p w14:paraId="4FF25DBC"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42 543</w:t>
            </w:r>
          </w:p>
        </w:tc>
        <w:tc>
          <w:tcPr>
            <w:tcW w:w="1134" w:type="dxa"/>
            <w:tcBorders>
              <w:top w:val="nil"/>
              <w:left w:val="nil"/>
              <w:bottom w:val="nil"/>
              <w:right w:val="nil"/>
            </w:tcBorders>
            <w:shd w:val="clear" w:color="auto" w:fill="BFBFBF" w:themeFill="background1" w:themeFillShade="BF"/>
            <w:noWrap/>
            <w:vAlign w:val="center"/>
            <w:hideMark/>
          </w:tcPr>
          <w:p w14:paraId="2002D535"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7 743</w:t>
            </w:r>
          </w:p>
        </w:tc>
        <w:tc>
          <w:tcPr>
            <w:tcW w:w="875" w:type="dxa"/>
            <w:tcBorders>
              <w:top w:val="nil"/>
              <w:left w:val="nil"/>
              <w:bottom w:val="nil"/>
              <w:right w:val="nil"/>
            </w:tcBorders>
            <w:shd w:val="clear" w:color="000000" w:fill="FFFFFF"/>
            <w:noWrap/>
            <w:vAlign w:val="center"/>
            <w:hideMark/>
          </w:tcPr>
          <w:p w14:paraId="27BA18EA"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-34 800</w:t>
            </w:r>
          </w:p>
        </w:tc>
      </w:tr>
      <w:tr w:rsidR="00F76EE4" w:rsidRPr="00B77B1C" w14:paraId="116FA2B1" w14:textId="77777777" w:rsidTr="000379CA">
        <w:trPr>
          <w:trHeight w:val="348"/>
        </w:trPr>
        <w:tc>
          <w:tcPr>
            <w:tcW w:w="2576" w:type="dxa"/>
            <w:gridSpan w:val="3"/>
            <w:tcBorders>
              <w:top w:val="nil"/>
              <w:left w:val="nil"/>
              <w:bottom w:val="nil"/>
              <w:right w:val="nil"/>
            </w:tcBorders>
            <w:shd w:val="clear" w:color="000000" w:fill="FFFFFF"/>
            <w:noWrap/>
            <w:vAlign w:val="center"/>
            <w:hideMark/>
          </w:tcPr>
          <w:p w14:paraId="110CFFB6" w14:textId="77777777" w:rsidR="00F76EE4" w:rsidRPr="00B77B1C" w:rsidRDefault="00F76EE4" w:rsidP="000379CA">
            <w:pPr>
              <w:spacing w:after="0" w:line="240" w:lineRule="auto"/>
              <w:jc w:val="left"/>
              <w:rPr>
                <w:rFonts w:eastAsia="Times New Roman" w:cs="Times New Roman"/>
                <w:b/>
                <w:bCs/>
                <w:color w:val="000000"/>
                <w:sz w:val="18"/>
                <w:szCs w:val="18"/>
                <w:lang w:eastAsia="sk-SK"/>
              </w:rPr>
            </w:pPr>
            <w:r w:rsidRPr="00B77B1C">
              <w:rPr>
                <w:rFonts w:eastAsia="Times New Roman" w:cs="Times New Roman"/>
                <w:b/>
                <w:bCs/>
                <w:color w:val="000000"/>
                <w:sz w:val="18"/>
                <w:szCs w:val="18"/>
                <w:lang w:eastAsia="sk-SK"/>
              </w:rPr>
              <w:t>Územná samospráva, z toho</w:t>
            </w:r>
          </w:p>
        </w:tc>
        <w:tc>
          <w:tcPr>
            <w:tcW w:w="979" w:type="dxa"/>
            <w:tcBorders>
              <w:top w:val="nil"/>
              <w:left w:val="nil"/>
              <w:bottom w:val="nil"/>
              <w:right w:val="nil"/>
            </w:tcBorders>
            <w:shd w:val="clear" w:color="000000" w:fill="FFFFFF"/>
            <w:noWrap/>
            <w:vAlign w:val="center"/>
            <w:hideMark/>
          </w:tcPr>
          <w:p w14:paraId="3ABAA429" w14:textId="77777777" w:rsidR="00F76EE4" w:rsidRPr="00B77B1C" w:rsidRDefault="00F76EE4" w:rsidP="000379CA">
            <w:pPr>
              <w:spacing w:after="0" w:line="240" w:lineRule="auto"/>
              <w:jc w:val="left"/>
              <w:rPr>
                <w:rFonts w:eastAsia="Times New Roman" w:cs="Times New Roman"/>
                <w:b/>
                <w:bCs/>
                <w:color w:val="000000"/>
                <w:sz w:val="18"/>
                <w:szCs w:val="18"/>
                <w:lang w:eastAsia="sk-SK"/>
              </w:rPr>
            </w:pPr>
            <w:r w:rsidRPr="00B77B1C">
              <w:rPr>
                <w:rFonts w:eastAsia="Times New Roman" w:cs="Times New Roman"/>
                <w:b/>
                <w:bCs/>
                <w:color w:val="000000"/>
                <w:sz w:val="18"/>
                <w:szCs w:val="18"/>
                <w:lang w:eastAsia="sk-SK"/>
              </w:rPr>
              <w:t> </w:t>
            </w:r>
          </w:p>
        </w:tc>
        <w:tc>
          <w:tcPr>
            <w:tcW w:w="958" w:type="dxa"/>
            <w:tcBorders>
              <w:top w:val="nil"/>
              <w:left w:val="nil"/>
              <w:bottom w:val="nil"/>
              <w:right w:val="nil"/>
            </w:tcBorders>
            <w:shd w:val="clear" w:color="000000" w:fill="FFFFFF"/>
            <w:noWrap/>
            <w:vAlign w:val="center"/>
            <w:hideMark/>
          </w:tcPr>
          <w:p w14:paraId="253897D5" w14:textId="77777777" w:rsidR="00F76EE4" w:rsidRPr="00B77B1C" w:rsidRDefault="00F76EE4" w:rsidP="000379CA">
            <w:pPr>
              <w:spacing w:after="0" w:line="240" w:lineRule="auto"/>
              <w:jc w:val="left"/>
              <w:rPr>
                <w:rFonts w:eastAsia="Times New Roman" w:cs="Times New Roman"/>
                <w:b/>
                <w:bCs/>
                <w:color w:val="000000"/>
                <w:sz w:val="18"/>
                <w:szCs w:val="18"/>
                <w:lang w:eastAsia="sk-SK"/>
              </w:rPr>
            </w:pPr>
            <w:r w:rsidRPr="00B77B1C">
              <w:rPr>
                <w:rFonts w:eastAsia="Times New Roman" w:cs="Times New Roman"/>
                <w:b/>
                <w:bCs/>
                <w:color w:val="000000"/>
                <w:sz w:val="18"/>
                <w:szCs w:val="18"/>
                <w:lang w:eastAsia="sk-SK"/>
              </w:rPr>
              <w:t> </w:t>
            </w:r>
          </w:p>
        </w:tc>
        <w:tc>
          <w:tcPr>
            <w:tcW w:w="1004" w:type="dxa"/>
            <w:tcBorders>
              <w:top w:val="nil"/>
              <w:left w:val="nil"/>
              <w:bottom w:val="nil"/>
              <w:right w:val="nil"/>
            </w:tcBorders>
            <w:shd w:val="clear" w:color="000000" w:fill="FFFFFF"/>
            <w:noWrap/>
            <w:vAlign w:val="center"/>
            <w:hideMark/>
          </w:tcPr>
          <w:p w14:paraId="07257F2E" w14:textId="77777777" w:rsidR="00F76EE4" w:rsidRPr="00B77B1C" w:rsidRDefault="00F76EE4" w:rsidP="000379CA">
            <w:pPr>
              <w:spacing w:after="0" w:line="240" w:lineRule="auto"/>
              <w:jc w:val="left"/>
              <w:rPr>
                <w:rFonts w:eastAsia="Times New Roman" w:cs="Times New Roman"/>
                <w:b/>
                <w:bCs/>
                <w:color w:val="000000"/>
                <w:sz w:val="18"/>
                <w:szCs w:val="18"/>
                <w:lang w:eastAsia="sk-SK"/>
              </w:rPr>
            </w:pPr>
            <w:r w:rsidRPr="00B77B1C">
              <w:rPr>
                <w:rFonts w:eastAsia="Times New Roman" w:cs="Times New Roman"/>
                <w:b/>
                <w:bCs/>
                <w:color w:val="000000"/>
                <w:sz w:val="18"/>
                <w:szCs w:val="18"/>
                <w:lang w:eastAsia="sk-SK"/>
              </w:rPr>
              <w:t> </w:t>
            </w:r>
          </w:p>
        </w:tc>
        <w:tc>
          <w:tcPr>
            <w:tcW w:w="1146" w:type="dxa"/>
            <w:tcBorders>
              <w:top w:val="nil"/>
              <w:left w:val="nil"/>
              <w:bottom w:val="nil"/>
              <w:right w:val="nil"/>
            </w:tcBorders>
            <w:shd w:val="clear" w:color="000000" w:fill="FFFFFF"/>
            <w:noWrap/>
            <w:vAlign w:val="center"/>
            <w:hideMark/>
          </w:tcPr>
          <w:p w14:paraId="448CAF0C" w14:textId="77777777" w:rsidR="00F76EE4" w:rsidRPr="00B77B1C" w:rsidRDefault="00F76EE4" w:rsidP="000379CA">
            <w:pPr>
              <w:spacing w:after="0" w:line="240" w:lineRule="auto"/>
              <w:jc w:val="left"/>
              <w:rPr>
                <w:rFonts w:eastAsia="Times New Roman" w:cs="Times New Roman"/>
                <w:b/>
                <w:bCs/>
                <w:color w:val="000000"/>
                <w:sz w:val="18"/>
                <w:szCs w:val="18"/>
                <w:lang w:eastAsia="sk-SK"/>
              </w:rPr>
            </w:pPr>
            <w:r w:rsidRPr="00B77B1C">
              <w:rPr>
                <w:rFonts w:eastAsia="Times New Roman" w:cs="Times New Roman"/>
                <w:b/>
                <w:bCs/>
                <w:color w:val="000000"/>
                <w:sz w:val="18"/>
                <w:szCs w:val="18"/>
                <w:lang w:eastAsia="sk-SK"/>
              </w:rPr>
              <w:t> </w:t>
            </w:r>
          </w:p>
        </w:tc>
        <w:tc>
          <w:tcPr>
            <w:tcW w:w="1134" w:type="dxa"/>
            <w:tcBorders>
              <w:top w:val="nil"/>
              <w:left w:val="nil"/>
              <w:bottom w:val="nil"/>
              <w:right w:val="nil"/>
            </w:tcBorders>
            <w:shd w:val="clear" w:color="auto" w:fill="BFBFBF" w:themeFill="background1" w:themeFillShade="BF"/>
            <w:noWrap/>
            <w:vAlign w:val="center"/>
            <w:hideMark/>
          </w:tcPr>
          <w:p w14:paraId="6424470F" w14:textId="77777777" w:rsidR="00F76EE4" w:rsidRPr="00B77B1C" w:rsidRDefault="00F76EE4" w:rsidP="000379CA">
            <w:pPr>
              <w:spacing w:after="0" w:line="240" w:lineRule="auto"/>
              <w:jc w:val="left"/>
              <w:rPr>
                <w:rFonts w:eastAsia="Times New Roman" w:cs="Times New Roman"/>
                <w:b/>
                <w:bCs/>
                <w:color w:val="000000"/>
                <w:sz w:val="18"/>
                <w:szCs w:val="18"/>
                <w:lang w:eastAsia="sk-SK"/>
              </w:rPr>
            </w:pPr>
            <w:r w:rsidRPr="00B77B1C">
              <w:rPr>
                <w:rFonts w:eastAsia="Times New Roman" w:cs="Times New Roman"/>
                <w:b/>
                <w:bCs/>
                <w:color w:val="000000"/>
                <w:sz w:val="18"/>
                <w:szCs w:val="18"/>
                <w:lang w:eastAsia="sk-SK"/>
              </w:rPr>
              <w:t> </w:t>
            </w:r>
          </w:p>
        </w:tc>
        <w:tc>
          <w:tcPr>
            <w:tcW w:w="875" w:type="dxa"/>
            <w:tcBorders>
              <w:top w:val="nil"/>
              <w:left w:val="nil"/>
              <w:bottom w:val="nil"/>
              <w:right w:val="nil"/>
            </w:tcBorders>
            <w:shd w:val="clear" w:color="000000" w:fill="FFFFFF"/>
            <w:noWrap/>
            <w:vAlign w:val="center"/>
            <w:hideMark/>
          </w:tcPr>
          <w:p w14:paraId="5EC6F346" w14:textId="77777777" w:rsidR="00F76EE4" w:rsidRPr="00B77B1C" w:rsidRDefault="00F76EE4" w:rsidP="000379CA">
            <w:pPr>
              <w:spacing w:after="0" w:line="240" w:lineRule="auto"/>
              <w:jc w:val="right"/>
              <w:rPr>
                <w:rFonts w:eastAsia="Times New Roman" w:cs="Times New Roman"/>
                <w:sz w:val="18"/>
                <w:szCs w:val="18"/>
                <w:lang w:eastAsia="sk-SK"/>
              </w:rPr>
            </w:pPr>
          </w:p>
        </w:tc>
      </w:tr>
      <w:tr w:rsidR="00F76EE4" w:rsidRPr="00331790" w14:paraId="6B98F0B1" w14:textId="77777777" w:rsidTr="000379CA">
        <w:trPr>
          <w:trHeight w:val="348"/>
        </w:trPr>
        <w:tc>
          <w:tcPr>
            <w:tcW w:w="168" w:type="dxa"/>
            <w:tcBorders>
              <w:top w:val="nil"/>
              <w:left w:val="nil"/>
              <w:bottom w:val="nil"/>
              <w:right w:val="nil"/>
            </w:tcBorders>
            <w:shd w:val="clear" w:color="000000" w:fill="FFFFFF"/>
            <w:noWrap/>
            <w:vAlign w:val="center"/>
            <w:hideMark/>
          </w:tcPr>
          <w:p w14:paraId="02C1271D" w14:textId="77777777" w:rsidR="00F76EE4" w:rsidRPr="00331790" w:rsidRDefault="00F76EE4" w:rsidP="000379CA">
            <w:pPr>
              <w:spacing w:after="0" w:line="240" w:lineRule="auto"/>
              <w:jc w:val="left"/>
              <w:rPr>
                <w:rFonts w:eastAsia="Times New Roman" w:cs="Times New Roman"/>
                <w:color w:val="000000"/>
                <w:sz w:val="20"/>
                <w:szCs w:val="20"/>
                <w:lang w:eastAsia="sk-SK"/>
              </w:rPr>
            </w:pPr>
            <w:r w:rsidRPr="00331790">
              <w:rPr>
                <w:rFonts w:eastAsia="Times New Roman" w:cs="Times New Roman"/>
                <w:color w:val="000000"/>
                <w:sz w:val="20"/>
                <w:szCs w:val="20"/>
                <w:lang w:eastAsia="sk-SK"/>
              </w:rPr>
              <w:t> </w:t>
            </w:r>
          </w:p>
        </w:tc>
        <w:tc>
          <w:tcPr>
            <w:tcW w:w="2408" w:type="dxa"/>
            <w:gridSpan w:val="2"/>
            <w:tcBorders>
              <w:top w:val="nil"/>
              <w:left w:val="nil"/>
              <w:bottom w:val="nil"/>
              <w:right w:val="nil"/>
            </w:tcBorders>
            <w:shd w:val="clear" w:color="000000" w:fill="FFFFFF"/>
            <w:noWrap/>
            <w:vAlign w:val="center"/>
            <w:hideMark/>
          </w:tcPr>
          <w:p w14:paraId="47062999" w14:textId="77777777" w:rsidR="00F76EE4" w:rsidRPr="00B77B1C" w:rsidRDefault="00F76EE4" w:rsidP="000379CA">
            <w:pPr>
              <w:spacing w:after="0" w:line="240" w:lineRule="auto"/>
              <w:jc w:val="left"/>
              <w:rPr>
                <w:rFonts w:eastAsia="Times New Roman" w:cs="Times New Roman"/>
                <w:sz w:val="18"/>
                <w:szCs w:val="18"/>
                <w:lang w:eastAsia="sk-SK"/>
              </w:rPr>
            </w:pPr>
            <w:r w:rsidRPr="00B77B1C">
              <w:rPr>
                <w:rFonts w:eastAsia="Times New Roman" w:cs="Times New Roman"/>
                <w:sz w:val="18"/>
                <w:szCs w:val="18"/>
                <w:lang w:eastAsia="sk-SK"/>
              </w:rPr>
              <w:t>Obce</w:t>
            </w:r>
            <w:r w:rsidRPr="00B77B1C">
              <w:rPr>
                <w:rFonts w:eastAsia="Times New Roman" w:cs="Times New Roman"/>
                <w:sz w:val="18"/>
                <w:szCs w:val="18"/>
                <w:vertAlign w:val="superscript"/>
                <w:lang w:eastAsia="sk-SK"/>
              </w:rPr>
              <w:t xml:space="preserve"> </w:t>
            </w:r>
            <w:r w:rsidRPr="00B77B1C">
              <w:rPr>
                <w:rFonts w:eastAsia="Times New Roman" w:cs="Times New Roman"/>
                <w:sz w:val="18"/>
                <w:szCs w:val="18"/>
                <w:lang w:eastAsia="sk-SK"/>
              </w:rPr>
              <w:t>a ich rozpočtové organizácie</w:t>
            </w:r>
          </w:p>
        </w:tc>
        <w:tc>
          <w:tcPr>
            <w:tcW w:w="979" w:type="dxa"/>
            <w:tcBorders>
              <w:top w:val="nil"/>
              <w:left w:val="nil"/>
              <w:bottom w:val="nil"/>
              <w:right w:val="nil"/>
            </w:tcBorders>
            <w:shd w:val="clear" w:color="000000" w:fill="FFFFFF"/>
            <w:noWrap/>
            <w:vAlign w:val="center"/>
            <w:hideMark/>
          </w:tcPr>
          <w:p w14:paraId="5276B6EA"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-29 323</w:t>
            </w:r>
          </w:p>
        </w:tc>
        <w:tc>
          <w:tcPr>
            <w:tcW w:w="958" w:type="dxa"/>
            <w:tcBorders>
              <w:top w:val="nil"/>
              <w:left w:val="nil"/>
              <w:bottom w:val="nil"/>
              <w:right w:val="nil"/>
            </w:tcBorders>
            <w:shd w:val="clear" w:color="000000" w:fill="FFFFFF"/>
            <w:noWrap/>
            <w:vAlign w:val="center"/>
            <w:hideMark/>
          </w:tcPr>
          <w:p w14:paraId="2F5401CE"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55 868</w:t>
            </w:r>
          </w:p>
        </w:tc>
        <w:tc>
          <w:tcPr>
            <w:tcW w:w="1004" w:type="dxa"/>
            <w:tcBorders>
              <w:top w:val="nil"/>
              <w:left w:val="nil"/>
              <w:bottom w:val="nil"/>
              <w:right w:val="nil"/>
            </w:tcBorders>
            <w:shd w:val="clear" w:color="000000" w:fill="FFFFFF"/>
            <w:noWrap/>
            <w:vAlign w:val="center"/>
            <w:hideMark/>
          </w:tcPr>
          <w:p w14:paraId="44D60AA9"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91 988</w:t>
            </w:r>
          </w:p>
        </w:tc>
        <w:tc>
          <w:tcPr>
            <w:tcW w:w="1146" w:type="dxa"/>
            <w:tcBorders>
              <w:top w:val="nil"/>
              <w:left w:val="nil"/>
              <w:bottom w:val="nil"/>
              <w:right w:val="nil"/>
            </w:tcBorders>
            <w:shd w:val="clear" w:color="000000" w:fill="FFFFFF"/>
            <w:noWrap/>
            <w:vAlign w:val="center"/>
            <w:hideMark/>
          </w:tcPr>
          <w:p w14:paraId="6263D287"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-226 701</w:t>
            </w:r>
          </w:p>
        </w:tc>
        <w:tc>
          <w:tcPr>
            <w:tcW w:w="1134" w:type="dxa"/>
            <w:tcBorders>
              <w:top w:val="nil"/>
              <w:left w:val="nil"/>
              <w:bottom w:val="nil"/>
              <w:right w:val="nil"/>
            </w:tcBorders>
            <w:shd w:val="clear" w:color="auto" w:fill="BFBFBF" w:themeFill="background1" w:themeFillShade="BF"/>
            <w:noWrap/>
            <w:vAlign w:val="center"/>
            <w:hideMark/>
          </w:tcPr>
          <w:p w14:paraId="2A907CC8"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140 673</w:t>
            </w:r>
          </w:p>
        </w:tc>
        <w:tc>
          <w:tcPr>
            <w:tcW w:w="875" w:type="dxa"/>
            <w:tcBorders>
              <w:top w:val="nil"/>
              <w:left w:val="nil"/>
              <w:bottom w:val="nil"/>
              <w:right w:val="nil"/>
            </w:tcBorders>
            <w:shd w:val="clear" w:color="000000" w:fill="FFFFFF"/>
            <w:noWrap/>
            <w:vAlign w:val="center"/>
            <w:hideMark/>
          </w:tcPr>
          <w:p w14:paraId="040FC22D"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367 374</w:t>
            </w:r>
          </w:p>
        </w:tc>
      </w:tr>
      <w:tr w:rsidR="00F76EE4" w:rsidRPr="00331790" w14:paraId="598288C7" w14:textId="77777777" w:rsidTr="000379CA">
        <w:trPr>
          <w:trHeight w:val="348"/>
        </w:trPr>
        <w:tc>
          <w:tcPr>
            <w:tcW w:w="168" w:type="dxa"/>
            <w:tcBorders>
              <w:top w:val="nil"/>
              <w:left w:val="nil"/>
              <w:bottom w:val="nil"/>
              <w:right w:val="nil"/>
            </w:tcBorders>
            <w:shd w:val="clear" w:color="000000" w:fill="FFFFFF"/>
            <w:noWrap/>
            <w:vAlign w:val="center"/>
            <w:hideMark/>
          </w:tcPr>
          <w:p w14:paraId="6556A6EB" w14:textId="77777777" w:rsidR="00F76EE4" w:rsidRPr="00331790" w:rsidRDefault="00F76EE4" w:rsidP="000379CA">
            <w:pPr>
              <w:spacing w:after="0" w:line="240" w:lineRule="auto"/>
              <w:jc w:val="left"/>
              <w:rPr>
                <w:rFonts w:eastAsia="Times New Roman" w:cs="Times New Roman"/>
                <w:color w:val="000000"/>
                <w:sz w:val="20"/>
                <w:szCs w:val="20"/>
                <w:lang w:eastAsia="sk-SK"/>
              </w:rPr>
            </w:pPr>
            <w:r w:rsidRPr="00331790">
              <w:rPr>
                <w:rFonts w:eastAsia="Times New Roman" w:cs="Times New Roman"/>
                <w:color w:val="000000"/>
                <w:sz w:val="20"/>
                <w:szCs w:val="20"/>
                <w:lang w:eastAsia="sk-SK"/>
              </w:rPr>
              <w:t> </w:t>
            </w:r>
          </w:p>
        </w:tc>
        <w:tc>
          <w:tcPr>
            <w:tcW w:w="2408" w:type="dxa"/>
            <w:gridSpan w:val="2"/>
            <w:tcBorders>
              <w:top w:val="nil"/>
              <w:left w:val="nil"/>
              <w:bottom w:val="nil"/>
              <w:right w:val="nil"/>
            </w:tcBorders>
            <w:shd w:val="clear" w:color="000000" w:fill="FFFFFF"/>
            <w:noWrap/>
            <w:vAlign w:val="center"/>
            <w:hideMark/>
          </w:tcPr>
          <w:p w14:paraId="484E5F82" w14:textId="77777777" w:rsidR="00F76EE4" w:rsidRPr="00B77B1C" w:rsidRDefault="00F76EE4" w:rsidP="000379CA">
            <w:pPr>
              <w:spacing w:after="0" w:line="240" w:lineRule="auto"/>
              <w:jc w:val="left"/>
              <w:rPr>
                <w:rFonts w:eastAsia="Times New Roman" w:cs="Times New Roman"/>
                <w:sz w:val="18"/>
                <w:szCs w:val="18"/>
                <w:lang w:eastAsia="sk-SK"/>
              </w:rPr>
            </w:pPr>
            <w:r w:rsidRPr="00B77B1C">
              <w:rPr>
                <w:rFonts w:eastAsia="Times New Roman" w:cs="Times New Roman"/>
                <w:sz w:val="18"/>
                <w:szCs w:val="18"/>
                <w:lang w:eastAsia="sk-SK"/>
              </w:rPr>
              <w:t>Vyššie územné celky a ich rozpočtové organizácie</w:t>
            </w:r>
          </w:p>
        </w:tc>
        <w:tc>
          <w:tcPr>
            <w:tcW w:w="979" w:type="dxa"/>
            <w:tcBorders>
              <w:top w:val="nil"/>
              <w:left w:val="nil"/>
              <w:bottom w:val="nil"/>
              <w:right w:val="nil"/>
            </w:tcBorders>
            <w:shd w:val="clear" w:color="000000" w:fill="FFFFFF"/>
            <w:noWrap/>
            <w:vAlign w:val="center"/>
            <w:hideMark/>
          </w:tcPr>
          <w:p w14:paraId="01B2EBC7"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102 822</w:t>
            </w:r>
          </w:p>
        </w:tc>
        <w:tc>
          <w:tcPr>
            <w:tcW w:w="958" w:type="dxa"/>
            <w:tcBorders>
              <w:top w:val="nil"/>
              <w:left w:val="nil"/>
              <w:bottom w:val="nil"/>
              <w:right w:val="nil"/>
            </w:tcBorders>
            <w:shd w:val="clear" w:color="000000" w:fill="FFFFFF"/>
            <w:noWrap/>
            <w:vAlign w:val="center"/>
            <w:hideMark/>
          </w:tcPr>
          <w:p w14:paraId="480BD3D6"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45 582</w:t>
            </w:r>
          </w:p>
        </w:tc>
        <w:tc>
          <w:tcPr>
            <w:tcW w:w="1004" w:type="dxa"/>
            <w:tcBorders>
              <w:top w:val="nil"/>
              <w:left w:val="nil"/>
              <w:bottom w:val="nil"/>
              <w:right w:val="nil"/>
            </w:tcBorders>
            <w:shd w:val="clear" w:color="000000" w:fill="FFFFFF"/>
            <w:noWrap/>
            <w:vAlign w:val="center"/>
            <w:hideMark/>
          </w:tcPr>
          <w:p w14:paraId="08CA8879"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130 963</w:t>
            </w:r>
          </w:p>
        </w:tc>
        <w:tc>
          <w:tcPr>
            <w:tcW w:w="1146" w:type="dxa"/>
            <w:tcBorders>
              <w:top w:val="nil"/>
              <w:left w:val="nil"/>
              <w:bottom w:val="nil"/>
              <w:right w:val="nil"/>
            </w:tcBorders>
            <w:shd w:val="clear" w:color="000000" w:fill="FFFFFF"/>
            <w:noWrap/>
            <w:vAlign w:val="center"/>
            <w:hideMark/>
          </w:tcPr>
          <w:p w14:paraId="5CE23843"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13 888</w:t>
            </w:r>
          </w:p>
        </w:tc>
        <w:tc>
          <w:tcPr>
            <w:tcW w:w="1134" w:type="dxa"/>
            <w:tcBorders>
              <w:top w:val="nil"/>
              <w:left w:val="nil"/>
              <w:bottom w:val="nil"/>
              <w:right w:val="nil"/>
            </w:tcBorders>
            <w:shd w:val="clear" w:color="auto" w:fill="BFBFBF" w:themeFill="background1" w:themeFillShade="BF"/>
            <w:noWrap/>
            <w:vAlign w:val="center"/>
            <w:hideMark/>
          </w:tcPr>
          <w:p w14:paraId="6D9545EB"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7 735</w:t>
            </w:r>
          </w:p>
        </w:tc>
        <w:tc>
          <w:tcPr>
            <w:tcW w:w="875" w:type="dxa"/>
            <w:tcBorders>
              <w:top w:val="nil"/>
              <w:left w:val="nil"/>
              <w:bottom w:val="nil"/>
              <w:right w:val="nil"/>
            </w:tcBorders>
            <w:shd w:val="clear" w:color="000000" w:fill="FFFFFF"/>
            <w:noWrap/>
            <w:vAlign w:val="center"/>
            <w:hideMark/>
          </w:tcPr>
          <w:p w14:paraId="12A83193"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-6 153</w:t>
            </w:r>
          </w:p>
        </w:tc>
      </w:tr>
      <w:tr w:rsidR="00F76EE4" w:rsidRPr="00331790" w14:paraId="2DBBDE4F" w14:textId="77777777" w:rsidTr="000379CA">
        <w:trPr>
          <w:trHeight w:val="348"/>
        </w:trPr>
        <w:tc>
          <w:tcPr>
            <w:tcW w:w="168" w:type="dxa"/>
            <w:tcBorders>
              <w:top w:val="nil"/>
              <w:left w:val="nil"/>
              <w:bottom w:val="nil"/>
              <w:right w:val="nil"/>
            </w:tcBorders>
            <w:shd w:val="clear" w:color="000000" w:fill="FFFFFF"/>
            <w:noWrap/>
            <w:vAlign w:val="center"/>
            <w:hideMark/>
          </w:tcPr>
          <w:p w14:paraId="7FC612DB" w14:textId="77777777" w:rsidR="00F76EE4" w:rsidRPr="00331790" w:rsidRDefault="00F76EE4" w:rsidP="000379CA">
            <w:pPr>
              <w:spacing w:after="0" w:line="240" w:lineRule="auto"/>
              <w:jc w:val="left"/>
              <w:rPr>
                <w:rFonts w:eastAsia="Times New Roman" w:cs="Times New Roman"/>
                <w:color w:val="000000"/>
                <w:sz w:val="20"/>
                <w:szCs w:val="20"/>
                <w:lang w:eastAsia="sk-SK"/>
              </w:rPr>
            </w:pPr>
            <w:r w:rsidRPr="00331790">
              <w:rPr>
                <w:rFonts w:eastAsia="Times New Roman" w:cs="Times New Roman"/>
                <w:color w:val="000000"/>
                <w:sz w:val="20"/>
                <w:szCs w:val="20"/>
                <w:lang w:eastAsia="sk-SK"/>
              </w:rPr>
              <w:t> </w:t>
            </w:r>
          </w:p>
        </w:tc>
        <w:tc>
          <w:tcPr>
            <w:tcW w:w="2408" w:type="dxa"/>
            <w:gridSpan w:val="2"/>
            <w:tcBorders>
              <w:top w:val="nil"/>
              <w:left w:val="nil"/>
              <w:bottom w:val="nil"/>
              <w:right w:val="nil"/>
            </w:tcBorders>
            <w:shd w:val="clear" w:color="000000" w:fill="FFFFFF"/>
            <w:noWrap/>
            <w:vAlign w:val="center"/>
            <w:hideMark/>
          </w:tcPr>
          <w:p w14:paraId="6CCE5038" w14:textId="77777777" w:rsidR="00F76EE4" w:rsidRPr="00B77B1C" w:rsidRDefault="00F76EE4" w:rsidP="000379CA">
            <w:pPr>
              <w:spacing w:after="0" w:line="240" w:lineRule="auto"/>
              <w:jc w:val="left"/>
              <w:rPr>
                <w:rFonts w:eastAsia="Times New Roman" w:cs="Times New Roman"/>
                <w:sz w:val="18"/>
                <w:szCs w:val="18"/>
                <w:lang w:eastAsia="sk-SK"/>
              </w:rPr>
            </w:pPr>
            <w:r w:rsidRPr="00B77B1C">
              <w:rPr>
                <w:rFonts w:eastAsia="Times New Roman" w:cs="Times New Roman"/>
                <w:sz w:val="18"/>
                <w:szCs w:val="18"/>
                <w:lang w:eastAsia="sk-SK"/>
              </w:rPr>
              <w:t>Príspevkové organizácie obcí</w:t>
            </w:r>
          </w:p>
        </w:tc>
        <w:tc>
          <w:tcPr>
            <w:tcW w:w="979" w:type="dxa"/>
            <w:tcBorders>
              <w:top w:val="nil"/>
              <w:left w:val="nil"/>
              <w:bottom w:val="nil"/>
              <w:right w:val="nil"/>
            </w:tcBorders>
            <w:shd w:val="clear" w:color="000000" w:fill="FFFFFF"/>
            <w:noWrap/>
            <w:vAlign w:val="center"/>
            <w:hideMark/>
          </w:tcPr>
          <w:p w14:paraId="41E86D81"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5 482</w:t>
            </w:r>
          </w:p>
        </w:tc>
        <w:tc>
          <w:tcPr>
            <w:tcW w:w="958" w:type="dxa"/>
            <w:tcBorders>
              <w:top w:val="nil"/>
              <w:left w:val="nil"/>
              <w:bottom w:val="nil"/>
              <w:right w:val="nil"/>
            </w:tcBorders>
            <w:shd w:val="clear" w:color="000000" w:fill="FFFFFF"/>
            <w:noWrap/>
            <w:vAlign w:val="center"/>
            <w:hideMark/>
          </w:tcPr>
          <w:p w14:paraId="0CBDBCC4"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1 491</w:t>
            </w:r>
          </w:p>
        </w:tc>
        <w:tc>
          <w:tcPr>
            <w:tcW w:w="1004" w:type="dxa"/>
            <w:tcBorders>
              <w:top w:val="nil"/>
              <w:left w:val="nil"/>
              <w:bottom w:val="nil"/>
              <w:right w:val="nil"/>
            </w:tcBorders>
            <w:shd w:val="clear" w:color="000000" w:fill="FFFFFF"/>
            <w:noWrap/>
            <w:vAlign w:val="center"/>
            <w:hideMark/>
          </w:tcPr>
          <w:p w14:paraId="65FF68F1"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3 900</w:t>
            </w:r>
          </w:p>
        </w:tc>
        <w:tc>
          <w:tcPr>
            <w:tcW w:w="1146" w:type="dxa"/>
            <w:tcBorders>
              <w:top w:val="nil"/>
              <w:left w:val="nil"/>
              <w:bottom w:val="nil"/>
              <w:right w:val="nil"/>
            </w:tcBorders>
            <w:shd w:val="clear" w:color="000000" w:fill="FFFFFF"/>
            <w:noWrap/>
            <w:vAlign w:val="center"/>
            <w:hideMark/>
          </w:tcPr>
          <w:p w14:paraId="1269D92B"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4 948</w:t>
            </w:r>
          </w:p>
        </w:tc>
        <w:tc>
          <w:tcPr>
            <w:tcW w:w="1134" w:type="dxa"/>
            <w:tcBorders>
              <w:top w:val="nil"/>
              <w:left w:val="nil"/>
              <w:bottom w:val="nil"/>
              <w:right w:val="nil"/>
            </w:tcBorders>
            <w:shd w:val="clear" w:color="auto" w:fill="BFBFBF" w:themeFill="background1" w:themeFillShade="BF"/>
            <w:noWrap/>
            <w:vAlign w:val="center"/>
            <w:hideMark/>
          </w:tcPr>
          <w:p w14:paraId="01BD0484"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5 734</w:t>
            </w:r>
          </w:p>
        </w:tc>
        <w:tc>
          <w:tcPr>
            <w:tcW w:w="875" w:type="dxa"/>
            <w:tcBorders>
              <w:top w:val="nil"/>
              <w:left w:val="nil"/>
              <w:bottom w:val="nil"/>
              <w:right w:val="nil"/>
            </w:tcBorders>
            <w:shd w:val="clear" w:color="000000" w:fill="FFFFFF"/>
            <w:noWrap/>
            <w:vAlign w:val="center"/>
            <w:hideMark/>
          </w:tcPr>
          <w:p w14:paraId="4B62F0C7"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786</w:t>
            </w:r>
          </w:p>
        </w:tc>
      </w:tr>
      <w:tr w:rsidR="00F76EE4" w:rsidRPr="00331790" w14:paraId="75D0BEFF" w14:textId="77777777" w:rsidTr="000379CA">
        <w:trPr>
          <w:trHeight w:val="348"/>
        </w:trPr>
        <w:tc>
          <w:tcPr>
            <w:tcW w:w="168" w:type="dxa"/>
            <w:tcBorders>
              <w:top w:val="nil"/>
              <w:left w:val="nil"/>
              <w:bottom w:val="nil"/>
              <w:right w:val="nil"/>
            </w:tcBorders>
            <w:shd w:val="clear" w:color="000000" w:fill="FFFFFF"/>
            <w:noWrap/>
            <w:vAlign w:val="center"/>
            <w:hideMark/>
          </w:tcPr>
          <w:p w14:paraId="1B4C4947" w14:textId="77777777" w:rsidR="00F76EE4" w:rsidRPr="00331790" w:rsidRDefault="00F76EE4" w:rsidP="000379CA">
            <w:pPr>
              <w:spacing w:after="0" w:line="240" w:lineRule="auto"/>
              <w:jc w:val="left"/>
              <w:rPr>
                <w:rFonts w:eastAsia="Times New Roman" w:cs="Times New Roman"/>
                <w:color w:val="000000"/>
                <w:sz w:val="20"/>
                <w:szCs w:val="20"/>
                <w:lang w:eastAsia="sk-SK"/>
              </w:rPr>
            </w:pPr>
            <w:r w:rsidRPr="00331790">
              <w:rPr>
                <w:rFonts w:eastAsia="Times New Roman" w:cs="Times New Roman"/>
                <w:color w:val="000000"/>
                <w:sz w:val="20"/>
                <w:szCs w:val="20"/>
                <w:lang w:eastAsia="sk-SK"/>
              </w:rPr>
              <w:t> </w:t>
            </w:r>
          </w:p>
        </w:tc>
        <w:tc>
          <w:tcPr>
            <w:tcW w:w="2408" w:type="dxa"/>
            <w:gridSpan w:val="2"/>
            <w:tcBorders>
              <w:top w:val="nil"/>
              <w:left w:val="nil"/>
              <w:bottom w:val="nil"/>
              <w:right w:val="nil"/>
            </w:tcBorders>
            <w:shd w:val="clear" w:color="000000" w:fill="FFFFFF"/>
            <w:noWrap/>
            <w:vAlign w:val="center"/>
            <w:hideMark/>
          </w:tcPr>
          <w:p w14:paraId="58A3F4B2" w14:textId="77777777" w:rsidR="00F76EE4" w:rsidRPr="00B77B1C" w:rsidRDefault="00F76EE4" w:rsidP="000379CA">
            <w:pPr>
              <w:spacing w:after="0" w:line="240" w:lineRule="auto"/>
              <w:jc w:val="left"/>
              <w:rPr>
                <w:rFonts w:eastAsia="Times New Roman" w:cs="Times New Roman"/>
                <w:sz w:val="18"/>
                <w:szCs w:val="18"/>
                <w:lang w:eastAsia="sk-SK"/>
              </w:rPr>
            </w:pPr>
            <w:r w:rsidRPr="00B77B1C">
              <w:rPr>
                <w:rFonts w:eastAsia="Times New Roman" w:cs="Times New Roman"/>
                <w:sz w:val="18"/>
                <w:szCs w:val="18"/>
                <w:lang w:eastAsia="sk-SK"/>
              </w:rPr>
              <w:t>Príspevkové organizácie VÚC</w:t>
            </w:r>
          </w:p>
        </w:tc>
        <w:tc>
          <w:tcPr>
            <w:tcW w:w="979" w:type="dxa"/>
            <w:tcBorders>
              <w:top w:val="nil"/>
              <w:left w:val="nil"/>
              <w:bottom w:val="nil"/>
              <w:right w:val="nil"/>
            </w:tcBorders>
            <w:shd w:val="clear" w:color="000000" w:fill="FFFFFF"/>
            <w:noWrap/>
            <w:vAlign w:val="center"/>
            <w:hideMark/>
          </w:tcPr>
          <w:p w14:paraId="24EF2A94"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2 630</w:t>
            </w:r>
          </w:p>
        </w:tc>
        <w:tc>
          <w:tcPr>
            <w:tcW w:w="958" w:type="dxa"/>
            <w:tcBorders>
              <w:top w:val="nil"/>
              <w:left w:val="nil"/>
              <w:bottom w:val="nil"/>
              <w:right w:val="nil"/>
            </w:tcBorders>
            <w:shd w:val="clear" w:color="000000" w:fill="FFFFFF"/>
            <w:noWrap/>
            <w:vAlign w:val="center"/>
            <w:hideMark/>
          </w:tcPr>
          <w:p w14:paraId="06414869"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1 546</w:t>
            </w:r>
          </w:p>
        </w:tc>
        <w:tc>
          <w:tcPr>
            <w:tcW w:w="1004" w:type="dxa"/>
            <w:tcBorders>
              <w:top w:val="nil"/>
              <w:left w:val="nil"/>
              <w:bottom w:val="nil"/>
              <w:right w:val="nil"/>
            </w:tcBorders>
            <w:shd w:val="clear" w:color="000000" w:fill="FFFFFF"/>
            <w:noWrap/>
            <w:vAlign w:val="center"/>
            <w:hideMark/>
          </w:tcPr>
          <w:p w14:paraId="1183930E"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2 470</w:t>
            </w:r>
          </w:p>
        </w:tc>
        <w:tc>
          <w:tcPr>
            <w:tcW w:w="1146" w:type="dxa"/>
            <w:tcBorders>
              <w:top w:val="nil"/>
              <w:left w:val="nil"/>
              <w:bottom w:val="nil"/>
              <w:right w:val="nil"/>
            </w:tcBorders>
            <w:shd w:val="clear" w:color="000000" w:fill="FFFFFF"/>
            <w:noWrap/>
            <w:vAlign w:val="center"/>
            <w:hideMark/>
          </w:tcPr>
          <w:p w14:paraId="7FAD2852"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8 560</w:t>
            </w:r>
          </w:p>
        </w:tc>
        <w:tc>
          <w:tcPr>
            <w:tcW w:w="1134" w:type="dxa"/>
            <w:tcBorders>
              <w:top w:val="nil"/>
              <w:left w:val="nil"/>
              <w:bottom w:val="nil"/>
              <w:right w:val="nil"/>
            </w:tcBorders>
            <w:shd w:val="clear" w:color="auto" w:fill="BFBFBF" w:themeFill="background1" w:themeFillShade="BF"/>
            <w:noWrap/>
            <w:vAlign w:val="center"/>
            <w:hideMark/>
          </w:tcPr>
          <w:p w14:paraId="30F0C062"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7 609</w:t>
            </w:r>
          </w:p>
        </w:tc>
        <w:tc>
          <w:tcPr>
            <w:tcW w:w="875" w:type="dxa"/>
            <w:tcBorders>
              <w:top w:val="nil"/>
              <w:left w:val="nil"/>
              <w:bottom w:val="nil"/>
              <w:right w:val="nil"/>
            </w:tcBorders>
            <w:shd w:val="clear" w:color="000000" w:fill="FFFFFF"/>
            <w:noWrap/>
            <w:vAlign w:val="center"/>
            <w:hideMark/>
          </w:tcPr>
          <w:p w14:paraId="1F114D57"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-951</w:t>
            </w:r>
          </w:p>
        </w:tc>
      </w:tr>
      <w:tr w:rsidR="00F76EE4" w:rsidRPr="00331790" w14:paraId="154CD852" w14:textId="77777777" w:rsidTr="000379CA">
        <w:trPr>
          <w:trHeight w:val="348"/>
        </w:trPr>
        <w:tc>
          <w:tcPr>
            <w:tcW w:w="168" w:type="dxa"/>
            <w:tcBorders>
              <w:top w:val="nil"/>
              <w:left w:val="nil"/>
              <w:bottom w:val="nil"/>
              <w:right w:val="nil"/>
            </w:tcBorders>
            <w:shd w:val="clear" w:color="000000" w:fill="FFFFFF"/>
            <w:noWrap/>
            <w:vAlign w:val="center"/>
            <w:hideMark/>
          </w:tcPr>
          <w:p w14:paraId="643C25E9" w14:textId="77777777" w:rsidR="00F76EE4" w:rsidRPr="00331790" w:rsidRDefault="00F76EE4" w:rsidP="000379CA">
            <w:pPr>
              <w:spacing w:after="0" w:line="240" w:lineRule="auto"/>
              <w:jc w:val="left"/>
              <w:rPr>
                <w:rFonts w:eastAsia="Times New Roman" w:cs="Times New Roman"/>
                <w:color w:val="000000"/>
                <w:sz w:val="20"/>
                <w:szCs w:val="20"/>
                <w:lang w:eastAsia="sk-SK"/>
              </w:rPr>
            </w:pPr>
            <w:r w:rsidRPr="00331790">
              <w:rPr>
                <w:rFonts w:eastAsia="Times New Roman" w:cs="Times New Roman"/>
                <w:color w:val="000000"/>
                <w:sz w:val="20"/>
                <w:szCs w:val="20"/>
                <w:lang w:eastAsia="sk-SK"/>
              </w:rPr>
              <w:t> </w:t>
            </w:r>
          </w:p>
        </w:tc>
        <w:tc>
          <w:tcPr>
            <w:tcW w:w="2408" w:type="dxa"/>
            <w:gridSpan w:val="2"/>
            <w:tcBorders>
              <w:top w:val="nil"/>
              <w:left w:val="nil"/>
              <w:bottom w:val="nil"/>
              <w:right w:val="nil"/>
            </w:tcBorders>
            <w:shd w:val="clear" w:color="000000" w:fill="FFFFFF"/>
            <w:noWrap/>
            <w:vAlign w:val="center"/>
            <w:hideMark/>
          </w:tcPr>
          <w:p w14:paraId="72873D6C" w14:textId="77777777" w:rsidR="00F76EE4" w:rsidRPr="00B77B1C" w:rsidRDefault="00F76EE4" w:rsidP="000379CA">
            <w:pPr>
              <w:spacing w:after="0" w:line="240" w:lineRule="auto"/>
              <w:jc w:val="left"/>
              <w:rPr>
                <w:rFonts w:eastAsia="Times New Roman" w:cs="Times New Roman"/>
                <w:sz w:val="18"/>
                <w:szCs w:val="18"/>
                <w:lang w:eastAsia="sk-SK"/>
              </w:rPr>
            </w:pPr>
            <w:r w:rsidRPr="00B77B1C">
              <w:rPr>
                <w:rFonts w:eastAsia="Times New Roman" w:cs="Times New Roman"/>
                <w:sz w:val="18"/>
                <w:szCs w:val="18"/>
                <w:lang w:eastAsia="sk-SK"/>
              </w:rPr>
              <w:t>Dopravné podniky</w:t>
            </w:r>
          </w:p>
        </w:tc>
        <w:tc>
          <w:tcPr>
            <w:tcW w:w="979" w:type="dxa"/>
            <w:tcBorders>
              <w:top w:val="nil"/>
              <w:left w:val="nil"/>
              <w:bottom w:val="nil"/>
              <w:right w:val="nil"/>
            </w:tcBorders>
            <w:shd w:val="clear" w:color="000000" w:fill="FFFFFF"/>
            <w:noWrap/>
            <w:vAlign w:val="center"/>
            <w:hideMark/>
          </w:tcPr>
          <w:p w14:paraId="494C5A03"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10 990</w:t>
            </w:r>
          </w:p>
        </w:tc>
        <w:tc>
          <w:tcPr>
            <w:tcW w:w="958" w:type="dxa"/>
            <w:tcBorders>
              <w:top w:val="nil"/>
              <w:left w:val="nil"/>
              <w:bottom w:val="nil"/>
              <w:right w:val="nil"/>
            </w:tcBorders>
            <w:shd w:val="clear" w:color="000000" w:fill="FFFFFF"/>
            <w:noWrap/>
            <w:vAlign w:val="center"/>
            <w:hideMark/>
          </w:tcPr>
          <w:p w14:paraId="1125EFA6"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32 438</w:t>
            </w:r>
          </w:p>
        </w:tc>
        <w:tc>
          <w:tcPr>
            <w:tcW w:w="1004" w:type="dxa"/>
            <w:tcBorders>
              <w:top w:val="nil"/>
              <w:left w:val="nil"/>
              <w:bottom w:val="nil"/>
              <w:right w:val="nil"/>
            </w:tcBorders>
            <w:shd w:val="clear" w:color="000000" w:fill="FFFFFF"/>
            <w:noWrap/>
            <w:vAlign w:val="center"/>
            <w:hideMark/>
          </w:tcPr>
          <w:p w14:paraId="77675C83"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4 124</w:t>
            </w:r>
          </w:p>
        </w:tc>
        <w:tc>
          <w:tcPr>
            <w:tcW w:w="1146" w:type="dxa"/>
            <w:tcBorders>
              <w:top w:val="nil"/>
              <w:left w:val="nil"/>
              <w:bottom w:val="nil"/>
              <w:right w:val="nil"/>
            </w:tcBorders>
            <w:shd w:val="clear" w:color="000000" w:fill="FFFFFF"/>
            <w:noWrap/>
            <w:vAlign w:val="center"/>
            <w:hideMark/>
          </w:tcPr>
          <w:p w14:paraId="53550A0B"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7 124</w:t>
            </w:r>
          </w:p>
        </w:tc>
        <w:tc>
          <w:tcPr>
            <w:tcW w:w="1134" w:type="dxa"/>
            <w:tcBorders>
              <w:top w:val="nil"/>
              <w:left w:val="nil"/>
              <w:bottom w:val="nil"/>
              <w:right w:val="nil"/>
            </w:tcBorders>
            <w:shd w:val="clear" w:color="auto" w:fill="BFBFBF" w:themeFill="background1" w:themeFillShade="BF"/>
            <w:noWrap/>
            <w:vAlign w:val="center"/>
            <w:hideMark/>
          </w:tcPr>
          <w:p w14:paraId="006F3CF7"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-6 040</w:t>
            </w:r>
          </w:p>
        </w:tc>
        <w:tc>
          <w:tcPr>
            <w:tcW w:w="875" w:type="dxa"/>
            <w:tcBorders>
              <w:top w:val="nil"/>
              <w:left w:val="nil"/>
              <w:bottom w:val="nil"/>
              <w:right w:val="nil"/>
            </w:tcBorders>
            <w:shd w:val="clear" w:color="000000" w:fill="FFFFFF"/>
            <w:noWrap/>
            <w:vAlign w:val="center"/>
            <w:hideMark/>
          </w:tcPr>
          <w:p w14:paraId="46827199"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-13 164</w:t>
            </w:r>
          </w:p>
        </w:tc>
      </w:tr>
      <w:tr w:rsidR="00F76EE4" w:rsidRPr="00331790" w14:paraId="651DE0FB" w14:textId="77777777" w:rsidTr="000379CA">
        <w:trPr>
          <w:trHeight w:val="348"/>
        </w:trPr>
        <w:tc>
          <w:tcPr>
            <w:tcW w:w="168" w:type="dxa"/>
            <w:tcBorders>
              <w:top w:val="nil"/>
              <w:left w:val="nil"/>
              <w:bottom w:val="nil"/>
              <w:right w:val="nil"/>
            </w:tcBorders>
            <w:shd w:val="clear" w:color="000000" w:fill="FFFFFF"/>
            <w:noWrap/>
            <w:vAlign w:val="center"/>
            <w:hideMark/>
          </w:tcPr>
          <w:p w14:paraId="401389A5" w14:textId="77777777" w:rsidR="00F76EE4" w:rsidRPr="00331790" w:rsidRDefault="00F76EE4" w:rsidP="000379CA">
            <w:pPr>
              <w:spacing w:after="0" w:line="240" w:lineRule="auto"/>
              <w:jc w:val="left"/>
              <w:rPr>
                <w:rFonts w:eastAsia="Times New Roman" w:cs="Times New Roman"/>
                <w:color w:val="000000"/>
                <w:sz w:val="20"/>
                <w:szCs w:val="20"/>
                <w:lang w:eastAsia="sk-SK"/>
              </w:rPr>
            </w:pPr>
            <w:r w:rsidRPr="00331790">
              <w:rPr>
                <w:rFonts w:eastAsia="Times New Roman" w:cs="Times New Roman"/>
                <w:color w:val="000000"/>
                <w:sz w:val="20"/>
                <w:szCs w:val="20"/>
                <w:lang w:eastAsia="sk-SK"/>
              </w:rPr>
              <w:t> </w:t>
            </w:r>
          </w:p>
        </w:tc>
        <w:tc>
          <w:tcPr>
            <w:tcW w:w="2408" w:type="dxa"/>
            <w:gridSpan w:val="2"/>
            <w:tcBorders>
              <w:top w:val="nil"/>
              <w:left w:val="nil"/>
              <w:bottom w:val="nil"/>
              <w:right w:val="nil"/>
            </w:tcBorders>
            <w:shd w:val="clear" w:color="000000" w:fill="FFFFFF"/>
            <w:noWrap/>
            <w:vAlign w:val="center"/>
            <w:hideMark/>
          </w:tcPr>
          <w:p w14:paraId="48946033" w14:textId="77777777" w:rsidR="00F76EE4" w:rsidRPr="00B77B1C" w:rsidRDefault="00F76EE4" w:rsidP="000379CA">
            <w:pPr>
              <w:spacing w:after="0" w:line="240" w:lineRule="auto"/>
              <w:jc w:val="left"/>
              <w:rPr>
                <w:rFonts w:eastAsia="Times New Roman" w:cs="Times New Roman"/>
                <w:sz w:val="18"/>
                <w:szCs w:val="18"/>
                <w:lang w:eastAsia="sk-SK"/>
              </w:rPr>
            </w:pPr>
            <w:r w:rsidRPr="00B77B1C">
              <w:rPr>
                <w:rFonts w:eastAsia="Times New Roman" w:cs="Times New Roman"/>
                <w:sz w:val="18"/>
                <w:szCs w:val="18"/>
                <w:lang w:eastAsia="sk-SK"/>
              </w:rPr>
              <w:t>Zdravotnícke zariadenia územnej samosprávy</w:t>
            </w:r>
          </w:p>
        </w:tc>
        <w:tc>
          <w:tcPr>
            <w:tcW w:w="979" w:type="dxa"/>
            <w:tcBorders>
              <w:top w:val="nil"/>
              <w:left w:val="nil"/>
              <w:bottom w:val="nil"/>
              <w:right w:val="nil"/>
            </w:tcBorders>
            <w:shd w:val="clear" w:color="000000" w:fill="FFFFFF"/>
            <w:noWrap/>
            <w:vAlign w:val="center"/>
            <w:hideMark/>
          </w:tcPr>
          <w:p w14:paraId="7F3B5585"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44 319</w:t>
            </w:r>
          </w:p>
        </w:tc>
        <w:tc>
          <w:tcPr>
            <w:tcW w:w="958" w:type="dxa"/>
            <w:tcBorders>
              <w:top w:val="nil"/>
              <w:left w:val="nil"/>
              <w:bottom w:val="nil"/>
              <w:right w:val="nil"/>
            </w:tcBorders>
            <w:shd w:val="clear" w:color="000000" w:fill="FFFFFF"/>
            <w:noWrap/>
            <w:vAlign w:val="center"/>
            <w:hideMark/>
          </w:tcPr>
          <w:p w14:paraId="224CDD15"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-6 703</w:t>
            </w:r>
          </w:p>
        </w:tc>
        <w:tc>
          <w:tcPr>
            <w:tcW w:w="1004" w:type="dxa"/>
            <w:tcBorders>
              <w:top w:val="nil"/>
              <w:left w:val="nil"/>
              <w:bottom w:val="nil"/>
              <w:right w:val="nil"/>
            </w:tcBorders>
            <w:shd w:val="clear" w:color="000000" w:fill="FFFFFF"/>
            <w:noWrap/>
            <w:vAlign w:val="center"/>
            <w:hideMark/>
          </w:tcPr>
          <w:p w14:paraId="79CA3B94"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2 049</w:t>
            </w:r>
          </w:p>
        </w:tc>
        <w:tc>
          <w:tcPr>
            <w:tcW w:w="1146" w:type="dxa"/>
            <w:tcBorders>
              <w:top w:val="nil"/>
              <w:left w:val="nil"/>
              <w:bottom w:val="nil"/>
              <w:right w:val="nil"/>
            </w:tcBorders>
            <w:shd w:val="clear" w:color="000000" w:fill="FFFFFF"/>
            <w:noWrap/>
            <w:vAlign w:val="center"/>
            <w:hideMark/>
          </w:tcPr>
          <w:p w14:paraId="5E5C8B82"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-3 769</w:t>
            </w:r>
          </w:p>
        </w:tc>
        <w:tc>
          <w:tcPr>
            <w:tcW w:w="1134" w:type="dxa"/>
            <w:tcBorders>
              <w:top w:val="nil"/>
              <w:left w:val="nil"/>
              <w:bottom w:val="nil"/>
              <w:right w:val="nil"/>
            </w:tcBorders>
            <w:shd w:val="clear" w:color="auto" w:fill="BFBFBF" w:themeFill="background1" w:themeFillShade="BF"/>
            <w:noWrap/>
            <w:vAlign w:val="center"/>
            <w:hideMark/>
          </w:tcPr>
          <w:p w14:paraId="1F60E60D"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8 269</w:t>
            </w:r>
          </w:p>
        </w:tc>
        <w:tc>
          <w:tcPr>
            <w:tcW w:w="875" w:type="dxa"/>
            <w:tcBorders>
              <w:top w:val="nil"/>
              <w:left w:val="nil"/>
              <w:bottom w:val="nil"/>
              <w:right w:val="nil"/>
            </w:tcBorders>
            <w:shd w:val="clear" w:color="000000" w:fill="FFFFFF"/>
            <w:noWrap/>
            <w:vAlign w:val="center"/>
            <w:hideMark/>
          </w:tcPr>
          <w:p w14:paraId="636642CF"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12 038</w:t>
            </w:r>
          </w:p>
        </w:tc>
      </w:tr>
      <w:tr w:rsidR="00F76EE4" w:rsidRPr="00331790" w14:paraId="62C932B6" w14:textId="77777777" w:rsidTr="000379CA">
        <w:trPr>
          <w:trHeight w:val="348"/>
        </w:trPr>
        <w:tc>
          <w:tcPr>
            <w:tcW w:w="168" w:type="dxa"/>
            <w:tcBorders>
              <w:top w:val="nil"/>
              <w:left w:val="nil"/>
              <w:bottom w:val="nil"/>
              <w:right w:val="nil"/>
            </w:tcBorders>
            <w:shd w:val="clear" w:color="000000" w:fill="FFFFFF"/>
            <w:noWrap/>
            <w:vAlign w:val="center"/>
            <w:hideMark/>
          </w:tcPr>
          <w:p w14:paraId="464CD899" w14:textId="77777777" w:rsidR="00F76EE4" w:rsidRPr="00331790" w:rsidRDefault="00F76EE4" w:rsidP="000379CA">
            <w:pPr>
              <w:spacing w:after="0" w:line="240" w:lineRule="auto"/>
              <w:jc w:val="left"/>
              <w:rPr>
                <w:rFonts w:eastAsia="Times New Roman" w:cs="Times New Roman"/>
                <w:color w:val="000000"/>
                <w:sz w:val="20"/>
                <w:szCs w:val="20"/>
                <w:lang w:eastAsia="sk-SK"/>
              </w:rPr>
            </w:pPr>
            <w:r w:rsidRPr="00331790">
              <w:rPr>
                <w:rFonts w:eastAsia="Times New Roman" w:cs="Times New Roman"/>
                <w:color w:val="000000"/>
                <w:sz w:val="20"/>
                <w:szCs w:val="20"/>
                <w:lang w:eastAsia="sk-SK"/>
              </w:rPr>
              <w:t> </w:t>
            </w:r>
          </w:p>
        </w:tc>
        <w:tc>
          <w:tcPr>
            <w:tcW w:w="2408" w:type="dxa"/>
            <w:gridSpan w:val="2"/>
            <w:tcBorders>
              <w:top w:val="nil"/>
              <w:left w:val="nil"/>
              <w:bottom w:val="nil"/>
              <w:right w:val="nil"/>
            </w:tcBorders>
            <w:shd w:val="clear" w:color="000000" w:fill="FFFFFF"/>
            <w:noWrap/>
            <w:vAlign w:val="center"/>
            <w:hideMark/>
          </w:tcPr>
          <w:p w14:paraId="0D1E3024" w14:textId="77777777" w:rsidR="00F76EE4" w:rsidRPr="00B77B1C" w:rsidRDefault="00F76EE4" w:rsidP="000379CA">
            <w:pPr>
              <w:spacing w:after="0" w:line="240" w:lineRule="auto"/>
              <w:jc w:val="left"/>
              <w:rPr>
                <w:rFonts w:eastAsia="Times New Roman" w:cs="Times New Roman"/>
                <w:sz w:val="18"/>
                <w:szCs w:val="18"/>
                <w:lang w:eastAsia="sk-SK"/>
              </w:rPr>
            </w:pPr>
            <w:r w:rsidRPr="00B77B1C">
              <w:rPr>
                <w:rFonts w:eastAsia="Times New Roman" w:cs="Times New Roman"/>
                <w:sz w:val="18"/>
                <w:szCs w:val="18"/>
                <w:lang w:eastAsia="sk-SK"/>
              </w:rPr>
              <w:t>Ostatné subjekty územnej samosprávy</w:t>
            </w:r>
          </w:p>
        </w:tc>
        <w:tc>
          <w:tcPr>
            <w:tcW w:w="979" w:type="dxa"/>
            <w:tcBorders>
              <w:top w:val="nil"/>
              <w:left w:val="nil"/>
              <w:bottom w:val="nil"/>
              <w:right w:val="nil"/>
            </w:tcBorders>
            <w:shd w:val="clear" w:color="000000" w:fill="FFFFFF"/>
            <w:noWrap/>
            <w:vAlign w:val="center"/>
            <w:hideMark/>
          </w:tcPr>
          <w:p w14:paraId="5A297E4A"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-7 640</w:t>
            </w:r>
          </w:p>
        </w:tc>
        <w:tc>
          <w:tcPr>
            <w:tcW w:w="958" w:type="dxa"/>
            <w:tcBorders>
              <w:top w:val="nil"/>
              <w:left w:val="nil"/>
              <w:bottom w:val="nil"/>
              <w:right w:val="nil"/>
            </w:tcBorders>
            <w:shd w:val="clear" w:color="000000" w:fill="FFFFFF"/>
            <w:noWrap/>
            <w:vAlign w:val="center"/>
            <w:hideMark/>
          </w:tcPr>
          <w:p w14:paraId="04DEB2FB"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15 610</w:t>
            </w:r>
          </w:p>
        </w:tc>
        <w:tc>
          <w:tcPr>
            <w:tcW w:w="1004" w:type="dxa"/>
            <w:tcBorders>
              <w:top w:val="nil"/>
              <w:left w:val="nil"/>
              <w:bottom w:val="nil"/>
              <w:right w:val="nil"/>
            </w:tcBorders>
            <w:shd w:val="clear" w:color="000000" w:fill="FFFFFF"/>
            <w:noWrap/>
            <w:vAlign w:val="center"/>
            <w:hideMark/>
          </w:tcPr>
          <w:p w14:paraId="6E84EF58"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0</w:t>
            </w:r>
          </w:p>
        </w:tc>
        <w:tc>
          <w:tcPr>
            <w:tcW w:w="1146" w:type="dxa"/>
            <w:tcBorders>
              <w:top w:val="nil"/>
              <w:left w:val="nil"/>
              <w:bottom w:val="nil"/>
              <w:right w:val="nil"/>
            </w:tcBorders>
            <w:shd w:val="clear" w:color="000000" w:fill="FFFFFF"/>
            <w:noWrap/>
            <w:vAlign w:val="center"/>
            <w:hideMark/>
          </w:tcPr>
          <w:p w14:paraId="7CDEEA97"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0</w:t>
            </w:r>
          </w:p>
        </w:tc>
        <w:tc>
          <w:tcPr>
            <w:tcW w:w="1134" w:type="dxa"/>
            <w:tcBorders>
              <w:top w:val="nil"/>
              <w:left w:val="nil"/>
              <w:bottom w:val="nil"/>
              <w:right w:val="nil"/>
            </w:tcBorders>
            <w:shd w:val="clear" w:color="auto" w:fill="BFBFBF" w:themeFill="background1" w:themeFillShade="BF"/>
            <w:noWrap/>
            <w:vAlign w:val="center"/>
            <w:hideMark/>
          </w:tcPr>
          <w:p w14:paraId="0EDAAB27"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15 979</w:t>
            </w:r>
          </w:p>
        </w:tc>
        <w:tc>
          <w:tcPr>
            <w:tcW w:w="875" w:type="dxa"/>
            <w:tcBorders>
              <w:top w:val="nil"/>
              <w:left w:val="nil"/>
              <w:bottom w:val="nil"/>
              <w:right w:val="nil"/>
            </w:tcBorders>
            <w:shd w:val="clear" w:color="000000" w:fill="FFFFFF"/>
            <w:noWrap/>
            <w:vAlign w:val="center"/>
            <w:hideMark/>
          </w:tcPr>
          <w:p w14:paraId="75E4BA3A"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15 979</w:t>
            </w:r>
          </w:p>
        </w:tc>
      </w:tr>
      <w:tr w:rsidR="00F76EE4" w:rsidRPr="00B77B1C" w14:paraId="4AA41BF9" w14:textId="77777777" w:rsidTr="000379CA">
        <w:trPr>
          <w:trHeight w:val="348"/>
        </w:trPr>
        <w:tc>
          <w:tcPr>
            <w:tcW w:w="2576" w:type="dxa"/>
            <w:gridSpan w:val="3"/>
            <w:tcBorders>
              <w:top w:val="nil"/>
              <w:left w:val="nil"/>
              <w:bottom w:val="nil"/>
              <w:right w:val="nil"/>
            </w:tcBorders>
            <w:shd w:val="clear" w:color="000000" w:fill="FFFFFF"/>
            <w:noWrap/>
            <w:vAlign w:val="center"/>
            <w:hideMark/>
          </w:tcPr>
          <w:p w14:paraId="5BAB62D5" w14:textId="77777777" w:rsidR="00F76EE4" w:rsidRPr="00B77B1C" w:rsidRDefault="00F76EE4" w:rsidP="000379CA">
            <w:pPr>
              <w:spacing w:after="0" w:line="240" w:lineRule="auto"/>
              <w:jc w:val="left"/>
              <w:rPr>
                <w:rFonts w:eastAsia="Times New Roman" w:cs="Times New Roman"/>
                <w:b/>
                <w:bCs/>
                <w:color w:val="000000"/>
                <w:sz w:val="18"/>
                <w:szCs w:val="18"/>
                <w:lang w:eastAsia="sk-SK"/>
              </w:rPr>
            </w:pPr>
            <w:r w:rsidRPr="00B77B1C">
              <w:rPr>
                <w:rFonts w:eastAsia="Times New Roman" w:cs="Times New Roman"/>
                <w:b/>
                <w:bCs/>
                <w:color w:val="000000"/>
                <w:sz w:val="18"/>
                <w:szCs w:val="18"/>
                <w:lang w:eastAsia="sk-SK"/>
              </w:rPr>
              <w:t>Fondy sociálneho zabezpečenia</w:t>
            </w:r>
          </w:p>
        </w:tc>
        <w:tc>
          <w:tcPr>
            <w:tcW w:w="979" w:type="dxa"/>
            <w:tcBorders>
              <w:top w:val="nil"/>
              <w:left w:val="nil"/>
              <w:bottom w:val="nil"/>
              <w:right w:val="nil"/>
            </w:tcBorders>
            <w:shd w:val="clear" w:color="000000" w:fill="FFFFFF"/>
            <w:noWrap/>
            <w:vAlign w:val="center"/>
            <w:hideMark/>
          </w:tcPr>
          <w:p w14:paraId="58FB62BD" w14:textId="77777777" w:rsidR="00F76EE4" w:rsidRPr="00B77B1C" w:rsidRDefault="00F76EE4" w:rsidP="000379CA">
            <w:pPr>
              <w:spacing w:after="0" w:line="240" w:lineRule="auto"/>
              <w:jc w:val="left"/>
              <w:rPr>
                <w:rFonts w:eastAsia="Times New Roman" w:cs="Times New Roman"/>
                <w:b/>
                <w:bCs/>
                <w:color w:val="000000"/>
                <w:sz w:val="18"/>
                <w:szCs w:val="18"/>
                <w:lang w:eastAsia="sk-SK"/>
              </w:rPr>
            </w:pPr>
            <w:r w:rsidRPr="00B77B1C">
              <w:rPr>
                <w:rFonts w:eastAsia="Times New Roman" w:cs="Times New Roman"/>
                <w:b/>
                <w:bCs/>
                <w:color w:val="000000"/>
                <w:sz w:val="18"/>
                <w:szCs w:val="18"/>
                <w:lang w:eastAsia="sk-SK"/>
              </w:rPr>
              <w:t> </w:t>
            </w:r>
          </w:p>
        </w:tc>
        <w:tc>
          <w:tcPr>
            <w:tcW w:w="958" w:type="dxa"/>
            <w:tcBorders>
              <w:top w:val="nil"/>
              <w:left w:val="nil"/>
              <w:bottom w:val="nil"/>
              <w:right w:val="nil"/>
            </w:tcBorders>
            <w:shd w:val="clear" w:color="000000" w:fill="FFFFFF"/>
            <w:noWrap/>
            <w:vAlign w:val="center"/>
            <w:hideMark/>
          </w:tcPr>
          <w:p w14:paraId="3F07D2F0" w14:textId="77777777" w:rsidR="00F76EE4" w:rsidRPr="00B77B1C" w:rsidRDefault="00F76EE4" w:rsidP="000379CA">
            <w:pPr>
              <w:spacing w:after="0" w:line="240" w:lineRule="auto"/>
              <w:jc w:val="left"/>
              <w:rPr>
                <w:rFonts w:eastAsia="Times New Roman" w:cs="Times New Roman"/>
                <w:b/>
                <w:bCs/>
                <w:color w:val="000000"/>
                <w:sz w:val="18"/>
                <w:szCs w:val="18"/>
                <w:lang w:eastAsia="sk-SK"/>
              </w:rPr>
            </w:pPr>
            <w:r w:rsidRPr="00B77B1C">
              <w:rPr>
                <w:rFonts w:eastAsia="Times New Roman" w:cs="Times New Roman"/>
                <w:b/>
                <w:bCs/>
                <w:color w:val="000000"/>
                <w:sz w:val="18"/>
                <w:szCs w:val="18"/>
                <w:lang w:eastAsia="sk-SK"/>
              </w:rPr>
              <w:t> </w:t>
            </w:r>
          </w:p>
        </w:tc>
        <w:tc>
          <w:tcPr>
            <w:tcW w:w="1004" w:type="dxa"/>
            <w:tcBorders>
              <w:top w:val="nil"/>
              <w:left w:val="nil"/>
              <w:bottom w:val="nil"/>
              <w:right w:val="nil"/>
            </w:tcBorders>
            <w:shd w:val="clear" w:color="000000" w:fill="FFFFFF"/>
            <w:noWrap/>
            <w:vAlign w:val="center"/>
            <w:hideMark/>
          </w:tcPr>
          <w:p w14:paraId="2A3418B5" w14:textId="77777777" w:rsidR="00F76EE4" w:rsidRPr="00B77B1C" w:rsidRDefault="00F76EE4" w:rsidP="000379CA">
            <w:pPr>
              <w:spacing w:after="0" w:line="240" w:lineRule="auto"/>
              <w:jc w:val="left"/>
              <w:rPr>
                <w:rFonts w:eastAsia="Times New Roman" w:cs="Times New Roman"/>
                <w:b/>
                <w:bCs/>
                <w:color w:val="000000"/>
                <w:sz w:val="18"/>
                <w:szCs w:val="18"/>
                <w:lang w:eastAsia="sk-SK"/>
              </w:rPr>
            </w:pPr>
            <w:r w:rsidRPr="00B77B1C">
              <w:rPr>
                <w:rFonts w:eastAsia="Times New Roman" w:cs="Times New Roman"/>
                <w:b/>
                <w:bCs/>
                <w:color w:val="000000"/>
                <w:sz w:val="18"/>
                <w:szCs w:val="18"/>
                <w:lang w:eastAsia="sk-SK"/>
              </w:rPr>
              <w:t> </w:t>
            </w:r>
          </w:p>
        </w:tc>
        <w:tc>
          <w:tcPr>
            <w:tcW w:w="1146" w:type="dxa"/>
            <w:tcBorders>
              <w:top w:val="nil"/>
              <w:left w:val="nil"/>
              <w:bottom w:val="nil"/>
              <w:right w:val="nil"/>
            </w:tcBorders>
            <w:shd w:val="clear" w:color="000000" w:fill="FFFFFF"/>
            <w:noWrap/>
            <w:vAlign w:val="center"/>
            <w:hideMark/>
          </w:tcPr>
          <w:p w14:paraId="2BA4913A" w14:textId="77777777" w:rsidR="00F76EE4" w:rsidRPr="00B77B1C" w:rsidRDefault="00F76EE4" w:rsidP="000379CA">
            <w:pPr>
              <w:spacing w:after="0" w:line="240" w:lineRule="auto"/>
              <w:jc w:val="left"/>
              <w:rPr>
                <w:rFonts w:eastAsia="Times New Roman" w:cs="Times New Roman"/>
                <w:b/>
                <w:bCs/>
                <w:color w:val="000000"/>
                <w:sz w:val="18"/>
                <w:szCs w:val="18"/>
                <w:lang w:eastAsia="sk-SK"/>
              </w:rPr>
            </w:pPr>
            <w:r w:rsidRPr="00B77B1C">
              <w:rPr>
                <w:rFonts w:eastAsia="Times New Roman" w:cs="Times New Roman"/>
                <w:b/>
                <w:bCs/>
                <w:color w:val="000000"/>
                <w:sz w:val="18"/>
                <w:szCs w:val="18"/>
                <w:lang w:eastAsia="sk-SK"/>
              </w:rPr>
              <w:t> </w:t>
            </w:r>
          </w:p>
        </w:tc>
        <w:tc>
          <w:tcPr>
            <w:tcW w:w="1134" w:type="dxa"/>
            <w:tcBorders>
              <w:top w:val="nil"/>
              <w:left w:val="nil"/>
              <w:bottom w:val="nil"/>
              <w:right w:val="nil"/>
            </w:tcBorders>
            <w:shd w:val="clear" w:color="auto" w:fill="BFBFBF" w:themeFill="background1" w:themeFillShade="BF"/>
            <w:noWrap/>
            <w:vAlign w:val="center"/>
            <w:hideMark/>
          </w:tcPr>
          <w:p w14:paraId="63641DC2" w14:textId="77777777" w:rsidR="00F76EE4" w:rsidRPr="00B77B1C" w:rsidRDefault="00F76EE4" w:rsidP="000379CA">
            <w:pPr>
              <w:spacing w:after="0" w:line="240" w:lineRule="auto"/>
              <w:jc w:val="left"/>
              <w:rPr>
                <w:rFonts w:eastAsia="Times New Roman" w:cs="Times New Roman"/>
                <w:b/>
                <w:bCs/>
                <w:color w:val="000000"/>
                <w:sz w:val="18"/>
                <w:szCs w:val="18"/>
                <w:lang w:eastAsia="sk-SK"/>
              </w:rPr>
            </w:pPr>
            <w:r w:rsidRPr="00B77B1C">
              <w:rPr>
                <w:rFonts w:eastAsia="Times New Roman" w:cs="Times New Roman"/>
                <w:b/>
                <w:bCs/>
                <w:color w:val="000000"/>
                <w:sz w:val="18"/>
                <w:szCs w:val="18"/>
                <w:lang w:eastAsia="sk-SK"/>
              </w:rPr>
              <w:t> </w:t>
            </w:r>
          </w:p>
        </w:tc>
        <w:tc>
          <w:tcPr>
            <w:tcW w:w="875" w:type="dxa"/>
            <w:tcBorders>
              <w:top w:val="nil"/>
              <w:left w:val="nil"/>
              <w:bottom w:val="nil"/>
              <w:right w:val="nil"/>
            </w:tcBorders>
            <w:shd w:val="clear" w:color="000000" w:fill="FFFFFF"/>
            <w:noWrap/>
            <w:vAlign w:val="center"/>
            <w:hideMark/>
          </w:tcPr>
          <w:p w14:paraId="12D68474" w14:textId="77777777" w:rsidR="00F76EE4" w:rsidRPr="00B77B1C" w:rsidRDefault="00F76EE4" w:rsidP="000379CA">
            <w:pPr>
              <w:spacing w:after="0" w:line="240" w:lineRule="auto"/>
              <w:jc w:val="right"/>
              <w:rPr>
                <w:rFonts w:eastAsia="Times New Roman" w:cs="Times New Roman"/>
                <w:sz w:val="18"/>
                <w:szCs w:val="18"/>
                <w:lang w:eastAsia="sk-SK"/>
              </w:rPr>
            </w:pPr>
          </w:p>
        </w:tc>
      </w:tr>
      <w:tr w:rsidR="00F76EE4" w:rsidRPr="00331790" w14:paraId="2594672C" w14:textId="77777777" w:rsidTr="000379CA">
        <w:trPr>
          <w:trHeight w:val="348"/>
        </w:trPr>
        <w:tc>
          <w:tcPr>
            <w:tcW w:w="168" w:type="dxa"/>
            <w:tcBorders>
              <w:top w:val="nil"/>
              <w:left w:val="nil"/>
              <w:bottom w:val="nil"/>
              <w:right w:val="nil"/>
            </w:tcBorders>
            <w:shd w:val="clear" w:color="000000" w:fill="FFFFFF"/>
            <w:noWrap/>
            <w:vAlign w:val="center"/>
            <w:hideMark/>
          </w:tcPr>
          <w:p w14:paraId="14D20463" w14:textId="77777777" w:rsidR="00F76EE4" w:rsidRPr="00331790" w:rsidRDefault="00F76EE4" w:rsidP="000379CA">
            <w:pPr>
              <w:spacing w:after="0" w:line="240" w:lineRule="auto"/>
              <w:jc w:val="left"/>
              <w:rPr>
                <w:rFonts w:eastAsia="Times New Roman" w:cs="Times New Roman"/>
                <w:sz w:val="20"/>
                <w:szCs w:val="20"/>
                <w:lang w:eastAsia="sk-SK"/>
              </w:rPr>
            </w:pPr>
            <w:r w:rsidRPr="00331790">
              <w:rPr>
                <w:rFonts w:eastAsia="Times New Roman" w:cs="Times New Roman"/>
                <w:sz w:val="20"/>
                <w:szCs w:val="20"/>
                <w:lang w:eastAsia="sk-SK"/>
              </w:rPr>
              <w:t> </w:t>
            </w:r>
          </w:p>
        </w:tc>
        <w:tc>
          <w:tcPr>
            <w:tcW w:w="2408" w:type="dxa"/>
            <w:gridSpan w:val="2"/>
            <w:tcBorders>
              <w:top w:val="nil"/>
              <w:left w:val="nil"/>
              <w:bottom w:val="nil"/>
              <w:right w:val="nil"/>
            </w:tcBorders>
            <w:shd w:val="clear" w:color="000000" w:fill="FFFFFF"/>
            <w:noWrap/>
            <w:vAlign w:val="center"/>
            <w:hideMark/>
          </w:tcPr>
          <w:p w14:paraId="57FF1724" w14:textId="77777777" w:rsidR="00F76EE4" w:rsidRPr="00B77B1C" w:rsidRDefault="00F76EE4" w:rsidP="000379CA">
            <w:pPr>
              <w:spacing w:after="0" w:line="240" w:lineRule="auto"/>
              <w:jc w:val="left"/>
              <w:rPr>
                <w:rFonts w:eastAsia="Times New Roman" w:cs="Times New Roman"/>
                <w:sz w:val="18"/>
                <w:szCs w:val="18"/>
                <w:lang w:eastAsia="sk-SK"/>
              </w:rPr>
            </w:pPr>
            <w:r w:rsidRPr="00B77B1C">
              <w:rPr>
                <w:rFonts w:eastAsia="Times New Roman" w:cs="Times New Roman"/>
                <w:sz w:val="18"/>
                <w:szCs w:val="18"/>
                <w:lang w:eastAsia="sk-SK"/>
              </w:rPr>
              <w:t>Sociálna poisťovňa</w:t>
            </w:r>
          </w:p>
        </w:tc>
        <w:tc>
          <w:tcPr>
            <w:tcW w:w="979" w:type="dxa"/>
            <w:tcBorders>
              <w:top w:val="nil"/>
              <w:left w:val="nil"/>
              <w:bottom w:val="nil"/>
              <w:right w:val="nil"/>
            </w:tcBorders>
            <w:shd w:val="clear" w:color="000000" w:fill="FFFFFF"/>
            <w:noWrap/>
            <w:vAlign w:val="center"/>
            <w:hideMark/>
          </w:tcPr>
          <w:p w14:paraId="70279D5C"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27 888</w:t>
            </w:r>
          </w:p>
        </w:tc>
        <w:tc>
          <w:tcPr>
            <w:tcW w:w="958" w:type="dxa"/>
            <w:tcBorders>
              <w:top w:val="nil"/>
              <w:left w:val="nil"/>
              <w:bottom w:val="nil"/>
              <w:right w:val="nil"/>
            </w:tcBorders>
            <w:shd w:val="clear" w:color="000000" w:fill="FFFFFF"/>
            <w:noWrap/>
            <w:vAlign w:val="center"/>
            <w:hideMark/>
          </w:tcPr>
          <w:p w14:paraId="3ACCD818"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54 090</w:t>
            </w:r>
          </w:p>
        </w:tc>
        <w:tc>
          <w:tcPr>
            <w:tcW w:w="1004" w:type="dxa"/>
            <w:tcBorders>
              <w:top w:val="nil"/>
              <w:left w:val="nil"/>
              <w:bottom w:val="nil"/>
              <w:right w:val="nil"/>
            </w:tcBorders>
            <w:shd w:val="clear" w:color="000000" w:fill="FFFFFF"/>
            <w:noWrap/>
            <w:vAlign w:val="center"/>
            <w:hideMark/>
          </w:tcPr>
          <w:p w14:paraId="5F8AEC5B"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333 420</w:t>
            </w:r>
          </w:p>
        </w:tc>
        <w:tc>
          <w:tcPr>
            <w:tcW w:w="1146" w:type="dxa"/>
            <w:tcBorders>
              <w:top w:val="nil"/>
              <w:left w:val="nil"/>
              <w:bottom w:val="nil"/>
              <w:right w:val="nil"/>
            </w:tcBorders>
            <w:shd w:val="clear" w:color="000000" w:fill="FFFFFF"/>
            <w:noWrap/>
            <w:vAlign w:val="center"/>
            <w:hideMark/>
          </w:tcPr>
          <w:p w14:paraId="6F9A3E84"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69 322</w:t>
            </w:r>
          </w:p>
        </w:tc>
        <w:tc>
          <w:tcPr>
            <w:tcW w:w="1134" w:type="dxa"/>
            <w:tcBorders>
              <w:top w:val="nil"/>
              <w:left w:val="nil"/>
              <w:bottom w:val="nil"/>
              <w:right w:val="nil"/>
            </w:tcBorders>
            <w:shd w:val="clear" w:color="auto" w:fill="BFBFBF" w:themeFill="background1" w:themeFillShade="BF"/>
            <w:noWrap/>
            <w:vAlign w:val="center"/>
            <w:hideMark/>
          </w:tcPr>
          <w:p w14:paraId="0B5D3788"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201 896</w:t>
            </w:r>
          </w:p>
        </w:tc>
        <w:tc>
          <w:tcPr>
            <w:tcW w:w="875" w:type="dxa"/>
            <w:tcBorders>
              <w:top w:val="nil"/>
              <w:left w:val="nil"/>
              <w:bottom w:val="nil"/>
              <w:right w:val="nil"/>
            </w:tcBorders>
            <w:shd w:val="clear" w:color="000000" w:fill="FFFFFF"/>
            <w:noWrap/>
            <w:vAlign w:val="center"/>
            <w:hideMark/>
          </w:tcPr>
          <w:p w14:paraId="12280D56"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132 574</w:t>
            </w:r>
          </w:p>
        </w:tc>
      </w:tr>
      <w:tr w:rsidR="00F76EE4" w:rsidRPr="00331790" w14:paraId="7A10561A" w14:textId="77777777" w:rsidTr="00DD13A1">
        <w:trPr>
          <w:trHeight w:val="348"/>
        </w:trPr>
        <w:tc>
          <w:tcPr>
            <w:tcW w:w="168" w:type="dxa"/>
            <w:tcBorders>
              <w:top w:val="nil"/>
              <w:left w:val="nil"/>
              <w:bottom w:val="single" w:sz="4" w:space="0" w:color="auto"/>
              <w:right w:val="nil"/>
            </w:tcBorders>
            <w:shd w:val="clear" w:color="000000" w:fill="FFFFFF"/>
            <w:noWrap/>
            <w:vAlign w:val="center"/>
            <w:hideMark/>
          </w:tcPr>
          <w:p w14:paraId="4946CF09" w14:textId="77777777" w:rsidR="00F76EE4" w:rsidRPr="00331790" w:rsidRDefault="00F76EE4" w:rsidP="000379CA">
            <w:pPr>
              <w:spacing w:after="0" w:line="240" w:lineRule="auto"/>
              <w:jc w:val="left"/>
              <w:rPr>
                <w:rFonts w:eastAsia="Times New Roman" w:cs="Times New Roman"/>
                <w:sz w:val="20"/>
                <w:szCs w:val="20"/>
                <w:lang w:eastAsia="sk-SK"/>
              </w:rPr>
            </w:pPr>
            <w:r w:rsidRPr="00331790">
              <w:rPr>
                <w:rFonts w:eastAsia="Times New Roman" w:cs="Times New Roman"/>
                <w:sz w:val="20"/>
                <w:szCs w:val="20"/>
                <w:lang w:eastAsia="sk-SK"/>
              </w:rPr>
              <w:t> </w:t>
            </w:r>
          </w:p>
        </w:tc>
        <w:tc>
          <w:tcPr>
            <w:tcW w:w="2408" w:type="dxa"/>
            <w:gridSpan w:val="2"/>
            <w:tcBorders>
              <w:top w:val="nil"/>
              <w:left w:val="nil"/>
              <w:bottom w:val="single" w:sz="4" w:space="0" w:color="auto"/>
              <w:right w:val="nil"/>
            </w:tcBorders>
            <w:shd w:val="clear" w:color="000000" w:fill="FFFFFF"/>
            <w:noWrap/>
            <w:vAlign w:val="center"/>
            <w:hideMark/>
          </w:tcPr>
          <w:p w14:paraId="3C81741F" w14:textId="77777777" w:rsidR="00F76EE4" w:rsidRPr="00B77B1C" w:rsidRDefault="00F76EE4" w:rsidP="000379CA">
            <w:pPr>
              <w:spacing w:after="0" w:line="240" w:lineRule="auto"/>
              <w:jc w:val="left"/>
              <w:rPr>
                <w:rFonts w:eastAsia="Times New Roman" w:cs="Times New Roman"/>
                <w:sz w:val="18"/>
                <w:szCs w:val="18"/>
                <w:lang w:eastAsia="sk-SK"/>
              </w:rPr>
            </w:pPr>
            <w:r w:rsidRPr="00B77B1C">
              <w:rPr>
                <w:rFonts w:eastAsia="Times New Roman" w:cs="Times New Roman"/>
                <w:sz w:val="18"/>
                <w:szCs w:val="18"/>
                <w:lang w:eastAsia="sk-SK"/>
              </w:rPr>
              <w:t>Verejné zdravotné poistenie</w:t>
            </w:r>
          </w:p>
        </w:tc>
        <w:tc>
          <w:tcPr>
            <w:tcW w:w="979" w:type="dxa"/>
            <w:tcBorders>
              <w:top w:val="nil"/>
              <w:left w:val="nil"/>
              <w:bottom w:val="single" w:sz="4" w:space="0" w:color="auto"/>
              <w:right w:val="nil"/>
            </w:tcBorders>
            <w:shd w:val="clear" w:color="000000" w:fill="FFFFFF"/>
            <w:noWrap/>
            <w:vAlign w:val="center"/>
            <w:hideMark/>
          </w:tcPr>
          <w:p w14:paraId="4D5099A9"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6 371</w:t>
            </w:r>
          </w:p>
        </w:tc>
        <w:tc>
          <w:tcPr>
            <w:tcW w:w="958" w:type="dxa"/>
            <w:tcBorders>
              <w:top w:val="nil"/>
              <w:left w:val="nil"/>
              <w:bottom w:val="single" w:sz="4" w:space="0" w:color="auto"/>
              <w:right w:val="nil"/>
            </w:tcBorders>
            <w:shd w:val="clear" w:color="000000" w:fill="FFFFFF"/>
            <w:noWrap/>
            <w:vAlign w:val="center"/>
            <w:hideMark/>
          </w:tcPr>
          <w:p w14:paraId="2823BE6A"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120 192</w:t>
            </w:r>
          </w:p>
        </w:tc>
        <w:tc>
          <w:tcPr>
            <w:tcW w:w="1004" w:type="dxa"/>
            <w:tcBorders>
              <w:top w:val="nil"/>
              <w:left w:val="nil"/>
              <w:bottom w:val="single" w:sz="4" w:space="0" w:color="auto"/>
              <w:right w:val="nil"/>
            </w:tcBorders>
            <w:shd w:val="clear" w:color="000000" w:fill="FFFFFF"/>
            <w:noWrap/>
            <w:vAlign w:val="center"/>
            <w:hideMark/>
          </w:tcPr>
          <w:p w14:paraId="7E4CB010"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16 943</w:t>
            </w:r>
          </w:p>
        </w:tc>
        <w:tc>
          <w:tcPr>
            <w:tcW w:w="1146" w:type="dxa"/>
            <w:tcBorders>
              <w:top w:val="nil"/>
              <w:left w:val="nil"/>
              <w:bottom w:val="single" w:sz="4" w:space="0" w:color="auto"/>
              <w:right w:val="nil"/>
            </w:tcBorders>
            <w:shd w:val="clear" w:color="000000" w:fill="FFFFFF"/>
            <w:noWrap/>
            <w:vAlign w:val="center"/>
            <w:hideMark/>
          </w:tcPr>
          <w:p w14:paraId="5F0B418F"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898</w:t>
            </w:r>
          </w:p>
        </w:tc>
        <w:tc>
          <w:tcPr>
            <w:tcW w:w="1134" w:type="dxa"/>
            <w:tcBorders>
              <w:top w:val="nil"/>
              <w:left w:val="nil"/>
              <w:bottom w:val="single" w:sz="4" w:space="0" w:color="auto"/>
              <w:right w:val="nil"/>
            </w:tcBorders>
            <w:shd w:val="clear" w:color="auto" w:fill="BFBFBF" w:themeFill="background1" w:themeFillShade="BF"/>
            <w:noWrap/>
            <w:vAlign w:val="center"/>
            <w:hideMark/>
          </w:tcPr>
          <w:p w14:paraId="4DDEEC95"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127 292</w:t>
            </w:r>
          </w:p>
        </w:tc>
        <w:tc>
          <w:tcPr>
            <w:tcW w:w="875" w:type="dxa"/>
            <w:tcBorders>
              <w:top w:val="nil"/>
              <w:left w:val="nil"/>
              <w:bottom w:val="single" w:sz="4" w:space="0" w:color="auto"/>
              <w:right w:val="nil"/>
            </w:tcBorders>
            <w:shd w:val="clear" w:color="000000" w:fill="FFFFFF"/>
            <w:noWrap/>
            <w:vAlign w:val="center"/>
            <w:hideMark/>
          </w:tcPr>
          <w:p w14:paraId="7C26DD9A" w14:textId="77777777" w:rsidR="00F76EE4" w:rsidRPr="00B77B1C" w:rsidRDefault="00F76EE4" w:rsidP="000379CA">
            <w:pPr>
              <w:spacing w:after="0" w:line="240" w:lineRule="auto"/>
              <w:jc w:val="right"/>
              <w:rPr>
                <w:rFonts w:eastAsia="Times New Roman" w:cs="Times New Roman"/>
                <w:sz w:val="18"/>
                <w:szCs w:val="18"/>
                <w:lang w:eastAsia="sk-SK"/>
              </w:rPr>
            </w:pPr>
            <w:r w:rsidRPr="00B77B1C">
              <w:rPr>
                <w:rFonts w:eastAsia="Times New Roman" w:cs="Times New Roman"/>
                <w:sz w:val="18"/>
                <w:szCs w:val="18"/>
                <w:lang w:eastAsia="sk-SK"/>
              </w:rPr>
              <w:t>126 394</w:t>
            </w:r>
          </w:p>
        </w:tc>
      </w:tr>
      <w:tr w:rsidR="00F76EE4" w:rsidRPr="00331790" w14:paraId="49C7646D" w14:textId="77777777" w:rsidTr="00DD13A1">
        <w:trPr>
          <w:trHeight w:val="348"/>
        </w:trPr>
        <w:tc>
          <w:tcPr>
            <w:tcW w:w="2576" w:type="dxa"/>
            <w:gridSpan w:val="3"/>
            <w:tcBorders>
              <w:top w:val="single" w:sz="4" w:space="0" w:color="auto"/>
              <w:left w:val="nil"/>
              <w:bottom w:val="single" w:sz="4" w:space="0" w:color="auto"/>
              <w:right w:val="nil"/>
            </w:tcBorders>
            <w:shd w:val="clear" w:color="000000" w:fill="FFFFFF"/>
            <w:noWrap/>
            <w:vAlign w:val="center"/>
            <w:hideMark/>
          </w:tcPr>
          <w:p w14:paraId="5FC418B5" w14:textId="77777777" w:rsidR="00F76EE4" w:rsidRPr="00B77B1C" w:rsidRDefault="00F76EE4" w:rsidP="000379CA">
            <w:pPr>
              <w:spacing w:after="0" w:line="240" w:lineRule="auto"/>
              <w:jc w:val="left"/>
              <w:rPr>
                <w:rFonts w:eastAsia="Times New Roman" w:cs="Times New Roman"/>
                <w:b/>
                <w:bCs/>
                <w:sz w:val="18"/>
                <w:szCs w:val="18"/>
                <w:lang w:eastAsia="sk-SK"/>
              </w:rPr>
            </w:pPr>
            <w:r w:rsidRPr="00B77B1C">
              <w:rPr>
                <w:rFonts w:eastAsia="Times New Roman" w:cs="Times New Roman"/>
                <w:b/>
                <w:bCs/>
                <w:sz w:val="18"/>
                <w:szCs w:val="18"/>
                <w:lang w:eastAsia="sk-SK"/>
              </w:rPr>
              <w:t>Schodok verejnej správy spolu</w:t>
            </w:r>
          </w:p>
        </w:tc>
        <w:tc>
          <w:tcPr>
            <w:tcW w:w="979" w:type="dxa"/>
            <w:tcBorders>
              <w:top w:val="single" w:sz="4" w:space="0" w:color="auto"/>
              <w:left w:val="nil"/>
              <w:bottom w:val="single" w:sz="4" w:space="0" w:color="auto"/>
              <w:right w:val="nil"/>
            </w:tcBorders>
            <w:shd w:val="clear" w:color="000000" w:fill="FFFFFF"/>
            <w:noWrap/>
            <w:vAlign w:val="center"/>
            <w:hideMark/>
          </w:tcPr>
          <w:p w14:paraId="00F4BBF0" w14:textId="77777777" w:rsidR="00F76EE4" w:rsidRPr="00B77B1C" w:rsidRDefault="00F76EE4" w:rsidP="000379CA">
            <w:pPr>
              <w:spacing w:after="0" w:line="240" w:lineRule="auto"/>
              <w:jc w:val="right"/>
              <w:rPr>
                <w:rFonts w:eastAsia="Times New Roman" w:cs="Times New Roman"/>
                <w:b/>
                <w:bCs/>
                <w:sz w:val="18"/>
                <w:szCs w:val="18"/>
                <w:lang w:eastAsia="sk-SK"/>
              </w:rPr>
            </w:pPr>
            <w:r w:rsidRPr="00B77B1C">
              <w:rPr>
                <w:rFonts w:eastAsia="Times New Roman" w:cs="Times New Roman"/>
                <w:b/>
                <w:bCs/>
                <w:sz w:val="18"/>
                <w:szCs w:val="18"/>
                <w:lang w:eastAsia="sk-SK"/>
              </w:rPr>
              <w:t>-901 754</w:t>
            </w:r>
          </w:p>
        </w:tc>
        <w:tc>
          <w:tcPr>
            <w:tcW w:w="958" w:type="dxa"/>
            <w:tcBorders>
              <w:top w:val="single" w:sz="4" w:space="0" w:color="auto"/>
              <w:left w:val="nil"/>
              <w:bottom w:val="single" w:sz="4" w:space="0" w:color="auto"/>
              <w:right w:val="nil"/>
            </w:tcBorders>
            <w:shd w:val="clear" w:color="000000" w:fill="FFFFFF"/>
            <w:noWrap/>
            <w:vAlign w:val="center"/>
            <w:hideMark/>
          </w:tcPr>
          <w:p w14:paraId="47DA940B" w14:textId="77777777" w:rsidR="00F76EE4" w:rsidRPr="00B77B1C" w:rsidRDefault="00F76EE4" w:rsidP="000379CA">
            <w:pPr>
              <w:spacing w:after="0" w:line="240" w:lineRule="auto"/>
              <w:jc w:val="right"/>
              <w:rPr>
                <w:rFonts w:eastAsia="Times New Roman" w:cs="Times New Roman"/>
                <w:b/>
                <w:bCs/>
                <w:sz w:val="18"/>
                <w:szCs w:val="18"/>
                <w:lang w:eastAsia="sk-SK"/>
              </w:rPr>
            </w:pPr>
            <w:r w:rsidRPr="00B77B1C">
              <w:rPr>
                <w:rFonts w:eastAsia="Times New Roman" w:cs="Times New Roman"/>
                <w:b/>
                <w:bCs/>
                <w:sz w:val="18"/>
                <w:szCs w:val="18"/>
                <w:lang w:eastAsia="sk-SK"/>
              </w:rPr>
              <w:t>-1</w:t>
            </w:r>
            <w:r>
              <w:rPr>
                <w:rFonts w:eastAsia="Times New Roman" w:cs="Times New Roman"/>
                <w:b/>
                <w:bCs/>
                <w:sz w:val="18"/>
                <w:szCs w:val="18"/>
                <w:lang w:eastAsia="sk-SK"/>
              </w:rPr>
              <w:t> 248 684</w:t>
            </w:r>
          </w:p>
        </w:tc>
        <w:tc>
          <w:tcPr>
            <w:tcW w:w="1004" w:type="dxa"/>
            <w:tcBorders>
              <w:top w:val="single" w:sz="4" w:space="0" w:color="auto"/>
              <w:left w:val="nil"/>
              <w:bottom w:val="single" w:sz="4" w:space="0" w:color="auto"/>
              <w:right w:val="nil"/>
            </w:tcBorders>
            <w:shd w:val="clear" w:color="000000" w:fill="FFFFFF"/>
            <w:noWrap/>
            <w:vAlign w:val="center"/>
            <w:hideMark/>
          </w:tcPr>
          <w:p w14:paraId="276E4A22" w14:textId="77777777" w:rsidR="00F76EE4" w:rsidRPr="00B77B1C" w:rsidRDefault="00F76EE4" w:rsidP="000379CA">
            <w:pPr>
              <w:spacing w:after="0" w:line="240" w:lineRule="auto"/>
              <w:jc w:val="right"/>
              <w:rPr>
                <w:rFonts w:eastAsia="Times New Roman" w:cs="Times New Roman"/>
                <w:b/>
                <w:bCs/>
                <w:sz w:val="18"/>
                <w:szCs w:val="18"/>
                <w:lang w:eastAsia="sk-SK"/>
              </w:rPr>
            </w:pPr>
            <w:r w:rsidRPr="00B77B1C">
              <w:rPr>
                <w:rFonts w:eastAsia="Times New Roman" w:cs="Times New Roman"/>
                <w:b/>
                <w:bCs/>
                <w:sz w:val="18"/>
                <w:szCs w:val="18"/>
                <w:lang w:eastAsia="sk-SK"/>
              </w:rPr>
              <w:t>-480 409</w:t>
            </w:r>
          </w:p>
        </w:tc>
        <w:tc>
          <w:tcPr>
            <w:tcW w:w="1146" w:type="dxa"/>
            <w:tcBorders>
              <w:top w:val="single" w:sz="4" w:space="0" w:color="auto"/>
              <w:left w:val="nil"/>
              <w:bottom w:val="single" w:sz="4" w:space="0" w:color="auto"/>
              <w:right w:val="nil"/>
            </w:tcBorders>
            <w:shd w:val="clear" w:color="000000" w:fill="FFFFFF"/>
            <w:noWrap/>
            <w:vAlign w:val="center"/>
            <w:hideMark/>
          </w:tcPr>
          <w:p w14:paraId="4D1EBB04" w14:textId="77777777" w:rsidR="00F76EE4" w:rsidRPr="00B77B1C" w:rsidRDefault="00F76EE4" w:rsidP="000379CA">
            <w:pPr>
              <w:spacing w:after="0" w:line="240" w:lineRule="auto"/>
              <w:jc w:val="right"/>
              <w:rPr>
                <w:rFonts w:eastAsia="Times New Roman" w:cs="Times New Roman"/>
                <w:b/>
                <w:bCs/>
                <w:sz w:val="18"/>
                <w:szCs w:val="18"/>
                <w:lang w:eastAsia="sk-SK"/>
              </w:rPr>
            </w:pPr>
            <w:r w:rsidRPr="00B77B1C">
              <w:rPr>
                <w:rFonts w:eastAsia="Times New Roman" w:cs="Times New Roman"/>
                <w:b/>
                <w:bCs/>
                <w:sz w:val="18"/>
                <w:szCs w:val="18"/>
                <w:lang w:eastAsia="sk-SK"/>
              </w:rPr>
              <w:t>-10 025 377</w:t>
            </w:r>
          </w:p>
        </w:tc>
        <w:tc>
          <w:tcPr>
            <w:tcW w:w="1134" w:type="dxa"/>
            <w:tcBorders>
              <w:top w:val="single" w:sz="4" w:space="0" w:color="auto"/>
              <w:left w:val="nil"/>
              <w:bottom w:val="single" w:sz="4" w:space="0" w:color="auto"/>
              <w:right w:val="nil"/>
            </w:tcBorders>
            <w:shd w:val="clear" w:color="auto" w:fill="BFBFBF" w:themeFill="background1" w:themeFillShade="BF"/>
            <w:noWrap/>
            <w:vAlign w:val="center"/>
            <w:hideMark/>
          </w:tcPr>
          <w:p w14:paraId="2EF958ED" w14:textId="77777777" w:rsidR="00F76EE4" w:rsidRPr="00B77B1C" w:rsidRDefault="00F76EE4" w:rsidP="000379CA">
            <w:pPr>
              <w:spacing w:after="0" w:line="240" w:lineRule="auto"/>
              <w:jc w:val="right"/>
              <w:rPr>
                <w:rFonts w:eastAsia="Times New Roman" w:cs="Times New Roman"/>
                <w:b/>
                <w:bCs/>
                <w:sz w:val="18"/>
                <w:szCs w:val="18"/>
                <w:lang w:eastAsia="sk-SK"/>
              </w:rPr>
            </w:pPr>
            <w:r w:rsidRPr="00B77B1C">
              <w:rPr>
                <w:rFonts w:eastAsia="Times New Roman" w:cs="Times New Roman"/>
                <w:b/>
                <w:bCs/>
                <w:sz w:val="18"/>
                <w:szCs w:val="18"/>
                <w:lang w:eastAsia="sk-SK"/>
              </w:rPr>
              <w:t>-5 608 766</w:t>
            </w:r>
          </w:p>
        </w:tc>
        <w:tc>
          <w:tcPr>
            <w:tcW w:w="875" w:type="dxa"/>
            <w:tcBorders>
              <w:top w:val="single" w:sz="4" w:space="0" w:color="auto"/>
              <w:left w:val="nil"/>
              <w:bottom w:val="single" w:sz="4" w:space="0" w:color="auto"/>
              <w:right w:val="nil"/>
            </w:tcBorders>
            <w:shd w:val="clear" w:color="000000" w:fill="FFFFFF"/>
            <w:noWrap/>
            <w:vAlign w:val="center"/>
            <w:hideMark/>
          </w:tcPr>
          <w:p w14:paraId="2ED55916" w14:textId="77777777" w:rsidR="00F76EE4" w:rsidRPr="00B77B1C" w:rsidRDefault="00F76EE4" w:rsidP="000379CA">
            <w:pPr>
              <w:spacing w:after="0" w:line="240" w:lineRule="auto"/>
              <w:jc w:val="right"/>
              <w:rPr>
                <w:rFonts w:eastAsia="Times New Roman" w:cs="Times New Roman"/>
                <w:b/>
                <w:bCs/>
                <w:sz w:val="18"/>
                <w:szCs w:val="18"/>
                <w:lang w:eastAsia="sk-SK"/>
              </w:rPr>
            </w:pPr>
            <w:r w:rsidRPr="00B77B1C">
              <w:rPr>
                <w:rFonts w:eastAsia="Times New Roman" w:cs="Times New Roman"/>
                <w:b/>
                <w:bCs/>
                <w:sz w:val="18"/>
                <w:szCs w:val="18"/>
                <w:lang w:eastAsia="sk-SK"/>
              </w:rPr>
              <w:t>4 416 611</w:t>
            </w:r>
          </w:p>
        </w:tc>
      </w:tr>
      <w:tr w:rsidR="00F76EE4" w:rsidRPr="00331790" w14:paraId="69C6A212" w14:textId="77777777" w:rsidTr="00DD13A1">
        <w:trPr>
          <w:trHeight w:val="348"/>
        </w:trPr>
        <w:tc>
          <w:tcPr>
            <w:tcW w:w="2576" w:type="dxa"/>
            <w:gridSpan w:val="3"/>
            <w:tcBorders>
              <w:top w:val="single" w:sz="4" w:space="0" w:color="auto"/>
              <w:left w:val="nil"/>
              <w:bottom w:val="single" w:sz="4" w:space="0" w:color="auto"/>
              <w:right w:val="nil"/>
            </w:tcBorders>
            <w:shd w:val="clear" w:color="000000" w:fill="FFFFFF"/>
            <w:noWrap/>
            <w:vAlign w:val="center"/>
            <w:hideMark/>
          </w:tcPr>
          <w:p w14:paraId="016495B9" w14:textId="77777777" w:rsidR="00F76EE4" w:rsidRPr="00B77B1C" w:rsidRDefault="00F76EE4" w:rsidP="000379CA">
            <w:pPr>
              <w:spacing w:after="0" w:line="240" w:lineRule="auto"/>
              <w:jc w:val="left"/>
              <w:rPr>
                <w:rFonts w:eastAsia="Times New Roman" w:cs="Times New Roman"/>
                <w:b/>
                <w:bCs/>
                <w:sz w:val="18"/>
                <w:szCs w:val="18"/>
                <w:lang w:eastAsia="sk-SK"/>
              </w:rPr>
            </w:pPr>
            <w:r w:rsidRPr="00B77B1C">
              <w:rPr>
                <w:rFonts w:eastAsia="Times New Roman" w:cs="Times New Roman"/>
                <w:b/>
                <w:bCs/>
                <w:sz w:val="18"/>
                <w:szCs w:val="18"/>
                <w:lang w:eastAsia="sk-SK"/>
              </w:rPr>
              <w:t>% z HDP</w:t>
            </w:r>
          </w:p>
        </w:tc>
        <w:tc>
          <w:tcPr>
            <w:tcW w:w="979" w:type="dxa"/>
            <w:tcBorders>
              <w:top w:val="single" w:sz="4" w:space="0" w:color="auto"/>
              <w:left w:val="nil"/>
              <w:bottom w:val="single" w:sz="4" w:space="0" w:color="auto"/>
              <w:right w:val="nil"/>
            </w:tcBorders>
            <w:shd w:val="clear" w:color="000000" w:fill="FFFFFF"/>
            <w:noWrap/>
            <w:vAlign w:val="center"/>
            <w:hideMark/>
          </w:tcPr>
          <w:p w14:paraId="0AD091CF" w14:textId="77777777" w:rsidR="00F76EE4" w:rsidRPr="00B77B1C" w:rsidRDefault="00F76EE4" w:rsidP="000379CA">
            <w:pPr>
              <w:spacing w:after="0" w:line="240" w:lineRule="auto"/>
              <w:jc w:val="right"/>
              <w:rPr>
                <w:rFonts w:eastAsia="Times New Roman" w:cs="Times New Roman"/>
                <w:b/>
                <w:bCs/>
                <w:sz w:val="18"/>
                <w:szCs w:val="18"/>
                <w:lang w:eastAsia="sk-SK"/>
              </w:rPr>
            </w:pPr>
            <w:r w:rsidRPr="00B77B1C">
              <w:rPr>
                <w:rFonts w:eastAsia="Times New Roman" w:cs="Times New Roman"/>
                <w:b/>
                <w:bCs/>
                <w:sz w:val="18"/>
                <w:szCs w:val="18"/>
                <w:lang w:eastAsia="sk-SK"/>
              </w:rPr>
              <w:t>-1,1</w:t>
            </w:r>
          </w:p>
        </w:tc>
        <w:tc>
          <w:tcPr>
            <w:tcW w:w="958" w:type="dxa"/>
            <w:tcBorders>
              <w:top w:val="single" w:sz="4" w:space="0" w:color="auto"/>
              <w:left w:val="nil"/>
              <w:bottom w:val="single" w:sz="4" w:space="0" w:color="auto"/>
              <w:right w:val="nil"/>
            </w:tcBorders>
            <w:shd w:val="clear" w:color="000000" w:fill="FFFFFF"/>
            <w:noWrap/>
            <w:vAlign w:val="center"/>
            <w:hideMark/>
          </w:tcPr>
          <w:p w14:paraId="7E765D21" w14:textId="77777777" w:rsidR="00F76EE4" w:rsidRPr="00B77B1C" w:rsidRDefault="00F76EE4" w:rsidP="000379CA">
            <w:pPr>
              <w:spacing w:after="0" w:line="240" w:lineRule="auto"/>
              <w:jc w:val="right"/>
              <w:rPr>
                <w:rFonts w:eastAsia="Times New Roman" w:cs="Times New Roman"/>
                <w:b/>
                <w:bCs/>
                <w:sz w:val="18"/>
                <w:szCs w:val="18"/>
                <w:lang w:eastAsia="sk-SK"/>
              </w:rPr>
            </w:pPr>
            <w:r w:rsidRPr="00B77B1C">
              <w:rPr>
                <w:rFonts w:eastAsia="Times New Roman" w:cs="Times New Roman"/>
                <w:b/>
                <w:bCs/>
                <w:sz w:val="18"/>
                <w:szCs w:val="18"/>
                <w:lang w:eastAsia="sk-SK"/>
              </w:rPr>
              <w:t>-1,3</w:t>
            </w:r>
          </w:p>
        </w:tc>
        <w:tc>
          <w:tcPr>
            <w:tcW w:w="1004" w:type="dxa"/>
            <w:tcBorders>
              <w:top w:val="single" w:sz="4" w:space="0" w:color="auto"/>
              <w:left w:val="nil"/>
              <w:bottom w:val="single" w:sz="4" w:space="0" w:color="auto"/>
              <w:right w:val="nil"/>
            </w:tcBorders>
            <w:shd w:val="clear" w:color="000000" w:fill="FFFFFF"/>
            <w:noWrap/>
            <w:vAlign w:val="center"/>
            <w:hideMark/>
          </w:tcPr>
          <w:p w14:paraId="1DDFC9C4" w14:textId="77777777" w:rsidR="00F76EE4" w:rsidRPr="00B77B1C" w:rsidRDefault="00F76EE4" w:rsidP="000379CA">
            <w:pPr>
              <w:spacing w:after="0" w:line="240" w:lineRule="auto"/>
              <w:jc w:val="right"/>
              <w:rPr>
                <w:rFonts w:eastAsia="Times New Roman" w:cs="Times New Roman"/>
                <w:b/>
                <w:bCs/>
                <w:sz w:val="18"/>
                <w:szCs w:val="18"/>
                <w:lang w:eastAsia="sk-SK"/>
              </w:rPr>
            </w:pPr>
            <w:r w:rsidRPr="00B77B1C">
              <w:rPr>
                <w:rFonts w:eastAsia="Times New Roman" w:cs="Times New Roman"/>
                <w:b/>
                <w:bCs/>
                <w:sz w:val="18"/>
                <w:szCs w:val="18"/>
                <w:lang w:eastAsia="sk-SK"/>
              </w:rPr>
              <w:t>-0,5</w:t>
            </w:r>
          </w:p>
        </w:tc>
        <w:tc>
          <w:tcPr>
            <w:tcW w:w="1146" w:type="dxa"/>
            <w:tcBorders>
              <w:top w:val="single" w:sz="4" w:space="0" w:color="auto"/>
              <w:left w:val="nil"/>
              <w:bottom w:val="single" w:sz="4" w:space="0" w:color="auto"/>
              <w:right w:val="nil"/>
            </w:tcBorders>
            <w:shd w:val="clear" w:color="000000" w:fill="FFFFFF"/>
            <w:noWrap/>
            <w:vAlign w:val="center"/>
            <w:hideMark/>
          </w:tcPr>
          <w:p w14:paraId="2D4C2F5C" w14:textId="77777777" w:rsidR="00F76EE4" w:rsidRPr="00B77B1C" w:rsidRDefault="00F76EE4" w:rsidP="000379CA">
            <w:pPr>
              <w:spacing w:after="0" w:line="240" w:lineRule="auto"/>
              <w:jc w:val="right"/>
              <w:rPr>
                <w:rFonts w:eastAsia="Times New Roman" w:cs="Times New Roman"/>
                <w:b/>
                <w:bCs/>
                <w:sz w:val="18"/>
                <w:szCs w:val="18"/>
                <w:lang w:eastAsia="sk-SK"/>
              </w:rPr>
            </w:pPr>
            <w:r w:rsidRPr="00B77B1C">
              <w:rPr>
                <w:rFonts w:eastAsia="Times New Roman" w:cs="Times New Roman"/>
                <w:b/>
                <w:bCs/>
                <w:sz w:val="18"/>
                <w:szCs w:val="18"/>
                <w:lang w:eastAsia="sk-SK"/>
              </w:rPr>
              <w:t>-11,6</w:t>
            </w:r>
          </w:p>
        </w:tc>
        <w:tc>
          <w:tcPr>
            <w:tcW w:w="1134" w:type="dxa"/>
            <w:tcBorders>
              <w:top w:val="single" w:sz="4" w:space="0" w:color="auto"/>
              <w:left w:val="nil"/>
              <w:bottom w:val="single" w:sz="4" w:space="0" w:color="auto"/>
              <w:right w:val="nil"/>
            </w:tcBorders>
            <w:shd w:val="clear" w:color="auto" w:fill="BFBFBF" w:themeFill="background1" w:themeFillShade="BF"/>
            <w:noWrap/>
            <w:vAlign w:val="center"/>
            <w:hideMark/>
          </w:tcPr>
          <w:p w14:paraId="5EC19704" w14:textId="77777777" w:rsidR="00F76EE4" w:rsidRPr="00B77B1C" w:rsidRDefault="00F76EE4" w:rsidP="000379CA">
            <w:pPr>
              <w:spacing w:after="0" w:line="240" w:lineRule="auto"/>
              <w:jc w:val="right"/>
              <w:rPr>
                <w:rFonts w:eastAsia="Times New Roman" w:cs="Times New Roman"/>
                <w:b/>
                <w:bCs/>
                <w:sz w:val="18"/>
                <w:szCs w:val="18"/>
                <w:lang w:eastAsia="sk-SK"/>
              </w:rPr>
            </w:pPr>
            <w:r w:rsidRPr="00B77B1C">
              <w:rPr>
                <w:rFonts w:eastAsia="Times New Roman" w:cs="Times New Roman"/>
                <w:b/>
                <w:bCs/>
                <w:sz w:val="18"/>
                <w:szCs w:val="18"/>
                <w:lang w:eastAsia="sk-SK"/>
              </w:rPr>
              <w:t>-6,2</w:t>
            </w:r>
          </w:p>
        </w:tc>
        <w:tc>
          <w:tcPr>
            <w:tcW w:w="875" w:type="dxa"/>
            <w:tcBorders>
              <w:top w:val="single" w:sz="4" w:space="0" w:color="auto"/>
              <w:left w:val="nil"/>
              <w:bottom w:val="single" w:sz="4" w:space="0" w:color="auto"/>
              <w:right w:val="nil"/>
            </w:tcBorders>
            <w:shd w:val="clear" w:color="000000" w:fill="FFFFFF"/>
            <w:noWrap/>
            <w:vAlign w:val="center"/>
            <w:hideMark/>
          </w:tcPr>
          <w:p w14:paraId="43CB4FF1" w14:textId="77777777" w:rsidR="00F76EE4" w:rsidRPr="00B77B1C" w:rsidRDefault="00F76EE4" w:rsidP="000379CA">
            <w:pPr>
              <w:spacing w:after="0" w:line="240" w:lineRule="auto"/>
              <w:jc w:val="right"/>
              <w:rPr>
                <w:rFonts w:eastAsia="Times New Roman" w:cs="Times New Roman"/>
                <w:b/>
                <w:bCs/>
                <w:sz w:val="18"/>
                <w:szCs w:val="18"/>
                <w:lang w:eastAsia="sk-SK"/>
              </w:rPr>
            </w:pPr>
            <w:r w:rsidRPr="00B77B1C">
              <w:rPr>
                <w:rFonts w:eastAsia="Times New Roman" w:cs="Times New Roman"/>
                <w:b/>
                <w:bCs/>
                <w:sz w:val="18"/>
                <w:szCs w:val="18"/>
                <w:lang w:eastAsia="sk-SK"/>
              </w:rPr>
              <w:t>5,4</w:t>
            </w:r>
          </w:p>
        </w:tc>
      </w:tr>
    </w:tbl>
    <w:p w14:paraId="2C79500F" w14:textId="77777777" w:rsidR="00CB3C45" w:rsidRPr="00836049" w:rsidRDefault="00CB3C45" w:rsidP="00CB3C45">
      <w:pPr>
        <w:spacing w:after="0" w:line="240" w:lineRule="auto"/>
        <w:jc w:val="left"/>
        <w:rPr>
          <w:rFonts w:eastAsia="Times New Roman" w:cs="Times New Roman"/>
          <w:color w:val="000000"/>
          <w:sz w:val="16"/>
          <w:szCs w:val="16"/>
          <w:lang w:eastAsia="sk-SK"/>
        </w:rPr>
      </w:pPr>
      <w:r w:rsidRPr="00FD40FF">
        <w:rPr>
          <w:rFonts w:eastAsia="Times New Roman" w:cs="Times New Roman"/>
          <w:color w:val="000000"/>
          <w:sz w:val="18"/>
          <w:szCs w:val="18"/>
          <w:lang w:eastAsia="sk-SK"/>
        </w:rPr>
        <w:t>1)Vrátane štátnych finančných aktív, samostatných účtov a salda účtu štátneho dlhu</w:t>
      </w:r>
      <w:r>
        <w:rPr>
          <w:rFonts w:eastAsia="Times New Roman" w:cs="Times New Roman"/>
          <w:color w:val="000000"/>
          <w:sz w:val="18"/>
          <w:szCs w:val="18"/>
          <w:lang w:eastAsia="sk-SK"/>
        </w:rPr>
        <w:t xml:space="preserve"> </w:t>
      </w:r>
      <w:r w:rsidRPr="00FD40FF">
        <w:rPr>
          <w:rFonts w:eastAsia="Times New Roman" w:cs="Times New Roman"/>
          <w:color w:val="000000"/>
          <w:sz w:val="18"/>
          <w:szCs w:val="18"/>
          <w:lang w:eastAsia="sk-SK"/>
        </w:rPr>
        <w:t xml:space="preserve">                               Zdroj: MF SR</w:t>
      </w:r>
    </w:p>
    <w:p w14:paraId="30B7F07A" w14:textId="77777777" w:rsidR="00CB3C45" w:rsidRDefault="00CB3C45" w:rsidP="00CB3C45"/>
    <w:p w14:paraId="182FACDD" w14:textId="39DC1921" w:rsidR="008E196E" w:rsidRDefault="008E196E" w:rsidP="008E196E">
      <w:pPr>
        <w:pStyle w:val="Nadpis2"/>
      </w:pPr>
      <w:bookmarkStart w:id="23" w:name="_Toc70026086"/>
      <w:r>
        <w:t>Vplyv COVID-19 na saldo verejnej správy</w:t>
      </w:r>
      <w:bookmarkEnd w:id="23"/>
    </w:p>
    <w:p w14:paraId="2BAFE919" w14:textId="2BED8235" w:rsidR="003C3B9B" w:rsidRDefault="003C3B9B" w:rsidP="003C3B9B">
      <w:pPr>
        <w:spacing w:line="240" w:lineRule="auto"/>
        <w:rPr>
          <w:sz w:val="24"/>
          <w:szCs w:val="24"/>
        </w:rPr>
      </w:pPr>
      <w:r w:rsidRPr="003C3B9B">
        <w:rPr>
          <w:sz w:val="24"/>
          <w:szCs w:val="24"/>
        </w:rPr>
        <w:t xml:space="preserve">Členské </w:t>
      </w:r>
      <w:r>
        <w:rPr>
          <w:sz w:val="24"/>
          <w:szCs w:val="24"/>
        </w:rPr>
        <w:t xml:space="preserve">krajiny EÚ boli požiadané zo strany </w:t>
      </w:r>
      <w:proofErr w:type="spellStart"/>
      <w:r>
        <w:rPr>
          <w:sz w:val="24"/>
          <w:szCs w:val="24"/>
        </w:rPr>
        <w:t>Eurostatu</w:t>
      </w:r>
      <w:proofErr w:type="spellEnd"/>
      <w:r>
        <w:rPr>
          <w:sz w:val="24"/>
          <w:szCs w:val="24"/>
        </w:rPr>
        <w:t xml:space="preserve"> </w:t>
      </w:r>
      <w:r w:rsidR="00C24120">
        <w:rPr>
          <w:sz w:val="24"/>
          <w:szCs w:val="24"/>
        </w:rPr>
        <w:t xml:space="preserve">poskytnúť </w:t>
      </w:r>
      <w:r>
        <w:rPr>
          <w:sz w:val="24"/>
          <w:szCs w:val="24"/>
        </w:rPr>
        <w:t>v rámci prvej notifikácie výsledkov hospodárenia verejnej správy za rok 2020 aj o informácie o prijatých opatreniach súvisiacich s pandémiou COVID-19. Ide o aktívne opatrenia vlády, ktorých účelom je zmiernenie alebo odvrátenie negatívneho vplyvu COVID-19 na hospodárske subjekty a obyvateľstvo krajiny.</w:t>
      </w:r>
    </w:p>
    <w:p w14:paraId="42383177" w14:textId="6A76E7A6" w:rsidR="003C3B9B" w:rsidRDefault="003C3B9B" w:rsidP="003C3B9B">
      <w:pPr>
        <w:spacing w:line="240" w:lineRule="auto"/>
        <w:rPr>
          <w:sz w:val="24"/>
          <w:szCs w:val="24"/>
        </w:rPr>
      </w:pPr>
      <w:r>
        <w:rPr>
          <w:sz w:val="24"/>
          <w:szCs w:val="24"/>
        </w:rPr>
        <w:t xml:space="preserve">Za takéto opatrenia </w:t>
      </w:r>
      <w:proofErr w:type="spellStart"/>
      <w:r>
        <w:rPr>
          <w:sz w:val="24"/>
          <w:szCs w:val="24"/>
        </w:rPr>
        <w:t>Eurostat</w:t>
      </w:r>
      <w:proofErr w:type="spellEnd"/>
      <w:r>
        <w:rPr>
          <w:sz w:val="24"/>
          <w:szCs w:val="24"/>
        </w:rPr>
        <w:t xml:space="preserve"> považuje nové schémy p</w:t>
      </w:r>
      <w:r w:rsidR="00C24120">
        <w:rPr>
          <w:sz w:val="24"/>
          <w:szCs w:val="24"/>
        </w:rPr>
        <w:t>odpory v rámci reakcie vlády na</w:t>
      </w:r>
      <w:r w:rsidR="00C24120">
        <w:rPr>
          <w:sz w:val="24"/>
          <w:szCs w:val="24"/>
        </w:rPr>
        <w:br/>
        <w:t>pandémiu</w:t>
      </w:r>
      <w:r>
        <w:rPr>
          <w:sz w:val="24"/>
          <w:szCs w:val="24"/>
        </w:rPr>
        <w:t xml:space="preserve"> (podpora zamestnanosti a udržanie pracovných miest, dodatočné platby subjektom) alebo úpravu existujúcich systémov, napr. v oblasti daní, odvodov a dotácií (</w:t>
      </w:r>
      <w:r w:rsidR="00F74C63">
        <w:rPr>
          <w:sz w:val="24"/>
          <w:szCs w:val="24"/>
        </w:rPr>
        <w:t xml:space="preserve">ako napríklad </w:t>
      </w:r>
      <w:r>
        <w:rPr>
          <w:sz w:val="24"/>
          <w:szCs w:val="24"/>
        </w:rPr>
        <w:t>zníženie daňovej sadzby,</w:t>
      </w:r>
      <w:r w:rsidR="00F74C63">
        <w:rPr>
          <w:sz w:val="24"/>
          <w:szCs w:val="24"/>
        </w:rPr>
        <w:t xml:space="preserve"> zvýšenie oprávnených dávok, zmena v trvaní poberania dávok, zmena kritérií oprávnenosti). Ďalšími sledovanými výdavkami sú výdavky na obstaranie tovarov a služieb, ako napríklad v zdravotníctve nákup zdravotníckeho materiálu, ochranných pomôcok, respirátorov, dezinfekcie, testov, dodatočné platby zdravotníckemu personálu. </w:t>
      </w:r>
    </w:p>
    <w:p w14:paraId="463A2271" w14:textId="00BFE474" w:rsidR="00230EC4" w:rsidRDefault="00F74C63" w:rsidP="003C3B9B">
      <w:pPr>
        <w:spacing w:line="240" w:lineRule="auto"/>
        <w:rPr>
          <w:sz w:val="24"/>
          <w:szCs w:val="24"/>
        </w:rPr>
      </w:pPr>
      <w:r w:rsidRPr="00F74C63">
        <w:rPr>
          <w:b/>
          <w:sz w:val="24"/>
          <w:szCs w:val="24"/>
        </w:rPr>
        <w:t xml:space="preserve">V spolupráci so Štatistickým úradom SR boli výdavky súvisiace s COVID-19 v metodike ESA 2010 predbežne vyčíslené na 1 777 331 tis. eur. </w:t>
      </w:r>
      <w:r w:rsidRPr="00230EC4">
        <w:rPr>
          <w:b/>
          <w:sz w:val="24"/>
          <w:szCs w:val="24"/>
        </w:rPr>
        <w:t xml:space="preserve">Po zohľadnení </w:t>
      </w:r>
      <w:r w:rsidR="00C24120">
        <w:rPr>
          <w:b/>
          <w:sz w:val="24"/>
          <w:szCs w:val="24"/>
        </w:rPr>
        <w:t xml:space="preserve">použitia </w:t>
      </w:r>
      <w:r w:rsidRPr="00230EC4">
        <w:rPr>
          <w:b/>
          <w:sz w:val="24"/>
          <w:szCs w:val="24"/>
        </w:rPr>
        <w:t xml:space="preserve">prostriedkov zo štrukturálnych fondov, ktoré boli počas roka </w:t>
      </w:r>
      <w:r w:rsidR="00230EC4" w:rsidRPr="00230EC4">
        <w:rPr>
          <w:b/>
          <w:sz w:val="24"/>
          <w:szCs w:val="24"/>
        </w:rPr>
        <w:t xml:space="preserve">2020 </w:t>
      </w:r>
      <w:proofErr w:type="spellStart"/>
      <w:r w:rsidRPr="00230EC4">
        <w:rPr>
          <w:b/>
          <w:sz w:val="24"/>
          <w:szCs w:val="24"/>
        </w:rPr>
        <w:t>realokované</w:t>
      </w:r>
      <w:proofErr w:type="spellEnd"/>
      <w:r w:rsidRPr="00230EC4">
        <w:rPr>
          <w:b/>
          <w:sz w:val="24"/>
          <w:szCs w:val="24"/>
        </w:rPr>
        <w:t xml:space="preserve"> v niektorých operačných programoch </w:t>
      </w:r>
      <w:r w:rsidR="00230EC4" w:rsidRPr="00230EC4">
        <w:rPr>
          <w:b/>
          <w:sz w:val="24"/>
          <w:szCs w:val="24"/>
        </w:rPr>
        <w:t>na b</w:t>
      </w:r>
      <w:r w:rsidR="00C24120">
        <w:rPr>
          <w:b/>
          <w:sz w:val="24"/>
          <w:szCs w:val="24"/>
        </w:rPr>
        <w:t xml:space="preserve">oj proti pandémii, </w:t>
      </w:r>
      <w:r w:rsidR="005E01D1">
        <w:rPr>
          <w:b/>
          <w:sz w:val="24"/>
          <w:szCs w:val="24"/>
        </w:rPr>
        <w:t>sú</w:t>
      </w:r>
      <w:r w:rsidR="00C24120">
        <w:rPr>
          <w:b/>
          <w:sz w:val="24"/>
          <w:szCs w:val="24"/>
        </w:rPr>
        <w:t xml:space="preserve"> odhadované výdavky súvisiace s pandémiou na úrovni </w:t>
      </w:r>
      <w:r w:rsidR="00230EC4" w:rsidRPr="00230EC4">
        <w:rPr>
          <w:b/>
          <w:sz w:val="24"/>
          <w:szCs w:val="24"/>
        </w:rPr>
        <w:t>1</w:t>
      </w:r>
      <w:r w:rsidR="00430A99">
        <w:rPr>
          <w:b/>
          <w:sz w:val="24"/>
          <w:szCs w:val="24"/>
        </w:rPr>
        <w:t> </w:t>
      </w:r>
      <w:r w:rsidR="00230EC4" w:rsidRPr="00230EC4">
        <w:rPr>
          <w:b/>
          <w:sz w:val="24"/>
          <w:szCs w:val="24"/>
        </w:rPr>
        <w:t>4</w:t>
      </w:r>
      <w:r w:rsidR="00430A99">
        <w:rPr>
          <w:b/>
          <w:sz w:val="24"/>
          <w:szCs w:val="24"/>
        </w:rPr>
        <w:t>34 370</w:t>
      </w:r>
      <w:r w:rsidR="00230EC4" w:rsidRPr="00230EC4">
        <w:rPr>
          <w:b/>
          <w:sz w:val="24"/>
          <w:szCs w:val="24"/>
        </w:rPr>
        <w:t xml:space="preserve"> tis. eur.</w:t>
      </w:r>
      <w:r w:rsidR="00C24120">
        <w:rPr>
          <w:b/>
          <w:sz w:val="24"/>
          <w:szCs w:val="24"/>
        </w:rPr>
        <w:t xml:space="preserve"> </w:t>
      </w:r>
      <w:r w:rsidR="00C24120">
        <w:rPr>
          <w:sz w:val="24"/>
          <w:szCs w:val="24"/>
        </w:rPr>
        <w:t>Po započítaní zníženia príjmov z odvodov o 7 629 tis. eur je celkový vplyv 1 441 999 tis. eur.</w:t>
      </w:r>
      <w:r w:rsidR="00230EC4">
        <w:rPr>
          <w:sz w:val="24"/>
          <w:szCs w:val="24"/>
        </w:rPr>
        <w:t xml:space="preserve"> Prostriedky EÚ boli použité najmä v rámci Operačného programu Ľudské zdroje, a to na úhradu výdavkov podpornej schémy Prvá pomoc vo výške 251 929 tis. eur</w:t>
      </w:r>
      <w:r w:rsidR="00F11052">
        <w:rPr>
          <w:sz w:val="24"/>
          <w:szCs w:val="24"/>
        </w:rPr>
        <w:t xml:space="preserve"> a 82 585 tis. eur na poskytovanie úverov podnikateľom</w:t>
      </w:r>
      <w:r w:rsidR="00230EC4">
        <w:rPr>
          <w:sz w:val="24"/>
          <w:szCs w:val="24"/>
        </w:rPr>
        <w:t xml:space="preserve">. Celkovo bolo zo zdrojov fondov EÚ </w:t>
      </w:r>
      <w:r w:rsidR="00660773">
        <w:rPr>
          <w:sz w:val="24"/>
          <w:szCs w:val="24"/>
        </w:rPr>
        <w:t xml:space="preserve">k 31.12.2020 </w:t>
      </w:r>
      <w:r w:rsidR="00230EC4">
        <w:rPr>
          <w:sz w:val="24"/>
          <w:szCs w:val="24"/>
        </w:rPr>
        <w:t>použitých 342 961 tis. eur na opatrenia proti COVID-19.</w:t>
      </w:r>
    </w:p>
    <w:p w14:paraId="21D57783" w14:textId="17D1B13A" w:rsidR="00660773" w:rsidRDefault="00660773" w:rsidP="003C3B9B">
      <w:pPr>
        <w:spacing w:line="240" w:lineRule="auto"/>
        <w:rPr>
          <w:sz w:val="24"/>
          <w:szCs w:val="24"/>
        </w:rPr>
      </w:pPr>
      <w:r>
        <w:rPr>
          <w:sz w:val="24"/>
          <w:szCs w:val="24"/>
        </w:rPr>
        <w:t>Vláda SR už od marca 2020 prijímala viaceré konkrétne opatrenia proti pandémii, legislatívneho aj nelegislatívneho charakteru. Postupne boli prijímané zákony resp. úpravy existujúcich zákonov z dielne viacerých rezortov.</w:t>
      </w:r>
      <w:r w:rsidR="0062297D">
        <w:rPr>
          <w:sz w:val="24"/>
          <w:szCs w:val="24"/>
        </w:rPr>
        <w:t xml:space="preserve"> V sociálnej oblasti išlo najmä o zavedenie </w:t>
      </w:r>
      <w:proofErr w:type="spellStart"/>
      <w:r w:rsidR="0062297D">
        <w:rPr>
          <w:sz w:val="24"/>
          <w:szCs w:val="24"/>
        </w:rPr>
        <w:t>pandemického</w:t>
      </w:r>
      <w:proofErr w:type="spellEnd"/>
      <w:r w:rsidR="0062297D">
        <w:rPr>
          <w:sz w:val="24"/>
          <w:szCs w:val="24"/>
        </w:rPr>
        <w:t xml:space="preserve"> ošetrovného, dočasné predĺženie podpornej doby poberania dávky v nezamestnanosti, odklad platenia poistných odvodov, finančná podpora pre zamestnávateľov a SZČO za účelom udržania zamestnanosti (kompenzácia na úhradu mzdových nákladov a úhradu odvodov), zvýšenie finančného príspevku na poskytovanie sociálnych služieb</w:t>
      </w:r>
      <w:r>
        <w:rPr>
          <w:sz w:val="24"/>
          <w:szCs w:val="24"/>
        </w:rPr>
        <w:t xml:space="preserve"> </w:t>
      </w:r>
      <w:r w:rsidR="0062297D">
        <w:rPr>
          <w:sz w:val="24"/>
          <w:szCs w:val="24"/>
        </w:rPr>
        <w:t xml:space="preserve">a ďalšie. </w:t>
      </w:r>
    </w:p>
    <w:p w14:paraId="48E8D531" w14:textId="77777777" w:rsidR="0062297D" w:rsidRDefault="0062297D" w:rsidP="003C3B9B">
      <w:pPr>
        <w:spacing w:line="240" w:lineRule="auto"/>
        <w:rPr>
          <w:sz w:val="24"/>
          <w:szCs w:val="24"/>
        </w:rPr>
      </w:pPr>
      <w:r>
        <w:rPr>
          <w:sz w:val="24"/>
          <w:szCs w:val="24"/>
        </w:rPr>
        <w:t>Podpora podnikateľov sa riešila aj schémou poskytovania dotácií na nájomné, odkladom úhrady preddavkov na daň z príjmov, finančnou pomocou na zabezpečenie likvidity malých, stredných a veľkých podnikov prostredníctvom úverov alebo poskytovaním záruk za tieto úvery.</w:t>
      </w:r>
    </w:p>
    <w:p w14:paraId="562DC11D" w14:textId="178C5163" w:rsidR="00FF73D1" w:rsidRDefault="00FF73D1" w:rsidP="003C3B9B">
      <w:pPr>
        <w:spacing w:line="240" w:lineRule="auto"/>
        <w:rPr>
          <w:sz w:val="24"/>
          <w:szCs w:val="24"/>
        </w:rPr>
      </w:pPr>
      <w:r>
        <w:rPr>
          <w:sz w:val="24"/>
          <w:szCs w:val="24"/>
        </w:rPr>
        <w:t xml:space="preserve">Mestám, obciam a VÚC boli poskytnuté návratné finančné výpomoci s odkladom splátok za účelom zmiernenia výpadku daňových príjmov. Viacerým subjektom boli poskytnuté vyššie transfery a dotácie (napr. NDS, ŽSR, ZSSK). </w:t>
      </w:r>
    </w:p>
    <w:p w14:paraId="2C78EAD4" w14:textId="77777777" w:rsidR="00184BAC" w:rsidRDefault="0062297D" w:rsidP="003C3B9B">
      <w:pPr>
        <w:spacing w:line="240" w:lineRule="auto"/>
        <w:rPr>
          <w:sz w:val="24"/>
          <w:szCs w:val="24"/>
        </w:rPr>
      </w:pPr>
      <w:r>
        <w:rPr>
          <w:sz w:val="24"/>
          <w:szCs w:val="24"/>
        </w:rPr>
        <w:t>V oblasti zdravotníctva išlo najmä o</w:t>
      </w:r>
      <w:r w:rsidR="00184BAC">
        <w:rPr>
          <w:sz w:val="24"/>
          <w:szCs w:val="24"/>
        </w:rPr>
        <w:t> úhradu zvýšených výkonov zdravotníckych zariadení, mzdové výdavky na pracovníkov v prvej línii, úhradu mobilných odberových miest ako nových poskytovateľov zdravotnej starostlivosti a ďalšie.</w:t>
      </w:r>
    </w:p>
    <w:p w14:paraId="38178D70" w14:textId="7A21C5E4" w:rsidR="0062297D" w:rsidRDefault="00184BAC" w:rsidP="003C3B9B">
      <w:pPr>
        <w:spacing w:line="240" w:lineRule="auto"/>
        <w:rPr>
          <w:sz w:val="24"/>
          <w:szCs w:val="24"/>
        </w:rPr>
      </w:pPr>
      <w:r>
        <w:rPr>
          <w:sz w:val="24"/>
          <w:szCs w:val="24"/>
        </w:rPr>
        <w:t>Ďalej boli financované nákupy pohotovostných rezerv, ochranných pomôcok, dezinfekcie, testov, pľúcnych ventilátorov, masiek a respirátorov, výdavky na štátne karanténne zariadenia a podobne.</w:t>
      </w:r>
    </w:p>
    <w:p w14:paraId="7CB1A2DA" w14:textId="5450F069" w:rsidR="00184BAC" w:rsidRDefault="008D2A70" w:rsidP="003C3B9B">
      <w:pPr>
        <w:spacing w:line="240" w:lineRule="auto"/>
        <w:rPr>
          <w:sz w:val="24"/>
          <w:szCs w:val="24"/>
        </w:rPr>
      </w:pPr>
      <w:r>
        <w:rPr>
          <w:b/>
          <w:sz w:val="24"/>
          <w:szCs w:val="24"/>
        </w:rPr>
        <w:t>V nasledovnom prehľade</w:t>
      </w:r>
      <w:r w:rsidR="00184BAC" w:rsidRPr="00FF73D1">
        <w:rPr>
          <w:b/>
          <w:sz w:val="24"/>
          <w:szCs w:val="24"/>
        </w:rPr>
        <w:t xml:space="preserve"> sú </w:t>
      </w:r>
      <w:r w:rsidR="00FF73D1" w:rsidRPr="00FF73D1">
        <w:rPr>
          <w:b/>
          <w:sz w:val="24"/>
          <w:szCs w:val="24"/>
        </w:rPr>
        <w:t xml:space="preserve">prezentované </w:t>
      </w:r>
      <w:r w:rsidR="00184BAC" w:rsidRPr="00FF73D1">
        <w:rPr>
          <w:b/>
          <w:sz w:val="24"/>
          <w:szCs w:val="24"/>
        </w:rPr>
        <w:t>výdavky</w:t>
      </w:r>
      <w:r w:rsidR="00FF73D1" w:rsidRPr="00FF73D1">
        <w:rPr>
          <w:b/>
          <w:sz w:val="24"/>
          <w:szCs w:val="24"/>
        </w:rPr>
        <w:t xml:space="preserve"> súvisiace s COVID-19</w:t>
      </w:r>
      <w:r w:rsidR="00184BAC" w:rsidRPr="00FF73D1">
        <w:rPr>
          <w:b/>
          <w:sz w:val="24"/>
          <w:szCs w:val="24"/>
        </w:rPr>
        <w:t xml:space="preserve"> v metodike ESA 2010</w:t>
      </w:r>
      <w:r w:rsidR="00FF73D1" w:rsidRPr="00FF73D1">
        <w:rPr>
          <w:b/>
          <w:sz w:val="24"/>
          <w:szCs w:val="24"/>
        </w:rPr>
        <w:t>.</w:t>
      </w:r>
      <w:r w:rsidR="00184BAC" w:rsidRPr="00FF73D1">
        <w:rPr>
          <w:b/>
          <w:sz w:val="24"/>
          <w:szCs w:val="24"/>
        </w:rPr>
        <w:t xml:space="preserve"> </w:t>
      </w:r>
      <w:r w:rsidR="00FF73D1">
        <w:rPr>
          <w:sz w:val="24"/>
          <w:szCs w:val="24"/>
        </w:rPr>
        <w:t xml:space="preserve">V tejto metodike nie všetky hotovostné výdavky subjektov verejnej správy ovplyvňujú deficit. Príkladom sú poskytnuté výpomoci územnej samospráve, ktoré predstavujú pôžičky a výpožičky medzi subjektmi verejnej správy. Rovnako tak poskytnuté a prijaté transfery v rámci </w:t>
      </w:r>
      <w:r>
        <w:rPr>
          <w:sz w:val="24"/>
          <w:szCs w:val="24"/>
        </w:rPr>
        <w:t>subjektov verejnej správy po ich vzájomnej konsolidácii sú bez vplyvu na saldo.</w:t>
      </w:r>
      <w:r w:rsidR="003A2EBD">
        <w:rPr>
          <w:sz w:val="24"/>
          <w:szCs w:val="24"/>
        </w:rPr>
        <w:t xml:space="preserve"> </w:t>
      </w:r>
    </w:p>
    <w:tbl>
      <w:tblPr>
        <w:tblW w:w="8937" w:type="dxa"/>
        <w:tblCellMar>
          <w:left w:w="70" w:type="dxa"/>
          <w:right w:w="70" w:type="dxa"/>
        </w:tblCellMar>
        <w:tblLook w:val="04A0" w:firstRow="1" w:lastRow="0" w:firstColumn="1" w:lastColumn="0" w:noHBand="0" w:noVBand="1"/>
      </w:tblPr>
      <w:tblGrid>
        <w:gridCol w:w="7655"/>
        <w:gridCol w:w="1282"/>
      </w:tblGrid>
      <w:tr w:rsidR="00C41F61" w:rsidRPr="00C41F61" w14:paraId="05F4C3CE" w14:textId="77777777" w:rsidTr="00C41F61">
        <w:trPr>
          <w:trHeight w:val="300"/>
        </w:trPr>
        <w:tc>
          <w:tcPr>
            <w:tcW w:w="8937" w:type="dxa"/>
            <w:gridSpan w:val="2"/>
            <w:tcBorders>
              <w:top w:val="single" w:sz="4" w:space="0" w:color="auto"/>
              <w:left w:val="nil"/>
              <w:bottom w:val="single" w:sz="4" w:space="0" w:color="auto"/>
              <w:right w:val="nil"/>
            </w:tcBorders>
            <w:shd w:val="clear" w:color="auto" w:fill="000000" w:themeFill="text1"/>
            <w:noWrap/>
            <w:vAlign w:val="center"/>
            <w:hideMark/>
          </w:tcPr>
          <w:p w14:paraId="58C4837A" w14:textId="6288B092" w:rsidR="00C41F61" w:rsidRPr="00C41F61" w:rsidRDefault="00230EC4" w:rsidP="00230FD6">
            <w:pPr>
              <w:spacing w:after="0" w:line="240" w:lineRule="auto"/>
              <w:jc w:val="left"/>
              <w:rPr>
                <w:rFonts w:eastAsia="Times New Roman" w:cs="Times New Roman"/>
                <w:b/>
                <w:bCs/>
                <w:color w:val="FFFFFF" w:themeColor="background1"/>
                <w:sz w:val="18"/>
                <w:szCs w:val="18"/>
                <w:lang w:eastAsia="sk-SK"/>
              </w:rPr>
            </w:pPr>
            <w:r>
              <w:rPr>
                <w:sz w:val="24"/>
                <w:szCs w:val="24"/>
              </w:rPr>
              <w:t xml:space="preserve">  </w:t>
            </w:r>
            <w:r w:rsidR="00C41F61" w:rsidRPr="00C41F61">
              <w:rPr>
                <w:rFonts w:eastAsia="Times New Roman" w:cs="Times New Roman"/>
                <w:b/>
                <w:bCs/>
                <w:color w:val="FFFFFF" w:themeColor="background1"/>
                <w:sz w:val="18"/>
                <w:szCs w:val="18"/>
                <w:lang w:eastAsia="sk-SK"/>
              </w:rPr>
              <w:t xml:space="preserve">Výdavky na COVID opatrenia </w:t>
            </w:r>
            <w:r w:rsidR="00230FD6">
              <w:rPr>
                <w:rFonts w:eastAsia="Times New Roman" w:cs="Times New Roman"/>
                <w:b/>
                <w:bCs/>
                <w:color w:val="FFFFFF" w:themeColor="background1"/>
                <w:sz w:val="18"/>
                <w:szCs w:val="18"/>
                <w:lang w:eastAsia="sk-SK"/>
              </w:rPr>
              <w:t xml:space="preserve">s vplyvom na saldo VS v metodike ESA                                                        </w:t>
            </w:r>
            <w:r w:rsidR="00C41F61" w:rsidRPr="00C41F61">
              <w:rPr>
                <w:rFonts w:eastAsia="Times New Roman" w:cs="Times New Roman"/>
                <w:b/>
                <w:bCs/>
                <w:color w:val="FFFFFF" w:themeColor="background1"/>
                <w:sz w:val="18"/>
                <w:szCs w:val="18"/>
                <w:lang w:eastAsia="sk-SK"/>
              </w:rPr>
              <w:t>v tis. eur</w:t>
            </w:r>
          </w:p>
        </w:tc>
      </w:tr>
      <w:tr w:rsidR="00285C26" w:rsidRPr="00285C26" w14:paraId="01BC5E33" w14:textId="77777777" w:rsidTr="00C41F61">
        <w:trPr>
          <w:trHeight w:val="240"/>
        </w:trPr>
        <w:tc>
          <w:tcPr>
            <w:tcW w:w="7655" w:type="dxa"/>
            <w:tcBorders>
              <w:top w:val="nil"/>
              <w:left w:val="nil"/>
              <w:bottom w:val="single" w:sz="4" w:space="0" w:color="auto"/>
            </w:tcBorders>
            <w:shd w:val="clear" w:color="auto" w:fill="D9D9D9" w:themeFill="background1" w:themeFillShade="D9"/>
            <w:noWrap/>
            <w:vAlign w:val="center"/>
            <w:hideMark/>
          </w:tcPr>
          <w:p w14:paraId="1A085934" w14:textId="77777777" w:rsidR="00285C26" w:rsidRPr="00285C26" w:rsidRDefault="00285C26" w:rsidP="00285C26">
            <w:pPr>
              <w:spacing w:after="0" w:line="240" w:lineRule="auto"/>
              <w:jc w:val="left"/>
              <w:rPr>
                <w:rFonts w:eastAsia="Times New Roman" w:cs="Times New Roman"/>
                <w:b/>
                <w:bCs/>
                <w:color w:val="000000"/>
                <w:sz w:val="18"/>
                <w:szCs w:val="18"/>
                <w:lang w:eastAsia="sk-SK"/>
              </w:rPr>
            </w:pPr>
            <w:r w:rsidRPr="00285C26">
              <w:rPr>
                <w:rFonts w:eastAsia="Times New Roman" w:cs="Times New Roman"/>
                <w:b/>
                <w:bCs/>
                <w:color w:val="000000"/>
                <w:sz w:val="18"/>
                <w:szCs w:val="18"/>
                <w:lang w:eastAsia="sk-SK"/>
              </w:rPr>
              <w:t>Podpora udržania zamestnanosti</w:t>
            </w:r>
          </w:p>
        </w:tc>
        <w:tc>
          <w:tcPr>
            <w:tcW w:w="1282" w:type="dxa"/>
            <w:tcBorders>
              <w:top w:val="nil"/>
              <w:left w:val="nil"/>
              <w:bottom w:val="single" w:sz="4" w:space="0" w:color="auto"/>
              <w:right w:val="nil"/>
            </w:tcBorders>
            <w:shd w:val="clear" w:color="auto" w:fill="D9D9D9" w:themeFill="background1" w:themeFillShade="D9"/>
            <w:noWrap/>
            <w:vAlign w:val="center"/>
            <w:hideMark/>
          </w:tcPr>
          <w:p w14:paraId="4D52EF8A" w14:textId="77777777" w:rsidR="00285C26" w:rsidRPr="00285C26" w:rsidRDefault="00285C26" w:rsidP="008557A1">
            <w:pPr>
              <w:spacing w:after="0" w:line="240" w:lineRule="auto"/>
              <w:jc w:val="right"/>
              <w:rPr>
                <w:rFonts w:eastAsia="Times New Roman" w:cs="Times New Roman"/>
                <w:b/>
                <w:bCs/>
                <w:color w:val="000000"/>
                <w:sz w:val="18"/>
                <w:szCs w:val="18"/>
                <w:lang w:eastAsia="sk-SK"/>
              </w:rPr>
            </w:pPr>
            <w:r w:rsidRPr="00285C26">
              <w:rPr>
                <w:rFonts w:eastAsia="Times New Roman" w:cs="Times New Roman"/>
                <w:b/>
                <w:bCs/>
                <w:color w:val="000000"/>
                <w:sz w:val="18"/>
                <w:szCs w:val="18"/>
                <w:lang w:eastAsia="sk-SK"/>
              </w:rPr>
              <w:t>920 154</w:t>
            </w:r>
          </w:p>
        </w:tc>
      </w:tr>
      <w:tr w:rsidR="00285C26" w:rsidRPr="00285C26" w14:paraId="3AFA1A30" w14:textId="77777777" w:rsidTr="00C41F61">
        <w:trPr>
          <w:trHeight w:val="240"/>
        </w:trPr>
        <w:tc>
          <w:tcPr>
            <w:tcW w:w="7655" w:type="dxa"/>
            <w:tcBorders>
              <w:top w:val="nil"/>
              <w:left w:val="nil"/>
              <w:bottom w:val="nil"/>
            </w:tcBorders>
            <w:shd w:val="clear" w:color="auto" w:fill="auto"/>
            <w:noWrap/>
            <w:vAlign w:val="center"/>
            <w:hideMark/>
          </w:tcPr>
          <w:p w14:paraId="32766E92" w14:textId="069F7F20" w:rsidR="00285C26" w:rsidRPr="006744E3" w:rsidRDefault="00285C26" w:rsidP="00285C26">
            <w:pPr>
              <w:spacing w:after="0" w:line="240" w:lineRule="auto"/>
              <w:jc w:val="left"/>
              <w:rPr>
                <w:rFonts w:eastAsia="Times New Roman" w:cs="Times New Roman"/>
                <w:bCs/>
                <w:color w:val="000000"/>
                <w:sz w:val="18"/>
                <w:szCs w:val="18"/>
                <w:lang w:eastAsia="sk-SK"/>
              </w:rPr>
            </w:pPr>
            <w:r w:rsidRPr="006744E3">
              <w:rPr>
                <w:rFonts w:eastAsia="Times New Roman" w:cs="Times New Roman"/>
                <w:bCs/>
                <w:color w:val="000000"/>
                <w:sz w:val="18"/>
                <w:szCs w:val="18"/>
                <w:lang w:eastAsia="sk-SK"/>
              </w:rPr>
              <w:t>Spolu opatrenia 1 až 4B</w:t>
            </w:r>
            <w:r w:rsidR="006744E3">
              <w:rPr>
                <w:rFonts w:eastAsia="Times New Roman" w:cs="Times New Roman"/>
                <w:bCs/>
                <w:color w:val="000000"/>
                <w:sz w:val="18"/>
                <w:szCs w:val="18"/>
                <w:lang w:eastAsia="sk-SK"/>
              </w:rPr>
              <w:t>, z toho:</w:t>
            </w:r>
          </w:p>
        </w:tc>
        <w:tc>
          <w:tcPr>
            <w:tcW w:w="1282" w:type="dxa"/>
            <w:tcBorders>
              <w:top w:val="nil"/>
              <w:left w:val="nil"/>
              <w:bottom w:val="nil"/>
              <w:right w:val="nil"/>
            </w:tcBorders>
            <w:shd w:val="clear" w:color="auto" w:fill="auto"/>
            <w:noWrap/>
            <w:vAlign w:val="bottom"/>
            <w:hideMark/>
          </w:tcPr>
          <w:p w14:paraId="047C98AF" w14:textId="77777777" w:rsidR="00285C26" w:rsidRPr="006744E3" w:rsidRDefault="00285C26" w:rsidP="008557A1">
            <w:pPr>
              <w:spacing w:after="0" w:line="240" w:lineRule="auto"/>
              <w:jc w:val="right"/>
              <w:rPr>
                <w:rFonts w:eastAsia="Times New Roman" w:cs="Times New Roman"/>
                <w:bCs/>
                <w:color w:val="000000"/>
                <w:sz w:val="18"/>
                <w:szCs w:val="18"/>
                <w:lang w:eastAsia="sk-SK"/>
              </w:rPr>
            </w:pPr>
            <w:r w:rsidRPr="006744E3">
              <w:rPr>
                <w:rFonts w:eastAsia="Times New Roman" w:cs="Times New Roman"/>
                <w:bCs/>
                <w:color w:val="000000"/>
                <w:sz w:val="18"/>
                <w:szCs w:val="18"/>
                <w:lang w:eastAsia="sk-SK"/>
              </w:rPr>
              <w:t>773 206</w:t>
            </w:r>
          </w:p>
        </w:tc>
      </w:tr>
      <w:tr w:rsidR="00285C26" w:rsidRPr="00285C26" w14:paraId="317FAF74" w14:textId="77777777" w:rsidTr="00C41F61">
        <w:trPr>
          <w:trHeight w:val="240"/>
        </w:trPr>
        <w:tc>
          <w:tcPr>
            <w:tcW w:w="7655" w:type="dxa"/>
            <w:tcBorders>
              <w:top w:val="nil"/>
              <w:left w:val="nil"/>
              <w:bottom w:val="nil"/>
            </w:tcBorders>
            <w:shd w:val="clear" w:color="auto" w:fill="auto"/>
            <w:noWrap/>
            <w:vAlign w:val="center"/>
            <w:hideMark/>
          </w:tcPr>
          <w:p w14:paraId="27CB6826" w14:textId="77777777" w:rsidR="00285C26" w:rsidRPr="006744E3" w:rsidRDefault="00285C26" w:rsidP="00285C26">
            <w:pPr>
              <w:spacing w:after="0" w:line="240" w:lineRule="auto"/>
              <w:ind w:firstLineChars="100" w:firstLine="180"/>
              <w:jc w:val="left"/>
              <w:rPr>
                <w:rFonts w:eastAsia="Times New Roman" w:cs="Times New Roman"/>
                <w:i/>
                <w:iCs/>
                <w:color w:val="000000"/>
                <w:sz w:val="18"/>
                <w:szCs w:val="18"/>
                <w:lang w:eastAsia="sk-SK"/>
              </w:rPr>
            </w:pPr>
            <w:r w:rsidRPr="006744E3">
              <w:rPr>
                <w:rFonts w:eastAsia="Times New Roman" w:cs="Times New Roman"/>
                <w:i/>
                <w:iCs/>
                <w:color w:val="000000"/>
                <w:sz w:val="18"/>
                <w:szCs w:val="18"/>
                <w:lang w:eastAsia="sk-SK"/>
              </w:rPr>
              <w:t>Podpora zamestnávateľov - zavreté prevádzky, úhrada mzdy (1)</w:t>
            </w:r>
          </w:p>
        </w:tc>
        <w:tc>
          <w:tcPr>
            <w:tcW w:w="1282" w:type="dxa"/>
            <w:tcBorders>
              <w:top w:val="nil"/>
              <w:left w:val="nil"/>
              <w:bottom w:val="nil"/>
              <w:right w:val="nil"/>
            </w:tcBorders>
            <w:shd w:val="clear" w:color="auto" w:fill="auto"/>
            <w:noWrap/>
            <w:vAlign w:val="bottom"/>
            <w:hideMark/>
          </w:tcPr>
          <w:p w14:paraId="416742EF" w14:textId="77777777" w:rsidR="00285C26" w:rsidRPr="006744E3" w:rsidRDefault="00285C26" w:rsidP="008557A1">
            <w:pPr>
              <w:spacing w:after="0" w:line="240" w:lineRule="auto"/>
              <w:jc w:val="right"/>
              <w:rPr>
                <w:rFonts w:eastAsia="Times New Roman" w:cs="Times New Roman"/>
                <w:color w:val="000000"/>
                <w:sz w:val="18"/>
                <w:szCs w:val="18"/>
                <w:lang w:eastAsia="sk-SK"/>
              </w:rPr>
            </w:pPr>
            <w:r w:rsidRPr="006744E3">
              <w:rPr>
                <w:rFonts w:eastAsia="Times New Roman" w:cs="Times New Roman"/>
                <w:color w:val="000000"/>
                <w:sz w:val="18"/>
                <w:szCs w:val="18"/>
                <w:lang w:eastAsia="sk-SK"/>
              </w:rPr>
              <w:t>59 988</w:t>
            </w:r>
          </w:p>
        </w:tc>
      </w:tr>
      <w:tr w:rsidR="00285C26" w:rsidRPr="00285C26" w14:paraId="115B601F" w14:textId="77777777" w:rsidTr="00C41F61">
        <w:trPr>
          <w:trHeight w:val="240"/>
        </w:trPr>
        <w:tc>
          <w:tcPr>
            <w:tcW w:w="7655" w:type="dxa"/>
            <w:tcBorders>
              <w:top w:val="nil"/>
              <w:left w:val="nil"/>
              <w:bottom w:val="nil"/>
            </w:tcBorders>
            <w:shd w:val="clear" w:color="auto" w:fill="auto"/>
            <w:noWrap/>
            <w:vAlign w:val="center"/>
            <w:hideMark/>
          </w:tcPr>
          <w:p w14:paraId="0A7ACCCF" w14:textId="77777777" w:rsidR="00285C26" w:rsidRPr="006744E3" w:rsidRDefault="00285C26" w:rsidP="00285C26">
            <w:pPr>
              <w:spacing w:after="0" w:line="240" w:lineRule="auto"/>
              <w:ind w:firstLineChars="100" w:firstLine="180"/>
              <w:jc w:val="left"/>
              <w:rPr>
                <w:rFonts w:eastAsia="Times New Roman" w:cs="Times New Roman"/>
                <w:i/>
                <w:iCs/>
                <w:color w:val="000000"/>
                <w:sz w:val="18"/>
                <w:szCs w:val="18"/>
                <w:lang w:eastAsia="sk-SK"/>
              </w:rPr>
            </w:pPr>
            <w:r w:rsidRPr="006744E3">
              <w:rPr>
                <w:rFonts w:eastAsia="Times New Roman" w:cs="Times New Roman"/>
                <w:i/>
                <w:iCs/>
                <w:color w:val="000000"/>
                <w:sz w:val="18"/>
                <w:szCs w:val="18"/>
                <w:lang w:eastAsia="sk-SK"/>
              </w:rPr>
              <w:t>Podpora SZČO - zatvorené prevádzka alebo podľa poklesu tržieb (2)</w:t>
            </w:r>
          </w:p>
        </w:tc>
        <w:tc>
          <w:tcPr>
            <w:tcW w:w="1282" w:type="dxa"/>
            <w:tcBorders>
              <w:top w:val="nil"/>
              <w:left w:val="nil"/>
              <w:bottom w:val="nil"/>
              <w:right w:val="nil"/>
            </w:tcBorders>
            <w:shd w:val="clear" w:color="auto" w:fill="auto"/>
            <w:noWrap/>
            <w:vAlign w:val="bottom"/>
            <w:hideMark/>
          </w:tcPr>
          <w:p w14:paraId="240FE89C" w14:textId="77777777" w:rsidR="00285C26" w:rsidRPr="006744E3" w:rsidRDefault="00285C26" w:rsidP="008557A1">
            <w:pPr>
              <w:spacing w:after="0" w:line="240" w:lineRule="auto"/>
              <w:jc w:val="right"/>
              <w:rPr>
                <w:rFonts w:eastAsia="Times New Roman" w:cs="Times New Roman"/>
                <w:color w:val="000000"/>
                <w:sz w:val="18"/>
                <w:szCs w:val="18"/>
                <w:lang w:eastAsia="sk-SK"/>
              </w:rPr>
            </w:pPr>
            <w:r w:rsidRPr="006744E3">
              <w:rPr>
                <w:rFonts w:eastAsia="Times New Roman" w:cs="Times New Roman"/>
                <w:color w:val="000000"/>
                <w:sz w:val="18"/>
                <w:szCs w:val="18"/>
                <w:lang w:eastAsia="sk-SK"/>
              </w:rPr>
              <w:t>129 071</w:t>
            </w:r>
          </w:p>
        </w:tc>
      </w:tr>
      <w:tr w:rsidR="00285C26" w:rsidRPr="00285C26" w14:paraId="7712533C" w14:textId="77777777" w:rsidTr="00C41F61">
        <w:trPr>
          <w:trHeight w:val="240"/>
        </w:trPr>
        <w:tc>
          <w:tcPr>
            <w:tcW w:w="7655" w:type="dxa"/>
            <w:tcBorders>
              <w:top w:val="nil"/>
              <w:left w:val="nil"/>
              <w:bottom w:val="nil"/>
            </w:tcBorders>
            <w:shd w:val="clear" w:color="auto" w:fill="auto"/>
            <w:noWrap/>
            <w:vAlign w:val="center"/>
            <w:hideMark/>
          </w:tcPr>
          <w:p w14:paraId="7983489E" w14:textId="77777777" w:rsidR="00285C26" w:rsidRPr="006744E3" w:rsidRDefault="00285C26" w:rsidP="00285C26">
            <w:pPr>
              <w:spacing w:after="0" w:line="240" w:lineRule="auto"/>
              <w:ind w:firstLineChars="100" w:firstLine="180"/>
              <w:jc w:val="left"/>
              <w:rPr>
                <w:rFonts w:eastAsia="Times New Roman" w:cs="Times New Roman"/>
                <w:i/>
                <w:iCs/>
                <w:color w:val="000000"/>
                <w:sz w:val="18"/>
                <w:szCs w:val="18"/>
                <w:lang w:eastAsia="sk-SK"/>
              </w:rPr>
            </w:pPr>
            <w:r w:rsidRPr="006744E3">
              <w:rPr>
                <w:rFonts w:eastAsia="Times New Roman" w:cs="Times New Roman"/>
                <w:i/>
                <w:iCs/>
                <w:color w:val="000000"/>
                <w:sz w:val="18"/>
                <w:szCs w:val="18"/>
                <w:lang w:eastAsia="sk-SK"/>
              </w:rPr>
              <w:t>Podpora zamestnávateľov - zasiahnuté prevádzky, úhrada mzdy (3A)</w:t>
            </w:r>
          </w:p>
        </w:tc>
        <w:tc>
          <w:tcPr>
            <w:tcW w:w="1282" w:type="dxa"/>
            <w:tcBorders>
              <w:top w:val="nil"/>
              <w:left w:val="nil"/>
              <w:bottom w:val="nil"/>
              <w:right w:val="nil"/>
            </w:tcBorders>
            <w:shd w:val="clear" w:color="auto" w:fill="auto"/>
            <w:noWrap/>
            <w:vAlign w:val="bottom"/>
            <w:hideMark/>
          </w:tcPr>
          <w:p w14:paraId="3C85E0EA" w14:textId="77777777" w:rsidR="00285C26" w:rsidRPr="006744E3" w:rsidRDefault="00285C26" w:rsidP="008557A1">
            <w:pPr>
              <w:spacing w:after="0" w:line="240" w:lineRule="auto"/>
              <w:jc w:val="right"/>
              <w:rPr>
                <w:rFonts w:eastAsia="Times New Roman" w:cs="Times New Roman"/>
                <w:color w:val="000000"/>
                <w:sz w:val="18"/>
                <w:szCs w:val="18"/>
                <w:lang w:eastAsia="sk-SK"/>
              </w:rPr>
            </w:pPr>
            <w:r w:rsidRPr="006744E3">
              <w:rPr>
                <w:rFonts w:eastAsia="Times New Roman" w:cs="Times New Roman"/>
                <w:color w:val="000000"/>
                <w:sz w:val="18"/>
                <w:szCs w:val="18"/>
                <w:lang w:eastAsia="sk-SK"/>
              </w:rPr>
              <w:t>187 916</w:t>
            </w:r>
          </w:p>
        </w:tc>
      </w:tr>
      <w:tr w:rsidR="00285C26" w:rsidRPr="00285C26" w14:paraId="4246104A" w14:textId="77777777" w:rsidTr="00C41F61">
        <w:trPr>
          <w:trHeight w:val="240"/>
        </w:trPr>
        <w:tc>
          <w:tcPr>
            <w:tcW w:w="7655" w:type="dxa"/>
            <w:tcBorders>
              <w:top w:val="nil"/>
              <w:left w:val="nil"/>
              <w:bottom w:val="nil"/>
            </w:tcBorders>
            <w:shd w:val="clear" w:color="auto" w:fill="auto"/>
            <w:noWrap/>
            <w:vAlign w:val="center"/>
            <w:hideMark/>
          </w:tcPr>
          <w:p w14:paraId="15102A06" w14:textId="77777777" w:rsidR="00285C26" w:rsidRPr="006744E3" w:rsidRDefault="00285C26" w:rsidP="00285C26">
            <w:pPr>
              <w:spacing w:after="0" w:line="240" w:lineRule="auto"/>
              <w:ind w:firstLineChars="100" w:firstLine="180"/>
              <w:jc w:val="left"/>
              <w:rPr>
                <w:rFonts w:eastAsia="Times New Roman" w:cs="Times New Roman"/>
                <w:i/>
                <w:iCs/>
                <w:color w:val="000000"/>
                <w:sz w:val="18"/>
                <w:szCs w:val="18"/>
                <w:lang w:eastAsia="sk-SK"/>
              </w:rPr>
            </w:pPr>
            <w:r w:rsidRPr="006744E3">
              <w:rPr>
                <w:rFonts w:eastAsia="Times New Roman" w:cs="Times New Roman"/>
                <w:i/>
                <w:iCs/>
                <w:color w:val="000000"/>
                <w:sz w:val="18"/>
                <w:szCs w:val="18"/>
                <w:lang w:eastAsia="sk-SK"/>
              </w:rPr>
              <w:t>Podpora zamestnávateľov - zasiahnuté prevádzky, pokles tržieb (3B)</w:t>
            </w:r>
          </w:p>
        </w:tc>
        <w:tc>
          <w:tcPr>
            <w:tcW w:w="1282" w:type="dxa"/>
            <w:tcBorders>
              <w:top w:val="nil"/>
              <w:left w:val="nil"/>
              <w:bottom w:val="nil"/>
              <w:right w:val="nil"/>
            </w:tcBorders>
            <w:shd w:val="clear" w:color="auto" w:fill="auto"/>
            <w:noWrap/>
            <w:vAlign w:val="bottom"/>
            <w:hideMark/>
          </w:tcPr>
          <w:p w14:paraId="2828DA29" w14:textId="77777777" w:rsidR="00285C26" w:rsidRPr="006744E3" w:rsidRDefault="00285C26" w:rsidP="008557A1">
            <w:pPr>
              <w:spacing w:after="0" w:line="240" w:lineRule="auto"/>
              <w:jc w:val="right"/>
              <w:rPr>
                <w:rFonts w:eastAsia="Times New Roman" w:cs="Times New Roman"/>
                <w:color w:val="000000"/>
                <w:sz w:val="18"/>
                <w:szCs w:val="18"/>
                <w:lang w:eastAsia="sk-SK"/>
              </w:rPr>
            </w:pPr>
            <w:r w:rsidRPr="006744E3">
              <w:rPr>
                <w:rFonts w:eastAsia="Times New Roman" w:cs="Times New Roman"/>
                <w:color w:val="000000"/>
                <w:sz w:val="18"/>
                <w:szCs w:val="18"/>
                <w:lang w:eastAsia="sk-SK"/>
              </w:rPr>
              <w:t>382 509</w:t>
            </w:r>
          </w:p>
        </w:tc>
      </w:tr>
      <w:tr w:rsidR="00285C26" w:rsidRPr="00285C26" w14:paraId="5E7F6779" w14:textId="77777777" w:rsidTr="00C41F61">
        <w:trPr>
          <w:trHeight w:val="240"/>
        </w:trPr>
        <w:tc>
          <w:tcPr>
            <w:tcW w:w="7655" w:type="dxa"/>
            <w:tcBorders>
              <w:top w:val="nil"/>
              <w:left w:val="nil"/>
              <w:bottom w:val="nil"/>
            </w:tcBorders>
            <w:shd w:val="clear" w:color="auto" w:fill="auto"/>
            <w:noWrap/>
            <w:vAlign w:val="center"/>
            <w:hideMark/>
          </w:tcPr>
          <w:p w14:paraId="14EBC5F8" w14:textId="77777777" w:rsidR="00285C26" w:rsidRPr="006744E3" w:rsidRDefault="00285C26" w:rsidP="00285C26">
            <w:pPr>
              <w:spacing w:after="0" w:line="240" w:lineRule="auto"/>
              <w:ind w:firstLineChars="100" w:firstLine="180"/>
              <w:jc w:val="left"/>
              <w:rPr>
                <w:rFonts w:eastAsia="Times New Roman" w:cs="Times New Roman"/>
                <w:i/>
                <w:iCs/>
                <w:color w:val="000000"/>
                <w:sz w:val="18"/>
                <w:szCs w:val="18"/>
                <w:lang w:eastAsia="sk-SK"/>
              </w:rPr>
            </w:pPr>
            <w:r w:rsidRPr="006744E3">
              <w:rPr>
                <w:rFonts w:eastAsia="Times New Roman" w:cs="Times New Roman"/>
                <w:i/>
                <w:iCs/>
                <w:color w:val="000000"/>
                <w:sz w:val="18"/>
                <w:szCs w:val="18"/>
                <w:lang w:eastAsia="sk-SK"/>
              </w:rPr>
              <w:t>Podpora SZČO - paušálny príspevok (4A)</w:t>
            </w:r>
          </w:p>
        </w:tc>
        <w:tc>
          <w:tcPr>
            <w:tcW w:w="1282" w:type="dxa"/>
            <w:tcBorders>
              <w:top w:val="nil"/>
              <w:left w:val="nil"/>
              <w:bottom w:val="nil"/>
              <w:right w:val="nil"/>
            </w:tcBorders>
            <w:shd w:val="clear" w:color="auto" w:fill="auto"/>
            <w:noWrap/>
            <w:vAlign w:val="bottom"/>
            <w:hideMark/>
          </w:tcPr>
          <w:p w14:paraId="341681D4" w14:textId="77777777" w:rsidR="00285C26" w:rsidRPr="006744E3" w:rsidRDefault="00285C26" w:rsidP="008557A1">
            <w:pPr>
              <w:spacing w:after="0" w:line="240" w:lineRule="auto"/>
              <w:jc w:val="right"/>
              <w:rPr>
                <w:rFonts w:eastAsia="Times New Roman" w:cs="Times New Roman"/>
                <w:color w:val="000000"/>
                <w:sz w:val="18"/>
                <w:szCs w:val="18"/>
                <w:lang w:eastAsia="sk-SK"/>
              </w:rPr>
            </w:pPr>
            <w:r w:rsidRPr="006744E3">
              <w:rPr>
                <w:rFonts w:eastAsia="Times New Roman" w:cs="Times New Roman"/>
                <w:color w:val="000000"/>
                <w:sz w:val="18"/>
                <w:szCs w:val="18"/>
                <w:lang w:eastAsia="sk-SK"/>
              </w:rPr>
              <w:t>12 459</w:t>
            </w:r>
          </w:p>
        </w:tc>
      </w:tr>
      <w:tr w:rsidR="00285C26" w:rsidRPr="00285C26" w14:paraId="1FD987BA" w14:textId="77777777" w:rsidTr="00C41F61">
        <w:trPr>
          <w:trHeight w:val="240"/>
        </w:trPr>
        <w:tc>
          <w:tcPr>
            <w:tcW w:w="7655" w:type="dxa"/>
            <w:tcBorders>
              <w:top w:val="nil"/>
              <w:left w:val="nil"/>
              <w:bottom w:val="nil"/>
            </w:tcBorders>
            <w:shd w:val="clear" w:color="auto" w:fill="auto"/>
            <w:noWrap/>
            <w:vAlign w:val="center"/>
            <w:hideMark/>
          </w:tcPr>
          <w:p w14:paraId="58B17568" w14:textId="77777777" w:rsidR="00285C26" w:rsidRPr="006744E3" w:rsidRDefault="00285C26" w:rsidP="00285C26">
            <w:pPr>
              <w:spacing w:after="0" w:line="240" w:lineRule="auto"/>
              <w:ind w:firstLineChars="100" w:firstLine="180"/>
              <w:jc w:val="left"/>
              <w:rPr>
                <w:rFonts w:eastAsia="Times New Roman" w:cs="Times New Roman"/>
                <w:i/>
                <w:iCs/>
                <w:color w:val="000000"/>
                <w:sz w:val="18"/>
                <w:szCs w:val="18"/>
                <w:lang w:eastAsia="sk-SK"/>
              </w:rPr>
            </w:pPr>
            <w:r w:rsidRPr="006744E3">
              <w:rPr>
                <w:rFonts w:eastAsia="Times New Roman" w:cs="Times New Roman"/>
                <w:i/>
                <w:iCs/>
                <w:color w:val="000000"/>
                <w:sz w:val="18"/>
                <w:szCs w:val="18"/>
                <w:lang w:eastAsia="sk-SK"/>
              </w:rPr>
              <w:t xml:space="preserve">Podpora </w:t>
            </w:r>
            <w:proofErr w:type="spellStart"/>
            <w:r w:rsidRPr="006744E3">
              <w:rPr>
                <w:rFonts w:eastAsia="Times New Roman" w:cs="Times New Roman"/>
                <w:i/>
                <w:iCs/>
                <w:color w:val="000000"/>
                <w:sz w:val="18"/>
                <w:szCs w:val="18"/>
                <w:lang w:eastAsia="sk-SK"/>
              </w:rPr>
              <w:t>jednoosobových</w:t>
            </w:r>
            <w:proofErr w:type="spellEnd"/>
            <w:r w:rsidRPr="006744E3">
              <w:rPr>
                <w:rFonts w:eastAsia="Times New Roman" w:cs="Times New Roman"/>
                <w:i/>
                <w:iCs/>
                <w:color w:val="000000"/>
                <w:sz w:val="18"/>
                <w:szCs w:val="18"/>
                <w:lang w:eastAsia="sk-SK"/>
              </w:rPr>
              <w:t xml:space="preserve"> s.r.o. (4B)</w:t>
            </w:r>
          </w:p>
        </w:tc>
        <w:tc>
          <w:tcPr>
            <w:tcW w:w="1282" w:type="dxa"/>
            <w:tcBorders>
              <w:top w:val="nil"/>
              <w:left w:val="nil"/>
              <w:bottom w:val="nil"/>
              <w:right w:val="nil"/>
            </w:tcBorders>
            <w:shd w:val="clear" w:color="auto" w:fill="auto"/>
            <w:noWrap/>
            <w:vAlign w:val="bottom"/>
            <w:hideMark/>
          </w:tcPr>
          <w:p w14:paraId="2AF1F890" w14:textId="77777777" w:rsidR="00285C26" w:rsidRPr="006744E3" w:rsidRDefault="00285C26" w:rsidP="008557A1">
            <w:pPr>
              <w:spacing w:after="0" w:line="240" w:lineRule="auto"/>
              <w:jc w:val="right"/>
              <w:rPr>
                <w:rFonts w:eastAsia="Times New Roman" w:cs="Times New Roman"/>
                <w:color w:val="000000"/>
                <w:sz w:val="18"/>
                <w:szCs w:val="18"/>
                <w:lang w:eastAsia="sk-SK"/>
              </w:rPr>
            </w:pPr>
            <w:r w:rsidRPr="006744E3">
              <w:rPr>
                <w:rFonts w:eastAsia="Times New Roman" w:cs="Times New Roman"/>
                <w:color w:val="000000"/>
                <w:sz w:val="18"/>
                <w:szCs w:val="18"/>
                <w:lang w:eastAsia="sk-SK"/>
              </w:rPr>
              <w:t>1 264</w:t>
            </w:r>
          </w:p>
        </w:tc>
      </w:tr>
      <w:tr w:rsidR="00285C26" w:rsidRPr="00285C26" w14:paraId="11A2E6C6" w14:textId="77777777" w:rsidTr="00C41F61">
        <w:trPr>
          <w:trHeight w:val="240"/>
        </w:trPr>
        <w:tc>
          <w:tcPr>
            <w:tcW w:w="7655" w:type="dxa"/>
            <w:tcBorders>
              <w:top w:val="nil"/>
              <w:left w:val="nil"/>
              <w:bottom w:val="nil"/>
            </w:tcBorders>
            <w:shd w:val="clear" w:color="auto" w:fill="auto"/>
            <w:noWrap/>
            <w:vAlign w:val="center"/>
            <w:hideMark/>
          </w:tcPr>
          <w:p w14:paraId="7738B51F" w14:textId="77777777" w:rsidR="00285C26" w:rsidRPr="006744E3" w:rsidRDefault="00285C26" w:rsidP="00285C26">
            <w:pPr>
              <w:spacing w:after="0" w:line="240" w:lineRule="auto"/>
              <w:jc w:val="left"/>
              <w:rPr>
                <w:rFonts w:eastAsia="Times New Roman" w:cs="Times New Roman"/>
                <w:bCs/>
                <w:color w:val="000000"/>
                <w:sz w:val="18"/>
                <w:szCs w:val="18"/>
                <w:lang w:eastAsia="sk-SK"/>
              </w:rPr>
            </w:pPr>
            <w:proofErr w:type="spellStart"/>
            <w:r w:rsidRPr="006744E3">
              <w:rPr>
                <w:rFonts w:eastAsia="Times New Roman" w:cs="Times New Roman"/>
                <w:bCs/>
                <w:color w:val="000000"/>
                <w:sz w:val="18"/>
                <w:szCs w:val="18"/>
                <w:lang w:eastAsia="sk-SK"/>
              </w:rPr>
              <w:t>Kurzarbeit</w:t>
            </w:r>
            <w:proofErr w:type="spellEnd"/>
            <w:r w:rsidRPr="006744E3">
              <w:rPr>
                <w:rFonts w:eastAsia="Times New Roman" w:cs="Times New Roman"/>
                <w:bCs/>
                <w:color w:val="000000"/>
                <w:sz w:val="18"/>
                <w:szCs w:val="18"/>
                <w:lang w:eastAsia="sk-SK"/>
              </w:rPr>
              <w:t xml:space="preserve"> pre materské školy (za prvú vlnu)</w:t>
            </w:r>
          </w:p>
        </w:tc>
        <w:tc>
          <w:tcPr>
            <w:tcW w:w="1282" w:type="dxa"/>
            <w:tcBorders>
              <w:top w:val="nil"/>
              <w:left w:val="nil"/>
              <w:bottom w:val="nil"/>
              <w:right w:val="nil"/>
            </w:tcBorders>
            <w:shd w:val="clear" w:color="auto" w:fill="auto"/>
            <w:noWrap/>
            <w:vAlign w:val="bottom"/>
            <w:hideMark/>
          </w:tcPr>
          <w:p w14:paraId="55895C33" w14:textId="77777777" w:rsidR="00285C26" w:rsidRPr="006744E3" w:rsidRDefault="00285C26" w:rsidP="008557A1">
            <w:pPr>
              <w:spacing w:after="0" w:line="240" w:lineRule="auto"/>
              <w:jc w:val="right"/>
              <w:rPr>
                <w:rFonts w:eastAsia="Times New Roman" w:cs="Times New Roman"/>
                <w:bCs/>
                <w:color w:val="000000"/>
                <w:sz w:val="18"/>
                <w:szCs w:val="18"/>
                <w:lang w:eastAsia="sk-SK"/>
              </w:rPr>
            </w:pPr>
            <w:r w:rsidRPr="006744E3">
              <w:rPr>
                <w:rFonts w:eastAsia="Times New Roman" w:cs="Times New Roman"/>
                <w:bCs/>
                <w:color w:val="000000"/>
                <w:sz w:val="18"/>
                <w:szCs w:val="18"/>
                <w:lang w:eastAsia="sk-SK"/>
              </w:rPr>
              <w:t>58 500</w:t>
            </w:r>
          </w:p>
        </w:tc>
      </w:tr>
      <w:tr w:rsidR="00285C26" w:rsidRPr="00285C26" w14:paraId="6AA035B3" w14:textId="77777777" w:rsidTr="00C41F61">
        <w:trPr>
          <w:trHeight w:val="240"/>
        </w:trPr>
        <w:tc>
          <w:tcPr>
            <w:tcW w:w="7655" w:type="dxa"/>
            <w:tcBorders>
              <w:top w:val="nil"/>
              <w:left w:val="nil"/>
              <w:bottom w:val="nil"/>
            </w:tcBorders>
            <w:shd w:val="clear" w:color="auto" w:fill="auto"/>
            <w:noWrap/>
            <w:vAlign w:val="bottom"/>
            <w:hideMark/>
          </w:tcPr>
          <w:p w14:paraId="317BF007" w14:textId="77777777" w:rsidR="00285C26" w:rsidRPr="006744E3" w:rsidRDefault="00285C26" w:rsidP="00285C26">
            <w:pPr>
              <w:spacing w:after="0" w:line="240" w:lineRule="auto"/>
              <w:jc w:val="left"/>
              <w:rPr>
                <w:rFonts w:eastAsia="Times New Roman" w:cs="Times New Roman"/>
                <w:bCs/>
                <w:color w:val="000000"/>
                <w:sz w:val="18"/>
                <w:szCs w:val="18"/>
                <w:lang w:eastAsia="sk-SK"/>
              </w:rPr>
            </w:pPr>
            <w:r w:rsidRPr="006744E3">
              <w:rPr>
                <w:rFonts w:eastAsia="Times New Roman" w:cs="Times New Roman"/>
                <w:bCs/>
                <w:color w:val="000000"/>
                <w:sz w:val="18"/>
                <w:szCs w:val="18"/>
                <w:lang w:eastAsia="sk-SK"/>
              </w:rPr>
              <w:t>Preplácanie nájmu</w:t>
            </w:r>
          </w:p>
        </w:tc>
        <w:tc>
          <w:tcPr>
            <w:tcW w:w="1282" w:type="dxa"/>
            <w:tcBorders>
              <w:top w:val="nil"/>
              <w:left w:val="nil"/>
              <w:bottom w:val="nil"/>
              <w:right w:val="nil"/>
            </w:tcBorders>
            <w:shd w:val="clear" w:color="auto" w:fill="auto"/>
            <w:noWrap/>
            <w:vAlign w:val="bottom"/>
            <w:hideMark/>
          </w:tcPr>
          <w:p w14:paraId="7AB41BEC" w14:textId="77777777" w:rsidR="00285C26" w:rsidRPr="006744E3" w:rsidRDefault="00285C26" w:rsidP="008557A1">
            <w:pPr>
              <w:spacing w:after="0" w:line="240" w:lineRule="auto"/>
              <w:jc w:val="right"/>
              <w:rPr>
                <w:rFonts w:eastAsia="Times New Roman" w:cs="Times New Roman"/>
                <w:bCs/>
                <w:color w:val="000000"/>
                <w:sz w:val="18"/>
                <w:szCs w:val="18"/>
                <w:lang w:eastAsia="sk-SK"/>
              </w:rPr>
            </w:pPr>
            <w:r w:rsidRPr="006744E3">
              <w:rPr>
                <w:rFonts w:eastAsia="Times New Roman" w:cs="Times New Roman"/>
                <w:bCs/>
                <w:color w:val="000000"/>
                <w:sz w:val="18"/>
                <w:szCs w:val="18"/>
                <w:lang w:eastAsia="sk-SK"/>
              </w:rPr>
              <w:t>39 700</w:t>
            </w:r>
          </w:p>
        </w:tc>
      </w:tr>
      <w:tr w:rsidR="00285C26" w:rsidRPr="00285C26" w14:paraId="5A1A4403" w14:textId="77777777" w:rsidTr="00C41F61">
        <w:trPr>
          <w:trHeight w:val="240"/>
        </w:trPr>
        <w:tc>
          <w:tcPr>
            <w:tcW w:w="7655" w:type="dxa"/>
            <w:tcBorders>
              <w:top w:val="nil"/>
              <w:left w:val="nil"/>
              <w:bottom w:val="nil"/>
            </w:tcBorders>
            <w:shd w:val="clear" w:color="auto" w:fill="auto"/>
            <w:noWrap/>
            <w:vAlign w:val="bottom"/>
            <w:hideMark/>
          </w:tcPr>
          <w:p w14:paraId="1F3915BB" w14:textId="77777777" w:rsidR="00285C26" w:rsidRPr="006744E3" w:rsidRDefault="00285C26" w:rsidP="00285C26">
            <w:pPr>
              <w:spacing w:after="0" w:line="240" w:lineRule="auto"/>
              <w:jc w:val="left"/>
              <w:rPr>
                <w:rFonts w:eastAsia="Times New Roman" w:cs="Times New Roman"/>
                <w:bCs/>
                <w:sz w:val="18"/>
                <w:szCs w:val="18"/>
                <w:lang w:eastAsia="sk-SK"/>
              </w:rPr>
            </w:pPr>
            <w:r w:rsidRPr="006744E3">
              <w:rPr>
                <w:rFonts w:eastAsia="Times New Roman" w:cs="Times New Roman"/>
                <w:bCs/>
                <w:sz w:val="18"/>
                <w:szCs w:val="18"/>
                <w:lang w:eastAsia="sk-SK"/>
              </w:rPr>
              <w:t xml:space="preserve">Zvýšenie a udržanie zamestnanosti formou podpory uchádzačov o zamestnanie </w:t>
            </w:r>
          </w:p>
        </w:tc>
        <w:tc>
          <w:tcPr>
            <w:tcW w:w="1282" w:type="dxa"/>
            <w:tcBorders>
              <w:top w:val="nil"/>
              <w:left w:val="nil"/>
              <w:bottom w:val="nil"/>
              <w:right w:val="nil"/>
            </w:tcBorders>
            <w:shd w:val="clear" w:color="auto" w:fill="auto"/>
            <w:noWrap/>
            <w:vAlign w:val="bottom"/>
            <w:hideMark/>
          </w:tcPr>
          <w:p w14:paraId="6C036A84" w14:textId="77777777" w:rsidR="00285C26" w:rsidRPr="006744E3" w:rsidRDefault="00285C26" w:rsidP="008557A1">
            <w:pPr>
              <w:spacing w:after="0" w:line="240" w:lineRule="auto"/>
              <w:jc w:val="right"/>
              <w:rPr>
                <w:rFonts w:eastAsia="Times New Roman" w:cs="Times New Roman"/>
                <w:bCs/>
                <w:sz w:val="18"/>
                <w:szCs w:val="18"/>
                <w:lang w:eastAsia="sk-SK"/>
              </w:rPr>
            </w:pPr>
            <w:r w:rsidRPr="006744E3">
              <w:rPr>
                <w:rFonts w:eastAsia="Times New Roman" w:cs="Times New Roman"/>
                <w:bCs/>
                <w:sz w:val="18"/>
                <w:szCs w:val="18"/>
                <w:lang w:eastAsia="sk-SK"/>
              </w:rPr>
              <w:t>48 748</w:t>
            </w:r>
          </w:p>
        </w:tc>
      </w:tr>
      <w:tr w:rsidR="00285C26" w:rsidRPr="00285C26" w14:paraId="172D87DC" w14:textId="77777777" w:rsidTr="00C41F61">
        <w:trPr>
          <w:trHeight w:val="240"/>
        </w:trPr>
        <w:tc>
          <w:tcPr>
            <w:tcW w:w="7655" w:type="dxa"/>
            <w:tcBorders>
              <w:top w:val="single" w:sz="4" w:space="0" w:color="auto"/>
              <w:left w:val="nil"/>
              <w:bottom w:val="single" w:sz="4" w:space="0" w:color="auto"/>
            </w:tcBorders>
            <w:shd w:val="clear" w:color="auto" w:fill="D9D9D9" w:themeFill="background1" w:themeFillShade="D9"/>
            <w:noWrap/>
            <w:vAlign w:val="center"/>
            <w:hideMark/>
          </w:tcPr>
          <w:p w14:paraId="4068454D" w14:textId="77777777" w:rsidR="00285C26" w:rsidRPr="00285C26" w:rsidRDefault="00285C26" w:rsidP="00285C26">
            <w:pPr>
              <w:spacing w:after="0" w:line="240" w:lineRule="auto"/>
              <w:jc w:val="left"/>
              <w:rPr>
                <w:rFonts w:eastAsia="Times New Roman" w:cs="Times New Roman"/>
                <w:b/>
                <w:bCs/>
                <w:color w:val="000000"/>
                <w:sz w:val="18"/>
                <w:szCs w:val="18"/>
                <w:lang w:eastAsia="sk-SK"/>
              </w:rPr>
            </w:pPr>
            <w:r w:rsidRPr="00285C26">
              <w:rPr>
                <w:rFonts w:eastAsia="Times New Roman" w:cs="Times New Roman"/>
                <w:b/>
                <w:bCs/>
                <w:color w:val="000000"/>
                <w:sz w:val="18"/>
                <w:szCs w:val="18"/>
                <w:lang w:eastAsia="sk-SK"/>
              </w:rPr>
              <w:t>Sociálna pomoc (vrátane pandemických OČR a PN)</w:t>
            </w:r>
          </w:p>
        </w:tc>
        <w:tc>
          <w:tcPr>
            <w:tcW w:w="1282" w:type="dxa"/>
            <w:tcBorders>
              <w:top w:val="single" w:sz="4" w:space="0" w:color="auto"/>
              <w:left w:val="nil"/>
              <w:bottom w:val="single" w:sz="4" w:space="0" w:color="auto"/>
              <w:right w:val="nil"/>
            </w:tcBorders>
            <w:shd w:val="clear" w:color="auto" w:fill="D9D9D9" w:themeFill="background1" w:themeFillShade="D9"/>
            <w:noWrap/>
            <w:vAlign w:val="center"/>
            <w:hideMark/>
          </w:tcPr>
          <w:p w14:paraId="7B376513" w14:textId="77777777" w:rsidR="00285C26" w:rsidRPr="00285C26" w:rsidRDefault="00285C26" w:rsidP="008557A1">
            <w:pPr>
              <w:spacing w:after="0" w:line="240" w:lineRule="auto"/>
              <w:jc w:val="right"/>
              <w:rPr>
                <w:rFonts w:eastAsia="Times New Roman" w:cs="Times New Roman"/>
                <w:b/>
                <w:bCs/>
                <w:color w:val="000000"/>
                <w:sz w:val="18"/>
                <w:szCs w:val="18"/>
                <w:lang w:eastAsia="sk-SK"/>
              </w:rPr>
            </w:pPr>
            <w:r w:rsidRPr="00285C26">
              <w:rPr>
                <w:rFonts w:eastAsia="Times New Roman" w:cs="Times New Roman"/>
                <w:b/>
                <w:bCs/>
                <w:color w:val="000000"/>
                <w:sz w:val="18"/>
                <w:szCs w:val="18"/>
                <w:lang w:eastAsia="sk-SK"/>
              </w:rPr>
              <w:t>241 456</w:t>
            </w:r>
          </w:p>
        </w:tc>
      </w:tr>
      <w:tr w:rsidR="00285C26" w:rsidRPr="00285C26" w14:paraId="018C09F0" w14:textId="77777777" w:rsidTr="00C41F61">
        <w:trPr>
          <w:trHeight w:val="240"/>
        </w:trPr>
        <w:tc>
          <w:tcPr>
            <w:tcW w:w="7655" w:type="dxa"/>
            <w:tcBorders>
              <w:top w:val="nil"/>
              <w:left w:val="nil"/>
              <w:bottom w:val="nil"/>
            </w:tcBorders>
            <w:shd w:val="clear" w:color="auto" w:fill="auto"/>
            <w:noWrap/>
            <w:vAlign w:val="bottom"/>
            <w:hideMark/>
          </w:tcPr>
          <w:p w14:paraId="48C1C36F" w14:textId="2CA6BC98" w:rsidR="00285C26" w:rsidRPr="00285C26" w:rsidRDefault="00285C26" w:rsidP="004C36D8">
            <w:pPr>
              <w:spacing w:after="0" w:line="240" w:lineRule="auto"/>
              <w:jc w:val="left"/>
              <w:rPr>
                <w:rFonts w:eastAsia="Times New Roman" w:cs="Times New Roman"/>
                <w:color w:val="000000"/>
                <w:sz w:val="18"/>
                <w:szCs w:val="18"/>
                <w:lang w:eastAsia="sk-SK"/>
              </w:rPr>
            </w:pPr>
            <w:r w:rsidRPr="00285C26">
              <w:rPr>
                <w:rFonts w:eastAsia="Times New Roman" w:cs="Times New Roman"/>
                <w:color w:val="000000"/>
                <w:sz w:val="18"/>
                <w:szCs w:val="18"/>
                <w:lang w:eastAsia="sk-SK"/>
              </w:rPr>
              <w:t xml:space="preserve">Ošetrovné (OČR) </w:t>
            </w:r>
          </w:p>
        </w:tc>
        <w:tc>
          <w:tcPr>
            <w:tcW w:w="1282" w:type="dxa"/>
            <w:tcBorders>
              <w:top w:val="nil"/>
              <w:left w:val="nil"/>
              <w:bottom w:val="nil"/>
              <w:right w:val="nil"/>
            </w:tcBorders>
            <w:shd w:val="clear" w:color="auto" w:fill="auto"/>
            <w:noWrap/>
            <w:vAlign w:val="bottom"/>
            <w:hideMark/>
          </w:tcPr>
          <w:p w14:paraId="4C736239" w14:textId="77777777" w:rsidR="00285C26" w:rsidRPr="00285C26" w:rsidRDefault="00285C26" w:rsidP="008557A1">
            <w:pPr>
              <w:spacing w:after="0" w:line="240" w:lineRule="auto"/>
              <w:jc w:val="right"/>
              <w:rPr>
                <w:rFonts w:eastAsia="Times New Roman" w:cs="Times New Roman"/>
                <w:color w:val="000000"/>
                <w:sz w:val="18"/>
                <w:szCs w:val="18"/>
                <w:lang w:eastAsia="sk-SK"/>
              </w:rPr>
            </w:pPr>
            <w:r w:rsidRPr="00285C26">
              <w:rPr>
                <w:rFonts w:eastAsia="Times New Roman" w:cs="Times New Roman"/>
                <w:color w:val="000000"/>
                <w:sz w:val="18"/>
                <w:szCs w:val="18"/>
                <w:lang w:eastAsia="sk-SK"/>
              </w:rPr>
              <w:t>141 800</w:t>
            </w:r>
          </w:p>
        </w:tc>
      </w:tr>
      <w:tr w:rsidR="00285C26" w:rsidRPr="00285C26" w14:paraId="0F7A3EC6" w14:textId="77777777" w:rsidTr="00C41F61">
        <w:trPr>
          <w:trHeight w:val="240"/>
        </w:trPr>
        <w:tc>
          <w:tcPr>
            <w:tcW w:w="7655" w:type="dxa"/>
            <w:tcBorders>
              <w:top w:val="nil"/>
              <w:left w:val="nil"/>
              <w:bottom w:val="nil"/>
            </w:tcBorders>
            <w:shd w:val="clear" w:color="auto" w:fill="auto"/>
            <w:noWrap/>
            <w:vAlign w:val="bottom"/>
            <w:hideMark/>
          </w:tcPr>
          <w:p w14:paraId="7465FEDF" w14:textId="179C213C" w:rsidR="00285C26" w:rsidRPr="00285C26" w:rsidRDefault="00285C26" w:rsidP="004C36D8">
            <w:pPr>
              <w:spacing w:after="0" w:line="240" w:lineRule="auto"/>
              <w:jc w:val="left"/>
              <w:rPr>
                <w:rFonts w:eastAsia="Times New Roman" w:cs="Times New Roman"/>
                <w:color w:val="000000"/>
                <w:sz w:val="18"/>
                <w:szCs w:val="18"/>
                <w:lang w:eastAsia="sk-SK"/>
              </w:rPr>
            </w:pPr>
            <w:r w:rsidRPr="00285C26">
              <w:rPr>
                <w:rFonts w:eastAsia="Times New Roman" w:cs="Times New Roman"/>
                <w:color w:val="000000"/>
                <w:sz w:val="18"/>
                <w:szCs w:val="18"/>
                <w:lang w:eastAsia="sk-SK"/>
              </w:rPr>
              <w:t>Nemoce</w:t>
            </w:r>
            <w:r w:rsidR="004C36D8">
              <w:rPr>
                <w:rFonts w:eastAsia="Times New Roman" w:cs="Times New Roman"/>
                <w:color w:val="000000"/>
                <w:sz w:val="18"/>
                <w:szCs w:val="18"/>
                <w:lang w:eastAsia="sk-SK"/>
              </w:rPr>
              <w:t>nské (PN)</w:t>
            </w:r>
          </w:p>
        </w:tc>
        <w:tc>
          <w:tcPr>
            <w:tcW w:w="1282" w:type="dxa"/>
            <w:tcBorders>
              <w:top w:val="nil"/>
              <w:left w:val="nil"/>
              <w:bottom w:val="nil"/>
              <w:right w:val="nil"/>
            </w:tcBorders>
            <w:shd w:val="clear" w:color="auto" w:fill="auto"/>
            <w:noWrap/>
            <w:vAlign w:val="bottom"/>
            <w:hideMark/>
          </w:tcPr>
          <w:p w14:paraId="07EFA42E" w14:textId="77777777" w:rsidR="00285C26" w:rsidRPr="00285C26" w:rsidRDefault="00285C26" w:rsidP="008557A1">
            <w:pPr>
              <w:spacing w:after="0" w:line="240" w:lineRule="auto"/>
              <w:jc w:val="right"/>
              <w:rPr>
                <w:rFonts w:eastAsia="Times New Roman" w:cs="Times New Roman"/>
                <w:color w:val="000000"/>
                <w:sz w:val="18"/>
                <w:szCs w:val="18"/>
                <w:lang w:eastAsia="sk-SK"/>
              </w:rPr>
            </w:pPr>
            <w:r w:rsidRPr="00285C26">
              <w:rPr>
                <w:rFonts w:eastAsia="Times New Roman" w:cs="Times New Roman"/>
                <w:color w:val="000000"/>
                <w:sz w:val="18"/>
                <w:szCs w:val="18"/>
                <w:lang w:eastAsia="sk-SK"/>
              </w:rPr>
              <w:t>36 210</w:t>
            </w:r>
          </w:p>
        </w:tc>
      </w:tr>
      <w:tr w:rsidR="00285C26" w:rsidRPr="00285C26" w14:paraId="73934AD2" w14:textId="77777777" w:rsidTr="00C41F61">
        <w:trPr>
          <w:trHeight w:val="240"/>
        </w:trPr>
        <w:tc>
          <w:tcPr>
            <w:tcW w:w="7655" w:type="dxa"/>
            <w:tcBorders>
              <w:top w:val="nil"/>
              <w:left w:val="nil"/>
              <w:bottom w:val="nil"/>
            </w:tcBorders>
            <w:shd w:val="clear" w:color="auto" w:fill="auto"/>
            <w:noWrap/>
            <w:vAlign w:val="center"/>
            <w:hideMark/>
          </w:tcPr>
          <w:p w14:paraId="5FC6DF09" w14:textId="77777777" w:rsidR="00285C26" w:rsidRPr="00285C26" w:rsidRDefault="00285C26" w:rsidP="00285C26">
            <w:pPr>
              <w:spacing w:after="0" w:line="240" w:lineRule="auto"/>
              <w:jc w:val="left"/>
              <w:rPr>
                <w:rFonts w:eastAsia="Times New Roman" w:cs="Times New Roman"/>
                <w:color w:val="000000"/>
                <w:sz w:val="18"/>
                <w:szCs w:val="18"/>
                <w:lang w:eastAsia="sk-SK"/>
              </w:rPr>
            </w:pPr>
            <w:r w:rsidRPr="00285C26">
              <w:rPr>
                <w:rFonts w:eastAsia="Times New Roman" w:cs="Times New Roman"/>
                <w:color w:val="000000"/>
                <w:sz w:val="18"/>
                <w:szCs w:val="18"/>
                <w:lang w:eastAsia="sk-SK"/>
              </w:rPr>
              <w:t>Dávka v nezamestnanosti (predĺženie počas obdobia mimoriadneho stavu do septembra 2020)</w:t>
            </w:r>
          </w:p>
        </w:tc>
        <w:tc>
          <w:tcPr>
            <w:tcW w:w="1282" w:type="dxa"/>
            <w:tcBorders>
              <w:top w:val="nil"/>
              <w:left w:val="nil"/>
              <w:bottom w:val="nil"/>
              <w:right w:val="nil"/>
            </w:tcBorders>
            <w:shd w:val="clear" w:color="auto" w:fill="auto"/>
            <w:noWrap/>
            <w:vAlign w:val="center"/>
            <w:hideMark/>
          </w:tcPr>
          <w:p w14:paraId="6B674372" w14:textId="77777777" w:rsidR="00285C26" w:rsidRPr="00285C26" w:rsidRDefault="00285C26" w:rsidP="008557A1">
            <w:pPr>
              <w:spacing w:after="0" w:line="240" w:lineRule="auto"/>
              <w:jc w:val="right"/>
              <w:rPr>
                <w:rFonts w:eastAsia="Times New Roman" w:cs="Times New Roman"/>
                <w:color w:val="000000"/>
                <w:sz w:val="18"/>
                <w:szCs w:val="18"/>
                <w:lang w:eastAsia="sk-SK"/>
              </w:rPr>
            </w:pPr>
            <w:r w:rsidRPr="00285C26">
              <w:rPr>
                <w:rFonts w:eastAsia="Times New Roman" w:cs="Times New Roman"/>
                <w:color w:val="000000"/>
                <w:sz w:val="18"/>
                <w:szCs w:val="18"/>
                <w:lang w:eastAsia="sk-SK"/>
              </w:rPr>
              <w:t>32 286</w:t>
            </w:r>
          </w:p>
        </w:tc>
      </w:tr>
      <w:tr w:rsidR="00285C26" w:rsidRPr="00285C26" w14:paraId="63B55F2F" w14:textId="77777777" w:rsidTr="00C41F61">
        <w:trPr>
          <w:trHeight w:val="240"/>
        </w:trPr>
        <w:tc>
          <w:tcPr>
            <w:tcW w:w="7655" w:type="dxa"/>
            <w:tcBorders>
              <w:top w:val="nil"/>
              <w:left w:val="nil"/>
              <w:bottom w:val="nil"/>
            </w:tcBorders>
            <w:shd w:val="clear" w:color="auto" w:fill="auto"/>
            <w:noWrap/>
            <w:vAlign w:val="center"/>
            <w:hideMark/>
          </w:tcPr>
          <w:p w14:paraId="74AA5565" w14:textId="151B1DB6" w:rsidR="00285C26" w:rsidRPr="00285C26" w:rsidRDefault="00285C26" w:rsidP="006744E3">
            <w:pPr>
              <w:spacing w:after="0" w:line="240" w:lineRule="auto"/>
              <w:jc w:val="left"/>
              <w:rPr>
                <w:rFonts w:eastAsia="Times New Roman" w:cs="Times New Roman"/>
                <w:color w:val="000000"/>
                <w:sz w:val="18"/>
                <w:szCs w:val="18"/>
                <w:lang w:eastAsia="sk-SK"/>
              </w:rPr>
            </w:pPr>
            <w:r w:rsidRPr="00285C26">
              <w:rPr>
                <w:rFonts w:eastAsia="Times New Roman" w:cs="Times New Roman"/>
                <w:color w:val="000000"/>
                <w:sz w:val="18"/>
                <w:szCs w:val="18"/>
                <w:lang w:eastAsia="sk-SK"/>
              </w:rPr>
              <w:t>SOS príspevok (prvá vlna do augusta 2020, druhá vln</w:t>
            </w:r>
            <w:r w:rsidR="006744E3">
              <w:rPr>
                <w:rFonts w:eastAsia="Times New Roman" w:cs="Times New Roman"/>
                <w:color w:val="000000"/>
                <w:sz w:val="18"/>
                <w:szCs w:val="18"/>
                <w:lang w:eastAsia="sk-SK"/>
              </w:rPr>
              <w:t>a</w:t>
            </w:r>
            <w:r w:rsidRPr="00285C26">
              <w:rPr>
                <w:rFonts w:eastAsia="Times New Roman" w:cs="Times New Roman"/>
                <w:color w:val="000000"/>
                <w:sz w:val="18"/>
                <w:szCs w:val="18"/>
                <w:lang w:eastAsia="sk-SK"/>
              </w:rPr>
              <w:t xml:space="preserve"> od novembra 2020)</w:t>
            </w:r>
          </w:p>
        </w:tc>
        <w:tc>
          <w:tcPr>
            <w:tcW w:w="1282" w:type="dxa"/>
            <w:tcBorders>
              <w:top w:val="nil"/>
              <w:left w:val="nil"/>
              <w:bottom w:val="nil"/>
              <w:right w:val="nil"/>
            </w:tcBorders>
            <w:shd w:val="clear" w:color="auto" w:fill="auto"/>
            <w:noWrap/>
            <w:vAlign w:val="center"/>
            <w:hideMark/>
          </w:tcPr>
          <w:p w14:paraId="459AEE50" w14:textId="77777777" w:rsidR="00285C26" w:rsidRPr="00285C26" w:rsidRDefault="00285C26" w:rsidP="008557A1">
            <w:pPr>
              <w:spacing w:after="0" w:line="240" w:lineRule="auto"/>
              <w:jc w:val="right"/>
              <w:rPr>
                <w:rFonts w:eastAsia="Times New Roman" w:cs="Times New Roman"/>
                <w:color w:val="000000"/>
                <w:sz w:val="18"/>
                <w:szCs w:val="18"/>
                <w:lang w:eastAsia="sk-SK"/>
              </w:rPr>
            </w:pPr>
            <w:r w:rsidRPr="00285C26">
              <w:rPr>
                <w:rFonts w:eastAsia="Times New Roman" w:cs="Times New Roman"/>
                <w:color w:val="000000"/>
                <w:sz w:val="18"/>
                <w:szCs w:val="18"/>
                <w:lang w:eastAsia="sk-SK"/>
              </w:rPr>
              <w:t>15 467</w:t>
            </w:r>
          </w:p>
        </w:tc>
      </w:tr>
      <w:tr w:rsidR="00285C26" w:rsidRPr="00285C26" w14:paraId="47EDA596" w14:textId="77777777" w:rsidTr="00C41F61">
        <w:trPr>
          <w:trHeight w:val="240"/>
        </w:trPr>
        <w:tc>
          <w:tcPr>
            <w:tcW w:w="7655" w:type="dxa"/>
            <w:tcBorders>
              <w:top w:val="nil"/>
              <w:left w:val="nil"/>
              <w:bottom w:val="nil"/>
            </w:tcBorders>
            <w:shd w:val="clear" w:color="auto" w:fill="auto"/>
            <w:noWrap/>
            <w:vAlign w:val="center"/>
            <w:hideMark/>
          </w:tcPr>
          <w:p w14:paraId="40116C09" w14:textId="77777777" w:rsidR="00285C26" w:rsidRPr="00285C26" w:rsidRDefault="00285C26" w:rsidP="00285C26">
            <w:pPr>
              <w:spacing w:after="0" w:line="240" w:lineRule="auto"/>
              <w:jc w:val="left"/>
              <w:rPr>
                <w:rFonts w:eastAsia="Times New Roman" w:cs="Times New Roman"/>
                <w:color w:val="000000"/>
                <w:sz w:val="18"/>
                <w:szCs w:val="18"/>
                <w:lang w:eastAsia="sk-SK"/>
              </w:rPr>
            </w:pPr>
            <w:r w:rsidRPr="00285C26">
              <w:rPr>
                <w:rFonts w:eastAsia="Times New Roman" w:cs="Times New Roman"/>
                <w:color w:val="000000"/>
                <w:sz w:val="18"/>
                <w:szCs w:val="18"/>
                <w:lang w:eastAsia="sk-SK"/>
              </w:rPr>
              <w:t>Rodičovský príspevok (predĺženie počas obdobia mimoriadneho stavu)</w:t>
            </w:r>
          </w:p>
        </w:tc>
        <w:tc>
          <w:tcPr>
            <w:tcW w:w="1282" w:type="dxa"/>
            <w:tcBorders>
              <w:top w:val="nil"/>
              <w:left w:val="nil"/>
              <w:bottom w:val="nil"/>
              <w:right w:val="nil"/>
            </w:tcBorders>
            <w:shd w:val="clear" w:color="auto" w:fill="auto"/>
            <w:noWrap/>
            <w:vAlign w:val="center"/>
            <w:hideMark/>
          </w:tcPr>
          <w:p w14:paraId="776A6690" w14:textId="77777777" w:rsidR="00285C26" w:rsidRPr="00285C26" w:rsidRDefault="00285C26" w:rsidP="008557A1">
            <w:pPr>
              <w:spacing w:after="0" w:line="240" w:lineRule="auto"/>
              <w:jc w:val="right"/>
              <w:rPr>
                <w:rFonts w:eastAsia="Times New Roman" w:cs="Times New Roman"/>
                <w:color w:val="000000"/>
                <w:sz w:val="18"/>
                <w:szCs w:val="18"/>
                <w:lang w:eastAsia="sk-SK"/>
              </w:rPr>
            </w:pPr>
            <w:r w:rsidRPr="00285C26">
              <w:rPr>
                <w:rFonts w:eastAsia="Times New Roman" w:cs="Times New Roman"/>
                <w:color w:val="000000"/>
                <w:sz w:val="18"/>
                <w:szCs w:val="18"/>
                <w:lang w:eastAsia="sk-SK"/>
              </w:rPr>
              <w:t>13 240</w:t>
            </w:r>
          </w:p>
        </w:tc>
      </w:tr>
      <w:tr w:rsidR="00285C26" w:rsidRPr="00285C26" w14:paraId="0ECD607F" w14:textId="77777777" w:rsidTr="00C41F61">
        <w:trPr>
          <w:trHeight w:val="240"/>
        </w:trPr>
        <w:tc>
          <w:tcPr>
            <w:tcW w:w="7655" w:type="dxa"/>
            <w:tcBorders>
              <w:top w:val="nil"/>
              <w:left w:val="nil"/>
              <w:bottom w:val="nil"/>
            </w:tcBorders>
            <w:shd w:val="clear" w:color="auto" w:fill="auto"/>
            <w:noWrap/>
            <w:vAlign w:val="bottom"/>
            <w:hideMark/>
          </w:tcPr>
          <w:p w14:paraId="02F64E54" w14:textId="77777777" w:rsidR="00285C26" w:rsidRPr="00285C26" w:rsidRDefault="00285C26" w:rsidP="00285C26">
            <w:pPr>
              <w:spacing w:after="0" w:line="240" w:lineRule="auto"/>
              <w:jc w:val="left"/>
              <w:rPr>
                <w:rFonts w:eastAsia="Times New Roman" w:cs="Times New Roman"/>
                <w:color w:val="000000"/>
                <w:sz w:val="18"/>
                <w:szCs w:val="18"/>
                <w:lang w:eastAsia="sk-SK"/>
              </w:rPr>
            </w:pPr>
            <w:r w:rsidRPr="00285C26">
              <w:rPr>
                <w:rFonts w:eastAsia="Times New Roman" w:cs="Times New Roman"/>
                <w:color w:val="000000"/>
                <w:sz w:val="18"/>
                <w:szCs w:val="18"/>
                <w:lang w:eastAsia="sk-SK"/>
              </w:rPr>
              <w:t>Dávka v hmotnej núdzi</w:t>
            </w:r>
          </w:p>
        </w:tc>
        <w:tc>
          <w:tcPr>
            <w:tcW w:w="1282" w:type="dxa"/>
            <w:tcBorders>
              <w:top w:val="nil"/>
              <w:left w:val="nil"/>
              <w:bottom w:val="nil"/>
              <w:right w:val="nil"/>
            </w:tcBorders>
            <w:shd w:val="clear" w:color="auto" w:fill="auto"/>
            <w:noWrap/>
            <w:vAlign w:val="bottom"/>
            <w:hideMark/>
          </w:tcPr>
          <w:p w14:paraId="3E279008" w14:textId="77777777" w:rsidR="00285C26" w:rsidRPr="00285C26" w:rsidRDefault="00285C26" w:rsidP="008557A1">
            <w:pPr>
              <w:spacing w:after="0" w:line="240" w:lineRule="auto"/>
              <w:jc w:val="right"/>
              <w:rPr>
                <w:rFonts w:eastAsia="Times New Roman" w:cs="Times New Roman"/>
                <w:color w:val="000000"/>
                <w:sz w:val="18"/>
                <w:szCs w:val="18"/>
                <w:lang w:eastAsia="sk-SK"/>
              </w:rPr>
            </w:pPr>
            <w:r w:rsidRPr="00285C26">
              <w:rPr>
                <w:rFonts w:eastAsia="Times New Roman" w:cs="Times New Roman"/>
                <w:color w:val="000000"/>
                <w:sz w:val="18"/>
                <w:szCs w:val="18"/>
                <w:lang w:eastAsia="sk-SK"/>
              </w:rPr>
              <w:t>2 452</w:t>
            </w:r>
          </w:p>
        </w:tc>
      </w:tr>
      <w:tr w:rsidR="00285C26" w:rsidRPr="00285C26" w14:paraId="3FBFAB61" w14:textId="77777777" w:rsidTr="00C41F61">
        <w:trPr>
          <w:trHeight w:val="240"/>
        </w:trPr>
        <w:tc>
          <w:tcPr>
            <w:tcW w:w="7655" w:type="dxa"/>
            <w:tcBorders>
              <w:top w:val="single" w:sz="4" w:space="0" w:color="auto"/>
              <w:left w:val="nil"/>
              <w:bottom w:val="single" w:sz="4" w:space="0" w:color="auto"/>
            </w:tcBorders>
            <w:shd w:val="clear" w:color="auto" w:fill="D9D9D9" w:themeFill="background1" w:themeFillShade="D9"/>
            <w:noWrap/>
            <w:vAlign w:val="center"/>
            <w:hideMark/>
          </w:tcPr>
          <w:p w14:paraId="75A1DE12" w14:textId="77777777" w:rsidR="00285C26" w:rsidRPr="00285C26" w:rsidRDefault="00285C26" w:rsidP="00285C26">
            <w:pPr>
              <w:spacing w:after="0" w:line="240" w:lineRule="auto"/>
              <w:jc w:val="left"/>
              <w:rPr>
                <w:rFonts w:eastAsia="Times New Roman" w:cs="Times New Roman"/>
                <w:b/>
                <w:bCs/>
                <w:color w:val="000000"/>
                <w:sz w:val="18"/>
                <w:szCs w:val="18"/>
                <w:lang w:eastAsia="sk-SK"/>
              </w:rPr>
            </w:pPr>
            <w:r w:rsidRPr="00285C26">
              <w:rPr>
                <w:rFonts w:eastAsia="Times New Roman" w:cs="Times New Roman"/>
                <w:b/>
                <w:bCs/>
                <w:color w:val="000000"/>
                <w:sz w:val="18"/>
                <w:szCs w:val="18"/>
                <w:lang w:eastAsia="sk-SK"/>
              </w:rPr>
              <w:t>Zvýšené výdavky v zdravotníctve</w:t>
            </w:r>
          </w:p>
        </w:tc>
        <w:tc>
          <w:tcPr>
            <w:tcW w:w="1282" w:type="dxa"/>
            <w:tcBorders>
              <w:top w:val="single" w:sz="4" w:space="0" w:color="auto"/>
              <w:left w:val="nil"/>
              <w:bottom w:val="single" w:sz="4" w:space="0" w:color="auto"/>
              <w:right w:val="nil"/>
            </w:tcBorders>
            <w:shd w:val="clear" w:color="auto" w:fill="D9D9D9" w:themeFill="background1" w:themeFillShade="D9"/>
            <w:noWrap/>
            <w:vAlign w:val="bottom"/>
            <w:hideMark/>
          </w:tcPr>
          <w:p w14:paraId="5DD14136" w14:textId="77777777" w:rsidR="00285C26" w:rsidRPr="00285C26" w:rsidRDefault="00285C26" w:rsidP="008557A1">
            <w:pPr>
              <w:spacing w:after="0" w:line="240" w:lineRule="auto"/>
              <w:jc w:val="right"/>
              <w:rPr>
                <w:rFonts w:eastAsia="Times New Roman" w:cs="Times New Roman"/>
                <w:b/>
                <w:bCs/>
                <w:color w:val="000000"/>
                <w:sz w:val="18"/>
                <w:szCs w:val="18"/>
                <w:lang w:eastAsia="sk-SK"/>
              </w:rPr>
            </w:pPr>
            <w:r w:rsidRPr="00285C26">
              <w:rPr>
                <w:rFonts w:eastAsia="Times New Roman" w:cs="Times New Roman"/>
                <w:b/>
                <w:bCs/>
                <w:color w:val="000000"/>
                <w:sz w:val="18"/>
                <w:szCs w:val="18"/>
                <w:lang w:eastAsia="sk-SK"/>
              </w:rPr>
              <w:t>337 262</w:t>
            </w:r>
          </w:p>
        </w:tc>
      </w:tr>
      <w:tr w:rsidR="00285C26" w:rsidRPr="00285C26" w14:paraId="1BB65A28" w14:textId="77777777" w:rsidTr="00C41F61">
        <w:trPr>
          <w:trHeight w:val="240"/>
        </w:trPr>
        <w:tc>
          <w:tcPr>
            <w:tcW w:w="7655" w:type="dxa"/>
            <w:tcBorders>
              <w:top w:val="nil"/>
              <w:left w:val="nil"/>
              <w:bottom w:val="nil"/>
            </w:tcBorders>
            <w:shd w:val="clear" w:color="auto" w:fill="auto"/>
            <w:noWrap/>
            <w:vAlign w:val="center"/>
            <w:hideMark/>
          </w:tcPr>
          <w:p w14:paraId="371E7E42" w14:textId="77777777" w:rsidR="00285C26" w:rsidRPr="00285C26" w:rsidRDefault="00285C26" w:rsidP="00285C26">
            <w:pPr>
              <w:spacing w:after="0" w:line="240" w:lineRule="auto"/>
              <w:jc w:val="left"/>
              <w:rPr>
                <w:rFonts w:eastAsia="Times New Roman" w:cs="Times New Roman"/>
                <w:color w:val="000000"/>
                <w:sz w:val="18"/>
                <w:szCs w:val="18"/>
                <w:lang w:eastAsia="sk-SK"/>
              </w:rPr>
            </w:pPr>
            <w:r w:rsidRPr="00285C26">
              <w:rPr>
                <w:rFonts w:eastAsia="Times New Roman" w:cs="Times New Roman"/>
                <w:color w:val="000000"/>
                <w:sz w:val="18"/>
                <w:szCs w:val="18"/>
                <w:lang w:eastAsia="sk-SK"/>
              </w:rPr>
              <w:t>Odmeny pracovníkom v zdravotníctve z toho:</w:t>
            </w:r>
          </w:p>
        </w:tc>
        <w:tc>
          <w:tcPr>
            <w:tcW w:w="1282" w:type="dxa"/>
            <w:tcBorders>
              <w:top w:val="nil"/>
              <w:left w:val="nil"/>
              <w:bottom w:val="nil"/>
              <w:right w:val="nil"/>
            </w:tcBorders>
            <w:shd w:val="clear" w:color="auto" w:fill="auto"/>
            <w:noWrap/>
            <w:vAlign w:val="bottom"/>
            <w:hideMark/>
          </w:tcPr>
          <w:p w14:paraId="27DE7189" w14:textId="77777777" w:rsidR="00285C26" w:rsidRPr="00285C26" w:rsidRDefault="00285C26" w:rsidP="008557A1">
            <w:pPr>
              <w:spacing w:after="0" w:line="240" w:lineRule="auto"/>
              <w:jc w:val="right"/>
              <w:rPr>
                <w:rFonts w:eastAsia="Times New Roman" w:cs="Times New Roman"/>
                <w:color w:val="000000"/>
                <w:sz w:val="18"/>
                <w:szCs w:val="18"/>
                <w:lang w:eastAsia="sk-SK"/>
              </w:rPr>
            </w:pPr>
            <w:r w:rsidRPr="00285C26">
              <w:rPr>
                <w:rFonts w:eastAsia="Times New Roman" w:cs="Times New Roman"/>
                <w:color w:val="000000"/>
                <w:sz w:val="18"/>
                <w:szCs w:val="18"/>
                <w:lang w:eastAsia="sk-SK"/>
              </w:rPr>
              <w:t>151 710</w:t>
            </w:r>
          </w:p>
        </w:tc>
      </w:tr>
      <w:tr w:rsidR="00285C26" w:rsidRPr="00285C26" w14:paraId="5D59BD4A" w14:textId="77777777" w:rsidTr="00C41F61">
        <w:trPr>
          <w:trHeight w:val="240"/>
        </w:trPr>
        <w:tc>
          <w:tcPr>
            <w:tcW w:w="7655" w:type="dxa"/>
            <w:tcBorders>
              <w:top w:val="nil"/>
              <w:left w:val="nil"/>
              <w:bottom w:val="nil"/>
            </w:tcBorders>
            <w:shd w:val="clear" w:color="auto" w:fill="auto"/>
            <w:noWrap/>
            <w:vAlign w:val="center"/>
            <w:hideMark/>
          </w:tcPr>
          <w:p w14:paraId="3DAD6BA6" w14:textId="77777777" w:rsidR="00285C26" w:rsidRPr="00285C26" w:rsidRDefault="00285C26" w:rsidP="00285C26">
            <w:pPr>
              <w:spacing w:after="0" w:line="240" w:lineRule="auto"/>
              <w:ind w:firstLineChars="100" w:firstLine="180"/>
              <w:jc w:val="left"/>
              <w:rPr>
                <w:rFonts w:eastAsia="Times New Roman" w:cs="Times New Roman"/>
                <w:i/>
                <w:iCs/>
                <w:color w:val="000000"/>
                <w:sz w:val="18"/>
                <w:szCs w:val="18"/>
                <w:lang w:eastAsia="sk-SK"/>
              </w:rPr>
            </w:pPr>
            <w:r w:rsidRPr="00285C26">
              <w:rPr>
                <w:rFonts w:eastAsia="Times New Roman" w:cs="Times New Roman"/>
                <w:i/>
                <w:iCs/>
                <w:color w:val="000000"/>
                <w:sz w:val="18"/>
                <w:szCs w:val="18"/>
                <w:lang w:eastAsia="sk-SK"/>
              </w:rPr>
              <w:t>Odmeňovanie pracovníkov v prvej línii - MZ</w:t>
            </w:r>
          </w:p>
        </w:tc>
        <w:tc>
          <w:tcPr>
            <w:tcW w:w="1282" w:type="dxa"/>
            <w:tcBorders>
              <w:top w:val="nil"/>
              <w:left w:val="nil"/>
              <w:bottom w:val="nil"/>
              <w:right w:val="nil"/>
            </w:tcBorders>
            <w:shd w:val="clear" w:color="auto" w:fill="auto"/>
            <w:noWrap/>
            <w:vAlign w:val="bottom"/>
            <w:hideMark/>
          </w:tcPr>
          <w:p w14:paraId="4107A535" w14:textId="77777777" w:rsidR="00285C26" w:rsidRPr="00285C26" w:rsidRDefault="00285C26" w:rsidP="008557A1">
            <w:pPr>
              <w:spacing w:after="0" w:line="240" w:lineRule="auto"/>
              <w:jc w:val="right"/>
              <w:rPr>
                <w:rFonts w:eastAsia="Times New Roman" w:cs="Times New Roman"/>
                <w:i/>
                <w:iCs/>
                <w:color w:val="000000"/>
                <w:sz w:val="18"/>
                <w:szCs w:val="18"/>
                <w:lang w:eastAsia="sk-SK"/>
              </w:rPr>
            </w:pPr>
            <w:r w:rsidRPr="00285C26">
              <w:rPr>
                <w:rFonts w:eastAsia="Times New Roman" w:cs="Times New Roman"/>
                <w:i/>
                <w:iCs/>
                <w:color w:val="000000"/>
                <w:sz w:val="18"/>
                <w:szCs w:val="18"/>
                <w:lang w:eastAsia="sk-SK"/>
              </w:rPr>
              <w:t>13 360</w:t>
            </w:r>
          </w:p>
        </w:tc>
      </w:tr>
      <w:tr w:rsidR="00285C26" w:rsidRPr="00285C26" w14:paraId="206DAB51" w14:textId="77777777" w:rsidTr="00C41F61">
        <w:trPr>
          <w:trHeight w:val="240"/>
        </w:trPr>
        <w:tc>
          <w:tcPr>
            <w:tcW w:w="7655" w:type="dxa"/>
            <w:tcBorders>
              <w:top w:val="nil"/>
              <w:left w:val="nil"/>
              <w:bottom w:val="nil"/>
            </w:tcBorders>
            <w:shd w:val="clear" w:color="auto" w:fill="auto"/>
            <w:noWrap/>
            <w:vAlign w:val="center"/>
            <w:hideMark/>
          </w:tcPr>
          <w:p w14:paraId="56BFB452" w14:textId="77777777" w:rsidR="00285C26" w:rsidRPr="00285C26" w:rsidRDefault="00285C26" w:rsidP="00285C26">
            <w:pPr>
              <w:spacing w:after="0" w:line="240" w:lineRule="auto"/>
              <w:ind w:firstLineChars="100" w:firstLine="180"/>
              <w:jc w:val="left"/>
              <w:rPr>
                <w:rFonts w:eastAsia="Times New Roman" w:cs="Times New Roman"/>
                <w:i/>
                <w:iCs/>
                <w:color w:val="000000"/>
                <w:sz w:val="18"/>
                <w:szCs w:val="18"/>
                <w:lang w:eastAsia="sk-SK"/>
              </w:rPr>
            </w:pPr>
            <w:r w:rsidRPr="00285C26">
              <w:rPr>
                <w:rFonts w:eastAsia="Times New Roman" w:cs="Times New Roman"/>
                <w:i/>
                <w:iCs/>
                <w:color w:val="000000"/>
                <w:sz w:val="18"/>
                <w:szCs w:val="18"/>
                <w:lang w:eastAsia="sk-SK"/>
              </w:rPr>
              <w:t>Výdavky lekárom - špecialistom</w:t>
            </w:r>
          </w:p>
        </w:tc>
        <w:tc>
          <w:tcPr>
            <w:tcW w:w="1282" w:type="dxa"/>
            <w:tcBorders>
              <w:top w:val="nil"/>
              <w:left w:val="nil"/>
              <w:bottom w:val="nil"/>
              <w:right w:val="nil"/>
            </w:tcBorders>
            <w:shd w:val="clear" w:color="auto" w:fill="auto"/>
            <w:noWrap/>
            <w:vAlign w:val="bottom"/>
            <w:hideMark/>
          </w:tcPr>
          <w:p w14:paraId="137591F9" w14:textId="77777777" w:rsidR="00285C26" w:rsidRPr="00285C26" w:rsidRDefault="00285C26" w:rsidP="008557A1">
            <w:pPr>
              <w:spacing w:after="0" w:line="240" w:lineRule="auto"/>
              <w:jc w:val="right"/>
              <w:rPr>
                <w:rFonts w:eastAsia="Times New Roman" w:cs="Times New Roman"/>
                <w:i/>
                <w:iCs/>
                <w:color w:val="000000"/>
                <w:sz w:val="18"/>
                <w:szCs w:val="18"/>
                <w:lang w:eastAsia="sk-SK"/>
              </w:rPr>
            </w:pPr>
            <w:r w:rsidRPr="00285C26">
              <w:rPr>
                <w:rFonts w:eastAsia="Times New Roman" w:cs="Times New Roman"/>
                <w:i/>
                <w:iCs/>
                <w:color w:val="000000"/>
                <w:sz w:val="18"/>
                <w:szCs w:val="18"/>
                <w:lang w:eastAsia="sk-SK"/>
              </w:rPr>
              <w:t>138 350</w:t>
            </w:r>
          </w:p>
        </w:tc>
      </w:tr>
      <w:tr w:rsidR="00285C26" w:rsidRPr="00285C26" w14:paraId="3C2DE910" w14:textId="77777777" w:rsidTr="00C41F61">
        <w:trPr>
          <w:trHeight w:val="240"/>
        </w:trPr>
        <w:tc>
          <w:tcPr>
            <w:tcW w:w="7655" w:type="dxa"/>
            <w:tcBorders>
              <w:top w:val="nil"/>
              <w:left w:val="nil"/>
              <w:bottom w:val="nil"/>
            </w:tcBorders>
            <w:shd w:val="clear" w:color="auto" w:fill="auto"/>
            <w:noWrap/>
            <w:vAlign w:val="bottom"/>
            <w:hideMark/>
          </w:tcPr>
          <w:p w14:paraId="2A51FC32" w14:textId="77777777" w:rsidR="00285C26" w:rsidRPr="00285C26" w:rsidRDefault="00285C26" w:rsidP="00285C26">
            <w:pPr>
              <w:spacing w:after="0" w:line="240" w:lineRule="auto"/>
              <w:jc w:val="left"/>
              <w:rPr>
                <w:rFonts w:eastAsia="Times New Roman" w:cs="Times New Roman"/>
                <w:sz w:val="18"/>
                <w:szCs w:val="18"/>
                <w:lang w:eastAsia="sk-SK"/>
              </w:rPr>
            </w:pPr>
            <w:r w:rsidRPr="00285C26">
              <w:rPr>
                <w:rFonts w:eastAsia="Times New Roman" w:cs="Times New Roman"/>
                <w:sz w:val="18"/>
                <w:szCs w:val="18"/>
                <w:lang w:eastAsia="sk-SK"/>
              </w:rPr>
              <w:t>Zvýšené výdavky - ventilátory, osobné výdavky, lieky, bežné a kap. transfery</w:t>
            </w:r>
          </w:p>
        </w:tc>
        <w:tc>
          <w:tcPr>
            <w:tcW w:w="1282" w:type="dxa"/>
            <w:tcBorders>
              <w:top w:val="nil"/>
              <w:left w:val="nil"/>
              <w:bottom w:val="nil"/>
              <w:right w:val="nil"/>
            </w:tcBorders>
            <w:shd w:val="clear" w:color="auto" w:fill="auto"/>
            <w:noWrap/>
            <w:vAlign w:val="bottom"/>
            <w:hideMark/>
          </w:tcPr>
          <w:p w14:paraId="2644E5BA" w14:textId="77777777" w:rsidR="00285C26" w:rsidRPr="00285C26" w:rsidRDefault="00285C26" w:rsidP="008557A1">
            <w:pPr>
              <w:spacing w:after="0" w:line="240" w:lineRule="auto"/>
              <w:jc w:val="right"/>
              <w:rPr>
                <w:rFonts w:eastAsia="Times New Roman" w:cs="Times New Roman"/>
                <w:color w:val="000000"/>
                <w:sz w:val="18"/>
                <w:szCs w:val="18"/>
                <w:lang w:eastAsia="sk-SK"/>
              </w:rPr>
            </w:pPr>
            <w:r w:rsidRPr="00285C26">
              <w:rPr>
                <w:rFonts w:eastAsia="Times New Roman" w:cs="Times New Roman"/>
                <w:color w:val="000000"/>
                <w:sz w:val="18"/>
                <w:szCs w:val="18"/>
                <w:lang w:eastAsia="sk-SK"/>
              </w:rPr>
              <w:t>39 000</w:t>
            </w:r>
          </w:p>
        </w:tc>
      </w:tr>
      <w:tr w:rsidR="00285C26" w:rsidRPr="00285C26" w14:paraId="47623400" w14:textId="77777777" w:rsidTr="00C41F61">
        <w:trPr>
          <w:trHeight w:val="240"/>
        </w:trPr>
        <w:tc>
          <w:tcPr>
            <w:tcW w:w="7655" w:type="dxa"/>
            <w:tcBorders>
              <w:top w:val="nil"/>
              <w:left w:val="nil"/>
              <w:bottom w:val="nil"/>
            </w:tcBorders>
            <w:shd w:val="clear" w:color="auto" w:fill="auto"/>
            <w:noWrap/>
            <w:vAlign w:val="bottom"/>
            <w:hideMark/>
          </w:tcPr>
          <w:p w14:paraId="4852D225" w14:textId="77777777" w:rsidR="00285C26" w:rsidRPr="00285C26" w:rsidRDefault="00285C26" w:rsidP="00285C26">
            <w:pPr>
              <w:spacing w:after="0" w:line="240" w:lineRule="auto"/>
              <w:jc w:val="left"/>
              <w:rPr>
                <w:rFonts w:eastAsia="Times New Roman" w:cs="Times New Roman"/>
                <w:sz w:val="18"/>
                <w:szCs w:val="18"/>
                <w:lang w:eastAsia="sk-SK"/>
              </w:rPr>
            </w:pPr>
            <w:r w:rsidRPr="00285C26">
              <w:rPr>
                <w:rFonts w:eastAsia="Times New Roman" w:cs="Times New Roman"/>
                <w:sz w:val="18"/>
                <w:szCs w:val="18"/>
                <w:lang w:eastAsia="sk-SK"/>
              </w:rPr>
              <w:t>Výdavky plošné testovanie (MV SR a MO SR)</w:t>
            </w:r>
          </w:p>
        </w:tc>
        <w:tc>
          <w:tcPr>
            <w:tcW w:w="1282" w:type="dxa"/>
            <w:tcBorders>
              <w:top w:val="nil"/>
              <w:left w:val="nil"/>
              <w:bottom w:val="nil"/>
              <w:right w:val="nil"/>
            </w:tcBorders>
            <w:shd w:val="clear" w:color="auto" w:fill="auto"/>
            <w:noWrap/>
            <w:vAlign w:val="bottom"/>
            <w:hideMark/>
          </w:tcPr>
          <w:p w14:paraId="2C54AC49" w14:textId="77777777" w:rsidR="00285C26" w:rsidRPr="00285C26" w:rsidRDefault="00285C26" w:rsidP="008557A1">
            <w:pPr>
              <w:spacing w:after="0" w:line="240" w:lineRule="auto"/>
              <w:jc w:val="right"/>
              <w:rPr>
                <w:rFonts w:eastAsia="Times New Roman" w:cs="Times New Roman"/>
                <w:color w:val="000000"/>
                <w:sz w:val="18"/>
                <w:szCs w:val="18"/>
                <w:lang w:eastAsia="sk-SK"/>
              </w:rPr>
            </w:pPr>
            <w:r w:rsidRPr="00285C26">
              <w:rPr>
                <w:rFonts w:eastAsia="Times New Roman" w:cs="Times New Roman"/>
                <w:color w:val="000000"/>
                <w:sz w:val="18"/>
                <w:szCs w:val="18"/>
                <w:lang w:eastAsia="sk-SK"/>
              </w:rPr>
              <w:t>84 000</w:t>
            </w:r>
          </w:p>
        </w:tc>
      </w:tr>
      <w:tr w:rsidR="00285C26" w:rsidRPr="00285C26" w14:paraId="27DBB9B9" w14:textId="77777777" w:rsidTr="00C41F61">
        <w:trPr>
          <w:trHeight w:val="240"/>
        </w:trPr>
        <w:tc>
          <w:tcPr>
            <w:tcW w:w="7655" w:type="dxa"/>
            <w:tcBorders>
              <w:top w:val="nil"/>
              <w:left w:val="nil"/>
              <w:bottom w:val="nil"/>
            </w:tcBorders>
            <w:shd w:val="clear" w:color="auto" w:fill="auto"/>
            <w:noWrap/>
            <w:vAlign w:val="bottom"/>
            <w:hideMark/>
          </w:tcPr>
          <w:p w14:paraId="1D71C8C8" w14:textId="77777777" w:rsidR="00285C26" w:rsidRPr="00285C26" w:rsidRDefault="00285C26" w:rsidP="00285C26">
            <w:pPr>
              <w:spacing w:after="0" w:line="240" w:lineRule="auto"/>
              <w:jc w:val="left"/>
              <w:rPr>
                <w:rFonts w:eastAsia="Times New Roman" w:cs="Times New Roman"/>
                <w:color w:val="000000"/>
                <w:sz w:val="18"/>
                <w:szCs w:val="18"/>
                <w:lang w:eastAsia="sk-SK"/>
              </w:rPr>
            </w:pPr>
            <w:r w:rsidRPr="00285C26">
              <w:rPr>
                <w:rFonts w:eastAsia="Times New Roman" w:cs="Times New Roman"/>
                <w:color w:val="000000"/>
                <w:sz w:val="18"/>
                <w:szCs w:val="18"/>
                <w:lang w:eastAsia="sk-SK"/>
              </w:rPr>
              <w:t>Zvýšené výdavky zdravotníckych zariadení</w:t>
            </w:r>
          </w:p>
        </w:tc>
        <w:tc>
          <w:tcPr>
            <w:tcW w:w="1282" w:type="dxa"/>
            <w:tcBorders>
              <w:top w:val="nil"/>
              <w:left w:val="nil"/>
              <w:bottom w:val="nil"/>
              <w:right w:val="nil"/>
            </w:tcBorders>
            <w:shd w:val="clear" w:color="auto" w:fill="auto"/>
            <w:noWrap/>
            <w:vAlign w:val="bottom"/>
            <w:hideMark/>
          </w:tcPr>
          <w:p w14:paraId="31305FE6" w14:textId="77777777" w:rsidR="00285C26" w:rsidRPr="00285C26" w:rsidRDefault="00285C26" w:rsidP="008557A1">
            <w:pPr>
              <w:spacing w:after="0" w:line="240" w:lineRule="auto"/>
              <w:jc w:val="right"/>
              <w:rPr>
                <w:rFonts w:eastAsia="Times New Roman" w:cs="Times New Roman"/>
                <w:color w:val="000000"/>
                <w:sz w:val="18"/>
                <w:szCs w:val="18"/>
                <w:lang w:eastAsia="sk-SK"/>
              </w:rPr>
            </w:pPr>
            <w:r w:rsidRPr="00285C26">
              <w:rPr>
                <w:rFonts w:eastAsia="Times New Roman" w:cs="Times New Roman"/>
                <w:color w:val="000000"/>
                <w:sz w:val="18"/>
                <w:szCs w:val="18"/>
                <w:lang w:eastAsia="sk-SK"/>
              </w:rPr>
              <w:t>62 552</w:t>
            </w:r>
          </w:p>
        </w:tc>
      </w:tr>
      <w:tr w:rsidR="00285C26" w:rsidRPr="00285C26" w14:paraId="587A9F1F" w14:textId="77777777" w:rsidTr="00C41F61">
        <w:trPr>
          <w:trHeight w:val="240"/>
        </w:trPr>
        <w:tc>
          <w:tcPr>
            <w:tcW w:w="7655" w:type="dxa"/>
            <w:tcBorders>
              <w:top w:val="single" w:sz="4" w:space="0" w:color="auto"/>
              <w:left w:val="nil"/>
              <w:bottom w:val="single" w:sz="4" w:space="0" w:color="auto"/>
            </w:tcBorders>
            <w:shd w:val="clear" w:color="auto" w:fill="D9D9D9" w:themeFill="background1" w:themeFillShade="D9"/>
            <w:noWrap/>
            <w:hideMark/>
          </w:tcPr>
          <w:p w14:paraId="1CB5D8CB" w14:textId="77777777" w:rsidR="00285C26" w:rsidRPr="00285C26" w:rsidRDefault="00285C26" w:rsidP="00285C26">
            <w:pPr>
              <w:spacing w:after="0" w:line="240" w:lineRule="auto"/>
              <w:jc w:val="left"/>
              <w:rPr>
                <w:rFonts w:eastAsia="Times New Roman" w:cs="Times New Roman"/>
                <w:b/>
                <w:bCs/>
                <w:color w:val="000000"/>
                <w:sz w:val="18"/>
                <w:szCs w:val="18"/>
                <w:lang w:eastAsia="sk-SK"/>
              </w:rPr>
            </w:pPr>
            <w:r w:rsidRPr="00285C26">
              <w:rPr>
                <w:rFonts w:eastAsia="Times New Roman" w:cs="Times New Roman"/>
                <w:b/>
                <w:bCs/>
                <w:color w:val="000000"/>
                <w:sz w:val="18"/>
                <w:szCs w:val="18"/>
                <w:lang w:eastAsia="sk-SK"/>
              </w:rPr>
              <w:t>Iné opatrenia</w:t>
            </w:r>
          </w:p>
        </w:tc>
        <w:tc>
          <w:tcPr>
            <w:tcW w:w="1282" w:type="dxa"/>
            <w:tcBorders>
              <w:top w:val="single" w:sz="4" w:space="0" w:color="auto"/>
              <w:left w:val="nil"/>
              <w:bottom w:val="single" w:sz="4" w:space="0" w:color="auto"/>
              <w:right w:val="nil"/>
            </w:tcBorders>
            <w:shd w:val="clear" w:color="auto" w:fill="D9D9D9" w:themeFill="background1" w:themeFillShade="D9"/>
            <w:noWrap/>
            <w:vAlign w:val="bottom"/>
            <w:hideMark/>
          </w:tcPr>
          <w:p w14:paraId="074AB7D2" w14:textId="77777777" w:rsidR="00285C26" w:rsidRPr="00285C26" w:rsidRDefault="00285C26" w:rsidP="008557A1">
            <w:pPr>
              <w:spacing w:after="0" w:line="240" w:lineRule="auto"/>
              <w:jc w:val="right"/>
              <w:rPr>
                <w:rFonts w:eastAsia="Times New Roman" w:cs="Times New Roman"/>
                <w:b/>
                <w:bCs/>
                <w:color w:val="000000"/>
                <w:sz w:val="18"/>
                <w:szCs w:val="18"/>
                <w:lang w:eastAsia="sk-SK"/>
              </w:rPr>
            </w:pPr>
            <w:r w:rsidRPr="00285C26">
              <w:rPr>
                <w:rFonts w:eastAsia="Times New Roman" w:cs="Times New Roman"/>
                <w:b/>
                <w:bCs/>
                <w:color w:val="000000"/>
                <w:sz w:val="18"/>
                <w:szCs w:val="18"/>
                <w:lang w:eastAsia="sk-SK"/>
              </w:rPr>
              <w:t>278 459</w:t>
            </w:r>
          </w:p>
        </w:tc>
      </w:tr>
      <w:tr w:rsidR="00285C26" w:rsidRPr="00285C26" w14:paraId="35FFA8D2" w14:textId="77777777" w:rsidTr="00C41F61">
        <w:trPr>
          <w:trHeight w:val="240"/>
        </w:trPr>
        <w:tc>
          <w:tcPr>
            <w:tcW w:w="7655" w:type="dxa"/>
            <w:tcBorders>
              <w:top w:val="nil"/>
              <w:left w:val="nil"/>
              <w:bottom w:val="nil"/>
            </w:tcBorders>
            <w:shd w:val="clear" w:color="auto" w:fill="auto"/>
            <w:noWrap/>
            <w:vAlign w:val="bottom"/>
            <w:hideMark/>
          </w:tcPr>
          <w:p w14:paraId="73374C10" w14:textId="77777777" w:rsidR="00285C26" w:rsidRPr="00285C26" w:rsidRDefault="00285C26" w:rsidP="00285C26">
            <w:pPr>
              <w:spacing w:after="0" w:line="240" w:lineRule="auto"/>
              <w:jc w:val="left"/>
              <w:rPr>
                <w:rFonts w:eastAsia="Times New Roman" w:cs="Times New Roman"/>
                <w:sz w:val="18"/>
                <w:szCs w:val="18"/>
                <w:lang w:eastAsia="sk-SK"/>
              </w:rPr>
            </w:pPr>
            <w:r w:rsidRPr="00285C26">
              <w:rPr>
                <w:rFonts w:eastAsia="Times New Roman" w:cs="Times New Roman"/>
                <w:sz w:val="18"/>
                <w:szCs w:val="18"/>
                <w:lang w:eastAsia="sk-SK"/>
              </w:rPr>
              <w:t>Tovary a služby súvisiace s COVID-19 (dezinfekcia, iné)</w:t>
            </w:r>
          </w:p>
        </w:tc>
        <w:tc>
          <w:tcPr>
            <w:tcW w:w="1282" w:type="dxa"/>
            <w:tcBorders>
              <w:top w:val="nil"/>
              <w:left w:val="nil"/>
              <w:bottom w:val="nil"/>
              <w:right w:val="nil"/>
            </w:tcBorders>
            <w:shd w:val="clear" w:color="auto" w:fill="auto"/>
            <w:noWrap/>
            <w:vAlign w:val="bottom"/>
            <w:hideMark/>
          </w:tcPr>
          <w:p w14:paraId="2B6DFFEB" w14:textId="77777777" w:rsidR="00285C26" w:rsidRPr="00285C26" w:rsidRDefault="00285C26" w:rsidP="008557A1">
            <w:pPr>
              <w:spacing w:after="0" w:line="240" w:lineRule="auto"/>
              <w:jc w:val="right"/>
              <w:rPr>
                <w:rFonts w:eastAsia="Times New Roman" w:cs="Times New Roman"/>
                <w:color w:val="000000"/>
                <w:sz w:val="18"/>
                <w:szCs w:val="18"/>
                <w:lang w:eastAsia="sk-SK"/>
              </w:rPr>
            </w:pPr>
            <w:r w:rsidRPr="00285C26">
              <w:rPr>
                <w:rFonts w:eastAsia="Times New Roman" w:cs="Times New Roman"/>
                <w:color w:val="000000"/>
                <w:sz w:val="18"/>
                <w:szCs w:val="18"/>
                <w:lang w:eastAsia="sk-SK"/>
              </w:rPr>
              <w:t>22 072</w:t>
            </w:r>
          </w:p>
        </w:tc>
      </w:tr>
      <w:tr w:rsidR="00285C26" w:rsidRPr="00285C26" w14:paraId="442851D6" w14:textId="77777777" w:rsidTr="00C41F61">
        <w:trPr>
          <w:trHeight w:val="255"/>
        </w:trPr>
        <w:tc>
          <w:tcPr>
            <w:tcW w:w="7655" w:type="dxa"/>
            <w:tcBorders>
              <w:top w:val="nil"/>
              <w:left w:val="nil"/>
              <w:bottom w:val="nil"/>
            </w:tcBorders>
            <w:shd w:val="clear" w:color="auto" w:fill="auto"/>
            <w:noWrap/>
            <w:vAlign w:val="bottom"/>
            <w:hideMark/>
          </w:tcPr>
          <w:p w14:paraId="2BFC60F3" w14:textId="77777777" w:rsidR="00285C26" w:rsidRPr="00285C26" w:rsidRDefault="00285C26" w:rsidP="00285C26">
            <w:pPr>
              <w:spacing w:after="0" w:line="240" w:lineRule="auto"/>
              <w:jc w:val="left"/>
              <w:rPr>
                <w:rFonts w:eastAsia="Times New Roman" w:cs="Times New Roman"/>
                <w:sz w:val="18"/>
                <w:szCs w:val="18"/>
                <w:lang w:eastAsia="sk-SK"/>
              </w:rPr>
            </w:pPr>
            <w:r w:rsidRPr="00285C26">
              <w:rPr>
                <w:rFonts w:eastAsia="Times New Roman" w:cs="Times New Roman"/>
                <w:sz w:val="18"/>
                <w:szCs w:val="18"/>
                <w:lang w:eastAsia="sk-SK"/>
              </w:rPr>
              <w:t>Tvorba pohotovostných zásob</w:t>
            </w:r>
          </w:p>
        </w:tc>
        <w:tc>
          <w:tcPr>
            <w:tcW w:w="1282" w:type="dxa"/>
            <w:tcBorders>
              <w:top w:val="nil"/>
              <w:left w:val="nil"/>
              <w:bottom w:val="nil"/>
              <w:right w:val="nil"/>
            </w:tcBorders>
            <w:shd w:val="clear" w:color="auto" w:fill="auto"/>
            <w:noWrap/>
            <w:vAlign w:val="bottom"/>
            <w:hideMark/>
          </w:tcPr>
          <w:p w14:paraId="0C2009E5" w14:textId="77777777" w:rsidR="00285C26" w:rsidRPr="00285C26" w:rsidRDefault="00285C26" w:rsidP="008557A1">
            <w:pPr>
              <w:spacing w:after="0" w:line="240" w:lineRule="auto"/>
              <w:jc w:val="right"/>
              <w:rPr>
                <w:rFonts w:eastAsia="Times New Roman" w:cs="Times New Roman"/>
                <w:color w:val="000000"/>
                <w:sz w:val="18"/>
                <w:szCs w:val="18"/>
                <w:lang w:eastAsia="sk-SK"/>
              </w:rPr>
            </w:pPr>
            <w:r w:rsidRPr="00285C26">
              <w:rPr>
                <w:rFonts w:eastAsia="Times New Roman" w:cs="Times New Roman"/>
                <w:color w:val="000000"/>
                <w:sz w:val="18"/>
                <w:szCs w:val="18"/>
                <w:lang w:eastAsia="sk-SK"/>
              </w:rPr>
              <w:t>73 320</w:t>
            </w:r>
          </w:p>
        </w:tc>
      </w:tr>
      <w:tr w:rsidR="00285C26" w:rsidRPr="00285C26" w14:paraId="47F36A0B" w14:textId="77777777" w:rsidTr="00C41F61">
        <w:trPr>
          <w:trHeight w:val="255"/>
        </w:trPr>
        <w:tc>
          <w:tcPr>
            <w:tcW w:w="7655" w:type="dxa"/>
            <w:tcBorders>
              <w:top w:val="nil"/>
              <w:left w:val="nil"/>
              <w:bottom w:val="nil"/>
            </w:tcBorders>
            <w:shd w:val="clear" w:color="auto" w:fill="auto"/>
            <w:noWrap/>
            <w:vAlign w:val="bottom"/>
            <w:hideMark/>
          </w:tcPr>
          <w:p w14:paraId="59D848B2" w14:textId="77777777" w:rsidR="00285C26" w:rsidRPr="00285C26" w:rsidRDefault="00285C26" w:rsidP="00285C26">
            <w:pPr>
              <w:spacing w:after="0" w:line="240" w:lineRule="auto"/>
              <w:jc w:val="left"/>
              <w:rPr>
                <w:rFonts w:eastAsia="Times New Roman" w:cs="Times New Roman"/>
                <w:sz w:val="18"/>
                <w:szCs w:val="18"/>
                <w:lang w:eastAsia="sk-SK"/>
              </w:rPr>
            </w:pPr>
            <w:r w:rsidRPr="00285C26">
              <w:rPr>
                <w:rFonts w:eastAsia="Times New Roman" w:cs="Times New Roman"/>
                <w:sz w:val="18"/>
                <w:szCs w:val="18"/>
                <w:lang w:eastAsia="sk-SK"/>
              </w:rPr>
              <w:t>Odmeny pracovníkom v prvej línii (mimo MZ)</w:t>
            </w:r>
          </w:p>
        </w:tc>
        <w:tc>
          <w:tcPr>
            <w:tcW w:w="1282" w:type="dxa"/>
            <w:tcBorders>
              <w:top w:val="nil"/>
              <w:left w:val="nil"/>
              <w:bottom w:val="nil"/>
              <w:right w:val="nil"/>
            </w:tcBorders>
            <w:shd w:val="clear" w:color="auto" w:fill="auto"/>
            <w:noWrap/>
            <w:vAlign w:val="bottom"/>
            <w:hideMark/>
          </w:tcPr>
          <w:p w14:paraId="5969B937" w14:textId="77777777" w:rsidR="00285C26" w:rsidRPr="00285C26" w:rsidRDefault="00285C26" w:rsidP="008557A1">
            <w:pPr>
              <w:spacing w:after="0" w:line="240" w:lineRule="auto"/>
              <w:jc w:val="right"/>
              <w:rPr>
                <w:rFonts w:eastAsia="Times New Roman" w:cs="Times New Roman"/>
                <w:color w:val="000000"/>
                <w:sz w:val="18"/>
                <w:szCs w:val="18"/>
                <w:lang w:eastAsia="sk-SK"/>
              </w:rPr>
            </w:pPr>
            <w:r w:rsidRPr="00285C26">
              <w:rPr>
                <w:rFonts w:eastAsia="Times New Roman" w:cs="Times New Roman"/>
                <w:color w:val="000000"/>
                <w:sz w:val="18"/>
                <w:szCs w:val="18"/>
                <w:lang w:eastAsia="sk-SK"/>
              </w:rPr>
              <w:t>63 640</w:t>
            </w:r>
          </w:p>
        </w:tc>
      </w:tr>
      <w:tr w:rsidR="00285C26" w:rsidRPr="00285C26" w14:paraId="0149FAC9" w14:textId="77777777" w:rsidTr="00C41F61">
        <w:trPr>
          <w:trHeight w:val="255"/>
        </w:trPr>
        <w:tc>
          <w:tcPr>
            <w:tcW w:w="7655" w:type="dxa"/>
            <w:tcBorders>
              <w:top w:val="nil"/>
              <w:left w:val="nil"/>
              <w:bottom w:val="nil"/>
            </w:tcBorders>
            <w:shd w:val="clear" w:color="auto" w:fill="auto"/>
            <w:noWrap/>
            <w:vAlign w:val="bottom"/>
            <w:hideMark/>
          </w:tcPr>
          <w:p w14:paraId="6037F386" w14:textId="77777777" w:rsidR="00285C26" w:rsidRPr="00285C26" w:rsidRDefault="00285C26" w:rsidP="00285C26">
            <w:pPr>
              <w:spacing w:after="0" w:line="240" w:lineRule="auto"/>
              <w:jc w:val="left"/>
              <w:rPr>
                <w:rFonts w:eastAsia="Times New Roman" w:cs="Times New Roman"/>
                <w:sz w:val="18"/>
                <w:szCs w:val="18"/>
                <w:lang w:eastAsia="sk-SK"/>
              </w:rPr>
            </w:pPr>
            <w:r w:rsidRPr="00285C26">
              <w:rPr>
                <w:rFonts w:eastAsia="Times New Roman" w:cs="Times New Roman"/>
                <w:sz w:val="18"/>
                <w:szCs w:val="18"/>
                <w:lang w:eastAsia="sk-SK"/>
              </w:rPr>
              <w:t>Dotácie rôznym sektorom / subjektom, z toho:</w:t>
            </w:r>
          </w:p>
        </w:tc>
        <w:tc>
          <w:tcPr>
            <w:tcW w:w="1282" w:type="dxa"/>
            <w:tcBorders>
              <w:top w:val="nil"/>
              <w:left w:val="nil"/>
              <w:bottom w:val="nil"/>
              <w:right w:val="nil"/>
            </w:tcBorders>
            <w:shd w:val="clear" w:color="auto" w:fill="auto"/>
            <w:noWrap/>
            <w:vAlign w:val="bottom"/>
            <w:hideMark/>
          </w:tcPr>
          <w:p w14:paraId="5D86391D" w14:textId="77777777" w:rsidR="00285C26" w:rsidRPr="00285C26" w:rsidRDefault="00285C26" w:rsidP="008557A1">
            <w:pPr>
              <w:spacing w:after="0" w:line="240" w:lineRule="auto"/>
              <w:jc w:val="right"/>
              <w:rPr>
                <w:rFonts w:eastAsia="Times New Roman" w:cs="Times New Roman"/>
                <w:color w:val="000000"/>
                <w:sz w:val="18"/>
                <w:szCs w:val="18"/>
                <w:lang w:eastAsia="sk-SK"/>
              </w:rPr>
            </w:pPr>
            <w:r w:rsidRPr="00285C26">
              <w:rPr>
                <w:rFonts w:eastAsia="Times New Roman" w:cs="Times New Roman"/>
                <w:color w:val="000000"/>
                <w:sz w:val="18"/>
                <w:szCs w:val="18"/>
                <w:lang w:eastAsia="sk-SK"/>
              </w:rPr>
              <w:t>16 120</w:t>
            </w:r>
          </w:p>
        </w:tc>
      </w:tr>
      <w:tr w:rsidR="00285C26" w:rsidRPr="00285C26" w14:paraId="23B6F07F" w14:textId="77777777" w:rsidTr="00C41F61">
        <w:trPr>
          <w:trHeight w:val="255"/>
        </w:trPr>
        <w:tc>
          <w:tcPr>
            <w:tcW w:w="7655" w:type="dxa"/>
            <w:tcBorders>
              <w:top w:val="nil"/>
              <w:left w:val="nil"/>
              <w:bottom w:val="nil"/>
            </w:tcBorders>
            <w:shd w:val="clear" w:color="auto" w:fill="auto"/>
            <w:noWrap/>
            <w:vAlign w:val="center"/>
            <w:hideMark/>
          </w:tcPr>
          <w:p w14:paraId="0E269E0E" w14:textId="77777777" w:rsidR="00285C26" w:rsidRPr="00285C26" w:rsidRDefault="00285C26" w:rsidP="00285C26">
            <w:pPr>
              <w:spacing w:after="0" w:line="240" w:lineRule="auto"/>
              <w:ind w:firstLineChars="100" w:firstLine="180"/>
              <w:jc w:val="left"/>
              <w:rPr>
                <w:rFonts w:eastAsia="Times New Roman" w:cs="Times New Roman"/>
                <w:i/>
                <w:iCs/>
                <w:color w:val="000000"/>
                <w:sz w:val="18"/>
                <w:szCs w:val="18"/>
                <w:lang w:eastAsia="sk-SK"/>
              </w:rPr>
            </w:pPr>
            <w:r w:rsidRPr="00285C26">
              <w:rPr>
                <w:rFonts w:eastAsia="Times New Roman" w:cs="Times New Roman"/>
                <w:i/>
                <w:iCs/>
                <w:color w:val="000000"/>
                <w:sz w:val="18"/>
                <w:szCs w:val="18"/>
                <w:lang w:eastAsia="sk-SK"/>
              </w:rPr>
              <w:t>Dotácie na nepravidelnú autobusovú dopravu</w:t>
            </w:r>
          </w:p>
        </w:tc>
        <w:tc>
          <w:tcPr>
            <w:tcW w:w="1282" w:type="dxa"/>
            <w:tcBorders>
              <w:top w:val="nil"/>
              <w:left w:val="nil"/>
              <w:bottom w:val="nil"/>
              <w:right w:val="nil"/>
            </w:tcBorders>
            <w:shd w:val="clear" w:color="auto" w:fill="auto"/>
            <w:noWrap/>
            <w:vAlign w:val="bottom"/>
            <w:hideMark/>
          </w:tcPr>
          <w:p w14:paraId="7A8A38EE" w14:textId="77777777" w:rsidR="00285C26" w:rsidRPr="00285C26" w:rsidRDefault="00285C26" w:rsidP="008557A1">
            <w:pPr>
              <w:spacing w:after="0" w:line="240" w:lineRule="auto"/>
              <w:jc w:val="right"/>
              <w:rPr>
                <w:rFonts w:eastAsia="Times New Roman" w:cs="Times New Roman"/>
                <w:i/>
                <w:iCs/>
                <w:color w:val="000000"/>
                <w:sz w:val="18"/>
                <w:szCs w:val="18"/>
                <w:lang w:eastAsia="sk-SK"/>
              </w:rPr>
            </w:pPr>
            <w:r w:rsidRPr="00285C26">
              <w:rPr>
                <w:rFonts w:eastAsia="Times New Roman" w:cs="Times New Roman"/>
                <w:i/>
                <w:iCs/>
                <w:color w:val="000000"/>
                <w:sz w:val="18"/>
                <w:szCs w:val="18"/>
                <w:lang w:eastAsia="sk-SK"/>
              </w:rPr>
              <w:t>6 000</w:t>
            </w:r>
          </w:p>
        </w:tc>
      </w:tr>
      <w:tr w:rsidR="00285C26" w:rsidRPr="00285C26" w14:paraId="7292BE95" w14:textId="77777777" w:rsidTr="00C41F61">
        <w:trPr>
          <w:trHeight w:val="255"/>
        </w:trPr>
        <w:tc>
          <w:tcPr>
            <w:tcW w:w="7655" w:type="dxa"/>
            <w:tcBorders>
              <w:top w:val="nil"/>
              <w:left w:val="nil"/>
              <w:bottom w:val="nil"/>
            </w:tcBorders>
            <w:shd w:val="clear" w:color="auto" w:fill="auto"/>
            <w:noWrap/>
            <w:vAlign w:val="center"/>
            <w:hideMark/>
          </w:tcPr>
          <w:p w14:paraId="3C34F4E7" w14:textId="77777777" w:rsidR="00285C26" w:rsidRPr="00285C26" w:rsidRDefault="00285C26" w:rsidP="00285C26">
            <w:pPr>
              <w:spacing w:after="0" w:line="240" w:lineRule="auto"/>
              <w:ind w:firstLineChars="100" w:firstLine="180"/>
              <w:jc w:val="left"/>
              <w:rPr>
                <w:rFonts w:eastAsia="Times New Roman" w:cs="Times New Roman"/>
                <w:i/>
                <w:iCs/>
                <w:color w:val="000000"/>
                <w:sz w:val="18"/>
                <w:szCs w:val="18"/>
                <w:lang w:eastAsia="sk-SK"/>
              </w:rPr>
            </w:pPr>
            <w:r w:rsidRPr="00285C26">
              <w:rPr>
                <w:rFonts w:eastAsia="Times New Roman" w:cs="Times New Roman"/>
                <w:i/>
                <w:iCs/>
                <w:color w:val="000000"/>
                <w:sz w:val="18"/>
                <w:szCs w:val="18"/>
                <w:lang w:eastAsia="sk-SK"/>
              </w:rPr>
              <w:t>MK SR výzva č. 1 na podporu kultúry a kreatívneho priemyslu</w:t>
            </w:r>
          </w:p>
        </w:tc>
        <w:tc>
          <w:tcPr>
            <w:tcW w:w="1282" w:type="dxa"/>
            <w:tcBorders>
              <w:top w:val="nil"/>
              <w:left w:val="nil"/>
              <w:bottom w:val="nil"/>
              <w:right w:val="nil"/>
            </w:tcBorders>
            <w:shd w:val="clear" w:color="auto" w:fill="auto"/>
            <w:noWrap/>
            <w:vAlign w:val="bottom"/>
            <w:hideMark/>
          </w:tcPr>
          <w:p w14:paraId="56A427AB" w14:textId="77777777" w:rsidR="00285C26" w:rsidRPr="00285C26" w:rsidRDefault="00285C26" w:rsidP="008557A1">
            <w:pPr>
              <w:spacing w:after="0" w:line="240" w:lineRule="auto"/>
              <w:jc w:val="right"/>
              <w:rPr>
                <w:rFonts w:eastAsia="Times New Roman" w:cs="Times New Roman"/>
                <w:i/>
                <w:iCs/>
                <w:color w:val="000000"/>
                <w:sz w:val="18"/>
                <w:szCs w:val="18"/>
                <w:lang w:eastAsia="sk-SK"/>
              </w:rPr>
            </w:pPr>
            <w:r w:rsidRPr="00285C26">
              <w:rPr>
                <w:rFonts w:eastAsia="Times New Roman" w:cs="Times New Roman"/>
                <w:i/>
                <w:iCs/>
                <w:color w:val="000000"/>
                <w:sz w:val="18"/>
                <w:szCs w:val="18"/>
                <w:lang w:eastAsia="sk-SK"/>
              </w:rPr>
              <w:t>5 120</w:t>
            </w:r>
          </w:p>
        </w:tc>
      </w:tr>
      <w:tr w:rsidR="00285C26" w:rsidRPr="00285C26" w14:paraId="0A9FC9C2" w14:textId="77777777" w:rsidTr="00C41F61">
        <w:trPr>
          <w:trHeight w:val="255"/>
        </w:trPr>
        <w:tc>
          <w:tcPr>
            <w:tcW w:w="7655" w:type="dxa"/>
            <w:tcBorders>
              <w:top w:val="nil"/>
              <w:left w:val="nil"/>
              <w:bottom w:val="nil"/>
            </w:tcBorders>
            <w:shd w:val="clear" w:color="auto" w:fill="auto"/>
            <w:noWrap/>
            <w:vAlign w:val="center"/>
            <w:hideMark/>
          </w:tcPr>
          <w:p w14:paraId="02A656D0" w14:textId="77777777" w:rsidR="00285C26" w:rsidRPr="00285C26" w:rsidRDefault="00285C26" w:rsidP="00285C26">
            <w:pPr>
              <w:spacing w:after="0" w:line="240" w:lineRule="auto"/>
              <w:ind w:firstLineChars="100" w:firstLine="180"/>
              <w:jc w:val="left"/>
              <w:rPr>
                <w:rFonts w:eastAsia="Times New Roman" w:cs="Times New Roman"/>
                <w:i/>
                <w:iCs/>
                <w:color w:val="000000"/>
                <w:sz w:val="18"/>
                <w:szCs w:val="18"/>
                <w:lang w:eastAsia="sk-SK"/>
              </w:rPr>
            </w:pPr>
            <w:r w:rsidRPr="00285C26">
              <w:rPr>
                <w:rFonts w:eastAsia="Times New Roman" w:cs="Times New Roman"/>
                <w:i/>
                <w:iCs/>
                <w:color w:val="000000"/>
                <w:sz w:val="18"/>
                <w:szCs w:val="18"/>
                <w:lang w:eastAsia="sk-SK"/>
              </w:rPr>
              <w:t xml:space="preserve">MDV SR na podporu letísk a leteckej dopravy </w:t>
            </w:r>
          </w:p>
        </w:tc>
        <w:tc>
          <w:tcPr>
            <w:tcW w:w="1282" w:type="dxa"/>
            <w:tcBorders>
              <w:top w:val="nil"/>
              <w:left w:val="nil"/>
              <w:bottom w:val="nil"/>
              <w:right w:val="nil"/>
            </w:tcBorders>
            <w:shd w:val="clear" w:color="auto" w:fill="auto"/>
            <w:noWrap/>
            <w:vAlign w:val="bottom"/>
            <w:hideMark/>
          </w:tcPr>
          <w:p w14:paraId="425D26A1" w14:textId="77777777" w:rsidR="00285C26" w:rsidRPr="00285C26" w:rsidRDefault="00285C26" w:rsidP="008557A1">
            <w:pPr>
              <w:spacing w:after="0" w:line="240" w:lineRule="auto"/>
              <w:jc w:val="right"/>
              <w:rPr>
                <w:rFonts w:eastAsia="Times New Roman" w:cs="Times New Roman"/>
                <w:i/>
                <w:iCs/>
                <w:color w:val="000000"/>
                <w:sz w:val="18"/>
                <w:szCs w:val="18"/>
                <w:lang w:eastAsia="sk-SK"/>
              </w:rPr>
            </w:pPr>
            <w:r w:rsidRPr="00285C26">
              <w:rPr>
                <w:rFonts w:eastAsia="Times New Roman" w:cs="Times New Roman"/>
                <w:i/>
                <w:iCs/>
                <w:color w:val="000000"/>
                <w:sz w:val="18"/>
                <w:szCs w:val="18"/>
                <w:lang w:eastAsia="sk-SK"/>
              </w:rPr>
              <w:t>5 000</w:t>
            </w:r>
          </w:p>
        </w:tc>
      </w:tr>
      <w:tr w:rsidR="00285C26" w:rsidRPr="00285C26" w14:paraId="6A24B586" w14:textId="77777777" w:rsidTr="00C41F61">
        <w:trPr>
          <w:trHeight w:val="255"/>
        </w:trPr>
        <w:tc>
          <w:tcPr>
            <w:tcW w:w="7655" w:type="dxa"/>
            <w:tcBorders>
              <w:top w:val="nil"/>
              <w:left w:val="nil"/>
              <w:bottom w:val="nil"/>
            </w:tcBorders>
            <w:shd w:val="clear" w:color="auto" w:fill="auto"/>
            <w:noWrap/>
            <w:vAlign w:val="bottom"/>
            <w:hideMark/>
          </w:tcPr>
          <w:p w14:paraId="2F0BC4BC" w14:textId="77777777" w:rsidR="00285C26" w:rsidRPr="00285C26" w:rsidRDefault="00285C26" w:rsidP="00285C26">
            <w:pPr>
              <w:spacing w:after="0" w:line="240" w:lineRule="auto"/>
              <w:jc w:val="left"/>
              <w:rPr>
                <w:rFonts w:eastAsia="Times New Roman" w:cs="Times New Roman"/>
                <w:color w:val="000000"/>
                <w:sz w:val="18"/>
                <w:szCs w:val="18"/>
                <w:lang w:eastAsia="sk-SK"/>
              </w:rPr>
            </w:pPr>
            <w:r w:rsidRPr="00285C26">
              <w:rPr>
                <w:rFonts w:eastAsia="Times New Roman" w:cs="Times New Roman"/>
                <w:color w:val="000000"/>
                <w:sz w:val="18"/>
                <w:szCs w:val="18"/>
                <w:lang w:eastAsia="sk-SK"/>
              </w:rPr>
              <w:t>Zvýšené výdavky Ministerstva vnútra, z toho:</w:t>
            </w:r>
          </w:p>
        </w:tc>
        <w:tc>
          <w:tcPr>
            <w:tcW w:w="1282" w:type="dxa"/>
            <w:tcBorders>
              <w:top w:val="nil"/>
              <w:left w:val="nil"/>
              <w:bottom w:val="nil"/>
              <w:right w:val="nil"/>
            </w:tcBorders>
            <w:shd w:val="clear" w:color="auto" w:fill="auto"/>
            <w:noWrap/>
            <w:vAlign w:val="bottom"/>
            <w:hideMark/>
          </w:tcPr>
          <w:p w14:paraId="71872F0B" w14:textId="77777777" w:rsidR="00285C26" w:rsidRPr="00285C26" w:rsidRDefault="00285C26" w:rsidP="008557A1">
            <w:pPr>
              <w:spacing w:after="0" w:line="240" w:lineRule="auto"/>
              <w:jc w:val="right"/>
              <w:rPr>
                <w:rFonts w:eastAsia="Times New Roman" w:cs="Times New Roman"/>
                <w:color w:val="000000"/>
                <w:sz w:val="18"/>
                <w:szCs w:val="18"/>
                <w:lang w:eastAsia="sk-SK"/>
              </w:rPr>
            </w:pPr>
            <w:r w:rsidRPr="00285C26">
              <w:rPr>
                <w:rFonts w:eastAsia="Times New Roman" w:cs="Times New Roman"/>
                <w:color w:val="000000"/>
                <w:sz w:val="18"/>
                <w:szCs w:val="18"/>
                <w:lang w:eastAsia="sk-SK"/>
              </w:rPr>
              <w:t>24 458</w:t>
            </w:r>
          </w:p>
        </w:tc>
      </w:tr>
      <w:tr w:rsidR="00285C26" w:rsidRPr="00285C26" w14:paraId="5D8F2B71" w14:textId="77777777" w:rsidTr="00C41F61">
        <w:trPr>
          <w:trHeight w:val="255"/>
        </w:trPr>
        <w:tc>
          <w:tcPr>
            <w:tcW w:w="7655" w:type="dxa"/>
            <w:tcBorders>
              <w:top w:val="nil"/>
              <w:left w:val="nil"/>
              <w:bottom w:val="nil"/>
            </w:tcBorders>
            <w:shd w:val="clear" w:color="auto" w:fill="auto"/>
            <w:noWrap/>
            <w:vAlign w:val="center"/>
            <w:hideMark/>
          </w:tcPr>
          <w:p w14:paraId="1D54D1B0" w14:textId="77777777" w:rsidR="00285C26" w:rsidRPr="00285C26" w:rsidRDefault="00285C26" w:rsidP="00285C26">
            <w:pPr>
              <w:spacing w:after="0" w:line="240" w:lineRule="auto"/>
              <w:ind w:firstLineChars="100" w:firstLine="180"/>
              <w:jc w:val="left"/>
              <w:rPr>
                <w:rFonts w:eastAsia="Times New Roman" w:cs="Times New Roman"/>
                <w:i/>
                <w:iCs/>
                <w:color w:val="000000"/>
                <w:sz w:val="18"/>
                <w:szCs w:val="18"/>
                <w:lang w:eastAsia="sk-SK"/>
              </w:rPr>
            </w:pPr>
            <w:r w:rsidRPr="00285C26">
              <w:rPr>
                <w:rFonts w:eastAsia="Times New Roman" w:cs="Times New Roman"/>
                <w:i/>
                <w:iCs/>
                <w:color w:val="000000"/>
                <w:sz w:val="18"/>
                <w:szCs w:val="18"/>
                <w:lang w:eastAsia="sk-SK"/>
              </w:rPr>
              <w:t xml:space="preserve">MV SR hospodárska mobilizácia - karanténne zariadenia </w:t>
            </w:r>
          </w:p>
        </w:tc>
        <w:tc>
          <w:tcPr>
            <w:tcW w:w="1282" w:type="dxa"/>
            <w:tcBorders>
              <w:top w:val="nil"/>
              <w:left w:val="nil"/>
              <w:bottom w:val="nil"/>
              <w:right w:val="nil"/>
            </w:tcBorders>
            <w:shd w:val="clear" w:color="auto" w:fill="auto"/>
            <w:noWrap/>
            <w:vAlign w:val="bottom"/>
            <w:hideMark/>
          </w:tcPr>
          <w:p w14:paraId="59FD1804" w14:textId="77777777" w:rsidR="00285C26" w:rsidRPr="00285C26" w:rsidRDefault="00285C26" w:rsidP="008557A1">
            <w:pPr>
              <w:spacing w:after="0" w:line="240" w:lineRule="auto"/>
              <w:jc w:val="right"/>
              <w:rPr>
                <w:rFonts w:eastAsia="Times New Roman" w:cs="Times New Roman"/>
                <w:i/>
                <w:iCs/>
                <w:color w:val="000000"/>
                <w:sz w:val="18"/>
                <w:szCs w:val="18"/>
                <w:lang w:eastAsia="sk-SK"/>
              </w:rPr>
            </w:pPr>
            <w:r w:rsidRPr="00285C26">
              <w:rPr>
                <w:rFonts w:eastAsia="Times New Roman" w:cs="Times New Roman"/>
                <w:i/>
                <w:iCs/>
                <w:color w:val="000000"/>
                <w:sz w:val="18"/>
                <w:szCs w:val="18"/>
                <w:lang w:eastAsia="sk-SK"/>
              </w:rPr>
              <w:t>16 600</w:t>
            </w:r>
          </w:p>
        </w:tc>
      </w:tr>
      <w:tr w:rsidR="00285C26" w:rsidRPr="00285C26" w14:paraId="3D354C79" w14:textId="77777777" w:rsidTr="00C41F61">
        <w:trPr>
          <w:trHeight w:val="255"/>
        </w:trPr>
        <w:tc>
          <w:tcPr>
            <w:tcW w:w="7655" w:type="dxa"/>
            <w:tcBorders>
              <w:top w:val="nil"/>
              <w:left w:val="nil"/>
              <w:bottom w:val="nil"/>
            </w:tcBorders>
            <w:shd w:val="clear" w:color="auto" w:fill="auto"/>
            <w:noWrap/>
            <w:vAlign w:val="center"/>
            <w:hideMark/>
          </w:tcPr>
          <w:p w14:paraId="58826DA8" w14:textId="77777777" w:rsidR="00285C26" w:rsidRPr="00285C26" w:rsidRDefault="00285C26" w:rsidP="00285C26">
            <w:pPr>
              <w:spacing w:after="0" w:line="240" w:lineRule="auto"/>
              <w:ind w:firstLineChars="100" w:firstLine="180"/>
              <w:jc w:val="left"/>
              <w:rPr>
                <w:rFonts w:eastAsia="Times New Roman" w:cs="Times New Roman"/>
                <w:i/>
                <w:iCs/>
                <w:color w:val="000000"/>
                <w:sz w:val="18"/>
                <w:szCs w:val="18"/>
                <w:lang w:eastAsia="sk-SK"/>
              </w:rPr>
            </w:pPr>
            <w:r w:rsidRPr="00285C26">
              <w:rPr>
                <w:rFonts w:eastAsia="Times New Roman" w:cs="Times New Roman"/>
                <w:i/>
                <w:iCs/>
                <w:color w:val="000000"/>
                <w:sz w:val="18"/>
                <w:szCs w:val="18"/>
                <w:lang w:eastAsia="sk-SK"/>
              </w:rPr>
              <w:t>MV SR ohrozenie verejného zdravia II. stupňa (ochorenie COVID-19) - pre 70 okresov</w:t>
            </w:r>
          </w:p>
        </w:tc>
        <w:tc>
          <w:tcPr>
            <w:tcW w:w="1282" w:type="dxa"/>
            <w:tcBorders>
              <w:top w:val="nil"/>
              <w:left w:val="nil"/>
              <w:bottom w:val="nil"/>
              <w:right w:val="nil"/>
            </w:tcBorders>
            <w:shd w:val="clear" w:color="auto" w:fill="auto"/>
            <w:noWrap/>
            <w:vAlign w:val="bottom"/>
            <w:hideMark/>
          </w:tcPr>
          <w:p w14:paraId="1EB5BD8B" w14:textId="77777777" w:rsidR="00285C26" w:rsidRPr="00285C26" w:rsidRDefault="00285C26" w:rsidP="008557A1">
            <w:pPr>
              <w:spacing w:after="0" w:line="240" w:lineRule="auto"/>
              <w:jc w:val="right"/>
              <w:rPr>
                <w:rFonts w:eastAsia="Times New Roman" w:cs="Times New Roman"/>
                <w:i/>
                <w:iCs/>
                <w:color w:val="000000"/>
                <w:sz w:val="18"/>
                <w:szCs w:val="18"/>
                <w:lang w:eastAsia="sk-SK"/>
              </w:rPr>
            </w:pPr>
            <w:r w:rsidRPr="00285C26">
              <w:rPr>
                <w:rFonts w:eastAsia="Times New Roman" w:cs="Times New Roman"/>
                <w:i/>
                <w:iCs/>
                <w:color w:val="000000"/>
                <w:sz w:val="18"/>
                <w:szCs w:val="18"/>
                <w:lang w:eastAsia="sk-SK"/>
              </w:rPr>
              <w:t>7 858</w:t>
            </w:r>
          </w:p>
        </w:tc>
      </w:tr>
      <w:tr w:rsidR="00285C26" w:rsidRPr="00285C26" w14:paraId="5A1BB2E1" w14:textId="77777777" w:rsidTr="00C41F61">
        <w:trPr>
          <w:trHeight w:val="255"/>
        </w:trPr>
        <w:tc>
          <w:tcPr>
            <w:tcW w:w="7655" w:type="dxa"/>
            <w:tcBorders>
              <w:top w:val="nil"/>
              <w:left w:val="nil"/>
              <w:bottom w:val="nil"/>
            </w:tcBorders>
            <w:shd w:val="clear" w:color="auto" w:fill="auto"/>
            <w:noWrap/>
            <w:vAlign w:val="bottom"/>
            <w:hideMark/>
          </w:tcPr>
          <w:p w14:paraId="40C382AB" w14:textId="77777777" w:rsidR="00285C26" w:rsidRPr="00285C26" w:rsidRDefault="00285C26" w:rsidP="00285C26">
            <w:pPr>
              <w:spacing w:after="0" w:line="240" w:lineRule="auto"/>
              <w:jc w:val="left"/>
              <w:rPr>
                <w:rFonts w:eastAsia="Times New Roman" w:cs="Times New Roman"/>
                <w:color w:val="000000"/>
                <w:sz w:val="18"/>
                <w:szCs w:val="18"/>
                <w:lang w:eastAsia="sk-SK"/>
              </w:rPr>
            </w:pPr>
            <w:r w:rsidRPr="00285C26">
              <w:rPr>
                <w:rFonts w:eastAsia="Times New Roman" w:cs="Times New Roman"/>
                <w:color w:val="000000"/>
                <w:sz w:val="18"/>
                <w:szCs w:val="18"/>
                <w:lang w:eastAsia="sk-SK"/>
              </w:rPr>
              <w:t>Ostatné, z toho:</w:t>
            </w:r>
          </w:p>
        </w:tc>
        <w:tc>
          <w:tcPr>
            <w:tcW w:w="1282" w:type="dxa"/>
            <w:tcBorders>
              <w:top w:val="nil"/>
              <w:left w:val="nil"/>
              <w:bottom w:val="nil"/>
              <w:right w:val="nil"/>
            </w:tcBorders>
            <w:shd w:val="clear" w:color="auto" w:fill="auto"/>
            <w:noWrap/>
            <w:vAlign w:val="bottom"/>
            <w:hideMark/>
          </w:tcPr>
          <w:p w14:paraId="2778A341" w14:textId="77777777" w:rsidR="00285C26" w:rsidRPr="00285C26" w:rsidRDefault="00285C26" w:rsidP="008557A1">
            <w:pPr>
              <w:spacing w:after="0" w:line="240" w:lineRule="auto"/>
              <w:jc w:val="right"/>
              <w:rPr>
                <w:rFonts w:eastAsia="Times New Roman" w:cs="Times New Roman"/>
                <w:color w:val="000000"/>
                <w:sz w:val="18"/>
                <w:szCs w:val="18"/>
                <w:lang w:eastAsia="sk-SK"/>
              </w:rPr>
            </w:pPr>
            <w:r w:rsidRPr="00285C26">
              <w:rPr>
                <w:rFonts w:eastAsia="Times New Roman" w:cs="Times New Roman"/>
                <w:color w:val="000000"/>
                <w:sz w:val="18"/>
                <w:szCs w:val="18"/>
                <w:lang w:eastAsia="sk-SK"/>
              </w:rPr>
              <w:t>78 849</w:t>
            </w:r>
          </w:p>
        </w:tc>
      </w:tr>
      <w:tr w:rsidR="00285C26" w:rsidRPr="00285C26" w14:paraId="2DEB9953" w14:textId="77777777" w:rsidTr="00C41F61">
        <w:trPr>
          <w:trHeight w:val="255"/>
        </w:trPr>
        <w:tc>
          <w:tcPr>
            <w:tcW w:w="7655" w:type="dxa"/>
            <w:tcBorders>
              <w:top w:val="nil"/>
              <w:left w:val="nil"/>
              <w:bottom w:val="nil"/>
            </w:tcBorders>
            <w:shd w:val="clear" w:color="auto" w:fill="auto"/>
            <w:noWrap/>
            <w:vAlign w:val="center"/>
            <w:hideMark/>
          </w:tcPr>
          <w:p w14:paraId="73AA3967" w14:textId="77777777" w:rsidR="00285C26" w:rsidRPr="00285C26" w:rsidRDefault="00285C26" w:rsidP="00285C26">
            <w:pPr>
              <w:spacing w:after="0" w:line="240" w:lineRule="auto"/>
              <w:ind w:firstLineChars="100" w:firstLine="180"/>
              <w:jc w:val="left"/>
              <w:rPr>
                <w:rFonts w:eastAsia="Times New Roman" w:cs="Times New Roman"/>
                <w:i/>
                <w:iCs/>
                <w:color w:val="000000"/>
                <w:sz w:val="18"/>
                <w:szCs w:val="18"/>
                <w:lang w:eastAsia="sk-SK"/>
              </w:rPr>
            </w:pPr>
            <w:r w:rsidRPr="00285C26">
              <w:rPr>
                <w:rFonts w:eastAsia="Times New Roman" w:cs="Times New Roman"/>
                <w:i/>
                <w:iCs/>
                <w:color w:val="000000"/>
                <w:sz w:val="18"/>
                <w:szCs w:val="18"/>
                <w:lang w:eastAsia="sk-SK"/>
              </w:rPr>
              <w:t>MPSVR SR ostatné</w:t>
            </w:r>
          </w:p>
        </w:tc>
        <w:tc>
          <w:tcPr>
            <w:tcW w:w="1282" w:type="dxa"/>
            <w:tcBorders>
              <w:top w:val="nil"/>
              <w:left w:val="nil"/>
              <w:bottom w:val="nil"/>
              <w:right w:val="nil"/>
            </w:tcBorders>
            <w:shd w:val="clear" w:color="auto" w:fill="auto"/>
            <w:noWrap/>
            <w:vAlign w:val="bottom"/>
            <w:hideMark/>
          </w:tcPr>
          <w:p w14:paraId="64691230" w14:textId="77777777" w:rsidR="00285C26" w:rsidRPr="00285C26" w:rsidRDefault="00285C26" w:rsidP="008557A1">
            <w:pPr>
              <w:spacing w:after="0" w:line="240" w:lineRule="auto"/>
              <w:jc w:val="right"/>
              <w:rPr>
                <w:rFonts w:eastAsia="Times New Roman" w:cs="Times New Roman"/>
                <w:i/>
                <w:iCs/>
                <w:color w:val="000000"/>
                <w:sz w:val="18"/>
                <w:szCs w:val="18"/>
                <w:lang w:eastAsia="sk-SK"/>
              </w:rPr>
            </w:pPr>
            <w:r w:rsidRPr="00285C26">
              <w:rPr>
                <w:rFonts w:eastAsia="Times New Roman" w:cs="Times New Roman"/>
                <w:i/>
                <w:iCs/>
                <w:color w:val="000000"/>
                <w:sz w:val="18"/>
                <w:szCs w:val="18"/>
                <w:lang w:eastAsia="sk-SK"/>
              </w:rPr>
              <w:t>3 000</w:t>
            </w:r>
          </w:p>
        </w:tc>
      </w:tr>
      <w:tr w:rsidR="00285C26" w:rsidRPr="00285C26" w14:paraId="580488EF" w14:textId="77777777" w:rsidTr="00C41F61">
        <w:trPr>
          <w:trHeight w:val="255"/>
        </w:trPr>
        <w:tc>
          <w:tcPr>
            <w:tcW w:w="7655" w:type="dxa"/>
            <w:tcBorders>
              <w:top w:val="nil"/>
              <w:left w:val="nil"/>
              <w:bottom w:val="nil"/>
            </w:tcBorders>
            <w:shd w:val="clear" w:color="auto" w:fill="auto"/>
            <w:noWrap/>
            <w:vAlign w:val="center"/>
            <w:hideMark/>
          </w:tcPr>
          <w:p w14:paraId="4265CF7B" w14:textId="77777777" w:rsidR="00285C26" w:rsidRPr="00285C26" w:rsidRDefault="00285C26" w:rsidP="00285C26">
            <w:pPr>
              <w:spacing w:after="0" w:line="240" w:lineRule="auto"/>
              <w:ind w:firstLineChars="100" w:firstLine="180"/>
              <w:jc w:val="left"/>
              <w:rPr>
                <w:rFonts w:eastAsia="Times New Roman" w:cs="Times New Roman"/>
                <w:i/>
                <w:iCs/>
                <w:color w:val="000000"/>
                <w:sz w:val="18"/>
                <w:szCs w:val="18"/>
                <w:lang w:eastAsia="sk-SK"/>
              </w:rPr>
            </w:pPr>
            <w:r w:rsidRPr="00285C26">
              <w:rPr>
                <w:rFonts w:eastAsia="Times New Roman" w:cs="Times New Roman"/>
                <w:i/>
                <w:iCs/>
                <w:color w:val="000000"/>
                <w:sz w:val="18"/>
                <w:szCs w:val="18"/>
                <w:lang w:eastAsia="sk-SK"/>
              </w:rPr>
              <w:t>Osobné výdavky bezprostredne súvisiace s pandémiou</w:t>
            </w:r>
          </w:p>
        </w:tc>
        <w:tc>
          <w:tcPr>
            <w:tcW w:w="1282" w:type="dxa"/>
            <w:tcBorders>
              <w:top w:val="nil"/>
              <w:left w:val="nil"/>
              <w:bottom w:val="nil"/>
              <w:right w:val="nil"/>
            </w:tcBorders>
            <w:shd w:val="clear" w:color="auto" w:fill="auto"/>
            <w:noWrap/>
            <w:vAlign w:val="bottom"/>
            <w:hideMark/>
          </w:tcPr>
          <w:p w14:paraId="56D582B7" w14:textId="77777777" w:rsidR="00285C26" w:rsidRPr="00285C26" w:rsidRDefault="00285C26" w:rsidP="008557A1">
            <w:pPr>
              <w:spacing w:after="0" w:line="240" w:lineRule="auto"/>
              <w:jc w:val="right"/>
              <w:rPr>
                <w:rFonts w:eastAsia="Times New Roman" w:cs="Times New Roman"/>
                <w:i/>
                <w:iCs/>
                <w:color w:val="000000"/>
                <w:sz w:val="18"/>
                <w:szCs w:val="18"/>
                <w:lang w:eastAsia="sk-SK"/>
              </w:rPr>
            </w:pPr>
            <w:r w:rsidRPr="00285C26">
              <w:rPr>
                <w:rFonts w:eastAsia="Times New Roman" w:cs="Times New Roman"/>
                <w:i/>
                <w:iCs/>
                <w:color w:val="000000"/>
                <w:sz w:val="18"/>
                <w:szCs w:val="18"/>
                <w:lang w:eastAsia="sk-SK"/>
              </w:rPr>
              <w:t>8 853</w:t>
            </w:r>
          </w:p>
        </w:tc>
      </w:tr>
      <w:tr w:rsidR="00285C26" w:rsidRPr="00285C26" w14:paraId="2961D486" w14:textId="77777777" w:rsidTr="00C41F61">
        <w:trPr>
          <w:trHeight w:val="255"/>
        </w:trPr>
        <w:tc>
          <w:tcPr>
            <w:tcW w:w="7655" w:type="dxa"/>
            <w:tcBorders>
              <w:top w:val="nil"/>
              <w:left w:val="nil"/>
              <w:bottom w:val="nil"/>
            </w:tcBorders>
            <w:shd w:val="clear" w:color="auto" w:fill="auto"/>
            <w:noWrap/>
            <w:vAlign w:val="center"/>
            <w:hideMark/>
          </w:tcPr>
          <w:p w14:paraId="41062C97" w14:textId="77777777" w:rsidR="00285C26" w:rsidRPr="00285C26" w:rsidRDefault="00285C26" w:rsidP="00285C26">
            <w:pPr>
              <w:spacing w:after="0" w:line="240" w:lineRule="auto"/>
              <w:ind w:firstLineChars="100" w:firstLine="180"/>
              <w:jc w:val="left"/>
              <w:rPr>
                <w:rFonts w:eastAsia="Times New Roman" w:cs="Times New Roman"/>
                <w:i/>
                <w:iCs/>
                <w:color w:val="000000"/>
                <w:sz w:val="18"/>
                <w:szCs w:val="18"/>
                <w:lang w:eastAsia="sk-SK"/>
              </w:rPr>
            </w:pPr>
            <w:r w:rsidRPr="00285C26">
              <w:rPr>
                <w:rFonts w:eastAsia="Times New Roman" w:cs="Times New Roman"/>
                <w:i/>
                <w:iCs/>
                <w:color w:val="000000"/>
                <w:sz w:val="18"/>
                <w:szCs w:val="18"/>
                <w:lang w:eastAsia="sk-SK"/>
              </w:rPr>
              <w:t>Repatriácia občanov/karanténne zariadenia</w:t>
            </w:r>
          </w:p>
        </w:tc>
        <w:tc>
          <w:tcPr>
            <w:tcW w:w="1282" w:type="dxa"/>
            <w:tcBorders>
              <w:top w:val="nil"/>
              <w:left w:val="nil"/>
              <w:bottom w:val="nil"/>
              <w:right w:val="nil"/>
            </w:tcBorders>
            <w:shd w:val="clear" w:color="auto" w:fill="auto"/>
            <w:noWrap/>
            <w:vAlign w:val="bottom"/>
            <w:hideMark/>
          </w:tcPr>
          <w:p w14:paraId="24E968AF" w14:textId="77777777" w:rsidR="00285C26" w:rsidRPr="00285C26" w:rsidRDefault="00285C26" w:rsidP="008557A1">
            <w:pPr>
              <w:spacing w:after="0" w:line="240" w:lineRule="auto"/>
              <w:jc w:val="right"/>
              <w:rPr>
                <w:rFonts w:eastAsia="Times New Roman" w:cs="Times New Roman"/>
                <w:i/>
                <w:iCs/>
                <w:color w:val="000000"/>
                <w:sz w:val="18"/>
                <w:szCs w:val="18"/>
                <w:lang w:eastAsia="sk-SK"/>
              </w:rPr>
            </w:pPr>
            <w:r w:rsidRPr="00285C26">
              <w:rPr>
                <w:rFonts w:eastAsia="Times New Roman" w:cs="Times New Roman"/>
                <w:i/>
                <w:iCs/>
                <w:color w:val="000000"/>
                <w:sz w:val="18"/>
                <w:szCs w:val="18"/>
                <w:lang w:eastAsia="sk-SK"/>
              </w:rPr>
              <w:t>3 796</w:t>
            </w:r>
          </w:p>
        </w:tc>
      </w:tr>
      <w:tr w:rsidR="00285C26" w:rsidRPr="00285C26" w14:paraId="39728204" w14:textId="77777777" w:rsidTr="00C41F61">
        <w:trPr>
          <w:trHeight w:val="255"/>
        </w:trPr>
        <w:tc>
          <w:tcPr>
            <w:tcW w:w="7655" w:type="dxa"/>
            <w:tcBorders>
              <w:top w:val="nil"/>
              <w:left w:val="nil"/>
              <w:bottom w:val="nil"/>
            </w:tcBorders>
            <w:shd w:val="clear" w:color="auto" w:fill="auto"/>
            <w:noWrap/>
            <w:vAlign w:val="center"/>
            <w:hideMark/>
          </w:tcPr>
          <w:p w14:paraId="2922CF14" w14:textId="77777777" w:rsidR="00285C26" w:rsidRPr="00285C26" w:rsidRDefault="00285C26" w:rsidP="00285C26">
            <w:pPr>
              <w:spacing w:after="0" w:line="240" w:lineRule="auto"/>
              <w:ind w:firstLineChars="100" w:firstLine="180"/>
              <w:jc w:val="left"/>
              <w:rPr>
                <w:rFonts w:eastAsia="Times New Roman" w:cs="Times New Roman"/>
                <w:i/>
                <w:iCs/>
                <w:color w:val="000000"/>
                <w:sz w:val="18"/>
                <w:szCs w:val="18"/>
                <w:lang w:eastAsia="sk-SK"/>
              </w:rPr>
            </w:pPr>
            <w:r w:rsidRPr="00285C26">
              <w:rPr>
                <w:rFonts w:eastAsia="Times New Roman" w:cs="Times New Roman"/>
                <w:i/>
                <w:iCs/>
                <w:color w:val="000000"/>
                <w:sz w:val="18"/>
                <w:szCs w:val="18"/>
                <w:lang w:eastAsia="sk-SK"/>
              </w:rPr>
              <w:t xml:space="preserve">Vklad do základného imania SZRB </w:t>
            </w:r>
          </w:p>
        </w:tc>
        <w:tc>
          <w:tcPr>
            <w:tcW w:w="1282" w:type="dxa"/>
            <w:tcBorders>
              <w:top w:val="nil"/>
              <w:left w:val="nil"/>
              <w:bottom w:val="nil"/>
              <w:right w:val="nil"/>
            </w:tcBorders>
            <w:shd w:val="clear" w:color="auto" w:fill="auto"/>
            <w:noWrap/>
            <w:vAlign w:val="bottom"/>
            <w:hideMark/>
          </w:tcPr>
          <w:p w14:paraId="376F0729" w14:textId="77777777" w:rsidR="00285C26" w:rsidRPr="00285C26" w:rsidRDefault="00285C26" w:rsidP="008557A1">
            <w:pPr>
              <w:spacing w:after="0" w:line="240" w:lineRule="auto"/>
              <w:jc w:val="right"/>
              <w:rPr>
                <w:rFonts w:eastAsia="Times New Roman" w:cs="Times New Roman"/>
                <w:i/>
                <w:iCs/>
                <w:color w:val="000000"/>
                <w:sz w:val="18"/>
                <w:szCs w:val="18"/>
                <w:lang w:eastAsia="sk-SK"/>
              </w:rPr>
            </w:pPr>
            <w:r w:rsidRPr="00285C26">
              <w:rPr>
                <w:rFonts w:eastAsia="Times New Roman" w:cs="Times New Roman"/>
                <w:i/>
                <w:iCs/>
                <w:color w:val="000000"/>
                <w:sz w:val="18"/>
                <w:szCs w:val="18"/>
                <w:lang w:eastAsia="sk-SK"/>
              </w:rPr>
              <w:t>50 000</w:t>
            </w:r>
          </w:p>
        </w:tc>
      </w:tr>
      <w:tr w:rsidR="00285C26" w:rsidRPr="00285C26" w14:paraId="73448789" w14:textId="77777777" w:rsidTr="00C41F61">
        <w:trPr>
          <w:trHeight w:val="225"/>
        </w:trPr>
        <w:tc>
          <w:tcPr>
            <w:tcW w:w="7655" w:type="dxa"/>
            <w:tcBorders>
              <w:top w:val="nil"/>
              <w:left w:val="nil"/>
              <w:bottom w:val="single" w:sz="4" w:space="0" w:color="auto"/>
            </w:tcBorders>
            <w:shd w:val="clear" w:color="auto" w:fill="auto"/>
            <w:noWrap/>
            <w:vAlign w:val="center"/>
            <w:hideMark/>
          </w:tcPr>
          <w:p w14:paraId="78F2B049" w14:textId="77777777" w:rsidR="00285C26" w:rsidRPr="00285C26" w:rsidRDefault="00285C26" w:rsidP="00285C26">
            <w:pPr>
              <w:spacing w:after="0" w:line="240" w:lineRule="auto"/>
              <w:ind w:firstLineChars="100" w:firstLine="180"/>
              <w:jc w:val="left"/>
              <w:rPr>
                <w:rFonts w:eastAsia="Times New Roman" w:cs="Times New Roman"/>
                <w:i/>
                <w:iCs/>
                <w:color w:val="000000"/>
                <w:sz w:val="18"/>
                <w:szCs w:val="18"/>
                <w:lang w:eastAsia="sk-SK"/>
              </w:rPr>
            </w:pPr>
            <w:r w:rsidRPr="00285C26">
              <w:rPr>
                <w:rFonts w:eastAsia="Times New Roman" w:cs="Times New Roman"/>
                <w:i/>
                <w:iCs/>
                <w:color w:val="000000"/>
                <w:sz w:val="18"/>
                <w:szCs w:val="18"/>
                <w:lang w:eastAsia="sk-SK"/>
              </w:rPr>
              <w:t>Vklad do základného imania LPS</w:t>
            </w:r>
          </w:p>
        </w:tc>
        <w:tc>
          <w:tcPr>
            <w:tcW w:w="1282" w:type="dxa"/>
            <w:tcBorders>
              <w:top w:val="nil"/>
              <w:left w:val="nil"/>
              <w:bottom w:val="single" w:sz="4" w:space="0" w:color="auto"/>
              <w:right w:val="nil"/>
            </w:tcBorders>
            <w:shd w:val="clear" w:color="auto" w:fill="auto"/>
            <w:noWrap/>
            <w:vAlign w:val="bottom"/>
            <w:hideMark/>
          </w:tcPr>
          <w:p w14:paraId="1161E2C0" w14:textId="77777777" w:rsidR="00285C26" w:rsidRPr="00285C26" w:rsidRDefault="00285C26" w:rsidP="008557A1">
            <w:pPr>
              <w:spacing w:after="0" w:line="240" w:lineRule="auto"/>
              <w:jc w:val="right"/>
              <w:rPr>
                <w:rFonts w:eastAsia="Times New Roman" w:cs="Times New Roman"/>
                <w:i/>
                <w:iCs/>
                <w:color w:val="000000"/>
                <w:sz w:val="18"/>
                <w:szCs w:val="18"/>
                <w:lang w:eastAsia="sk-SK"/>
              </w:rPr>
            </w:pPr>
            <w:r w:rsidRPr="00285C26">
              <w:rPr>
                <w:rFonts w:eastAsia="Times New Roman" w:cs="Times New Roman"/>
                <w:i/>
                <w:iCs/>
                <w:color w:val="000000"/>
                <w:sz w:val="18"/>
                <w:szCs w:val="18"/>
                <w:lang w:eastAsia="sk-SK"/>
              </w:rPr>
              <w:t>13 200</w:t>
            </w:r>
          </w:p>
        </w:tc>
      </w:tr>
      <w:tr w:rsidR="00C41F61" w:rsidRPr="00C41F61" w14:paraId="4D395657" w14:textId="77777777" w:rsidTr="00C41F61">
        <w:trPr>
          <w:trHeight w:val="225"/>
        </w:trPr>
        <w:tc>
          <w:tcPr>
            <w:tcW w:w="7655" w:type="dxa"/>
            <w:tcBorders>
              <w:top w:val="single" w:sz="4" w:space="0" w:color="auto"/>
              <w:left w:val="nil"/>
              <w:bottom w:val="single" w:sz="4" w:space="0" w:color="auto"/>
            </w:tcBorders>
            <w:shd w:val="clear" w:color="auto" w:fill="auto"/>
            <w:noWrap/>
            <w:vAlign w:val="center"/>
          </w:tcPr>
          <w:p w14:paraId="49FBDB18" w14:textId="1FFF498B" w:rsidR="00C41F61" w:rsidRPr="00C41F61" w:rsidRDefault="00C41F61" w:rsidP="00C41F61">
            <w:pPr>
              <w:spacing w:after="0" w:line="240" w:lineRule="auto"/>
              <w:ind w:leftChars="-32" w:left="-68" w:hangingChars="1" w:hanging="2"/>
              <w:jc w:val="left"/>
              <w:rPr>
                <w:rFonts w:eastAsia="Times New Roman" w:cs="Times New Roman"/>
                <w:b/>
                <w:iCs/>
                <w:color w:val="000000"/>
                <w:sz w:val="18"/>
                <w:szCs w:val="18"/>
                <w:lang w:eastAsia="sk-SK"/>
              </w:rPr>
            </w:pPr>
            <w:r w:rsidRPr="00C41F61">
              <w:rPr>
                <w:rFonts w:eastAsia="Times New Roman" w:cs="Times New Roman"/>
                <w:b/>
                <w:iCs/>
                <w:color w:val="000000"/>
                <w:sz w:val="18"/>
                <w:szCs w:val="18"/>
                <w:lang w:eastAsia="sk-SK"/>
              </w:rPr>
              <w:t>Spolu</w:t>
            </w:r>
          </w:p>
        </w:tc>
        <w:tc>
          <w:tcPr>
            <w:tcW w:w="1282" w:type="dxa"/>
            <w:tcBorders>
              <w:top w:val="single" w:sz="4" w:space="0" w:color="auto"/>
              <w:left w:val="nil"/>
              <w:bottom w:val="single" w:sz="4" w:space="0" w:color="auto"/>
              <w:right w:val="nil"/>
            </w:tcBorders>
            <w:shd w:val="clear" w:color="auto" w:fill="auto"/>
            <w:noWrap/>
            <w:vAlign w:val="bottom"/>
          </w:tcPr>
          <w:p w14:paraId="5E10FFFC" w14:textId="36AC842B" w:rsidR="00C41F61" w:rsidRPr="00C41F61" w:rsidRDefault="00C41F61" w:rsidP="008557A1">
            <w:pPr>
              <w:spacing w:after="0" w:line="240" w:lineRule="auto"/>
              <w:jc w:val="right"/>
              <w:rPr>
                <w:rFonts w:eastAsia="Times New Roman" w:cs="Times New Roman"/>
                <w:b/>
                <w:iCs/>
                <w:color w:val="000000"/>
                <w:sz w:val="18"/>
                <w:szCs w:val="18"/>
                <w:lang w:eastAsia="sk-SK"/>
              </w:rPr>
            </w:pPr>
            <w:r>
              <w:rPr>
                <w:rFonts w:eastAsia="Times New Roman" w:cs="Times New Roman"/>
                <w:b/>
                <w:iCs/>
                <w:color w:val="000000"/>
                <w:sz w:val="18"/>
                <w:szCs w:val="18"/>
                <w:lang w:eastAsia="sk-SK"/>
              </w:rPr>
              <w:t>1 777 331</w:t>
            </w:r>
          </w:p>
        </w:tc>
      </w:tr>
      <w:tr w:rsidR="00430A99" w:rsidRPr="00430A99" w14:paraId="12734DAF" w14:textId="77777777" w:rsidTr="00C41F61">
        <w:trPr>
          <w:trHeight w:val="225"/>
        </w:trPr>
        <w:tc>
          <w:tcPr>
            <w:tcW w:w="7655" w:type="dxa"/>
            <w:tcBorders>
              <w:top w:val="single" w:sz="4" w:space="0" w:color="auto"/>
              <w:left w:val="nil"/>
              <w:bottom w:val="single" w:sz="4" w:space="0" w:color="auto"/>
            </w:tcBorders>
            <w:shd w:val="clear" w:color="auto" w:fill="auto"/>
            <w:noWrap/>
            <w:vAlign w:val="center"/>
          </w:tcPr>
          <w:p w14:paraId="08C09423" w14:textId="67EFB782" w:rsidR="00430A99" w:rsidRPr="00430A99" w:rsidRDefault="00430A99" w:rsidP="00C41F61">
            <w:pPr>
              <w:spacing w:after="0" w:line="240" w:lineRule="auto"/>
              <w:ind w:leftChars="-32" w:left="-68" w:hangingChars="1" w:hanging="2"/>
              <w:jc w:val="left"/>
              <w:rPr>
                <w:rFonts w:eastAsia="Times New Roman" w:cs="Times New Roman"/>
                <w:i/>
                <w:iCs/>
                <w:color w:val="000000"/>
                <w:sz w:val="18"/>
                <w:szCs w:val="18"/>
                <w:lang w:eastAsia="sk-SK"/>
              </w:rPr>
            </w:pPr>
            <w:r w:rsidRPr="00430A99">
              <w:rPr>
                <w:rFonts w:eastAsia="Times New Roman" w:cs="Times New Roman"/>
                <w:i/>
                <w:iCs/>
                <w:color w:val="000000"/>
                <w:sz w:val="18"/>
                <w:szCs w:val="18"/>
                <w:lang w:eastAsia="sk-SK"/>
              </w:rPr>
              <w:t>Výdavky refundované z EU zdroja</w:t>
            </w:r>
          </w:p>
        </w:tc>
        <w:tc>
          <w:tcPr>
            <w:tcW w:w="1282" w:type="dxa"/>
            <w:tcBorders>
              <w:top w:val="single" w:sz="4" w:space="0" w:color="auto"/>
              <w:left w:val="nil"/>
              <w:bottom w:val="single" w:sz="4" w:space="0" w:color="auto"/>
              <w:right w:val="nil"/>
            </w:tcBorders>
            <w:shd w:val="clear" w:color="auto" w:fill="auto"/>
            <w:noWrap/>
            <w:vAlign w:val="bottom"/>
          </w:tcPr>
          <w:p w14:paraId="5EFFB298" w14:textId="725FE617" w:rsidR="00430A99" w:rsidRPr="00430A99" w:rsidRDefault="00430A99" w:rsidP="008557A1">
            <w:pPr>
              <w:spacing w:after="0" w:line="240" w:lineRule="auto"/>
              <w:jc w:val="right"/>
              <w:rPr>
                <w:rFonts w:eastAsia="Times New Roman" w:cs="Times New Roman"/>
                <w:i/>
                <w:iCs/>
                <w:color w:val="000000"/>
                <w:sz w:val="18"/>
                <w:szCs w:val="18"/>
                <w:lang w:eastAsia="sk-SK"/>
              </w:rPr>
            </w:pPr>
            <w:r>
              <w:rPr>
                <w:rFonts w:eastAsia="Times New Roman" w:cs="Times New Roman"/>
                <w:i/>
                <w:iCs/>
                <w:color w:val="000000"/>
                <w:sz w:val="18"/>
                <w:szCs w:val="18"/>
                <w:lang w:eastAsia="sk-SK"/>
              </w:rPr>
              <w:t>342 961</w:t>
            </w:r>
          </w:p>
        </w:tc>
      </w:tr>
      <w:tr w:rsidR="00430A99" w:rsidRPr="00C41F61" w14:paraId="56649B9E" w14:textId="77777777" w:rsidTr="00C41F61">
        <w:trPr>
          <w:trHeight w:val="225"/>
        </w:trPr>
        <w:tc>
          <w:tcPr>
            <w:tcW w:w="7655" w:type="dxa"/>
            <w:tcBorders>
              <w:top w:val="single" w:sz="4" w:space="0" w:color="auto"/>
              <w:left w:val="nil"/>
              <w:bottom w:val="single" w:sz="4" w:space="0" w:color="auto"/>
            </w:tcBorders>
            <w:shd w:val="clear" w:color="auto" w:fill="auto"/>
            <w:noWrap/>
            <w:vAlign w:val="center"/>
          </w:tcPr>
          <w:p w14:paraId="49DD61FD" w14:textId="1E1D051F" w:rsidR="00430A99" w:rsidRPr="00C41F61" w:rsidRDefault="001C2E29" w:rsidP="00C41F61">
            <w:pPr>
              <w:spacing w:after="0" w:line="240" w:lineRule="auto"/>
              <w:ind w:leftChars="-32" w:left="-68" w:hangingChars="1" w:hanging="2"/>
              <w:jc w:val="left"/>
              <w:rPr>
                <w:rFonts w:eastAsia="Times New Roman" w:cs="Times New Roman"/>
                <w:b/>
                <w:iCs/>
                <w:color w:val="000000"/>
                <w:sz w:val="18"/>
                <w:szCs w:val="18"/>
                <w:lang w:eastAsia="sk-SK"/>
              </w:rPr>
            </w:pPr>
            <w:r>
              <w:rPr>
                <w:rFonts w:eastAsia="Times New Roman" w:cs="Times New Roman"/>
                <w:b/>
                <w:iCs/>
                <w:color w:val="000000"/>
                <w:sz w:val="18"/>
                <w:szCs w:val="18"/>
                <w:lang w:eastAsia="sk-SK"/>
              </w:rPr>
              <w:t>Vplyv výdavkov na saldo VS</w:t>
            </w:r>
          </w:p>
        </w:tc>
        <w:tc>
          <w:tcPr>
            <w:tcW w:w="1282" w:type="dxa"/>
            <w:tcBorders>
              <w:top w:val="single" w:sz="4" w:space="0" w:color="auto"/>
              <w:left w:val="nil"/>
              <w:bottom w:val="single" w:sz="4" w:space="0" w:color="auto"/>
              <w:right w:val="nil"/>
            </w:tcBorders>
            <w:shd w:val="clear" w:color="auto" w:fill="auto"/>
            <w:noWrap/>
            <w:vAlign w:val="bottom"/>
          </w:tcPr>
          <w:p w14:paraId="4D0510DC" w14:textId="484EDA8E" w:rsidR="00430A99" w:rsidRDefault="00430A99" w:rsidP="008557A1">
            <w:pPr>
              <w:spacing w:after="0" w:line="240" w:lineRule="auto"/>
              <w:jc w:val="right"/>
              <w:rPr>
                <w:rFonts w:eastAsia="Times New Roman" w:cs="Times New Roman"/>
                <w:b/>
                <w:iCs/>
                <w:color w:val="000000"/>
                <w:sz w:val="18"/>
                <w:szCs w:val="18"/>
                <w:lang w:eastAsia="sk-SK"/>
              </w:rPr>
            </w:pPr>
            <w:r>
              <w:rPr>
                <w:rFonts w:eastAsia="Times New Roman" w:cs="Times New Roman"/>
                <w:b/>
                <w:iCs/>
                <w:color w:val="000000"/>
                <w:sz w:val="18"/>
                <w:szCs w:val="18"/>
                <w:lang w:eastAsia="sk-SK"/>
              </w:rPr>
              <w:t>1 434 370</w:t>
            </w:r>
          </w:p>
        </w:tc>
      </w:tr>
    </w:tbl>
    <w:p w14:paraId="0BD0F7D8" w14:textId="72202AC8" w:rsidR="003C3B9B" w:rsidRPr="000870CD" w:rsidRDefault="003D2CB8" w:rsidP="003D2CB8">
      <w:pPr>
        <w:jc w:val="left"/>
        <w:rPr>
          <w:sz w:val="16"/>
          <w:szCs w:val="16"/>
        </w:rPr>
      </w:pPr>
      <w:r w:rsidRPr="003D2CB8">
        <w:tab/>
      </w:r>
      <w:r w:rsidRPr="003D2CB8">
        <w:rPr>
          <w:sz w:val="18"/>
          <w:szCs w:val="18"/>
        </w:rPr>
        <w:tab/>
      </w:r>
      <w:r w:rsidRPr="003D2CB8">
        <w:rPr>
          <w:sz w:val="18"/>
          <w:szCs w:val="18"/>
        </w:rPr>
        <w:tab/>
      </w:r>
      <w:r w:rsidRPr="003D2CB8">
        <w:rPr>
          <w:sz w:val="18"/>
          <w:szCs w:val="18"/>
        </w:rPr>
        <w:tab/>
      </w:r>
      <w:r w:rsidRPr="003D2CB8">
        <w:rPr>
          <w:sz w:val="18"/>
          <w:szCs w:val="18"/>
        </w:rPr>
        <w:tab/>
      </w:r>
      <w:r w:rsidRPr="003D2CB8">
        <w:rPr>
          <w:sz w:val="18"/>
          <w:szCs w:val="18"/>
        </w:rPr>
        <w:tab/>
      </w:r>
      <w:r w:rsidRPr="003D2CB8">
        <w:rPr>
          <w:sz w:val="18"/>
          <w:szCs w:val="18"/>
        </w:rPr>
        <w:tab/>
      </w:r>
      <w:r w:rsidRPr="003D2CB8">
        <w:rPr>
          <w:sz w:val="18"/>
          <w:szCs w:val="18"/>
        </w:rPr>
        <w:tab/>
      </w:r>
      <w:r w:rsidRPr="003D2CB8">
        <w:rPr>
          <w:sz w:val="18"/>
          <w:szCs w:val="18"/>
        </w:rPr>
        <w:tab/>
      </w:r>
      <w:r w:rsidRPr="003D2CB8">
        <w:rPr>
          <w:sz w:val="18"/>
          <w:szCs w:val="18"/>
        </w:rPr>
        <w:tab/>
      </w:r>
      <w:r w:rsidRPr="003D2CB8">
        <w:rPr>
          <w:sz w:val="18"/>
          <w:szCs w:val="18"/>
        </w:rPr>
        <w:tab/>
      </w:r>
      <w:r w:rsidRPr="003D2CB8">
        <w:rPr>
          <w:sz w:val="18"/>
          <w:szCs w:val="18"/>
        </w:rPr>
        <w:tab/>
      </w:r>
      <w:r w:rsidRPr="003D2CB8">
        <w:rPr>
          <w:sz w:val="18"/>
          <w:szCs w:val="18"/>
        </w:rPr>
        <w:tab/>
      </w:r>
      <w:r w:rsidRPr="003D2CB8">
        <w:rPr>
          <w:sz w:val="18"/>
          <w:szCs w:val="18"/>
        </w:rPr>
        <w:tab/>
      </w:r>
      <w:r>
        <w:rPr>
          <w:sz w:val="18"/>
          <w:szCs w:val="18"/>
        </w:rPr>
        <w:t xml:space="preserve">      </w:t>
      </w:r>
      <w:r w:rsidRPr="000870CD">
        <w:rPr>
          <w:sz w:val="16"/>
          <w:szCs w:val="16"/>
        </w:rPr>
        <w:t>Zdroj: ŠÚSR, MFSR</w:t>
      </w:r>
      <w:r w:rsidRPr="000870CD">
        <w:rPr>
          <w:sz w:val="16"/>
          <w:szCs w:val="16"/>
        </w:rPr>
        <w:tab/>
      </w:r>
    </w:p>
    <w:p w14:paraId="5E498C41" w14:textId="77777777" w:rsidR="007850DA" w:rsidRDefault="007850DA">
      <w:pPr>
        <w:spacing w:after="160" w:line="259" w:lineRule="auto"/>
        <w:jc w:val="left"/>
        <w:rPr>
          <w:b/>
        </w:rPr>
      </w:pPr>
      <w:r>
        <w:rPr>
          <w:b/>
        </w:rPr>
        <w:br w:type="page"/>
      </w:r>
    </w:p>
    <w:p w14:paraId="32CACACF" w14:textId="7A4904C9" w:rsidR="00230FD6" w:rsidRDefault="001F4CEA" w:rsidP="007850DA">
      <w:pPr>
        <w:spacing w:line="240" w:lineRule="auto"/>
      </w:pPr>
      <w:r w:rsidRPr="001F4CEA">
        <w:rPr>
          <w:b/>
        </w:rPr>
        <w:t xml:space="preserve">Opatrenia, ktoré nemali v roku 2020 vplyv na saldo verejnej správy v metodike ESA </w:t>
      </w:r>
      <w:r w:rsidR="00881642" w:rsidRPr="001F4CEA">
        <w:rPr>
          <w:b/>
        </w:rPr>
        <w:t>boli realizované s cieľom zabezpečiť likviditu podnikateľského sektora.</w:t>
      </w:r>
      <w:r w:rsidR="00881642">
        <w:t xml:space="preserve"> Išlo napríklad o poskytovanie úverov </w:t>
      </w:r>
      <w:r w:rsidR="00230FD6">
        <w:t>štátnymi finančnými inštitúciami ako je Slovenská záručná a rozvojová banka a Eximbanka SR, poskytovanie záruk za úvery čerpané komerčnými bankami, odklad daňového priznania a platenia preddavkov na daň z príjmov právnických osôb a fyzických osôb podnikateľov a ďalšie nástroje.</w:t>
      </w:r>
      <w:r w:rsidR="00C24120">
        <w:t xml:space="preserve"> </w:t>
      </w:r>
    </w:p>
    <w:tbl>
      <w:tblPr>
        <w:tblW w:w="8937" w:type="dxa"/>
        <w:tblCellMar>
          <w:left w:w="70" w:type="dxa"/>
          <w:right w:w="70" w:type="dxa"/>
        </w:tblCellMar>
        <w:tblLook w:val="04A0" w:firstRow="1" w:lastRow="0" w:firstColumn="1" w:lastColumn="0" w:noHBand="0" w:noVBand="1"/>
      </w:tblPr>
      <w:tblGrid>
        <w:gridCol w:w="7655"/>
        <w:gridCol w:w="1282"/>
      </w:tblGrid>
      <w:tr w:rsidR="00BB4267" w:rsidRPr="00C41F61" w14:paraId="338DBB99" w14:textId="77777777" w:rsidTr="00F11052">
        <w:trPr>
          <w:trHeight w:val="300"/>
        </w:trPr>
        <w:tc>
          <w:tcPr>
            <w:tcW w:w="8937" w:type="dxa"/>
            <w:gridSpan w:val="2"/>
            <w:tcBorders>
              <w:top w:val="single" w:sz="4" w:space="0" w:color="auto"/>
              <w:left w:val="nil"/>
              <w:bottom w:val="single" w:sz="4" w:space="0" w:color="auto"/>
              <w:right w:val="nil"/>
            </w:tcBorders>
            <w:shd w:val="clear" w:color="auto" w:fill="000000" w:themeFill="text1"/>
            <w:noWrap/>
            <w:vAlign w:val="center"/>
            <w:hideMark/>
          </w:tcPr>
          <w:p w14:paraId="477A2296" w14:textId="54458A40" w:rsidR="00BB4267" w:rsidRPr="00C41F61" w:rsidRDefault="00BB4267" w:rsidP="00C24120">
            <w:pPr>
              <w:spacing w:after="0" w:line="240" w:lineRule="auto"/>
              <w:jc w:val="left"/>
              <w:rPr>
                <w:rFonts w:eastAsia="Times New Roman" w:cs="Times New Roman"/>
                <w:b/>
                <w:bCs/>
                <w:color w:val="FFFFFF" w:themeColor="background1"/>
                <w:sz w:val="18"/>
                <w:szCs w:val="18"/>
                <w:lang w:eastAsia="sk-SK"/>
              </w:rPr>
            </w:pPr>
            <w:r w:rsidRPr="00BB4267">
              <w:rPr>
                <w:rFonts w:eastAsia="Times New Roman" w:cs="Times New Roman"/>
                <w:b/>
                <w:bCs/>
                <w:color w:val="FFFFFF" w:themeColor="background1"/>
                <w:sz w:val="18"/>
                <w:szCs w:val="18"/>
                <w:lang w:eastAsia="sk-SK"/>
              </w:rPr>
              <w:t>Opatrenia na zabezpečenie likvidity a bankové garancie</w:t>
            </w:r>
            <w:r>
              <w:rPr>
                <w:rFonts w:eastAsia="Times New Roman" w:cs="Times New Roman"/>
                <w:b/>
                <w:bCs/>
                <w:color w:val="FFFFFF" w:themeColor="background1"/>
                <w:sz w:val="18"/>
                <w:szCs w:val="18"/>
                <w:lang w:eastAsia="sk-SK"/>
              </w:rPr>
              <w:t xml:space="preserve"> </w:t>
            </w:r>
            <w:r w:rsidR="00C24120">
              <w:rPr>
                <w:rFonts w:eastAsia="Times New Roman" w:cs="Times New Roman"/>
                <w:b/>
                <w:bCs/>
                <w:color w:val="FFFFFF" w:themeColor="background1"/>
                <w:sz w:val="18"/>
                <w:szCs w:val="18"/>
                <w:lang w:eastAsia="sk-SK"/>
              </w:rPr>
              <w:t>bez vplyvu na deficit</w:t>
            </w:r>
            <w:r>
              <w:rPr>
                <w:rFonts w:eastAsia="Times New Roman" w:cs="Times New Roman"/>
                <w:b/>
                <w:bCs/>
                <w:color w:val="FFFFFF" w:themeColor="background1"/>
                <w:sz w:val="18"/>
                <w:szCs w:val="18"/>
                <w:lang w:eastAsia="sk-SK"/>
              </w:rPr>
              <w:t xml:space="preserve">                                            </w:t>
            </w:r>
            <w:r w:rsidRPr="00C41F61">
              <w:rPr>
                <w:rFonts w:eastAsia="Times New Roman" w:cs="Times New Roman"/>
                <w:b/>
                <w:bCs/>
                <w:color w:val="FFFFFF" w:themeColor="background1"/>
                <w:sz w:val="18"/>
                <w:szCs w:val="18"/>
                <w:lang w:eastAsia="sk-SK"/>
              </w:rPr>
              <w:t>v tis. eur</w:t>
            </w:r>
          </w:p>
        </w:tc>
      </w:tr>
      <w:tr w:rsidR="00BB4267" w:rsidRPr="00285C26" w14:paraId="3A677B96" w14:textId="77777777" w:rsidTr="00F11052">
        <w:trPr>
          <w:trHeight w:val="240"/>
        </w:trPr>
        <w:tc>
          <w:tcPr>
            <w:tcW w:w="7655" w:type="dxa"/>
            <w:tcBorders>
              <w:top w:val="nil"/>
              <w:left w:val="nil"/>
              <w:bottom w:val="single" w:sz="4" w:space="0" w:color="auto"/>
            </w:tcBorders>
            <w:shd w:val="clear" w:color="auto" w:fill="D9D9D9" w:themeFill="background1" w:themeFillShade="D9"/>
            <w:noWrap/>
            <w:vAlign w:val="center"/>
            <w:hideMark/>
          </w:tcPr>
          <w:p w14:paraId="5F62A4A9" w14:textId="4B8C5F43" w:rsidR="00BB4267" w:rsidRPr="00285C26" w:rsidRDefault="00BB4267" w:rsidP="00F11052">
            <w:pPr>
              <w:spacing w:after="0" w:line="240" w:lineRule="auto"/>
              <w:jc w:val="left"/>
              <w:rPr>
                <w:rFonts w:eastAsia="Times New Roman" w:cs="Times New Roman"/>
                <w:b/>
                <w:bCs/>
                <w:color w:val="000000"/>
                <w:sz w:val="18"/>
                <w:szCs w:val="18"/>
                <w:lang w:eastAsia="sk-SK"/>
              </w:rPr>
            </w:pPr>
            <w:r w:rsidRPr="00AA0ED4">
              <w:rPr>
                <w:rFonts w:eastAsia="Times New Roman" w:cs="Times New Roman"/>
                <w:b/>
                <w:bCs/>
                <w:sz w:val="18"/>
                <w:szCs w:val="18"/>
                <w:lang w:eastAsia="sk-SK"/>
              </w:rPr>
              <w:t>Odklad daní a odvodov (bez vplyvu na deficit)</w:t>
            </w:r>
            <w:r w:rsidRPr="00BB4267">
              <w:rPr>
                <w:rFonts w:eastAsia="Times New Roman" w:cs="Times New Roman"/>
                <w:b/>
                <w:bCs/>
                <w:sz w:val="18"/>
                <w:szCs w:val="18"/>
                <w:lang w:eastAsia="sk-SK"/>
              </w:rPr>
              <w:t xml:space="preserve">                                                                  </w:t>
            </w:r>
            <w:r>
              <w:rPr>
                <w:rFonts w:eastAsia="Times New Roman" w:cs="Times New Roman"/>
                <w:b/>
                <w:bCs/>
                <w:sz w:val="18"/>
                <w:szCs w:val="18"/>
                <w:lang w:eastAsia="sk-SK"/>
              </w:rPr>
              <w:t xml:space="preserve">        </w:t>
            </w:r>
          </w:p>
        </w:tc>
        <w:tc>
          <w:tcPr>
            <w:tcW w:w="1282" w:type="dxa"/>
            <w:tcBorders>
              <w:top w:val="nil"/>
              <w:left w:val="nil"/>
              <w:bottom w:val="single" w:sz="4" w:space="0" w:color="auto"/>
              <w:right w:val="nil"/>
            </w:tcBorders>
            <w:shd w:val="clear" w:color="auto" w:fill="D9D9D9" w:themeFill="background1" w:themeFillShade="D9"/>
            <w:noWrap/>
            <w:vAlign w:val="center"/>
            <w:hideMark/>
          </w:tcPr>
          <w:p w14:paraId="6653DD8E" w14:textId="2E426E1D" w:rsidR="00BB4267" w:rsidRPr="00285C26" w:rsidRDefault="00BB4267" w:rsidP="008557A1">
            <w:pPr>
              <w:spacing w:after="0" w:line="240" w:lineRule="auto"/>
              <w:jc w:val="right"/>
              <w:rPr>
                <w:rFonts w:eastAsia="Times New Roman" w:cs="Times New Roman"/>
                <w:b/>
                <w:bCs/>
                <w:color w:val="000000"/>
                <w:sz w:val="18"/>
                <w:szCs w:val="18"/>
                <w:lang w:eastAsia="sk-SK"/>
              </w:rPr>
            </w:pPr>
            <w:r>
              <w:rPr>
                <w:rFonts w:eastAsia="Times New Roman" w:cs="Times New Roman"/>
                <w:b/>
                <w:bCs/>
                <w:color w:val="000000"/>
                <w:sz w:val="18"/>
                <w:szCs w:val="18"/>
                <w:lang w:eastAsia="sk-SK"/>
              </w:rPr>
              <w:t>456 368</w:t>
            </w:r>
          </w:p>
        </w:tc>
      </w:tr>
      <w:tr w:rsidR="00BB4267" w:rsidRPr="00285C26" w14:paraId="0C72362B" w14:textId="77777777" w:rsidTr="00F11052">
        <w:trPr>
          <w:trHeight w:val="240"/>
        </w:trPr>
        <w:tc>
          <w:tcPr>
            <w:tcW w:w="7655" w:type="dxa"/>
            <w:tcBorders>
              <w:top w:val="nil"/>
              <w:left w:val="nil"/>
              <w:bottom w:val="nil"/>
            </w:tcBorders>
            <w:shd w:val="clear" w:color="auto" w:fill="auto"/>
            <w:noWrap/>
            <w:vAlign w:val="bottom"/>
            <w:hideMark/>
          </w:tcPr>
          <w:p w14:paraId="2EFCEBA8" w14:textId="2AAB0371" w:rsidR="00BB4267" w:rsidRPr="006744E3" w:rsidRDefault="00BB4267" w:rsidP="00BB4267">
            <w:pPr>
              <w:spacing w:after="0" w:line="240" w:lineRule="auto"/>
              <w:jc w:val="left"/>
              <w:rPr>
                <w:rFonts w:eastAsia="Times New Roman" w:cs="Times New Roman"/>
                <w:bCs/>
                <w:color w:val="000000"/>
                <w:sz w:val="18"/>
                <w:szCs w:val="18"/>
                <w:lang w:eastAsia="sk-SK"/>
              </w:rPr>
            </w:pPr>
            <w:r w:rsidRPr="00AA0ED4">
              <w:rPr>
                <w:rFonts w:eastAsia="Times New Roman" w:cs="Times New Roman"/>
                <w:color w:val="000000"/>
                <w:sz w:val="18"/>
                <w:szCs w:val="18"/>
                <w:lang w:eastAsia="sk-SK"/>
              </w:rPr>
              <w:t>Odklad daňového priznania DPPO</w:t>
            </w:r>
          </w:p>
        </w:tc>
        <w:tc>
          <w:tcPr>
            <w:tcW w:w="1282" w:type="dxa"/>
            <w:tcBorders>
              <w:top w:val="nil"/>
              <w:left w:val="nil"/>
              <w:bottom w:val="nil"/>
              <w:right w:val="nil"/>
            </w:tcBorders>
            <w:shd w:val="clear" w:color="auto" w:fill="auto"/>
            <w:noWrap/>
            <w:vAlign w:val="bottom"/>
            <w:hideMark/>
          </w:tcPr>
          <w:p w14:paraId="37E94E6B" w14:textId="5EDF62FD" w:rsidR="00BB4267" w:rsidRPr="006744E3" w:rsidRDefault="00BB4267" w:rsidP="008557A1">
            <w:pPr>
              <w:spacing w:after="0" w:line="240" w:lineRule="auto"/>
              <w:jc w:val="right"/>
              <w:rPr>
                <w:rFonts w:eastAsia="Times New Roman" w:cs="Times New Roman"/>
                <w:bCs/>
                <w:color w:val="000000"/>
                <w:sz w:val="18"/>
                <w:szCs w:val="18"/>
                <w:lang w:eastAsia="sk-SK"/>
              </w:rPr>
            </w:pPr>
            <w:r w:rsidRPr="00AA0ED4">
              <w:rPr>
                <w:rFonts w:eastAsia="Times New Roman" w:cs="Times New Roman"/>
                <w:color w:val="000000"/>
                <w:sz w:val="18"/>
                <w:szCs w:val="18"/>
                <w:lang w:eastAsia="sk-SK"/>
              </w:rPr>
              <w:t>187 000</w:t>
            </w:r>
          </w:p>
        </w:tc>
      </w:tr>
      <w:tr w:rsidR="00BB4267" w:rsidRPr="00285C26" w14:paraId="2695E043" w14:textId="77777777" w:rsidTr="00F11052">
        <w:trPr>
          <w:trHeight w:val="240"/>
        </w:trPr>
        <w:tc>
          <w:tcPr>
            <w:tcW w:w="7655" w:type="dxa"/>
            <w:tcBorders>
              <w:top w:val="nil"/>
              <w:left w:val="nil"/>
              <w:bottom w:val="nil"/>
            </w:tcBorders>
            <w:shd w:val="clear" w:color="auto" w:fill="auto"/>
            <w:noWrap/>
            <w:vAlign w:val="bottom"/>
            <w:hideMark/>
          </w:tcPr>
          <w:p w14:paraId="1494B430" w14:textId="11692574" w:rsidR="00BB4267" w:rsidRPr="006744E3" w:rsidRDefault="00BB4267" w:rsidP="00BB4267">
            <w:pPr>
              <w:spacing w:after="0" w:line="240" w:lineRule="auto"/>
              <w:jc w:val="left"/>
              <w:rPr>
                <w:rFonts w:eastAsia="Times New Roman" w:cs="Times New Roman"/>
                <w:i/>
                <w:iCs/>
                <w:color w:val="000000"/>
                <w:sz w:val="18"/>
                <w:szCs w:val="18"/>
                <w:lang w:eastAsia="sk-SK"/>
              </w:rPr>
            </w:pPr>
            <w:r w:rsidRPr="00AA0ED4">
              <w:rPr>
                <w:rFonts w:eastAsia="Times New Roman" w:cs="Times New Roman"/>
                <w:color w:val="000000"/>
                <w:sz w:val="18"/>
                <w:szCs w:val="18"/>
                <w:lang w:eastAsia="sk-SK"/>
              </w:rPr>
              <w:t>Posun platenia preddavkov DPP</w:t>
            </w:r>
            <w:r>
              <w:rPr>
                <w:rFonts w:eastAsia="Times New Roman" w:cs="Times New Roman"/>
                <w:color w:val="000000"/>
                <w:sz w:val="18"/>
                <w:szCs w:val="18"/>
                <w:lang w:eastAsia="sk-SK"/>
              </w:rPr>
              <w:t>O/DPFO pri pokles tržieb o 40 %</w:t>
            </w:r>
          </w:p>
        </w:tc>
        <w:tc>
          <w:tcPr>
            <w:tcW w:w="1282" w:type="dxa"/>
            <w:tcBorders>
              <w:top w:val="nil"/>
              <w:left w:val="nil"/>
              <w:bottom w:val="nil"/>
              <w:right w:val="nil"/>
            </w:tcBorders>
            <w:shd w:val="clear" w:color="auto" w:fill="auto"/>
            <w:noWrap/>
            <w:vAlign w:val="bottom"/>
            <w:hideMark/>
          </w:tcPr>
          <w:p w14:paraId="27D1617E" w14:textId="5314ECD0" w:rsidR="00BB4267" w:rsidRPr="006744E3" w:rsidRDefault="00BB4267" w:rsidP="008557A1">
            <w:pPr>
              <w:spacing w:after="0" w:line="240" w:lineRule="auto"/>
              <w:jc w:val="right"/>
              <w:rPr>
                <w:rFonts w:eastAsia="Times New Roman" w:cs="Times New Roman"/>
                <w:color w:val="000000"/>
                <w:sz w:val="18"/>
                <w:szCs w:val="18"/>
                <w:lang w:eastAsia="sk-SK"/>
              </w:rPr>
            </w:pPr>
            <w:r w:rsidRPr="00AA0ED4">
              <w:rPr>
                <w:rFonts w:eastAsia="Times New Roman" w:cs="Times New Roman"/>
                <w:color w:val="000000"/>
                <w:sz w:val="18"/>
                <w:szCs w:val="18"/>
                <w:lang w:eastAsia="sk-SK"/>
              </w:rPr>
              <w:t>246 000</w:t>
            </w:r>
          </w:p>
        </w:tc>
      </w:tr>
      <w:tr w:rsidR="00BB4267" w:rsidRPr="00285C26" w14:paraId="56DAECC4" w14:textId="77777777" w:rsidTr="00F11052">
        <w:trPr>
          <w:trHeight w:val="240"/>
        </w:trPr>
        <w:tc>
          <w:tcPr>
            <w:tcW w:w="7655" w:type="dxa"/>
            <w:tcBorders>
              <w:top w:val="nil"/>
              <w:left w:val="nil"/>
              <w:bottom w:val="nil"/>
            </w:tcBorders>
            <w:shd w:val="clear" w:color="auto" w:fill="auto"/>
            <w:noWrap/>
            <w:vAlign w:val="bottom"/>
            <w:hideMark/>
          </w:tcPr>
          <w:p w14:paraId="5EC93ABD" w14:textId="4333ED17" w:rsidR="00BB4267" w:rsidRPr="006744E3" w:rsidRDefault="00BB4267" w:rsidP="00FA4AB0">
            <w:pPr>
              <w:spacing w:after="0" w:line="240" w:lineRule="auto"/>
              <w:jc w:val="left"/>
              <w:rPr>
                <w:rFonts w:eastAsia="Times New Roman" w:cs="Times New Roman"/>
                <w:i/>
                <w:iCs/>
                <w:color w:val="000000"/>
                <w:sz w:val="18"/>
                <w:szCs w:val="18"/>
                <w:lang w:eastAsia="sk-SK"/>
              </w:rPr>
            </w:pPr>
            <w:r w:rsidRPr="00AA0ED4">
              <w:rPr>
                <w:rFonts w:eastAsia="Times New Roman" w:cs="Times New Roman"/>
                <w:color w:val="000000"/>
                <w:sz w:val="18"/>
                <w:szCs w:val="18"/>
                <w:lang w:eastAsia="sk-SK"/>
              </w:rPr>
              <w:t>Odklad zdravotných odvodov za marec</w:t>
            </w:r>
          </w:p>
        </w:tc>
        <w:tc>
          <w:tcPr>
            <w:tcW w:w="1282" w:type="dxa"/>
            <w:tcBorders>
              <w:top w:val="nil"/>
              <w:left w:val="nil"/>
              <w:bottom w:val="nil"/>
              <w:right w:val="nil"/>
            </w:tcBorders>
            <w:shd w:val="clear" w:color="auto" w:fill="auto"/>
            <w:noWrap/>
            <w:vAlign w:val="bottom"/>
            <w:hideMark/>
          </w:tcPr>
          <w:p w14:paraId="68DF3AAD" w14:textId="4A9B2317" w:rsidR="00BB4267" w:rsidRPr="006744E3" w:rsidRDefault="00BB4267" w:rsidP="008557A1">
            <w:pPr>
              <w:spacing w:after="0" w:line="240" w:lineRule="auto"/>
              <w:jc w:val="right"/>
              <w:rPr>
                <w:rFonts w:eastAsia="Times New Roman" w:cs="Times New Roman"/>
                <w:color w:val="000000"/>
                <w:sz w:val="18"/>
                <w:szCs w:val="18"/>
                <w:lang w:eastAsia="sk-SK"/>
              </w:rPr>
            </w:pPr>
            <w:r w:rsidRPr="00AA0ED4">
              <w:rPr>
                <w:rFonts w:eastAsia="Times New Roman" w:cs="Times New Roman"/>
                <w:color w:val="000000"/>
                <w:sz w:val="18"/>
                <w:szCs w:val="18"/>
                <w:lang w:eastAsia="sk-SK"/>
              </w:rPr>
              <w:t>5 941</w:t>
            </w:r>
          </w:p>
        </w:tc>
      </w:tr>
      <w:tr w:rsidR="00BB4267" w:rsidRPr="00285C26" w14:paraId="4EB0ED61" w14:textId="77777777" w:rsidTr="00F11052">
        <w:trPr>
          <w:trHeight w:val="240"/>
        </w:trPr>
        <w:tc>
          <w:tcPr>
            <w:tcW w:w="7655" w:type="dxa"/>
            <w:tcBorders>
              <w:top w:val="nil"/>
              <w:left w:val="nil"/>
              <w:bottom w:val="nil"/>
            </w:tcBorders>
            <w:shd w:val="clear" w:color="auto" w:fill="auto"/>
            <w:noWrap/>
            <w:vAlign w:val="bottom"/>
            <w:hideMark/>
          </w:tcPr>
          <w:p w14:paraId="27BA06F4" w14:textId="67B459A3" w:rsidR="00BB4267" w:rsidRPr="006744E3" w:rsidRDefault="00BB4267" w:rsidP="001E0C46">
            <w:pPr>
              <w:spacing w:after="0" w:line="240" w:lineRule="auto"/>
              <w:jc w:val="left"/>
              <w:rPr>
                <w:rFonts w:eastAsia="Times New Roman" w:cs="Times New Roman"/>
                <w:i/>
                <w:iCs/>
                <w:color w:val="000000"/>
                <w:sz w:val="18"/>
                <w:szCs w:val="18"/>
                <w:lang w:eastAsia="sk-SK"/>
              </w:rPr>
            </w:pPr>
            <w:r w:rsidRPr="00AA0ED4">
              <w:rPr>
                <w:rFonts w:eastAsia="Times New Roman" w:cs="Times New Roman"/>
                <w:color w:val="000000"/>
                <w:sz w:val="18"/>
                <w:szCs w:val="18"/>
                <w:lang w:eastAsia="sk-SK"/>
              </w:rPr>
              <w:t xml:space="preserve">Odklad sociálnych odvodov za marec, máj, jún, júl </w:t>
            </w:r>
          </w:p>
        </w:tc>
        <w:tc>
          <w:tcPr>
            <w:tcW w:w="1282" w:type="dxa"/>
            <w:tcBorders>
              <w:top w:val="nil"/>
              <w:left w:val="nil"/>
              <w:bottom w:val="nil"/>
              <w:right w:val="nil"/>
            </w:tcBorders>
            <w:shd w:val="clear" w:color="auto" w:fill="auto"/>
            <w:noWrap/>
            <w:vAlign w:val="bottom"/>
            <w:hideMark/>
          </w:tcPr>
          <w:p w14:paraId="26A979C3" w14:textId="4CE578C6" w:rsidR="00BB4267" w:rsidRPr="006744E3" w:rsidRDefault="00BB4267" w:rsidP="008557A1">
            <w:pPr>
              <w:spacing w:after="0" w:line="240" w:lineRule="auto"/>
              <w:jc w:val="right"/>
              <w:rPr>
                <w:rFonts w:eastAsia="Times New Roman" w:cs="Times New Roman"/>
                <w:color w:val="000000"/>
                <w:sz w:val="18"/>
                <w:szCs w:val="18"/>
                <w:lang w:eastAsia="sk-SK"/>
              </w:rPr>
            </w:pPr>
            <w:r w:rsidRPr="00AA0ED4">
              <w:rPr>
                <w:rFonts w:eastAsia="Times New Roman" w:cs="Times New Roman"/>
                <w:color w:val="000000"/>
                <w:sz w:val="18"/>
                <w:szCs w:val="18"/>
                <w:lang w:eastAsia="sk-SK"/>
              </w:rPr>
              <w:t>17 427</w:t>
            </w:r>
          </w:p>
        </w:tc>
      </w:tr>
      <w:tr w:rsidR="00BB4267" w:rsidRPr="00285C26" w14:paraId="75DBE044" w14:textId="77777777" w:rsidTr="00BB4267">
        <w:trPr>
          <w:trHeight w:val="240"/>
        </w:trPr>
        <w:tc>
          <w:tcPr>
            <w:tcW w:w="7655" w:type="dxa"/>
            <w:tcBorders>
              <w:top w:val="single" w:sz="4" w:space="0" w:color="auto"/>
              <w:left w:val="nil"/>
              <w:bottom w:val="single" w:sz="4" w:space="0" w:color="auto"/>
            </w:tcBorders>
            <w:shd w:val="clear" w:color="auto" w:fill="D9D9D9" w:themeFill="background1" w:themeFillShade="D9"/>
            <w:noWrap/>
            <w:vAlign w:val="center"/>
            <w:hideMark/>
          </w:tcPr>
          <w:p w14:paraId="2D52FB86" w14:textId="69B4236F" w:rsidR="00BB4267" w:rsidRPr="00285C26" w:rsidRDefault="00BB4267" w:rsidP="00F11052">
            <w:pPr>
              <w:spacing w:after="0" w:line="240" w:lineRule="auto"/>
              <w:jc w:val="left"/>
              <w:rPr>
                <w:rFonts w:eastAsia="Times New Roman" w:cs="Times New Roman"/>
                <w:b/>
                <w:bCs/>
                <w:color w:val="000000"/>
                <w:sz w:val="18"/>
                <w:szCs w:val="18"/>
                <w:lang w:eastAsia="sk-SK"/>
              </w:rPr>
            </w:pPr>
            <w:r w:rsidRPr="00AA0ED4">
              <w:rPr>
                <w:rFonts w:eastAsia="Times New Roman" w:cs="Times New Roman"/>
                <w:b/>
                <w:bCs/>
                <w:sz w:val="18"/>
                <w:szCs w:val="18"/>
                <w:lang w:eastAsia="sk-SK"/>
              </w:rPr>
              <w:t>Bankové záruky (bez priameho vplyvu na deficit)</w:t>
            </w:r>
            <w:r w:rsidRPr="00BB4267">
              <w:rPr>
                <w:rFonts w:eastAsia="Times New Roman" w:cs="Times New Roman"/>
                <w:b/>
                <w:bCs/>
                <w:sz w:val="18"/>
                <w:szCs w:val="18"/>
                <w:lang w:eastAsia="sk-SK"/>
              </w:rPr>
              <w:t xml:space="preserve">                                                                </w:t>
            </w:r>
          </w:p>
        </w:tc>
        <w:tc>
          <w:tcPr>
            <w:tcW w:w="1282" w:type="dxa"/>
            <w:tcBorders>
              <w:top w:val="single" w:sz="4" w:space="0" w:color="auto"/>
              <w:left w:val="nil"/>
              <w:bottom w:val="single" w:sz="4" w:space="0" w:color="auto"/>
              <w:right w:val="nil"/>
            </w:tcBorders>
            <w:shd w:val="clear" w:color="auto" w:fill="D9D9D9" w:themeFill="background1" w:themeFillShade="D9"/>
            <w:noWrap/>
            <w:vAlign w:val="center"/>
            <w:hideMark/>
          </w:tcPr>
          <w:p w14:paraId="63881008" w14:textId="6160E254" w:rsidR="00BB4267" w:rsidRPr="00285C26" w:rsidRDefault="00BB4267" w:rsidP="008557A1">
            <w:pPr>
              <w:spacing w:after="0" w:line="240" w:lineRule="auto"/>
              <w:jc w:val="right"/>
              <w:rPr>
                <w:rFonts w:eastAsia="Times New Roman" w:cs="Times New Roman"/>
                <w:b/>
                <w:bCs/>
                <w:color w:val="000000"/>
                <w:sz w:val="18"/>
                <w:szCs w:val="18"/>
                <w:lang w:eastAsia="sk-SK"/>
              </w:rPr>
            </w:pPr>
            <w:r>
              <w:rPr>
                <w:rFonts w:eastAsia="Times New Roman" w:cs="Times New Roman"/>
                <w:b/>
                <w:bCs/>
                <w:color w:val="000000"/>
                <w:sz w:val="18"/>
                <w:szCs w:val="18"/>
                <w:lang w:eastAsia="sk-SK"/>
              </w:rPr>
              <w:t>1 038 140</w:t>
            </w:r>
          </w:p>
        </w:tc>
      </w:tr>
      <w:tr w:rsidR="00A15EC2" w:rsidRPr="00285C26" w14:paraId="3BEF7144" w14:textId="77777777" w:rsidTr="00F11052">
        <w:trPr>
          <w:trHeight w:val="240"/>
        </w:trPr>
        <w:tc>
          <w:tcPr>
            <w:tcW w:w="7655" w:type="dxa"/>
            <w:tcBorders>
              <w:top w:val="nil"/>
              <w:left w:val="nil"/>
              <w:bottom w:val="nil"/>
            </w:tcBorders>
            <w:shd w:val="clear" w:color="auto" w:fill="auto"/>
            <w:noWrap/>
            <w:vAlign w:val="center"/>
            <w:hideMark/>
          </w:tcPr>
          <w:p w14:paraId="70792517" w14:textId="504307D7" w:rsidR="00A15EC2" w:rsidRPr="006744E3" w:rsidRDefault="00A15EC2" w:rsidP="00EF2FA7">
            <w:pPr>
              <w:spacing w:after="0" w:line="240" w:lineRule="auto"/>
              <w:jc w:val="left"/>
              <w:rPr>
                <w:rFonts w:eastAsia="Times New Roman" w:cs="Times New Roman"/>
                <w:bCs/>
                <w:color w:val="000000"/>
                <w:sz w:val="18"/>
                <w:szCs w:val="18"/>
                <w:lang w:eastAsia="sk-SK"/>
              </w:rPr>
            </w:pPr>
            <w:r w:rsidRPr="00AA0ED4">
              <w:rPr>
                <w:rFonts w:eastAsia="Times New Roman" w:cs="Times New Roman"/>
                <w:color w:val="000000"/>
                <w:sz w:val="18"/>
                <w:szCs w:val="18"/>
                <w:lang w:eastAsia="sk-SK"/>
              </w:rPr>
              <w:t xml:space="preserve">SZRB </w:t>
            </w:r>
          </w:p>
        </w:tc>
        <w:tc>
          <w:tcPr>
            <w:tcW w:w="1282" w:type="dxa"/>
            <w:tcBorders>
              <w:top w:val="nil"/>
              <w:left w:val="nil"/>
              <w:bottom w:val="nil"/>
              <w:right w:val="nil"/>
            </w:tcBorders>
            <w:shd w:val="clear" w:color="auto" w:fill="auto"/>
            <w:noWrap/>
            <w:vAlign w:val="center"/>
            <w:hideMark/>
          </w:tcPr>
          <w:p w14:paraId="7290E6B4" w14:textId="1B6C6254" w:rsidR="00A15EC2" w:rsidRPr="006744E3" w:rsidRDefault="00A15EC2" w:rsidP="008557A1">
            <w:pPr>
              <w:spacing w:after="0" w:line="240" w:lineRule="auto"/>
              <w:jc w:val="right"/>
              <w:rPr>
                <w:rFonts w:eastAsia="Times New Roman" w:cs="Times New Roman"/>
                <w:bCs/>
                <w:color w:val="000000"/>
                <w:sz w:val="18"/>
                <w:szCs w:val="18"/>
                <w:lang w:eastAsia="sk-SK"/>
              </w:rPr>
            </w:pPr>
            <w:r w:rsidRPr="00AA0ED4">
              <w:rPr>
                <w:rFonts w:eastAsia="Times New Roman" w:cs="Times New Roman"/>
                <w:color w:val="000000"/>
                <w:sz w:val="18"/>
                <w:szCs w:val="18"/>
                <w:lang w:eastAsia="sk-SK"/>
              </w:rPr>
              <w:t>64 500</w:t>
            </w:r>
          </w:p>
        </w:tc>
      </w:tr>
      <w:tr w:rsidR="00A15EC2" w:rsidRPr="00285C26" w14:paraId="1D82AF0A" w14:textId="77777777" w:rsidTr="00F11052">
        <w:trPr>
          <w:trHeight w:val="240"/>
        </w:trPr>
        <w:tc>
          <w:tcPr>
            <w:tcW w:w="7655" w:type="dxa"/>
            <w:tcBorders>
              <w:top w:val="nil"/>
              <w:left w:val="nil"/>
              <w:bottom w:val="nil"/>
            </w:tcBorders>
            <w:shd w:val="clear" w:color="auto" w:fill="auto"/>
            <w:noWrap/>
            <w:vAlign w:val="center"/>
            <w:hideMark/>
          </w:tcPr>
          <w:p w14:paraId="6BD90A81" w14:textId="3690B12D" w:rsidR="00A15EC2" w:rsidRPr="006744E3" w:rsidRDefault="00A15EC2" w:rsidP="00EF2FA7">
            <w:pPr>
              <w:spacing w:after="0" w:line="240" w:lineRule="auto"/>
              <w:jc w:val="left"/>
              <w:rPr>
                <w:rFonts w:eastAsia="Times New Roman" w:cs="Times New Roman"/>
                <w:i/>
                <w:iCs/>
                <w:color w:val="000000"/>
                <w:sz w:val="18"/>
                <w:szCs w:val="18"/>
                <w:lang w:eastAsia="sk-SK"/>
              </w:rPr>
            </w:pPr>
            <w:r w:rsidRPr="00AA0ED4">
              <w:rPr>
                <w:rFonts w:eastAsia="Times New Roman" w:cs="Times New Roman"/>
                <w:color w:val="000000"/>
                <w:sz w:val="18"/>
                <w:szCs w:val="18"/>
                <w:lang w:eastAsia="sk-SK"/>
              </w:rPr>
              <w:t xml:space="preserve">Eximbanka </w:t>
            </w:r>
          </w:p>
        </w:tc>
        <w:tc>
          <w:tcPr>
            <w:tcW w:w="1282" w:type="dxa"/>
            <w:tcBorders>
              <w:top w:val="nil"/>
              <w:left w:val="nil"/>
              <w:bottom w:val="nil"/>
              <w:right w:val="nil"/>
            </w:tcBorders>
            <w:shd w:val="clear" w:color="auto" w:fill="auto"/>
            <w:noWrap/>
            <w:vAlign w:val="center"/>
            <w:hideMark/>
          </w:tcPr>
          <w:p w14:paraId="0074D7AD" w14:textId="250CFFAF" w:rsidR="00A15EC2" w:rsidRPr="006744E3" w:rsidRDefault="00A15EC2" w:rsidP="008557A1">
            <w:pPr>
              <w:spacing w:after="0" w:line="240" w:lineRule="auto"/>
              <w:jc w:val="right"/>
              <w:rPr>
                <w:rFonts w:eastAsia="Times New Roman" w:cs="Times New Roman"/>
                <w:color w:val="000000"/>
                <w:sz w:val="18"/>
                <w:szCs w:val="18"/>
                <w:lang w:eastAsia="sk-SK"/>
              </w:rPr>
            </w:pPr>
            <w:r w:rsidRPr="00AA0ED4">
              <w:rPr>
                <w:rFonts w:eastAsia="Times New Roman" w:cs="Times New Roman"/>
                <w:color w:val="000000"/>
                <w:sz w:val="18"/>
                <w:szCs w:val="18"/>
                <w:lang w:eastAsia="sk-SK"/>
              </w:rPr>
              <w:t>81 140</w:t>
            </w:r>
          </w:p>
        </w:tc>
      </w:tr>
      <w:tr w:rsidR="00A15EC2" w:rsidRPr="00285C26" w14:paraId="3A529727" w14:textId="77777777" w:rsidTr="00A15EC2">
        <w:trPr>
          <w:trHeight w:val="240"/>
        </w:trPr>
        <w:tc>
          <w:tcPr>
            <w:tcW w:w="7655" w:type="dxa"/>
            <w:tcBorders>
              <w:top w:val="nil"/>
              <w:left w:val="nil"/>
            </w:tcBorders>
            <w:shd w:val="clear" w:color="auto" w:fill="auto"/>
            <w:noWrap/>
            <w:vAlign w:val="center"/>
            <w:hideMark/>
          </w:tcPr>
          <w:p w14:paraId="3981C609" w14:textId="67E9DEAA" w:rsidR="00A15EC2" w:rsidRPr="006744E3" w:rsidRDefault="00A15EC2" w:rsidP="00EF2FA7">
            <w:pPr>
              <w:spacing w:after="0" w:line="240" w:lineRule="auto"/>
              <w:jc w:val="left"/>
              <w:rPr>
                <w:rFonts w:eastAsia="Times New Roman" w:cs="Times New Roman"/>
                <w:i/>
                <w:iCs/>
                <w:color w:val="000000"/>
                <w:sz w:val="18"/>
                <w:szCs w:val="18"/>
                <w:lang w:eastAsia="sk-SK"/>
              </w:rPr>
            </w:pPr>
            <w:r w:rsidRPr="00AA0ED4">
              <w:rPr>
                <w:rFonts w:eastAsia="Times New Roman" w:cs="Times New Roman"/>
                <w:color w:val="000000"/>
                <w:sz w:val="18"/>
                <w:szCs w:val="18"/>
                <w:lang w:eastAsia="sk-SK"/>
              </w:rPr>
              <w:t xml:space="preserve">SIH </w:t>
            </w:r>
          </w:p>
        </w:tc>
        <w:tc>
          <w:tcPr>
            <w:tcW w:w="1282" w:type="dxa"/>
            <w:tcBorders>
              <w:top w:val="nil"/>
              <w:left w:val="nil"/>
              <w:right w:val="nil"/>
            </w:tcBorders>
            <w:shd w:val="clear" w:color="auto" w:fill="auto"/>
            <w:noWrap/>
            <w:vAlign w:val="center"/>
            <w:hideMark/>
          </w:tcPr>
          <w:p w14:paraId="42971D7A" w14:textId="34DCFA96" w:rsidR="00A15EC2" w:rsidRPr="006744E3" w:rsidRDefault="00A15EC2" w:rsidP="008557A1">
            <w:pPr>
              <w:spacing w:after="0" w:line="240" w:lineRule="auto"/>
              <w:jc w:val="right"/>
              <w:rPr>
                <w:rFonts w:eastAsia="Times New Roman" w:cs="Times New Roman"/>
                <w:color w:val="000000"/>
                <w:sz w:val="18"/>
                <w:szCs w:val="18"/>
                <w:lang w:eastAsia="sk-SK"/>
              </w:rPr>
            </w:pPr>
            <w:r w:rsidRPr="00AA0ED4">
              <w:rPr>
                <w:rFonts w:eastAsia="Times New Roman" w:cs="Times New Roman"/>
                <w:color w:val="000000"/>
                <w:sz w:val="18"/>
                <w:szCs w:val="18"/>
                <w:lang w:eastAsia="sk-SK"/>
              </w:rPr>
              <w:t>342 500</w:t>
            </w:r>
          </w:p>
        </w:tc>
      </w:tr>
      <w:tr w:rsidR="00A15EC2" w:rsidRPr="00285C26" w14:paraId="1DB5F544" w14:textId="77777777" w:rsidTr="00A15EC2">
        <w:trPr>
          <w:trHeight w:val="240"/>
        </w:trPr>
        <w:tc>
          <w:tcPr>
            <w:tcW w:w="7655" w:type="dxa"/>
            <w:tcBorders>
              <w:top w:val="nil"/>
              <w:left w:val="nil"/>
              <w:bottom w:val="single" w:sz="4" w:space="0" w:color="auto"/>
            </w:tcBorders>
            <w:shd w:val="clear" w:color="auto" w:fill="auto"/>
            <w:noWrap/>
            <w:vAlign w:val="center"/>
            <w:hideMark/>
          </w:tcPr>
          <w:p w14:paraId="0D7D981A" w14:textId="3CAE4EA5" w:rsidR="00A15EC2" w:rsidRPr="006744E3" w:rsidRDefault="00A15EC2" w:rsidP="00A15EC2">
            <w:pPr>
              <w:spacing w:after="0" w:line="240" w:lineRule="auto"/>
              <w:jc w:val="left"/>
              <w:rPr>
                <w:rFonts w:eastAsia="Times New Roman" w:cs="Times New Roman"/>
                <w:i/>
                <w:iCs/>
                <w:color w:val="000000"/>
                <w:sz w:val="18"/>
                <w:szCs w:val="18"/>
                <w:lang w:eastAsia="sk-SK"/>
              </w:rPr>
            </w:pPr>
            <w:r w:rsidRPr="00AA0ED4">
              <w:rPr>
                <w:rFonts w:eastAsia="Times New Roman" w:cs="Times New Roman"/>
                <w:color w:val="000000"/>
                <w:sz w:val="18"/>
                <w:szCs w:val="18"/>
                <w:lang w:eastAsia="sk-SK"/>
              </w:rPr>
              <w:t xml:space="preserve">Veľká schéma </w:t>
            </w:r>
          </w:p>
        </w:tc>
        <w:tc>
          <w:tcPr>
            <w:tcW w:w="1282" w:type="dxa"/>
            <w:tcBorders>
              <w:top w:val="nil"/>
              <w:left w:val="nil"/>
              <w:bottom w:val="single" w:sz="4" w:space="0" w:color="auto"/>
              <w:right w:val="nil"/>
            </w:tcBorders>
            <w:shd w:val="clear" w:color="auto" w:fill="auto"/>
            <w:noWrap/>
            <w:vAlign w:val="center"/>
            <w:hideMark/>
          </w:tcPr>
          <w:p w14:paraId="2640C443" w14:textId="61511E5C" w:rsidR="00A15EC2" w:rsidRPr="006744E3" w:rsidRDefault="00A15EC2" w:rsidP="008557A1">
            <w:pPr>
              <w:spacing w:after="0" w:line="240" w:lineRule="auto"/>
              <w:jc w:val="right"/>
              <w:rPr>
                <w:rFonts w:eastAsia="Times New Roman" w:cs="Times New Roman"/>
                <w:color w:val="000000"/>
                <w:sz w:val="18"/>
                <w:szCs w:val="18"/>
                <w:lang w:eastAsia="sk-SK"/>
              </w:rPr>
            </w:pPr>
            <w:r w:rsidRPr="00AA0ED4">
              <w:rPr>
                <w:rFonts w:eastAsia="Times New Roman" w:cs="Times New Roman"/>
                <w:color w:val="000000"/>
                <w:sz w:val="18"/>
                <w:szCs w:val="18"/>
                <w:lang w:eastAsia="sk-SK"/>
              </w:rPr>
              <w:t>550 000</w:t>
            </w:r>
          </w:p>
        </w:tc>
      </w:tr>
      <w:tr w:rsidR="001E0C46" w:rsidRPr="001E0C46" w14:paraId="7BBFE9CF" w14:textId="77777777" w:rsidTr="001E0C46">
        <w:trPr>
          <w:trHeight w:val="240"/>
        </w:trPr>
        <w:tc>
          <w:tcPr>
            <w:tcW w:w="7655" w:type="dxa"/>
            <w:tcBorders>
              <w:top w:val="nil"/>
              <w:left w:val="nil"/>
              <w:bottom w:val="single" w:sz="4" w:space="0" w:color="auto"/>
            </w:tcBorders>
            <w:shd w:val="clear" w:color="auto" w:fill="auto"/>
            <w:noWrap/>
            <w:vAlign w:val="center"/>
            <w:hideMark/>
          </w:tcPr>
          <w:p w14:paraId="7F06309C" w14:textId="77777777" w:rsidR="001E0C46" w:rsidRPr="001E0C46" w:rsidRDefault="001E0C46" w:rsidP="001E0C46">
            <w:pPr>
              <w:spacing w:after="0" w:line="240" w:lineRule="auto"/>
              <w:jc w:val="left"/>
              <w:rPr>
                <w:rFonts w:eastAsia="Times New Roman" w:cs="Times New Roman"/>
                <w:b/>
                <w:color w:val="000000"/>
                <w:sz w:val="18"/>
                <w:szCs w:val="18"/>
                <w:lang w:eastAsia="sk-SK"/>
              </w:rPr>
            </w:pPr>
            <w:r w:rsidRPr="001E0C46">
              <w:rPr>
                <w:rFonts w:eastAsia="Times New Roman" w:cs="Times New Roman"/>
                <w:b/>
                <w:color w:val="000000"/>
                <w:sz w:val="18"/>
                <w:szCs w:val="18"/>
                <w:lang w:eastAsia="sk-SK"/>
              </w:rPr>
              <w:t>Spolu</w:t>
            </w:r>
          </w:p>
        </w:tc>
        <w:tc>
          <w:tcPr>
            <w:tcW w:w="1282" w:type="dxa"/>
            <w:tcBorders>
              <w:top w:val="nil"/>
              <w:left w:val="nil"/>
              <w:bottom w:val="single" w:sz="4" w:space="0" w:color="auto"/>
              <w:right w:val="nil"/>
            </w:tcBorders>
            <w:shd w:val="clear" w:color="auto" w:fill="auto"/>
            <w:noWrap/>
            <w:vAlign w:val="center"/>
            <w:hideMark/>
          </w:tcPr>
          <w:p w14:paraId="2B83D645" w14:textId="769D5C8D" w:rsidR="001E0C46" w:rsidRPr="001E0C46" w:rsidRDefault="001E0C46" w:rsidP="008557A1">
            <w:pPr>
              <w:spacing w:after="0" w:line="240" w:lineRule="auto"/>
              <w:jc w:val="right"/>
              <w:rPr>
                <w:rFonts w:eastAsia="Times New Roman" w:cs="Times New Roman"/>
                <w:b/>
                <w:color w:val="000000"/>
                <w:sz w:val="18"/>
                <w:szCs w:val="18"/>
                <w:lang w:eastAsia="sk-SK"/>
              </w:rPr>
            </w:pPr>
            <w:r>
              <w:rPr>
                <w:rFonts w:eastAsia="Times New Roman" w:cs="Times New Roman"/>
                <w:b/>
                <w:color w:val="000000"/>
                <w:sz w:val="18"/>
                <w:szCs w:val="18"/>
                <w:lang w:eastAsia="sk-SK"/>
              </w:rPr>
              <w:t>1 494 508</w:t>
            </w:r>
          </w:p>
        </w:tc>
      </w:tr>
    </w:tbl>
    <w:p w14:paraId="745EFE66" w14:textId="39443C67" w:rsidR="00740C74" w:rsidRPr="000870CD" w:rsidRDefault="00740C74" w:rsidP="00740C74">
      <w:pPr>
        <w:spacing w:after="0" w:line="240" w:lineRule="auto"/>
        <w:jc w:val="center"/>
        <w:rPr>
          <w:sz w:val="16"/>
          <w:szCs w:val="16"/>
        </w:rPr>
      </w:pPr>
      <w:r w:rsidRPr="000870CD">
        <w:rPr>
          <w:sz w:val="16"/>
          <w:szCs w:val="16"/>
        </w:rPr>
        <w:t xml:space="preserve">                                                                                                                                                                      </w:t>
      </w:r>
      <w:r w:rsidR="000870CD">
        <w:rPr>
          <w:sz w:val="16"/>
          <w:szCs w:val="16"/>
        </w:rPr>
        <w:t xml:space="preserve">                          </w:t>
      </w:r>
      <w:r w:rsidRPr="000870CD">
        <w:rPr>
          <w:sz w:val="16"/>
          <w:szCs w:val="16"/>
        </w:rPr>
        <w:t xml:space="preserve">Zdroj: MFSR </w:t>
      </w:r>
    </w:p>
    <w:p w14:paraId="780AF58D" w14:textId="7B528BE2" w:rsidR="001E0C46" w:rsidRDefault="001E0C46" w:rsidP="00230FD6">
      <w:pPr>
        <w:spacing w:before="120" w:after="0" w:line="240" w:lineRule="auto"/>
      </w:pPr>
      <w:r>
        <w:t xml:space="preserve">Odklad daňového priznania či posun v platení odvodov nemajú vplyv na deficit VS z dôvodu ich </w:t>
      </w:r>
      <w:proofErr w:type="spellStart"/>
      <w:r>
        <w:t>akrualizácie</w:t>
      </w:r>
      <w:proofErr w:type="spellEnd"/>
      <w:r>
        <w:t>. Tieto dane a odvody neboli odpustené, iba sa posunula ich hotovostná úhrada. Bankové záruky nemali vplyv na deficit verejnej správy</w:t>
      </w:r>
      <w:r w:rsidR="004C36D8">
        <w:t xml:space="preserve"> v roku 2020</w:t>
      </w:r>
      <w:r>
        <w:t xml:space="preserve">, nakoľko platil pri nich </w:t>
      </w:r>
      <w:r w:rsidR="004C36D8">
        <w:t xml:space="preserve">12 mesačný </w:t>
      </w:r>
      <w:r>
        <w:t>odklad splatnosti (do júla 2021). V prípade zlyhania týchto úverov bude zaznamenaný negatívny vplyv na saldo vo výške realizovaných záruk zo strany štátu.</w:t>
      </w:r>
    </w:p>
    <w:p w14:paraId="4D4AE27A" w14:textId="77777777" w:rsidR="00BB4267" w:rsidRDefault="00BB4267" w:rsidP="00230FD6">
      <w:pPr>
        <w:spacing w:before="120" w:after="0" w:line="240" w:lineRule="auto"/>
      </w:pPr>
    </w:p>
    <w:p w14:paraId="0F5565E8" w14:textId="77777777" w:rsidR="00AA0ED4" w:rsidRDefault="00AA0ED4" w:rsidP="00CB3C45">
      <w:pPr>
        <w:rPr>
          <w:highlight w:val="yellow"/>
        </w:rPr>
      </w:pPr>
    </w:p>
    <w:p w14:paraId="0F26BE23" w14:textId="4BBAA879" w:rsidR="005F5B88" w:rsidRDefault="005F5B88" w:rsidP="006822D1">
      <w:pPr>
        <w:pStyle w:val="Nadpis2"/>
      </w:pPr>
      <w:bookmarkStart w:id="24" w:name="_Toc6415636"/>
      <w:bookmarkStart w:id="25" w:name="_Toc70026087"/>
      <w:r w:rsidRPr="005D545B">
        <w:t>Dlh verejnej správy</w:t>
      </w:r>
      <w:bookmarkEnd w:id="24"/>
      <w:bookmarkEnd w:id="25"/>
    </w:p>
    <w:p w14:paraId="20ABB459" w14:textId="07073D43" w:rsidR="00CB3C45" w:rsidRPr="004A5951" w:rsidRDefault="00CB3C45" w:rsidP="004A5951">
      <w:pPr>
        <w:spacing w:line="240" w:lineRule="auto"/>
        <w:rPr>
          <w:sz w:val="24"/>
          <w:szCs w:val="24"/>
        </w:rPr>
      </w:pPr>
      <w:r w:rsidRPr="004A5951">
        <w:rPr>
          <w:b/>
          <w:sz w:val="24"/>
          <w:szCs w:val="24"/>
        </w:rPr>
        <w:t>Maastrichtský dlh verejnej správy</w:t>
      </w:r>
      <w:r w:rsidRPr="004A5951">
        <w:rPr>
          <w:sz w:val="24"/>
          <w:szCs w:val="24"/>
        </w:rPr>
        <w:t xml:space="preserve"> dosiahol k 31.12.2020 </w:t>
      </w:r>
      <w:r w:rsidR="006A45BA">
        <w:rPr>
          <w:sz w:val="24"/>
          <w:szCs w:val="24"/>
        </w:rPr>
        <w:t xml:space="preserve">hodnotu 55 180 557 tis. eur, čo </w:t>
      </w:r>
      <w:r w:rsidRPr="004A5951">
        <w:rPr>
          <w:sz w:val="24"/>
          <w:szCs w:val="24"/>
        </w:rPr>
        <w:t xml:space="preserve">predstavuje </w:t>
      </w:r>
      <w:r w:rsidRPr="004A5951">
        <w:rPr>
          <w:b/>
          <w:sz w:val="24"/>
          <w:szCs w:val="24"/>
        </w:rPr>
        <w:t>60,6 % HDP.</w:t>
      </w:r>
      <w:r w:rsidRPr="004A5951">
        <w:rPr>
          <w:sz w:val="24"/>
          <w:szCs w:val="24"/>
        </w:rPr>
        <w:t xml:space="preserve"> </w:t>
      </w:r>
      <w:r w:rsidRPr="004A5951">
        <w:rPr>
          <w:b/>
          <w:sz w:val="24"/>
          <w:szCs w:val="24"/>
        </w:rPr>
        <w:t>V pomere k HDP medziročne vzrástol o 12,4 p. b.</w:t>
      </w:r>
      <w:r w:rsidRPr="004A5951">
        <w:rPr>
          <w:sz w:val="24"/>
          <w:szCs w:val="24"/>
        </w:rPr>
        <w:t xml:space="preserve"> Východiská rozpočtu v decembri 2019 predpokladali dlh na úrovni 46,8 % HDP, čo v absolútnom vyjadrení malo predstavovať 45 895 000 tis. eur. Skutočne dosiahnutý dlh je v pomere k HDP oproti</w:t>
      </w:r>
      <w:r w:rsidR="006A45BA">
        <w:rPr>
          <w:sz w:val="24"/>
          <w:szCs w:val="24"/>
        </w:rPr>
        <w:t xml:space="preserve"> </w:t>
      </w:r>
      <w:r w:rsidRPr="004A5951">
        <w:rPr>
          <w:sz w:val="24"/>
          <w:szCs w:val="24"/>
        </w:rPr>
        <w:t>rozpočtu vyšší o 13,8 p. b., v absolútnej hodnote je opr</w:t>
      </w:r>
      <w:r w:rsidR="006A45BA">
        <w:rPr>
          <w:sz w:val="24"/>
          <w:szCs w:val="24"/>
        </w:rPr>
        <w:t>oti rozpočtu vyšší o 9 285 557 </w:t>
      </w:r>
      <w:r w:rsidRPr="004A5951">
        <w:rPr>
          <w:sz w:val="24"/>
          <w:szCs w:val="24"/>
        </w:rPr>
        <w:t>tis. eur. V medziročnom porovnaní dlh verejnej správy vzrástol v nominálnom vyjadrení o 9 905 496 tis. eur (12,4 p. b.) pričom zmena rastu HDP spôsobila zvýšenie dlhu verejnej správy medziročne o 1,8 p. b.</w:t>
      </w:r>
    </w:p>
    <w:p w14:paraId="76326E7B" w14:textId="128DD56D" w:rsidR="00CB3C45" w:rsidRPr="004A5951" w:rsidRDefault="00CB3C45" w:rsidP="004A5951">
      <w:pPr>
        <w:spacing w:line="240" w:lineRule="auto"/>
        <w:rPr>
          <w:sz w:val="24"/>
          <w:szCs w:val="24"/>
        </w:rPr>
      </w:pPr>
      <w:r w:rsidRPr="00402471">
        <w:rPr>
          <w:b/>
          <w:sz w:val="24"/>
          <w:szCs w:val="24"/>
        </w:rPr>
        <w:t>Maastrichtský dlh verejnej správy sa prezentuje ako konsolidovaný</w:t>
      </w:r>
      <w:r w:rsidRPr="004A5951">
        <w:rPr>
          <w:sz w:val="24"/>
          <w:szCs w:val="24"/>
        </w:rPr>
        <w:t>, to znamená, že vzťahy medzi jednotlivými subjektmi verejnej správy sú vylúčené. Skupiny subjektov verejnej správy uvedené v tabuľke nižšie sú vnútorne skonsolidované o vzájomné vzťahy v rámci danej skupiny (napríklad územná samospráva). Hodnota konsolidácie vo výške 1 501 732 tis. eur predstavuje len pôžičky medzi skupinami verejnej správy</w:t>
      </w:r>
      <w:r w:rsidR="00270836">
        <w:rPr>
          <w:rStyle w:val="Odkaznapoznmkupodiarou"/>
          <w:sz w:val="24"/>
          <w:szCs w:val="24"/>
        </w:rPr>
        <w:footnoteReference w:id="22"/>
      </w:r>
      <w:r w:rsidRPr="004A5951">
        <w:rPr>
          <w:sz w:val="24"/>
          <w:szCs w:val="24"/>
        </w:rPr>
        <w:t xml:space="preserve">, napríklad pôžičky Štátneho fondu rozvoja bývania poskytnuté subjektom územnej samosprávy. </w:t>
      </w:r>
    </w:p>
    <w:p w14:paraId="1C4095F6" w14:textId="77777777" w:rsidR="00270836" w:rsidRDefault="00270836" w:rsidP="004A5951">
      <w:pPr>
        <w:spacing w:line="240" w:lineRule="auto"/>
        <w:rPr>
          <w:sz w:val="24"/>
          <w:szCs w:val="24"/>
        </w:rPr>
      </w:pPr>
      <w:r>
        <w:rPr>
          <w:sz w:val="24"/>
          <w:szCs w:val="24"/>
        </w:rPr>
        <w:t xml:space="preserve">Konsolidované </w:t>
      </w:r>
      <w:r w:rsidR="00CB3C45" w:rsidRPr="004A5951">
        <w:rPr>
          <w:sz w:val="24"/>
          <w:szCs w:val="24"/>
        </w:rPr>
        <w:t>vzájomn</w:t>
      </w:r>
      <w:r>
        <w:rPr>
          <w:sz w:val="24"/>
          <w:szCs w:val="24"/>
        </w:rPr>
        <w:t>é pôžičky predstavovali najmä:</w:t>
      </w:r>
    </w:p>
    <w:p w14:paraId="6C63C4FA" w14:textId="35314F33" w:rsidR="00270836" w:rsidRDefault="00270836" w:rsidP="00CF4AE9">
      <w:pPr>
        <w:spacing w:line="240" w:lineRule="auto"/>
        <w:ind w:left="284" w:hanging="284"/>
        <w:rPr>
          <w:sz w:val="24"/>
          <w:szCs w:val="24"/>
        </w:rPr>
      </w:pPr>
      <w:r>
        <w:rPr>
          <w:sz w:val="24"/>
          <w:szCs w:val="24"/>
        </w:rPr>
        <w:t xml:space="preserve">- </w:t>
      </w:r>
      <w:r w:rsidR="00CF4AE9">
        <w:rPr>
          <w:sz w:val="24"/>
          <w:szCs w:val="24"/>
        </w:rPr>
        <w:t>p</w:t>
      </w:r>
      <w:r>
        <w:rPr>
          <w:sz w:val="24"/>
          <w:szCs w:val="24"/>
        </w:rPr>
        <w:t xml:space="preserve">ôžičky ŠFRB </w:t>
      </w:r>
      <w:r w:rsidR="006A45BA">
        <w:rPr>
          <w:sz w:val="24"/>
          <w:szCs w:val="24"/>
        </w:rPr>
        <w:t xml:space="preserve">732 655 tis. eur, ktorý </w:t>
      </w:r>
      <w:r w:rsidR="00CB3C45" w:rsidRPr="004A5951">
        <w:rPr>
          <w:sz w:val="24"/>
          <w:szCs w:val="24"/>
        </w:rPr>
        <w:t>poskytuje návratné finančné prostriedky najmä subjektom územnej samosprávy v oblasti podpory bývania</w:t>
      </w:r>
      <w:r>
        <w:rPr>
          <w:sz w:val="24"/>
          <w:szCs w:val="24"/>
        </w:rPr>
        <w:t>,</w:t>
      </w:r>
    </w:p>
    <w:p w14:paraId="3B68D6BF" w14:textId="14EC5B9F" w:rsidR="00CF4AE9" w:rsidRDefault="006A45BA" w:rsidP="00CF4AE9">
      <w:pPr>
        <w:spacing w:line="240" w:lineRule="auto"/>
        <w:ind w:left="142" w:hanging="142"/>
        <w:rPr>
          <w:sz w:val="24"/>
          <w:szCs w:val="24"/>
        </w:rPr>
      </w:pPr>
      <w:r>
        <w:rPr>
          <w:sz w:val="24"/>
          <w:szCs w:val="24"/>
        </w:rPr>
        <w:t xml:space="preserve">- </w:t>
      </w:r>
      <w:r w:rsidR="00CB3C45" w:rsidRPr="004A5951">
        <w:rPr>
          <w:sz w:val="24"/>
          <w:szCs w:val="24"/>
        </w:rPr>
        <w:t>návratná finančná výpomoc poskytnutá zo štátneho rozpočtu Agentúre pre núdzové zásoby ropy a ropných výrobkov 330 000 tis. eur</w:t>
      </w:r>
      <w:r w:rsidR="00CF4AE9">
        <w:rPr>
          <w:sz w:val="24"/>
          <w:szCs w:val="24"/>
        </w:rPr>
        <w:t>,</w:t>
      </w:r>
      <w:r w:rsidR="00CB3C45" w:rsidRPr="004A5951">
        <w:rPr>
          <w:sz w:val="24"/>
          <w:szCs w:val="24"/>
        </w:rPr>
        <w:t xml:space="preserve"> </w:t>
      </w:r>
    </w:p>
    <w:p w14:paraId="1320CE78" w14:textId="77777777" w:rsidR="00CF4AE9" w:rsidRDefault="00CF4AE9" w:rsidP="004A5951">
      <w:pPr>
        <w:spacing w:line="240" w:lineRule="auto"/>
        <w:rPr>
          <w:sz w:val="24"/>
          <w:szCs w:val="24"/>
        </w:rPr>
      </w:pPr>
      <w:r>
        <w:rPr>
          <w:sz w:val="24"/>
          <w:szCs w:val="24"/>
        </w:rPr>
        <w:t xml:space="preserve">- </w:t>
      </w:r>
      <w:r w:rsidR="00CB3C45" w:rsidRPr="004A5951">
        <w:rPr>
          <w:sz w:val="24"/>
          <w:szCs w:val="24"/>
        </w:rPr>
        <w:t>imputovaná pôžička Agentúry pre núdzové zásoby ropy a ropných výrobkov 165 462 tis. eur</w:t>
      </w:r>
      <w:r>
        <w:rPr>
          <w:sz w:val="24"/>
          <w:szCs w:val="24"/>
        </w:rPr>
        <w:t>,</w:t>
      </w:r>
    </w:p>
    <w:p w14:paraId="413D069F" w14:textId="77777777" w:rsidR="00CF4AE9" w:rsidRDefault="00CF4AE9" w:rsidP="00CF4AE9">
      <w:pPr>
        <w:spacing w:line="240" w:lineRule="auto"/>
        <w:ind w:left="142" w:hanging="142"/>
        <w:rPr>
          <w:sz w:val="24"/>
          <w:szCs w:val="24"/>
        </w:rPr>
      </w:pPr>
      <w:r>
        <w:rPr>
          <w:sz w:val="24"/>
          <w:szCs w:val="24"/>
        </w:rPr>
        <w:t>-</w:t>
      </w:r>
      <w:r w:rsidR="00CB3C45" w:rsidRPr="004A5951">
        <w:rPr>
          <w:sz w:val="24"/>
          <w:szCs w:val="24"/>
        </w:rPr>
        <w:t xml:space="preserve"> návratné </w:t>
      </w:r>
      <w:bookmarkStart w:id="26" w:name="OLE_LINK1"/>
      <w:r w:rsidR="00CB3C45" w:rsidRPr="004A5951">
        <w:rPr>
          <w:sz w:val="24"/>
          <w:szCs w:val="24"/>
        </w:rPr>
        <w:t xml:space="preserve">finančné výpomoci poskytnuté zo štátneho rozpočtu mestám, obciam a ostatným subjektom verejnej správy </w:t>
      </w:r>
      <w:bookmarkEnd w:id="26"/>
      <w:r w:rsidR="00CB3C45" w:rsidRPr="004A5951">
        <w:rPr>
          <w:sz w:val="24"/>
          <w:szCs w:val="24"/>
        </w:rPr>
        <w:t>272 478 tis. eur</w:t>
      </w:r>
      <w:r>
        <w:rPr>
          <w:sz w:val="24"/>
          <w:szCs w:val="24"/>
        </w:rPr>
        <w:t>.</w:t>
      </w:r>
    </w:p>
    <w:p w14:paraId="3769507E" w14:textId="4D7E0A63" w:rsidR="002A2EAF" w:rsidRDefault="00CB3C45" w:rsidP="004A5951">
      <w:pPr>
        <w:spacing w:line="240" w:lineRule="auto"/>
        <w:rPr>
          <w:sz w:val="24"/>
          <w:szCs w:val="24"/>
        </w:rPr>
      </w:pPr>
      <w:r w:rsidRPr="004A5951">
        <w:rPr>
          <w:sz w:val="24"/>
          <w:szCs w:val="24"/>
        </w:rPr>
        <w:t>V prehľade maastrichtského dlhu podľa zložiek verejnej správy sú uvedené hodnoty na nekonsolidovanej báze, pričom výsledná hodnota dlhu a opis medziročných vplyvov sú uvádzané po konsolidácii.</w:t>
      </w:r>
    </w:p>
    <w:tbl>
      <w:tblPr>
        <w:tblW w:w="5095" w:type="pct"/>
        <w:tblCellMar>
          <w:left w:w="70" w:type="dxa"/>
          <w:right w:w="70" w:type="dxa"/>
        </w:tblCellMar>
        <w:tblLook w:val="04A0" w:firstRow="1" w:lastRow="0" w:firstColumn="1" w:lastColumn="0" w:noHBand="0" w:noVBand="1"/>
      </w:tblPr>
      <w:tblGrid>
        <w:gridCol w:w="4891"/>
        <w:gridCol w:w="1206"/>
        <w:gridCol w:w="1123"/>
        <w:gridCol w:w="1125"/>
        <w:gridCol w:w="1044"/>
      </w:tblGrid>
      <w:tr w:rsidR="00CB3C45" w:rsidRPr="00352FE0" w14:paraId="1669679B" w14:textId="77777777" w:rsidTr="00C148B1">
        <w:trPr>
          <w:trHeight w:val="300"/>
          <w:tblHeader/>
        </w:trPr>
        <w:tc>
          <w:tcPr>
            <w:tcW w:w="3247" w:type="pct"/>
            <w:gridSpan w:val="2"/>
            <w:tcBorders>
              <w:top w:val="single" w:sz="4" w:space="0" w:color="auto"/>
              <w:left w:val="nil"/>
              <w:bottom w:val="single" w:sz="4" w:space="0" w:color="auto"/>
              <w:right w:val="nil"/>
            </w:tcBorders>
            <w:shd w:val="clear" w:color="000000" w:fill="000000"/>
            <w:noWrap/>
            <w:vAlign w:val="center"/>
            <w:hideMark/>
          </w:tcPr>
          <w:p w14:paraId="5E41CA56" w14:textId="77777777" w:rsidR="00CB3C45" w:rsidRPr="00352FE0" w:rsidRDefault="00CB3C45" w:rsidP="00842F2E">
            <w:pPr>
              <w:spacing w:after="0" w:line="240" w:lineRule="auto"/>
              <w:jc w:val="left"/>
              <w:rPr>
                <w:rFonts w:eastAsia="Times New Roman" w:cs="Times New Roman"/>
                <w:b/>
                <w:bCs/>
                <w:color w:val="FFFFFF"/>
                <w:sz w:val="18"/>
                <w:szCs w:val="18"/>
                <w:lang w:eastAsia="sk-SK"/>
              </w:rPr>
            </w:pPr>
            <w:r w:rsidRPr="00352FE0">
              <w:rPr>
                <w:rFonts w:eastAsia="Times New Roman" w:cs="Times New Roman"/>
                <w:b/>
                <w:bCs/>
                <w:color w:val="FFFFFF"/>
                <w:sz w:val="18"/>
                <w:szCs w:val="18"/>
                <w:lang w:eastAsia="sk-SK"/>
              </w:rPr>
              <w:t>Maastrichtský dlh verejnej správy podľa jednotlivých subjektov</w:t>
            </w:r>
          </w:p>
        </w:tc>
        <w:tc>
          <w:tcPr>
            <w:tcW w:w="598" w:type="pct"/>
            <w:tcBorders>
              <w:top w:val="single" w:sz="4" w:space="0" w:color="auto"/>
              <w:left w:val="nil"/>
              <w:bottom w:val="single" w:sz="4" w:space="0" w:color="auto"/>
              <w:right w:val="nil"/>
            </w:tcBorders>
            <w:shd w:val="clear" w:color="000000" w:fill="000000"/>
            <w:noWrap/>
            <w:vAlign w:val="center"/>
            <w:hideMark/>
          </w:tcPr>
          <w:p w14:paraId="1CFC39E8" w14:textId="77777777" w:rsidR="00CB3C45" w:rsidRPr="00352FE0" w:rsidRDefault="00CB3C45" w:rsidP="00842F2E">
            <w:pPr>
              <w:spacing w:after="0" w:line="240" w:lineRule="auto"/>
              <w:jc w:val="right"/>
              <w:rPr>
                <w:rFonts w:eastAsia="Times New Roman" w:cs="Times New Roman"/>
                <w:b/>
                <w:bCs/>
                <w:color w:val="FFFFFF"/>
                <w:sz w:val="18"/>
                <w:szCs w:val="18"/>
                <w:lang w:eastAsia="sk-SK"/>
              </w:rPr>
            </w:pPr>
            <w:r w:rsidRPr="00352FE0">
              <w:rPr>
                <w:rFonts w:eastAsia="Times New Roman" w:cs="Times New Roman"/>
                <w:b/>
                <w:bCs/>
                <w:color w:val="FFFFFF"/>
                <w:sz w:val="18"/>
                <w:szCs w:val="18"/>
                <w:lang w:eastAsia="sk-SK"/>
              </w:rPr>
              <w:t> </w:t>
            </w:r>
          </w:p>
        </w:tc>
        <w:tc>
          <w:tcPr>
            <w:tcW w:w="599" w:type="pct"/>
            <w:tcBorders>
              <w:top w:val="single" w:sz="4" w:space="0" w:color="auto"/>
              <w:left w:val="nil"/>
              <w:bottom w:val="single" w:sz="4" w:space="0" w:color="auto"/>
              <w:right w:val="nil"/>
            </w:tcBorders>
            <w:shd w:val="clear" w:color="000000" w:fill="000000"/>
            <w:noWrap/>
            <w:vAlign w:val="center"/>
            <w:hideMark/>
          </w:tcPr>
          <w:p w14:paraId="13464C01" w14:textId="77777777" w:rsidR="00CB3C45" w:rsidRPr="00352FE0" w:rsidRDefault="00CB3C45" w:rsidP="00842F2E">
            <w:pPr>
              <w:spacing w:after="0" w:line="240" w:lineRule="auto"/>
              <w:jc w:val="right"/>
              <w:rPr>
                <w:rFonts w:eastAsia="Times New Roman" w:cs="Times New Roman"/>
                <w:b/>
                <w:bCs/>
                <w:color w:val="FFFFFF"/>
                <w:sz w:val="18"/>
                <w:szCs w:val="18"/>
                <w:lang w:eastAsia="sk-SK"/>
              </w:rPr>
            </w:pPr>
            <w:r w:rsidRPr="00352FE0">
              <w:rPr>
                <w:rFonts w:eastAsia="Times New Roman" w:cs="Times New Roman"/>
                <w:b/>
                <w:bCs/>
                <w:color w:val="FFFFFF"/>
                <w:sz w:val="18"/>
                <w:szCs w:val="18"/>
                <w:lang w:eastAsia="sk-SK"/>
              </w:rPr>
              <w:t> </w:t>
            </w:r>
          </w:p>
        </w:tc>
        <w:tc>
          <w:tcPr>
            <w:tcW w:w="556" w:type="pct"/>
            <w:tcBorders>
              <w:top w:val="single" w:sz="4" w:space="0" w:color="auto"/>
              <w:left w:val="nil"/>
              <w:bottom w:val="single" w:sz="4" w:space="0" w:color="auto"/>
              <w:right w:val="nil"/>
            </w:tcBorders>
            <w:shd w:val="clear" w:color="000000" w:fill="000000"/>
            <w:noWrap/>
            <w:vAlign w:val="center"/>
            <w:hideMark/>
          </w:tcPr>
          <w:p w14:paraId="0ADE8A39" w14:textId="77777777" w:rsidR="00CB3C45" w:rsidRPr="00352FE0" w:rsidRDefault="00CB3C45" w:rsidP="00842F2E">
            <w:pPr>
              <w:spacing w:after="0" w:line="240" w:lineRule="auto"/>
              <w:jc w:val="right"/>
              <w:rPr>
                <w:rFonts w:eastAsia="Times New Roman" w:cs="Times New Roman"/>
                <w:b/>
                <w:bCs/>
                <w:color w:val="FFFFFF"/>
                <w:sz w:val="18"/>
                <w:szCs w:val="18"/>
                <w:lang w:eastAsia="sk-SK"/>
              </w:rPr>
            </w:pPr>
            <w:r w:rsidRPr="00352FE0">
              <w:rPr>
                <w:rFonts w:eastAsia="Times New Roman" w:cs="Times New Roman"/>
                <w:b/>
                <w:bCs/>
                <w:color w:val="FFFFFF"/>
                <w:sz w:val="18"/>
                <w:szCs w:val="18"/>
                <w:lang w:eastAsia="sk-SK"/>
              </w:rPr>
              <w:t>v tis. eur</w:t>
            </w:r>
          </w:p>
        </w:tc>
      </w:tr>
      <w:tr w:rsidR="00CB3C45" w:rsidRPr="00352FE0" w14:paraId="7FB4EC20" w14:textId="77777777" w:rsidTr="00C148B1">
        <w:trPr>
          <w:trHeight w:val="540"/>
          <w:tblHeader/>
        </w:trPr>
        <w:tc>
          <w:tcPr>
            <w:tcW w:w="2605" w:type="pct"/>
            <w:tcBorders>
              <w:top w:val="single" w:sz="4" w:space="0" w:color="auto"/>
              <w:left w:val="nil"/>
              <w:bottom w:val="nil"/>
              <w:right w:val="nil"/>
            </w:tcBorders>
            <w:shd w:val="clear" w:color="000000" w:fill="BFBFBF"/>
            <w:vAlign w:val="center"/>
            <w:hideMark/>
          </w:tcPr>
          <w:p w14:paraId="64B84FF1" w14:textId="77777777" w:rsidR="00CB3C45" w:rsidRPr="00352FE0" w:rsidRDefault="00CB3C45" w:rsidP="00842F2E">
            <w:pPr>
              <w:spacing w:after="0" w:line="240" w:lineRule="auto"/>
              <w:rPr>
                <w:rFonts w:eastAsia="Times New Roman" w:cs="Times New Roman"/>
                <w:b/>
                <w:bCs/>
                <w:sz w:val="18"/>
                <w:szCs w:val="18"/>
                <w:lang w:eastAsia="sk-SK"/>
              </w:rPr>
            </w:pPr>
            <w:r w:rsidRPr="00352FE0">
              <w:rPr>
                <w:rFonts w:eastAsia="Times New Roman" w:cs="Times New Roman"/>
                <w:b/>
                <w:bCs/>
                <w:sz w:val="18"/>
                <w:szCs w:val="18"/>
                <w:lang w:eastAsia="sk-SK"/>
              </w:rPr>
              <w:t> </w:t>
            </w:r>
          </w:p>
        </w:tc>
        <w:tc>
          <w:tcPr>
            <w:tcW w:w="642" w:type="pct"/>
            <w:tcBorders>
              <w:top w:val="single" w:sz="4" w:space="0" w:color="auto"/>
              <w:left w:val="nil"/>
              <w:bottom w:val="nil"/>
              <w:right w:val="nil"/>
            </w:tcBorders>
            <w:shd w:val="clear" w:color="000000" w:fill="BFBFBF"/>
            <w:vAlign w:val="center"/>
            <w:hideMark/>
          </w:tcPr>
          <w:p w14:paraId="0DDFB7F5" w14:textId="77777777" w:rsidR="00CB3C45" w:rsidRPr="00352FE0" w:rsidRDefault="00CB3C45" w:rsidP="00842F2E">
            <w:pPr>
              <w:spacing w:after="0" w:line="240" w:lineRule="auto"/>
              <w:jc w:val="center"/>
              <w:rPr>
                <w:rFonts w:eastAsia="Times New Roman" w:cs="Times New Roman"/>
                <w:b/>
                <w:bCs/>
                <w:sz w:val="18"/>
                <w:szCs w:val="18"/>
                <w:lang w:eastAsia="sk-SK"/>
              </w:rPr>
            </w:pPr>
            <w:r w:rsidRPr="00352FE0">
              <w:rPr>
                <w:rFonts w:eastAsia="Times New Roman" w:cs="Times New Roman"/>
                <w:b/>
                <w:bCs/>
                <w:sz w:val="18"/>
                <w:szCs w:val="18"/>
                <w:lang w:eastAsia="sk-SK"/>
              </w:rPr>
              <w:t>k 31.12.2018</w:t>
            </w:r>
          </w:p>
        </w:tc>
        <w:tc>
          <w:tcPr>
            <w:tcW w:w="598" w:type="pct"/>
            <w:tcBorders>
              <w:top w:val="single" w:sz="4" w:space="0" w:color="auto"/>
              <w:left w:val="nil"/>
              <w:bottom w:val="nil"/>
              <w:right w:val="nil"/>
            </w:tcBorders>
            <w:shd w:val="clear" w:color="000000" w:fill="BFBFBF"/>
            <w:vAlign w:val="center"/>
            <w:hideMark/>
          </w:tcPr>
          <w:p w14:paraId="5AA0D897" w14:textId="77777777" w:rsidR="00CB3C45" w:rsidRPr="00352FE0" w:rsidRDefault="00CB3C45" w:rsidP="00842F2E">
            <w:pPr>
              <w:spacing w:after="0" w:line="240" w:lineRule="auto"/>
              <w:jc w:val="center"/>
              <w:rPr>
                <w:rFonts w:eastAsia="Times New Roman" w:cs="Times New Roman"/>
                <w:b/>
                <w:bCs/>
                <w:sz w:val="18"/>
                <w:szCs w:val="18"/>
                <w:lang w:eastAsia="sk-SK"/>
              </w:rPr>
            </w:pPr>
            <w:r w:rsidRPr="00352FE0">
              <w:rPr>
                <w:rFonts w:eastAsia="Times New Roman" w:cs="Times New Roman"/>
                <w:b/>
                <w:bCs/>
                <w:sz w:val="18"/>
                <w:szCs w:val="18"/>
                <w:lang w:eastAsia="sk-SK"/>
              </w:rPr>
              <w:t>k 31.12.2019</w:t>
            </w:r>
          </w:p>
        </w:tc>
        <w:tc>
          <w:tcPr>
            <w:tcW w:w="599" w:type="pct"/>
            <w:tcBorders>
              <w:top w:val="single" w:sz="4" w:space="0" w:color="auto"/>
              <w:left w:val="nil"/>
              <w:bottom w:val="nil"/>
              <w:right w:val="nil"/>
            </w:tcBorders>
            <w:shd w:val="clear" w:color="000000" w:fill="BFBFBF"/>
            <w:vAlign w:val="center"/>
            <w:hideMark/>
          </w:tcPr>
          <w:p w14:paraId="67A20799" w14:textId="77777777" w:rsidR="00CB3C45" w:rsidRPr="00352FE0" w:rsidRDefault="00CB3C45" w:rsidP="00842F2E">
            <w:pPr>
              <w:spacing w:after="0" w:line="240" w:lineRule="auto"/>
              <w:jc w:val="center"/>
              <w:rPr>
                <w:rFonts w:eastAsia="Times New Roman" w:cs="Times New Roman"/>
                <w:b/>
                <w:bCs/>
                <w:sz w:val="18"/>
                <w:szCs w:val="18"/>
                <w:lang w:eastAsia="sk-SK"/>
              </w:rPr>
            </w:pPr>
            <w:r w:rsidRPr="00352FE0">
              <w:rPr>
                <w:rFonts w:eastAsia="Times New Roman" w:cs="Times New Roman"/>
                <w:b/>
                <w:bCs/>
                <w:sz w:val="18"/>
                <w:szCs w:val="18"/>
                <w:lang w:eastAsia="sk-SK"/>
              </w:rPr>
              <w:t>k 31.12.2020</w:t>
            </w:r>
          </w:p>
        </w:tc>
        <w:tc>
          <w:tcPr>
            <w:tcW w:w="556" w:type="pct"/>
            <w:tcBorders>
              <w:top w:val="single" w:sz="4" w:space="0" w:color="auto"/>
              <w:left w:val="nil"/>
              <w:bottom w:val="nil"/>
              <w:right w:val="nil"/>
            </w:tcBorders>
            <w:shd w:val="clear" w:color="000000" w:fill="BFBFBF"/>
            <w:vAlign w:val="center"/>
            <w:hideMark/>
          </w:tcPr>
          <w:p w14:paraId="4E0A6441" w14:textId="77777777" w:rsidR="00CB3C45" w:rsidRPr="00352FE0" w:rsidRDefault="00CB3C45" w:rsidP="00842F2E">
            <w:pPr>
              <w:spacing w:after="0" w:line="240" w:lineRule="auto"/>
              <w:jc w:val="center"/>
              <w:rPr>
                <w:rFonts w:eastAsia="Times New Roman" w:cs="Times New Roman"/>
                <w:b/>
                <w:bCs/>
                <w:sz w:val="18"/>
                <w:szCs w:val="18"/>
                <w:lang w:eastAsia="sk-SK"/>
              </w:rPr>
            </w:pPr>
            <w:r w:rsidRPr="00352FE0">
              <w:rPr>
                <w:rFonts w:eastAsia="Times New Roman" w:cs="Times New Roman"/>
                <w:b/>
                <w:bCs/>
                <w:sz w:val="18"/>
                <w:szCs w:val="18"/>
                <w:lang w:eastAsia="sk-SK"/>
              </w:rPr>
              <w:t>Zmena</w:t>
            </w:r>
          </w:p>
        </w:tc>
      </w:tr>
      <w:tr w:rsidR="00CB3C45" w:rsidRPr="00352FE0" w14:paraId="1DF8B31E" w14:textId="77777777" w:rsidTr="000B224E">
        <w:trPr>
          <w:trHeight w:val="68"/>
          <w:tblHeader/>
        </w:trPr>
        <w:tc>
          <w:tcPr>
            <w:tcW w:w="2605" w:type="pct"/>
            <w:tcBorders>
              <w:top w:val="nil"/>
              <w:left w:val="nil"/>
              <w:bottom w:val="single" w:sz="4" w:space="0" w:color="auto"/>
              <w:right w:val="nil"/>
            </w:tcBorders>
            <w:shd w:val="clear" w:color="000000" w:fill="BFBFBF"/>
            <w:noWrap/>
            <w:vAlign w:val="bottom"/>
            <w:hideMark/>
          </w:tcPr>
          <w:p w14:paraId="5AD371A6" w14:textId="77777777" w:rsidR="00CB3C45" w:rsidRPr="00352FE0" w:rsidRDefault="00CB3C45" w:rsidP="00842F2E">
            <w:pPr>
              <w:spacing w:after="0" w:line="240" w:lineRule="auto"/>
              <w:jc w:val="center"/>
              <w:rPr>
                <w:rFonts w:eastAsia="Times New Roman" w:cs="Times New Roman"/>
                <w:sz w:val="18"/>
                <w:szCs w:val="18"/>
                <w:lang w:eastAsia="sk-SK"/>
              </w:rPr>
            </w:pPr>
            <w:r w:rsidRPr="00352FE0">
              <w:rPr>
                <w:rFonts w:eastAsia="Times New Roman" w:cs="Times New Roman"/>
                <w:sz w:val="18"/>
                <w:szCs w:val="18"/>
                <w:lang w:eastAsia="sk-SK"/>
              </w:rPr>
              <w:t> </w:t>
            </w:r>
          </w:p>
        </w:tc>
        <w:tc>
          <w:tcPr>
            <w:tcW w:w="642" w:type="pct"/>
            <w:tcBorders>
              <w:top w:val="nil"/>
              <w:left w:val="nil"/>
              <w:bottom w:val="single" w:sz="4" w:space="0" w:color="auto"/>
              <w:right w:val="nil"/>
            </w:tcBorders>
            <w:shd w:val="clear" w:color="000000" w:fill="BFBFBF"/>
            <w:noWrap/>
            <w:vAlign w:val="bottom"/>
            <w:hideMark/>
          </w:tcPr>
          <w:p w14:paraId="7CBBC80A" w14:textId="77777777" w:rsidR="00CB3C45" w:rsidRPr="00352FE0" w:rsidRDefault="00CB3C45" w:rsidP="00842F2E">
            <w:pPr>
              <w:spacing w:after="0" w:line="240" w:lineRule="auto"/>
              <w:jc w:val="center"/>
              <w:rPr>
                <w:rFonts w:eastAsia="Times New Roman" w:cs="Times New Roman"/>
                <w:sz w:val="18"/>
                <w:szCs w:val="18"/>
                <w:lang w:eastAsia="sk-SK"/>
              </w:rPr>
            </w:pPr>
            <w:r w:rsidRPr="00352FE0">
              <w:rPr>
                <w:rFonts w:eastAsia="Times New Roman" w:cs="Times New Roman"/>
                <w:sz w:val="18"/>
                <w:szCs w:val="18"/>
                <w:lang w:eastAsia="sk-SK"/>
              </w:rPr>
              <w:t>1</w:t>
            </w:r>
          </w:p>
        </w:tc>
        <w:tc>
          <w:tcPr>
            <w:tcW w:w="598" w:type="pct"/>
            <w:tcBorders>
              <w:top w:val="nil"/>
              <w:left w:val="nil"/>
              <w:bottom w:val="single" w:sz="4" w:space="0" w:color="auto"/>
              <w:right w:val="nil"/>
            </w:tcBorders>
            <w:shd w:val="clear" w:color="000000" w:fill="BFBFBF"/>
            <w:noWrap/>
            <w:vAlign w:val="bottom"/>
            <w:hideMark/>
          </w:tcPr>
          <w:p w14:paraId="4AF62690" w14:textId="77777777" w:rsidR="00CB3C45" w:rsidRPr="00352FE0" w:rsidRDefault="00CB3C45" w:rsidP="00842F2E">
            <w:pPr>
              <w:spacing w:after="0" w:line="240" w:lineRule="auto"/>
              <w:jc w:val="center"/>
              <w:rPr>
                <w:rFonts w:eastAsia="Times New Roman" w:cs="Times New Roman"/>
                <w:sz w:val="18"/>
                <w:szCs w:val="18"/>
                <w:lang w:eastAsia="sk-SK"/>
              </w:rPr>
            </w:pPr>
            <w:r w:rsidRPr="00352FE0">
              <w:rPr>
                <w:rFonts w:eastAsia="Times New Roman" w:cs="Times New Roman"/>
                <w:sz w:val="18"/>
                <w:szCs w:val="18"/>
                <w:lang w:eastAsia="sk-SK"/>
              </w:rPr>
              <w:t>2</w:t>
            </w:r>
          </w:p>
        </w:tc>
        <w:tc>
          <w:tcPr>
            <w:tcW w:w="599" w:type="pct"/>
            <w:tcBorders>
              <w:top w:val="nil"/>
              <w:left w:val="nil"/>
              <w:bottom w:val="single" w:sz="4" w:space="0" w:color="auto"/>
              <w:right w:val="nil"/>
            </w:tcBorders>
            <w:shd w:val="clear" w:color="000000" w:fill="BFBFBF"/>
            <w:noWrap/>
            <w:vAlign w:val="bottom"/>
            <w:hideMark/>
          </w:tcPr>
          <w:p w14:paraId="603230C3" w14:textId="77777777" w:rsidR="00CB3C45" w:rsidRPr="00352FE0" w:rsidRDefault="00CB3C45" w:rsidP="00842F2E">
            <w:pPr>
              <w:spacing w:after="0" w:line="240" w:lineRule="auto"/>
              <w:jc w:val="center"/>
              <w:rPr>
                <w:rFonts w:eastAsia="Times New Roman" w:cs="Times New Roman"/>
                <w:sz w:val="18"/>
                <w:szCs w:val="18"/>
                <w:lang w:eastAsia="sk-SK"/>
              </w:rPr>
            </w:pPr>
            <w:r w:rsidRPr="00352FE0">
              <w:rPr>
                <w:rFonts w:eastAsia="Times New Roman" w:cs="Times New Roman"/>
                <w:sz w:val="18"/>
                <w:szCs w:val="18"/>
                <w:lang w:eastAsia="sk-SK"/>
              </w:rPr>
              <w:t>3</w:t>
            </w:r>
          </w:p>
        </w:tc>
        <w:tc>
          <w:tcPr>
            <w:tcW w:w="556" w:type="pct"/>
            <w:tcBorders>
              <w:top w:val="nil"/>
              <w:left w:val="nil"/>
              <w:bottom w:val="single" w:sz="4" w:space="0" w:color="auto"/>
              <w:right w:val="nil"/>
            </w:tcBorders>
            <w:shd w:val="clear" w:color="000000" w:fill="BFBFBF"/>
            <w:noWrap/>
            <w:vAlign w:val="bottom"/>
            <w:hideMark/>
          </w:tcPr>
          <w:p w14:paraId="00858980" w14:textId="77777777" w:rsidR="00CB3C45" w:rsidRPr="00352FE0" w:rsidRDefault="00CB3C45" w:rsidP="00842F2E">
            <w:pPr>
              <w:spacing w:after="0" w:line="240" w:lineRule="auto"/>
              <w:jc w:val="center"/>
              <w:rPr>
                <w:rFonts w:eastAsia="Times New Roman" w:cs="Times New Roman"/>
                <w:sz w:val="18"/>
                <w:szCs w:val="18"/>
                <w:lang w:eastAsia="sk-SK"/>
              </w:rPr>
            </w:pPr>
            <w:r w:rsidRPr="00352FE0">
              <w:rPr>
                <w:rFonts w:eastAsia="Times New Roman" w:cs="Times New Roman"/>
                <w:sz w:val="18"/>
                <w:szCs w:val="18"/>
                <w:lang w:eastAsia="sk-SK"/>
              </w:rPr>
              <w:t>4=(3-2)</w:t>
            </w:r>
          </w:p>
        </w:tc>
      </w:tr>
      <w:tr w:rsidR="00CB3C45" w:rsidRPr="00352FE0" w14:paraId="36E15AED" w14:textId="77777777" w:rsidTr="002A2EAF">
        <w:trPr>
          <w:trHeight w:val="300"/>
        </w:trPr>
        <w:tc>
          <w:tcPr>
            <w:tcW w:w="2605" w:type="pct"/>
            <w:tcBorders>
              <w:top w:val="nil"/>
              <w:left w:val="nil"/>
              <w:bottom w:val="nil"/>
              <w:right w:val="nil"/>
            </w:tcBorders>
            <w:shd w:val="clear" w:color="auto" w:fill="auto"/>
            <w:noWrap/>
            <w:vAlign w:val="bottom"/>
            <w:hideMark/>
          </w:tcPr>
          <w:p w14:paraId="68FC418A" w14:textId="77777777" w:rsidR="00CB3C45" w:rsidRPr="00352FE0" w:rsidRDefault="00CB3C45" w:rsidP="00842F2E">
            <w:pPr>
              <w:spacing w:after="0" w:line="240" w:lineRule="auto"/>
              <w:jc w:val="left"/>
              <w:rPr>
                <w:rFonts w:eastAsia="Times New Roman" w:cs="Times New Roman"/>
                <w:b/>
                <w:bCs/>
                <w:sz w:val="18"/>
                <w:szCs w:val="18"/>
                <w:lang w:eastAsia="sk-SK"/>
              </w:rPr>
            </w:pPr>
            <w:r w:rsidRPr="00352FE0">
              <w:rPr>
                <w:rFonts w:eastAsia="Times New Roman" w:cs="Times New Roman"/>
                <w:b/>
                <w:bCs/>
                <w:sz w:val="18"/>
                <w:szCs w:val="18"/>
                <w:lang w:eastAsia="sk-SK"/>
              </w:rPr>
              <w:t>Ústredná správa</w:t>
            </w:r>
          </w:p>
        </w:tc>
        <w:tc>
          <w:tcPr>
            <w:tcW w:w="642" w:type="pct"/>
            <w:tcBorders>
              <w:top w:val="nil"/>
              <w:left w:val="nil"/>
              <w:bottom w:val="nil"/>
              <w:right w:val="nil"/>
            </w:tcBorders>
            <w:shd w:val="clear" w:color="auto" w:fill="auto"/>
            <w:noWrap/>
            <w:vAlign w:val="bottom"/>
            <w:hideMark/>
          </w:tcPr>
          <w:p w14:paraId="306B46F4" w14:textId="77777777" w:rsidR="00CB3C45" w:rsidRPr="00352FE0" w:rsidRDefault="00CB3C45" w:rsidP="00842F2E">
            <w:pPr>
              <w:spacing w:after="0" w:line="240" w:lineRule="auto"/>
              <w:jc w:val="left"/>
              <w:rPr>
                <w:rFonts w:eastAsia="Times New Roman" w:cs="Times New Roman"/>
                <w:b/>
                <w:bCs/>
                <w:sz w:val="18"/>
                <w:szCs w:val="18"/>
                <w:lang w:eastAsia="sk-SK"/>
              </w:rPr>
            </w:pPr>
          </w:p>
        </w:tc>
        <w:tc>
          <w:tcPr>
            <w:tcW w:w="598" w:type="pct"/>
            <w:tcBorders>
              <w:top w:val="nil"/>
              <w:left w:val="nil"/>
              <w:bottom w:val="nil"/>
              <w:right w:val="nil"/>
            </w:tcBorders>
            <w:shd w:val="clear" w:color="auto" w:fill="auto"/>
            <w:noWrap/>
            <w:vAlign w:val="bottom"/>
            <w:hideMark/>
          </w:tcPr>
          <w:p w14:paraId="1E8DCB85" w14:textId="77777777" w:rsidR="00CB3C45" w:rsidRPr="00352FE0" w:rsidRDefault="00CB3C45" w:rsidP="00842F2E">
            <w:pPr>
              <w:spacing w:after="0" w:line="240" w:lineRule="auto"/>
              <w:jc w:val="left"/>
              <w:rPr>
                <w:rFonts w:eastAsia="Times New Roman" w:cs="Times New Roman"/>
                <w:sz w:val="18"/>
                <w:szCs w:val="18"/>
                <w:lang w:eastAsia="sk-SK"/>
              </w:rPr>
            </w:pPr>
          </w:p>
        </w:tc>
        <w:tc>
          <w:tcPr>
            <w:tcW w:w="599" w:type="pct"/>
            <w:tcBorders>
              <w:top w:val="nil"/>
              <w:left w:val="nil"/>
              <w:bottom w:val="nil"/>
              <w:right w:val="nil"/>
            </w:tcBorders>
            <w:shd w:val="clear" w:color="000000" w:fill="BFBFBF"/>
            <w:noWrap/>
            <w:vAlign w:val="bottom"/>
            <w:hideMark/>
          </w:tcPr>
          <w:p w14:paraId="40C56EBB" w14:textId="77777777" w:rsidR="00CB3C45" w:rsidRPr="00352FE0" w:rsidRDefault="00CB3C45" w:rsidP="00842F2E">
            <w:pPr>
              <w:spacing w:after="0" w:line="240" w:lineRule="auto"/>
              <w:jc w:val="left"/>
              <w:rPr>
                <w:rFonts w:eastAsia="Times New Roman" w:cs="Times New Roman"/>
                <w:sz w:val="18"/>
                <w:szCs w:val="18"/>
                <w:lang w:eastAsia="sk-SK"/>
              </w:rPr>
            </w:pPr>
            <w:r w:rsidRPr="00352FE0">
              <w:rPr>
                <w:rFonts w:eastAsia="Times New Roman" w:cs="Times New Roman"/>
                <w:sz w:val="18"/>
                <w:szCs w:val="18"/>
                <w:lang w:eastAsia="sk-SK"/>
              </w:rPr>
              <w:t> </w:t>
            </w:r>
          </w:p>
        </w:tc>
        <w:tc>
          <w:tcPr>
            <w:tcW w:w="556" w:type="pct"/>
            <w:tcBorders>
              <w:top w:val="nil"/>
              <w:left w:val="nil"/>
              <w:bottom w:val="nil"/>
              <w:right w:val="nil"/>
            </w:tcBorders>
            <w:shd w:val="clear" w:color="auto" w:fill="auto"/>
            <w:noWrap/>
            <w:vAlign w:val="bottom"/>
            <w:hideMark/>
          </w:tcPr>
          <w:p w14:paraId="7135C55C" w14:textId="77777777" w:rsidR="00CB3C45" w:rsidRPr="00352FE0" w:rsidRDefault="00CB3C45" w:rsidP="00842F2E">
            <w:pPr>
              <w:spacing w:after="0" w:line="240" w:lineRule="auto"/>
              <w:jc w:val="left"/>
              <w:rPr>
                <w:rFonts w:eastAsia="Times New Roman" w:cs="Times New Roman"/>
                <w:sz w:val="18"/>
                <w:szCs w:val="18"/>
                <w:lang w:eastAsia="sk-SK"/>
              </w:rPr>
            </w:pPr>
          </w:p>
        </w:tc>
      </w:tr>
      <w:tr w:rsidR="00CB3C45" w:rsidRPr="00352FE0" w14:paraId="71E8C5CC" w14:textId="77777777" w:rsidTr="002A2EAF">
        <w:trPr>
          <w:trHeight w:val="300"/>
        </w:trPr>
        <w:tc>
          <w:tcPr>
            <w:tcW w:w="2605" w:type="pct"/>
            <w:tcBorders>
              <w:top w:val="nil"/>
              <w:left w:val="nil"/>
              <w:bottom w:val="nil"/>
              <w:right w:val="nil"/>
            </w:tcBorders>
            <w:shd w:val="clear" w:color="auto" w:fill="auto"/>
            <w:noWrap/>
            <w:vAlign w:val="bottom"/>
            <w:hideMark/>
          </w:tcPr>
          <w:p w14:paraId="7E69FD5A" w14:textId="77777777" w:rsidR="00CB3C45" w:rsidRPr="00352FE0" w:rsidRDefault="00CB3C45" w:rsidP="00842F2E">
            <w:pPr>
              <w:spacing w:after="0" w:line="240" w:lineRule="auto"/>
              <w:ind w:firstLineChars="100" w:firstLine="180"/>
              <w:jc w:val="left"/>
              <w:rPr>
                <w:rFonts w:eastAsia="Times New Roman" w:cs="Times New Roman"/>
                <w:sz w:val="18"/>
                <w:szCs w:val="18"/>
                <w:lang w:eastAsia="sk-SK"/>
              </w:rPr>
            </w:pPr>
            <w:r w:rsidRPr="00352FE0">
              <w:rPr>
                <w:rFonts w:eastAsia="Times New Roman" w:cs="Times New Roman"/>
                <w:sz w:val="18"/>
                <w:szCs w:val="18"/>
                <w:lang w:eastAsia="sk-SK"/>
              </w:rPr>
              <w:t xml:space="preserve">z toho: </w:t>
            </w:r>
          </w:p>
        </w:tc>
        <w:tc>
          <w:tcPr>
            <w:tcW w:w="642" w:type="pct"/>
            <w:tcBorders>
              <w:top w:val="nil"/>
              <w:left w:val="nil"/>
              <w:bottom w:val="nil"/>
              <w:right w:val="nil"/>
            </w:tcBorders>
            <w:shd w:val="clear" w:color="auto" w:fill="auto"/>
            <w:noWrap/>
            <w:vAlign w:val="bottom"/>
            <w:hideMark/>
          </w:tcPr>
          <w:p w14:paraId="43295BEF" w14:textId="77777777" w:rsidR="00CB3C45" w:rsidRPr="00352FE0" w:rsidRDefault="00CB3C45" w:rsidP="00842F2E">
            <w:pPr>
              <w:spacing w:after="0" w:line="240" w:lineRule="auto"/>
              <w:ind w:firstLineChars="100" w:firstLine="180"/>
              <w:jc w:val="left"/>
              <w:rPr>
                <w:rFonts w:eastAsia="Times New Roman" w:cs="Times New Roman"/>
                <w:sz w:val="18"/>
                <w:szCs w:val="18"/>
                <w:lang w:eastAsia="sk-SK"/>
              </w:rPr>
            </w:pPr>
          </w:p>
        </w:tc>
        <w:tc>
          <w:tcPr>
            <w:tcW w:w="598" w:type="pct"/>
            <w:tcBorders>
              <w:top w:val="nil"/>
              <w:left w:val="nil"/>
              <w:bottom w:val="nil"/>
              <w:right w:val="nil"/>
            </w:tcBorders>
            <w:shd w:val="clear" w:color="auto" w:fill="auto"/>
            <w:noWrap/>
            <w:vAlign w:val="bottom"/>
            <w:hideMark/>
          </w:tcPr>
          <w:p w14:paraId="24B8AB94" w14:textId="77777777" w:rsidR="00CB3C45" w:rsidRPr="00352FE0" w:rsidRDefault="00CB3C45" w:rsidP="00842F2E">
            <w:pPr>
              <w:spacing w:after="0" w:line="240" w:lineRule="auto"/>
              <w:jc w:val="left"/>
              <w:rPr>
                <w:rFonts w:eastAsia="Times New Roman" w:cs="Times New Roman"/>
                <w:sz w:val="18"/>
                <w:szCs w:val="18"/>
                <w:lang w:eastAsia="sk-SK"/>
              </w:rPr>
            </w:pPr>
          </w:p>
        </w:tc>
        <w:tc>
          <w:tcPr>
            <w:tcW w:w="599" w:type="pct"/>
            <w:tcBorders>
              <w:top w:val="nil"/>
              <w:left w:val="nil"/>
              <w:bottom w:val="nil"/>
              <w:right w:val="nil"/>
            </w:tcBorders>
            <w:shd w:val="clear" w:color="000000" w:fill="BFBFBF"/>
            <w:noWrap/>
            <w:vAlign w:val="bottom"/>
            <w:hideMark/>
          </w:tcPr>
          <w:p w14:paraId="5B9B18BE" w14:textId="77777777" w:rsidR="00CB3C45" w:rsidRPr="00352FE0" w:rsidRDefault="00CB3C45" w:rsidP="00842F2E">
            <w:pPr>
              <w:spacing w:after="0" w:line="240" w:lineRule="auto"/>
              <w:jc w:val="left"/>
              <w:rPr>
                <w:rFonts w:eastAsia="Times New Roman" w:cs="Times New Roman"/>
                <w:sz w:val="18"/>
                <w:szCs w:val="18"/>
                <w:lang w:eastAsia="sk-SK"/>
              </w:rPr>
            </w:pPr>
            <w:r w:rsidRPr="00352FE0">
              <w:rPr>
                <w:rFonts w:eastAsia="Times New Roman" w:cs="Times New Roman"/>
                <w:sz w:val="18"/>
                <w:szCs w:val="18"/>
                <w:lang w:eastAsia="sk-SK"/>
              </w:rPr>
              <w:t> </w:t>
            </w:r>
          </w:p>
        </w:tc>
        <w:tc>
          <w:tcPr>
            <w:tcW w:w="556" w:type="pct"/>
            <w:tcBorders>
              <w:top w:val="nil"/>
              <w:left w:val="nil"/>
              <w:bottom w:val="nil"/>
              <w:right w:val="nil"/>
            </w:tcBorders>
            <w:shd w:val="clear" w:color="auto" w:fill="auto"/>
            <w:noWrap/>
            <w:vAlign w:val="bottom"/>
            <w:hideMark/>
          </w:tcPr>
          <w:p w14:paraId="681111E7" w14:textId="77777777" w:rsidR="00CB3C45" w:rsidRPr="00352FE0" w:rsidRDefault="00CB3C45" w:rsidP="00842F2E">
            <w:pPr>
              <w:spacing w:after="0" w:line="240" w:lineRule="auto"/>
              <w:jc w:val="left"/>
              <w:rPr>
                <w:rFonts w:eastAsia="Times New Roman" w:cs="Times New Roman"/>
                <w:sz w:val="18"/>
                <w:szCs w:val="18"/>
                <w:lang w:eastAsia="sk-SK"/>
              </w:rPr>
            </w:pPr>
          </w:p>
        </w:tc>
      </w:tr>
      <w:tr w:rsidR="00CB3C45" w:rsidRPr="00352FE0" w14:paraId="0F929AAE" w14:textId="77777777" w:rsidTr="002A2EAF">
        <w:trPr>
          <w:trHeight w:val="330"/>
        </w:trPr>
        <w:tc>
          <w:tcPr>
            <w:tcW w:w="2605" w:type="pct"/>
            <w:tcBorders>
              <w:top w:val="nil"/>
              <w:left w:val="nil"/>
              <w:bottom w:val="nil"/>
              <w:right w:val="nil"/>
            </w:tcBorders>
            <w:shd w:val="clear" w:color="auto" w:fill="auto"/>
            <w:noWrap/>
            <w:vAlign w:val="bottom"/>
            <w:hideMark/>
          </w:tcPr>
          <w:p w14:paraId="09F91F1F" w14:textId="77777777" w:rsidR="00CB3C45" w:rsidRPr="00352FE0" w:rsidRDefault="00CB3C45" w:rsidP="00842F2E">
            <w:pPr>
              <w:spacing w:after="0" w:line="240" w:lineRule="auto"/>
              <w:ind w:firstLineChars="200" w:firstLine="360"/>
              <w:jc w:val="left"/>
              <w:rPr>
                <w:rFonts w:eastAsia="Times New Roman" w:cs="Times New Roman"/>
                <w:sz w:val="18"/>
                <w:szCs w:val="18"/>
                <w:lang w:eastAsia="sk-SK"/>
              </w:rPr>
            </w:pPr>
            <w:r w:rsidRPr="00352FE0">
              <w:rPr>
                <w:rFonts w:eastAsia="Times New Roman" w:cs="Times New Roman"/>
                <w:sz w:val="18"/>
                <w:szCs w:val="18"/>
                <w:lang w:eastAsia="sk-SK"/>
              </w:rPr>
              <w:t xml:space="preserve">Štátny dlh  </w:t>
            </w:r>
            <w:r w:rsidRPr="00352FE0">
              <w:rPr>
                <w:rFonts w:eastAsia="Times New Roman" w:cs="Times New Roman"/>
                <w:sz w:val="18"/>
                <w:szCs w:val="18"/>
                <w:vertAlign w:val="superscript"/>
                <w:lang w:eastAsia="sk-SK"/>
              </w:rPr>
              <w:t>1)</w:t>
            </w:r>
          </w:p>
        </w:tc>
        <w:tc>
          <w:tcPr>
            <w:tcW w:w="642" w:type="pct"/>
            <w:tcBorders>
              <w:top w:val="nil"/>
              <w:left w:val="nil"/>
              <w:bottom w:val="nil"/>
              <w:right w:val="nil"/>
            </w:tcBorders>
            <w:shd w:val="clear" w:color="auto" w:fill="auto"/>
            <w:noWrap/>
            <w:vAlign w:val="bottom"/>
            <w:hideMark/>
          </w:tcPr>
          <w:p w14:paraId="352B8D0D"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42 619 545</w:t>
            </w:r>
          </w:p>
        </w:tc>
        <w:tc>
          <w:tcPr>
            <w:tcW w:w="598" w:type="pct"/>
            <w:tcBorders>
              <w:top w:val="nil"/>
              <w:left w:val="nil"/>
              <w:bottom w:val="nil"/>
              <w:right w:val="nil"/>
            </w:tcBorders>
            <w:shd w:val="clear" w:color="auto" w:fill="auto"/>
            <w:noWrap/>
            <w:vAlign w:val="bottom"/>
            <w:hideMark/>
          </w:tcPr>
          <w:p w14:paraId="62CF0CAE"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43 256 363</w:t>
            </w:r>
          </w:p>
        </w:tc>
        <w:tc>
          <w:tcPr>
            <w:tcW w:w="599" w:type="pct"/>
            <w:tcBorders>
              <w:top w:val="nil"/>
              <w:left w:val="nil"/>
              <w:bottom w:val="nil"/>
              <w:right w:val="nil"/>
            </w:tcBorders>
            <w:shd w:val="clear" w:color="000000" w:fill="BFBFBF"/>
            <w:noWrap/>
            <w:vAlign w:val="bottom"/>
            <w:hideMark/>
          </w:tcPr>
          <w:p w14:paraId="3C264AB3"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53 046 072</w:t>
            </w:r>
          </w:p>
        </w:tc>
        <w:tc>
          <w:tcPr>
            <w:tcW w:w="556" w:type="pct"/>
            <w:tcBorders>
              <w:top w:val="nil"/>
              <w:left w:val="nil"/>
              <w:bottom w:val="nil"/>
              <w:right w:val="nil"/>
            </w:tcBorders>
            <w:shd w:val="clear" w:color="auto" w:fill="auto"/>
            <w:noWrap/>
            <w:vAlign w:val="bottom"/>
            <w:hideMark/>
          </w:tcPr>
          <w:p w14:paraId="240C868D"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9 789 709</w:t>
            </w:r>
          </w:p>
        </w:tc>
      </w:tr>
      <w:tr w:rsidR="00CB3C45" w:rsidRPr="00352FE0" w14:paraId="20426D28" w14:textId="77777777" w:rsidTr="002A2EAF">
        <w:trPr>
          <w:trHeight w:val="300"/>
        </w:trPr>
        <w:tc>
          <w:tcPr>
            <w:tcW w:w="2605" w:type="pct"/>
            <w:tcBorders>
              <w:top w:val="nil"/>
              <w:left w:val="nil"/>
              <w:bottom w:val="nil"/>
              <w:right w:val="nil"/>
            </w:tcBorders>
            <w:shd w:val="clear" w:color="auto" w:fill="auto"/>
            <w:noWrap/>
            <w:vAlign w:val="bottom"/>
            <w:hideMark/>
          </w:tcPr>
          <w:p w14:paraId="0644B552" w14:textId="77777777" w:rsidR="00CB3C45" w:rsidRPr="00352FE0" w:rsidRDefault="00CB3C45" w:rsidP="00842F2E">
            <w:pPr>
              <w:spacing w:after="0" w:line="240" w:lineRule="auto"/>
              <w:ind w:firstLineChars="200" w:firstLine="360"/>
              <w:jc w:val="left"/>
              <w:rPr>
                <w:rFonts w:eastAsia="Times New Roman" w:cs="Times New Roman"/>
                <w:sz w:val="18"/>
                <w:szCs w:val="18"/>
                <w:lang w:eastAsia="sk-SK"/>
              </w:rPr>
            </w:pPr>
            <w:r w:rsidRPr="00352FE0">
              <w:rPr>
                <w:rFonts w:eastAsia="Times New Roman" w:cs="Times New Roman"/>
                <w:sz w:val="18"/>
                <w:szCs w:val="18"/>
                <w:lang w:eastAsia="sk-SK"/>
              </w:rPr>
              <w:t>Príspevkové organizácie ústrednej správy</w:t>
            </w:r>
          </w:p>
        </w:tc>
        <w:tc>
          <w:tcPr>
            <w:tcW w:w="642" w:type="pct"/>
            <w:tcBorders>
              <w:top w:val="nil"/>
              <w:left w:val="nil"/>
              <w:bottom w:val="nil"/>
              <w:right w:val="nil"/>
            </w:tcBorders>
            <w:shd w:val="clear" w:color="auto" w:fill="auto"/>
            <w:noWrap/>
            <w:vAlign w:val="bottom"/>
            <w:hideMark/>
          </w:tcPr>
          <w:p w14:paraId="14ECAF6F"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16 154</w:t>
            </w:r>
          </w:p>
        </w:tc>
        <w:tc>
          <w:tcPr>
            <w:tcW w:w="598" w:type="pct"/>
            <w:tcBorders>
              <w:top w:val="nil"/>
              <w:left w:val="nil"/>
              <w:bottom w:val="nil"/>
              <w:right w:val="nil"/>
            </w:tcBorders>
            <w:shd w:val="clear" w:color="auto" w:fill="auto"/>
            <w:noWrap/>
            <w:vAlign w:val="bottom"/>
            <w:hideMark/>
          </w:tcPr>
          <w:p w14:paraId="5712E1FB"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1 733</w:t>
            </w:r>
          </w:p>
        </w:tc>
        <w:tc>
          <w:tcPr>
            <w:tcW w:w="599" w:type="pct"/>
            <w:tcBorders>
              <w:top w:val="nil"/>
              <w:left w:val="nil"/>
              <w:bottom w:val="nil"/>
              <w:right w:val="nil"/>
            </w:tcBorders>
            <w:shd w:val="clear" w:color="000000" w:fill="BFBFBF"/>
            <w:noWrap/>
            <w:vAlign w:val="bottom"/>
            <w:hideMark/>
          </w:tcPr>
          <w:p w14:paraId="0A743DEB"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1 738</w:t>
            </w:r>
          </w:p>
        </w:tc>
        <w:tc>
          <w:tcPr>
            <w:tcW w:w="556" w:type="pct"/>
            <w:tcBorders>
              <w:top w:val="nil"/>
              <w:left w:val="nil"/>
              <w:bottom w:val="nil"/>
              <w:right w:val="nil"/>
            </w:tcBorders>
            <w:shd w:val="clear" w:color="auto" w:fill="auto"/>
            <w:noWrap/>
            <w:vAlign w:val="bottom"/>
            <w:hideMark/>
          </w:tcPr>
          <w:p w14:paraId="28780AC8"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5</w:t>
            </w:r>
          </w:p>
        </w:tc>
      </w:tr>
      <w:tr w:rsidR="00CB3C45" w:rsidRPr="00352FE0" w14:paraId="6D010982" w14:textId="77777777" w:rsidTr="002A2EAF">
        <w:trPr>
          <w:trHeight w:val="300"/>
        </w:trPr>
        <w:tc>
          <w:tcPr>
            <w:tcW w:w="2605" w:type="pct"/>
            <w:tcBorders>
              <w:top w:val="nil"/>
              <w:left w:val="nil"/>
              <w:bottom w:val="nil"/>
              <w:right w:val="nil"/>
            </w:tcBorders>
            <w:shd w:val="clear" w:color="auto" w:fill="auto"/>
            <w:noWrap/>
            <w:vAlign w:val="bottom"/>
            <w:hideMark/>
          </w:tcPr>
          <w:p w14:paraId="2F624A7C" w14:textId="77777777" w:rsidR="00CB3C45" w:rsidRPr="00352FE0" w:rsidRDefault="00CB3C45" w:rsidP="00842F2E">
            <w:pPr>
              <w:spacing w:after="0" w:line="240" w:lineRule="auto"/>
              <w:ind w:firstLineChars="200" w:firstLine="360"/>
              <w:jc w:val="left"/>
              <w:rPr>
                <w:rFonts w:eastAsia="Times New Roman" w:cs="Times New Roman"/>
                <w:sz w:val="18"/>
                <w:szCs w:val="18"/>
                <w:lang w:eastAsia="sk-SK"/>
              </w:rPr>
            </w:pPr>
            <w:r w:rsidRPr="00352FE0">
              <w:rPr>
                <w:rFonts w:eastAsia="Times New Roman" w:cs="Times New Roman"/>
                <w:sz w:val="18"/>
                <w:szCs w:val="18"/>
                <w:lang w:eastAsia="sk-SK"/>
              </w:rPr>
              <w:t>Exportno-importná banka SR</w:t>
            </w:r>
          </w:p>
        </w:tc>
        <w:tc>
          <w:tcPr>
            <w:tcW w:w="642" w:type="pct"/>
            <w:tcBorders>
              <w:top w:val="nil"/>
              <w:left w:val="nil"/>
              <w:bottom w:val="nil"/>
              <w:right w:val="nil"/>
            </w:tcBorders>
            <w:shd w:val="clear" w:color="auto" w:fill="auto"/>
            <w:noWrap/>
            <w:vAlign w:val="bottom"/>
            <w:hideMark/>
          </w:tcPr>
          <w:p w14:paraId="68D03E4D"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10 121</w:t>
            </w:r>
          </w:p>
        </w:tc>
        <w:tc>
          <w:tcPr>
            <w:tcW w:w="598" w:type="pct"/>
            <w:tcBorders>
              <w:top w:val="nil"/>
              <w:left w:val="nil"/>
              <w:bottom w:val="nil"/>
              <w:right w:val="nil"/>
            </w:tcBorders>
            <w:shd w:val="clear" w:color="auto" w:fill="auto"/>
            <w:noWrap/>
            <w:vAlign w:val="bottom"/>
            <w:hideMark/>
          </w:tcPr>
          <w:p w14:paraId="17F30636"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124 462</w:t>
            </w:r>
          </w:p>
        </w:tc>
        <w:tc>
          <w:tcPr>
            <w:tcW w:w="599" w:type="pct"/>
            <w:tcBorders>
              <w:top w:val="nil"/>
              <w:left w:val="nil"/>
              <w:bottom w:val="nil"/>
              <w:right w:val="nil"/>
            </w:tcBorders>
            <w:shd w:val="clear" w:color="000000" w:fill="BFBFBF"/>
            <w:noWrap/>
            <w:vAlign w:val="bottom"/>
            <w:hideMark/>
          </w:tcPr>
          <w:p w14:paraId="61421138"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175 880</w:t>
            </w:r>
          </w:p>
        </w:tc>
        <w:tc>
          <w:tcPr>
            <w:tcW w:w="556" w:type="pct"/>
            <w:tcBorders>
              <w:top w:val="nil"/>
              <w:left w:val="nil"/>
              <w:bottom w:val="nil"/>
              <w:right w:val="nil"/>
            </w:tcBorders>
            <w:shd w:val="clear" w:color="auto" w:fill="auto"/>
            <w:noWrap/>
            <w:vAlign w:val="bottom"/>
            <w:hideMark/>
          </w:tcPr>
          <w:p w14:paraId="3E9B75C0"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51 418</w:t>
            </w:r>
          </w:p>
        </w:tc>
      </w:tr>
      <w:tr w:rsidR="00CB3C45" w:rsidRPr="00352FE0" w14:paraId="76276627" w14:textId="77777777" w:rsidTr="002A2EAF">
        <w:trPr>
          <w:trHeight w:val="300"/>
        </w:trPr>
        <w:tc>
          <w:tcPr>
            <w:tcW w:w="2605" w:type="pct"/>
            <w:tcBorders>
              <w:top w:val="nil"/>
              <w:left w:val="nil"/>
              <w:bottom w:val="nil"/>
              <w:right w:val="nil"/>
            </w:tcBorders>
            <w:shd w:val="clear" w:color="auto" w:fill="auto"/>
            <w:noWrap/>
            <w:vAlign w:val="bottom"/>
            <w:hideMark/>
          </w:tcPr>
          <w:p w14:paraId="5BD6BA5C" w14:textId="77777777" w:rsidR="00CB3C45" w:rsidRPr="00352FE0" w:rsidRDefault="00CB3C45" w:rsidP="00842F2E">
            <w:pPr>
              <w:spacing w:after="0" w:line="240" w:lineRule="auto"/>
              <w:ind w:firstLineChars="200" w:firstLine="360"/>
              <w:jc w:val="left"/>
              <w:rPr>
                <w:rFonts w:eastAsia="Times New Roman" w:cs="Times New Roman"/>
                <w:sz w:val="18"/>
                <w:szCs w:val="18"/>
                <w:lang w:eastAsia="sk-SK"/>
              </w:rPr>
            </w:pPr>
            <w:r w:rsidRPr="00352FE0">
              <w:rPr>
                <w:rFonts w:eastAsia="Times New Roman" w:cs="Times New Roman"/>
                <w:sz w:val="18"/>
                <w:szCs w:val="18"/>
                <w:lang w:eastAsia="sk-SK"/>
              </w:rPr>
              <w:t>Obchodné spoločnosti štátu</w:t>
            </w:r>
          </w:p>
        </w:tc>
        <w:tc>
          <w:tcPr>
            <w:tcW w:w="642" w:type="pct"/>
            <w:tcBorders>
              <w:top w:val="nil"/>
              <w:left w:val="nil"/>
              <w:bottom w:val="nil"/>
              <w:right w:val="nil"/>
            </w:tcBorders>
            <w:shd w:val="clear" w:color="auto" w:fill="auto"/>
            <w:noWrap/>
            <w:vAlign w:val="bottom"/>
            <w:hideMark/>
          </w:tcPr>
          <w:p w14:paraId="57B83842"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665 149</w:t>
            </w:r>
          </w:p>
        </w:tc>
        <w:tc>
          <w:tcPr>
            <w:tcW w:w="598" w:type="pct"/>
            <w:tcBorders>
              <w:top w:val="nil"/>
              <w:left w:val="nil"/>
              <w:bottom w:val="nil"/>
              <w:right w:val="nil"/>
            </w:tcBorders>
            <w:shd w:val="clear" w:color="auto" w:fill="auto"/>
            <w:noWrap/>
            <w:vAlign w:val="bottom"/>
            <w:hideMark/>
          </w:tcPr>
          <w:p w14:paraId="515317D7"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740 118</w:t>
            </w:r>
          </w:p>
        </w:tc>
        <w:tc>
          <w:tcPr>
            <w:tcW w:w="599" w:type="pct"/>
            <w:tcBorders>
              <w:top w:val="nil"/>
              <w:left w:val="nil"/>
              <w:bottom w:val="nil"/>
              <w:right w:val="nil"/>
            </w:tcBorders>
            <w:shd w:val="clear" w:color="000000" w:fill="BFBFBF"/>
            <w:noWrap/>
            <w:vAlign w:val="bottom"/>
            <w:hideMark/>
          </w:tcPr>
          <w:p w14:paraId="7BC6611A"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750 849</w:t>
            </w:r>
          </w:p>
        </w:tc>
        <w:tc>
          <w:tcPr>
            <w:tcW w:w="556" w:type="pct"/>
            <w:tcBorders>
              <w:top w:val="nil"/>
              <w:left w:val="nil"/>
              <w:bottom w:val="nil"/>
              <w:right w:val="nil"/>
            </w:tcBorders>
            <w:shd w:val="clear" w:color="auto" w:fill="auto"/>
            <w:noWrap/>
            <w:vAlign w:val="bottom"/>
            <w:hideMark/>
          </w:tcPr>
          <w:p w14:paraId="04882606"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10 731</w:t>
            </w:r>
          </w:p>
        </w:tc>
      </w:tr>
      <w:tr w:rsidR="00CB3C45" w:rsidRPr="00352FE0" w14:paraId="63D2332B" w14:textId="77777777" w:rsidTr="002A2EAF">
        <w:trPr>
          <w:trHeight w:val="300"/>
        </w:trPr>
        <w:tc>
          <w:tcPr>
            <w:tcW w:w="2605" w:type="pct"/>
            <w:tcBorders>
              <w:top w:val="nil"/>
              <w:left w:val="nil"/>
              <w:bottom w:val="nil"/>
              <w:right w:val="nil"/>
            </w:tcBorders>
            <w:shd w:val="clear" w:color="auto" w:fill="auto"/>
            <w:noWrap/>
            <w:vAlign w:val="bottom"/>
            <w:hideMark/>
          </w:tcPr>
          <w:p w14:paraId="6086EC4A" w14:textId="77777777" w:rsidR="00CB3C45" w:rsidRPr="00352FE0" w:rsidRDefault="00CB3C45" w:rsidP="00842F2E">
            <w:pPr>
              <w:spacing w:after="0" w:line="240" w:lineRule="auto"/>
              <w:ind w:firstLineChars="300" w:firstLine="540"/>
              <w:jc w:val="left"/>
              <w:rPr>
                <w:rFonts w:eastAsia="Times New Roman" w:cs="Times New Roman"/>
                <w:sz w:val="18"/>
                <w:szCs w:val="18"/>
                <w:lang w:eastAsia="sk-SK"/>
              </w:rPr>
            </w:pPr>
            <w:r w:rsidRPr="00352FE0">
              <w:rPr>
                <w:rFonts w:eastAsia="Times New Roman" w:cs="Times New Roman"/>
                <w:sz w:val="18"/>
                <w:szCs w:val="18"/>
                <w:lang w:eastAsia="sk-SK"/>
              </w:rPr>
              <w:t>z toho:</w:t>
            </w:r>
          </w:p>
        </w:tc>
        <w:tc>
          <w:tcPr>
            <w:tcW w:w="642" w:type="pct"/>
            <w:tcBorders>
              <w:top w:val="nil"/>
              <w:left w:val="nil"/>
              <w:bottom w:val="nil"/>
              <w:right w:val="nil"/>
            </w:tcBorders>
            <w:shd w:val="clear" w:color="auto" w:fill="auto"/>
            <w:noWrap/>
            <w:vAlign w:val="bottom"/>
            <w:hideMark/>
          </w:tcPr>
          <w:p w14:paraId="3323B21E" w14:textId="77777777" w:rsidR="00CB3C45" w:rsidRPr="00352FE0" w:rsidRDefault="00CB3C45" w:rsidP="00842F2E">
            <w:pPr>
              <w:spacing w:after="0" w:line="240" w:lineRule="auto"/>
              <w:ind w:firstLineChars="300" w:firstLine="540"/>
              <w:jc w:val="left"/>
              <w:rPr>
                <w:rFonts w:eastAsia="Times New Roman" w:cs="Times New Roman"/>
                <w:sz w:val="18"/>
                <w:szCs w:val="18"/>
                <w:lang w:eastAsia="sk-SK"/>
              </w:rPr>
            </w:pPr>
          </w:p>
        </w:tc>
        <w:tc>
          <w:tcPr>
            <w:tcW w:w="598" w:type="pct"/>
            <w:tcBorders>
              <w:top w:val="nil"/>
              <w:left w:val="nil"/>
              <w:bottom w:val="nil"/>
              <w:right w:val="nil"/>
            </w:tcBorders>
            <w:shd w:val="clear" w:color="auto" w:fill="auto"/>
            <w:noWrap/>
            <w:vAlign w:val="bottom"/>
            <w:hideMark/>
          </w:tcPr>
          <w:p w14:paraId="7B74FD90" w14:textId="77777777" w:rsidR="00CB3C45" w:rsidRPr="00352FE0" w:rsidRDefault="00CB3C45" w:rsidP="00842F2E">
            <w:pPr>
              <w:spacing w:after="0" w:line="240" w:lineRule="auto"/>
              <w:jc w:val="left"/>
              <w:rPr>
                <w:rFonts w:eastAsia="Times New Roman" w:cs="Times New Roman"/>
                <w:sz w:val="18"/>
                <w:szCs w:val="18"/>
                <w:lang w:eastAsia="sk-SK"/>
              </w:rPr>
            </w:pPr>
          </w:p>
        </w:tc>
        <w:tc>
          <w:tcPr>
            <w:tcW w:w="599" w:type="pct"/>
            <w:tcBorders>
              <w:top w:val="nil"/>
              <w:left w:val="nil"/>
              <w:bottom w:val="nil"/>
              <w:right w:val="nil"/>
            </w:tcBorders>
            <w:shd w:val="clear" w:color="000000" w:fill="BFBFBF"/>
            <w:noWrap/>
            <w:vAlign w:val="bottom"/>
            <w:hideMark/>
          </w:tcPr>
          <w:p w14:paraId="52308741" w14:textId="77777777" w:rsidR="00CB3C45" w:rsidRPr="00352FE0" w:rsidRDefault="00CB3C45" w:rsidP="00842F2E">
            <w:pPr>
              <w:spacing w:after="0" w:line="240" w:lineRule="auto"/>
              <w:jc w:val="left"/>
              <w:rPr>
                <w:rFonts w:eastAsia="Times New Roman" w:cs="Times New Roman"/>
                <w:sz w:val="18"/>
                <w:szCs w:val="18"/>
                <w:lang w:eastAsia="sk-SK"/>
              </w:rPr>
            </w:pPr>
            <w:r w:rsidRPr="00352FE0">
              <w:rPr>
                <w:rFonts w:eastAsia="Times New Roman" w:cs="Times New Roman"/>
                <w:sz w:val="18"/>
                <w:szCs w:val="18"/>
                <w:lang w:eastAsia="sk-SK"/>
              </w:rPr>
              <w:t> </w:t>
            </w:r>
          </w:p>
        </w:tc>
        <w:tc>
          <w:tcPr>
            <w:tcW w:w="556" w:type="pct"/>
            <w:tcBorders>
              <w:top w:val="nil"/>
              <w:left w:val="nil"/>
              <w:bottom w:val="nil"/>
              <w:right w:val="nil"/>
            </w:tcBorders>
            <w:shd w:val="clear" w:color="auto" w:fill="auto"/>
            <w:noWrap/>
            <w:vAlign w:val="bottom"/>
            <w:hideMark/>
          </w:tcPr>
          <w:p w14:paraId="2AC1B1E4" w14:textId="77777777" w:rsidR="00CB3C45" w:rsidRPr="00352FE0" w:rsidRDefault="00CB3C45" w:rsidP="00842F2E">
            <w:pPr>
              <w:spacing w:after="0" w:line="240" w:lineRule="auto"/>
              <w:jc w:val="left"/>
              <w:rPr>
                <w:rFonts w:eastAsia="Times New Roman" w:cs="Times New Roman"/>
                <w:sz w:val="18"/>
                <w:szCs w:val="18"/>
                <w:lang w:eastAsia="sk-SK"/>
              </w:rPr>
            </w:pPr>
          </w:p>
        </w:tc>
      </w:tr>
      <w:tr w:rsidR="00CB3C45" w:rsidRPr="00352FE0" w14:paraId="3FD7DCF9" w14:textId="77777777" w:rsidTr="002A2EAF">
        <w:trPr>
          <w:trHeight w:val="300"/>
        </w:trPr>
        <w:tc>
          <w:tcPr>
            <w:tcW w:w="2605" w:type="pct"/>
            <w:tcBorders>
              <w:top w:val="nil"/>
              <w:left w:val="nil"/>
              <w:bottom w:val="nil"/>
              <w:right w:val="nil"/>
            </w:tcBorders>
            <w:shd w:val="clear" w:color="auto" w:fill="auto"/>
            <w:noWrap/>
            <w:vAlign w:val="bottom"/>
            <w:hideMark/>
          </w:tcPr>
          <w:p w14:paraId="1201F36F" w14:textId="77777777" w:rsidR="00CB3C45" w:rsidRPr="00352FE0" w:rsidRDefault="00CB3C45" w:rsidP="00842F2E">
            <w:pPr>
              <w:spacing w:after="0" w:line="240" w:lineRule="auto"/>
              <w:ind w:firstLineChars="400" w:firstLine="720"/>
              <w:jc w:val="left"/>
              <w:rPr>
                <w:rFonts w:eastAsia="Times New Roman" w:cs="Times New Roman"/>
                <w:sz w:val="18"/>
                <w:szCs w:val="18"/>
                <w:lang w:eastAsia="sk-SK"/>
              </w:rPr>
            </w:pPr>
            <w:r w:rsidRPr="00352FE0">
              <w:rPr>
                <w:rFonts w:eastAsia="Times New Roman" w:cs="Times New Roman"/>
                <w:sz w:val="18"/>
                <w:szCs w:val="18"/>
                <w:lang w:eastAsia="sk-SK"/>
              </w:rPr>
              <w:t>Železničná spoločnosť Slovensko, a. s.</w:t>
            </w:r>
          </w:p>
        </w:tc>
        <w:tc>
          <w:tcPr>
            <w:tcW w:w="642" w:type="pct"/>
            <w:tcBorders>
              <w:top w:val="nil"/>
              <w:left w:val="nil"/>
              <w:bottom w:val="nil"/>
              <w:right w:val="nil"/>
            </w:tcBorders>
            <w:shd w:val="clear" w:color="auto" w:fill="auto"/>
            <w:noWrap/>
            <w:vAlign w:val="bottom"/>
            <w:hideMark/>
          </w:tcPr>
          <w:p w14:paraId="6FE491A2"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386 388</w:t>
            </w:r>
          </w:p>
        </w:tc>
        <w:tc>
          <w:tcPr>
            <w:tcW w:w="598" w:type="pct"/>
            <w:tcBorders>
              <w:top w:val="nil"/>
              <w:left w:val="nil"/>
              <w:bottom w:val="nil"/>
              <w:right w:val="nil"/>
            </w:tcBorders>
            <w:shd w:val="clear" w:color="auto" w:fill="auto"/>
            <w:noWrap/>
            <w:vAlign w:val="bottom"/>
            <w:hideMark/>
          </w:tcPr>
          <w:p w14:paraId="2EB3E96A"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455 337</w:t>
            </w:r>
          </w:p>
        </w:tc>
        <w:tc>
          <w:tcPr>
            <w:tcW w:w="599" w:type="pct"/>
            <w:tcBorders>
              <w:top w:val="nil"/>
              <w:left w:val="nil"/>
              <w:bottom w:val="nil"/>
              <w:right w:val="nil"/>
            </w:tcBorders>
            <w:shd w:val="clear" w:color="000000" w:fill="BFBFBF"/>
            <w:noWrap/>
            <w:vAlign w:val="bottom"/>
            <w:hideMark/>
          </w:tcPr>
          <w:p w14:paraId="470E6132"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506 420</w:t>
            </w:r>
          </w:p>
        </w:tc>
        <w:tc>
          <w:tcPr>
            <w:tcW w:w="556" w:type="pct"/>
            <w:tcBorders>
              <w:top w:val="nil"/>
              <w:left w:val="nil"/>
              <w:bottom w:val="nil"/>
              <w:right w:val="nil"/>
            </w:tcBorders>
            <w:shd w:val="clear" w:color="auto" w:fill="auto"/>
            <w:noWrap/>
            <w:vAlign w:val="bottom"/>
            <w:hideMark/>
          </w:tcPr>
          <w:p w14:paraId="0DB3A544"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51 083</w:t>
            </w:r>
          </w:p>
        </w:tc>
      </w:tr>
      <w:tr w:rsidR="00CB3C45" w:rsidRPr="00352FE0" w14:paraId="2E7049CD" w14:textId="77777777" w:rsidTr="002A2EAF">
        <w:trPr>
          <w:trHeight w:val="300"/>
        </w:trPr>
        <w:tc>
          <w:tcPr>
            <w:tcW w:w="2605" w:type="pct"/>
            <w:tcBorders>
              <w:top w:val="nil"/>
              <w:left w:val="nil"/>
              <w:bottom w:val="nil"/>
              <w:right w:val="nil"/>
            </w:tcBorders>
            <w:shd w:val="clear" w:color="auto" w:fill="auto"/>
            <w:noWrap/>
            <w:vAlign w:val="bottom"/>
            <w:hideMark/>
          </w:tcPr>
          <w:p w14:paraId="574509EF" w14:textId="77777777" w:rsidR="00CB3C45" w:rsidRPr="00352FE0" w:rsidRDefault="00CB3C45" w:rsidP="00842F2E">
            <w:pPr>
              <w:spacing w:after="0" w:line="240" w:lineRule="auto"/>
              <w:ind w:firstLineChars="400" w:firstLine="720"/>
              <w:jc w:val="left"/>
              <w:rPr>
                <w:rFonts w:eastAsia="Times New Roman" w:cs="Times New Roman"/>
                <w:sz w:val="18"/>
                <w:szCs w:val="18"/>
                <w:lang w:eastAsia="sk-SK"/>
              </w:rPr>
            </w:pPr>
            <w:r w:rsidRPr="00352FE0">
              <w:rPr>
                <w:rFonts w:eastAsia="Times New Roman" w:cs="Times New Roman"/>
                <w:sz w:val="18"/>
                <w:szCs w:val="18"/>
                <w:lang w:eastAsia="sk-SK"/>
              </w:rPr>
              <w:t>Národná diaľničná spoločnosť, a. s.</w:t>
            </w:r>
          </w:p>
        </w:tc>
        <w:tc>
          <w:tcPr>
            <w:tcW w:w="642" w:type="pct"/>
            <w:tcBorders>
              <w:top w:val="nil"/>
              <w:left w:val="nil"/>
              <w:bottom w:val="nil"/>
              <w:right w:val="nil"/>
            </w:tcBorders>
            <w:shd w:val="clear" w:color="auto" w:fill="auto"/>
            <w:noWrap/>
            <w:vAlign w:val="bottom"/>
            <w:hideMark/>
          </w:tcPr>
          <w:p w14:paraId="0E9AE8A0"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169 235</w:t>
            </w:r>
          </w:p>
        </w:tc>
        <w:tc>
          <w:tcPr>
            <w:tcW w:w="598" w:type="pct"/>
            <w:tcBorders>
              <w:top w:val="nil"/>
              <w:left w:val="nil"/>
              <w:bottom w:val="nil"/>
              <w:right w:val="nil"/>
            </w:tcBorders>
            <w:shd w:val="clear" w:color="auto" w:fill="auto"/>
            <w:noWrap/>
            <w:vAlign w:val="bottom"/>
            <w:hideMark/>
          </w:tcPr>
          <w:p w14:paraId="67DAEA96"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127 370</w:t>
            </w:r>
          </w:p>
        </w:tc>
        <w:tc>
          <w:tcPr>
            <w:tcW w:w="599" w:type="pct"/>
            <w:tcBorders>
              <w:top w:val="nil"/>
              <w:left w:val="nil"/>
              <w:bottom w:val="nil"/>
              <w:right w:val="nil"/>
            </w:tcBorders>
            <w:shd w:val="clear" w:color="000000" w:fill="BFBFBF"/>
            <w:noWrap/>
            <w:vAlign w:val="bottom"/>
            <w:hideMark/>
          </w:tcPr>
          <w:p w14:paraId="546659A1"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97 602</w:t>
            </w:r>
          </w:p>
        </w:tc>
        <w:tc>
          <w:tcPr>
            <w:tcW w:w="556" w:type="pct"/>
            <w:tcBorders>
              <w:top w:val="nil"/>
              <w:left w:val="nil"/>
              <w:bottom w:val="nil"/>
              <w:right w:val="nil"/>
            </w:tcBorders>
            <w:shd w:val="clear" w:color="auto" w:fill="auto"/>
            <w:noWrap/>
            <w:vAlign w:val="bottom"/>
            <w:hideMark/>
          </w:tcPr>
          <w:p w14:paraId="758946DC"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-29 768</w:t>
            </w:r>
          </w:p>
        </w:tc>
      </w:tr>
      <w:tr w:rsidR="00CB3C45" w:rsidRPr="00352FE0" w14:paraId="222989E5" w14:textId="77777777" w:rsidTr="002A2EAF">
        <w:trPr>
          <w:trHeight w:val="300"/>
        </w:trPr>
        <w:tc>
          <w:tcPr>
            <w:tcW w:w="2605" w:type="pct"/>
            <w:tcBorders>
              <w:top w:val="nil"/>
              <w:left w:val="nil"/>
              <w:bottom w:val="nil"/>
              <w:right w:val="nil"/>
            </w:tcBorders>
            <w:shd w:val="clear" w:color="auto" w:fill="auto"/>
            <w:noWrap/>
            <w:vAlign w:val="bottom"/>
            <w:hideMark/>
          </w:tcPr>
          <w:p w14:paraId="24CC1C42" w14:textId="77777777" w:rsidR="00CB3C45" w:rsidRPr="00352FE0" w:rsidRDefault="00CB3C45" w:rsidP="00842F2E">
            <w:pPr>
              <w:spacing w:after="0" w:line="240" w:lineRule="auto"/>
              <w:ind w:firstLineChars="400" w:firstLine="720"/>
              <w:jc w:val="left"/>
              <w:rPr>
                <w:rFonts w:eastAsia="Times New Roman" w:cs="Times New Roman"/>
                <w:sz w:val="18"/>
                <w:szCs w:val="18"/>
                <w:lang w:eastAsia="sk-SK"/>
              </w:rPr>
            </w:pPr>
            <w:r w:rsidRPr="00352FE0">
              <w:rPr>
                <w:rFonts w:eastAsia="Times New Roman" w:cs="Times New Roman"/>
                <w:sz w:val="18"/>
                <w:szCs w:val="18"/>
                <w:lang w:eastAsia="sk-SK"/>
              </w:rPr>
              <w:t>Železnice Slovenskej republiky</w:t>
            </w:r>
          </w:p>
        </w:tc>
        <w:tc>
          <w:tcPr>
            <w:tcW w:w="642" w:type="pct"/>
            <w:tcBorders>
              <w:top w:val="nil"/>
              <w:left w:val="nil"/>
              <w:bottom w:val="nil"/>
              <w:right w:val="nil"/>
            </w:tcBorders>
            <w:shd w:val="clear" w:color="auto" w:fill="auto"/>
            <w:noWrap/>
            <w:vAlign w:val="bottom"/>
            <w:hideMark/>
          </w:tcPr>
          <w:p w14:paraId="4564E133"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83 218</w:t>
            </w:r>
          </w:p>
        </w:tc>
        <w:tc>
          <w:tcPr>
            <w:tcW w:w="598" w:type="pct"/>
            <w:tcBorders>
              <w:top w:val="nil"/>
              <w:left w:val="nil"/>
              <w:bottom w:val="nil"/>
              <w:right w:val="nil"/>
            </w:tcBorders>
            <w:shd w:val="clear" w:color="auto" w:fill="auto"/>
            <w:noWrap/>
            <w:vAlign w:val="bottom"/>
            <w:hideMark/>
          </w:tcPr>
          <w:p w14:paraId="4A203778"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130 531</w:t>
            </w:r>
          </w:p>
        </w:tc>
        <w:tc>
          <w:tcPr>
            <w:tcW w:w="599" w:type="pct"/>
            <w:tcBorders>
              <w:top w:val="nil"/>
              <w:left w:val="nil"/>
              <w:bottom w:val="nil"/>
              <w:right w:val="nil"/>
            </w:tcBorders>
            <w:shd w:val="clear" w:color="000000" w:fill="BFBFBF"/>
            <w:noWrap/>
            <w:vAlign w:val="bottom"/>
            <w:hideMark/>
          </w:tcPr>
          <w:p w14:paraId="50FCDD8B"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135 206</w:t>
            </w:r>
          </w:p>
        </w:tc>
        <w:tc>
          <w:tcPr>
            <w:tcW w:w="556" w:type="pct"/>
            <w:tcBorders>
              <w:top w:val="nil"/>
              <w:left w:val="nil"/>
              <w:bottom w:val="nil"/>
              <w:right w:val="nil"/>
            </w:tcBorders>
            <w:shd w:val="clear" w:color="auto" w:fill="auto"/>
            <w:noWrap/>
            <w:vAlign w:val="bottom"/>
            <w:hideMark/>
          </w:tcPr>
          <w:p w14:paraId="0FCC0D5E"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4 675</w:t>
            </w:r>
          </w:p>
        </w:tc>
      </w:tr>
      <w:tr w:rsidR="00CB3C45" w:rsidRPr="00352FE0" w14:paraId="3BFF98DA" w14:textId="77777777" w:rsidTr="002A2EAF">
        <w:trPr>
          <w:trHeight w:val="300"/>
        </w:trPr>
        <w:tc>
          <w:tcPr>
            <w:tcW w:w="2605" w:type="pct"/>
            <w:tcBorders>
              <w:top w:val="nil"/>
              <w:left w:val="nil"/>
              <w:bottom w:val="nil"/>
              <w:right w:val="nil"/>
            </w:tcBorders>
            <w:shd w:val="clear" w:color="auto" w:fill="auto"/>
            <w:noWrap/>
            <w:vAlign w:val="bottom"/>
            <w:hideMark/>
          </w:tcPr>
          <w:p w14:paraId="2E9BD941" w14:textId="77777777" w:rsidR="00CB3C45" w:rsidRPr="00352FE0" w:rsidRDefault="00CB3C45" w:rsidP="00842F2E">
            <w:pPr>
              <w:spacing w:after="0" w:line="240" w:lineRule="auto"/>
              <w:ind w:firstLineChars="400" w:firstLine="720"/>
              <w:jc w:val="left"/>
              <w:rPr>
                <w:rFonts w:eastAsia="Times New Roman" w:cs="Times New Roman"/>
                <w:sz w:val="18"/>
                <w:szCs w:val="18"/>
                <w:lang w:eastAsia="sk-SK"/>
              </w:rPr>
            </w:pPr>
            <w:r w:rsidRPr="00352FE0">
              <w:rPr>
                <w:rFonts w:eastAsia="Times New Roman" w:cs="Times New Roman"/>
                <w:sz w:val="18"/>
                <w:szCs w:val="18"/>
                <w:lang w:eastAsia="sk-SK"/>
              </w:rPr>
              <w:t>MH Manažment, a. s.</w:t>
            </w:r>
          </w:p>
        </w:tc>
        <w:tc>
          <w:tcPr>
            <w:tcW w:w="642" w:type="pct"/>
            <w:tcBorders>
              <w:top w:val="nil"/>
              <w:left w:val="nil"/>
              <w:bottom w:val="nil"/>
              <w:right w:val="nil"/>
            </w:tcBorders>
            <w:shd w:val="clear" w:color="auto" w:fill="auto"/>
            <w:noWrap/>
            <w:vAlign w:val="bottom"/>
            <w:hideMark/>
          </w:tcPr>
          <w:p w14:paraId="2BEA5BE5"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15 214</w:t>
            </w:r>
          </w:p>
        </w:tc>
        <w:tc>
          <w:tcPr>
            <w:tcW w:w="598" w:type="pct"/>
            <w:tcBorders>
              <w:top w:val="nil"/>
              <w:left w:val="nil"/>
              <w:bottom w:val="nil"/>
              <w:right w:val="nil"/>
            </w:tcBorders>
            <w:shd w:val="clear" w:color="auto" w:fill="auto"/>
            <w:noWrap/>
            <w:vAlign w:val="bottom"/>
            <w:hideMark/>
          </w:tcPr>
          <w:p w14:paraId="58D42C64"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15 214</w:t>
            </w:r>
          </w:p>
        </w:tc>
        <w:tc>
          <w:tcPr>
            <w:tcW w:w="599" w:type="pct"/>
            <w:tcBorders>
              <w:top w:val="nil"/>
              <w:left w:val="nil"/>
              <w:bottom w:val="nil"/>
              <w:right w:val="nil"/>
            </w:tcBorders>
            <w:shd w:val="clear" w:color="000000" w:fill="BFBFBF"/>
            <w:noWrap/>
            <w:vAlign w:val="bottom"/>
            <w:hideMark/>
          </w:tcPr>
          <w:p w14:paraId="5EB7EE1D"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84</w:t>
            </w:r>
          </w:p>
        </w:tc>
        <w:tc>
          <w:tcPr>
            <w:tcW w:w="556" w:type="pct"/>
            <w:tcBorders>
              <w:top w:val="nil"/>
              <w:left w:val="nil"/>
              <w:bottom w:val="nil"/>
              <w:right w:val="nil"/>
            </w:tcBorders>
            <w:shd w:val="clear" w:color="auto" w:fill="auto"/>
            <w:noWrap/>
            <w:vAlign w:val="bottom"/>
            <w:hideMark/>
          </w:tcPr>
          <w:p w14:paraId="5136BD0E"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-15 130</w:t>
            </w:r>
          </w:p>
        </w:tc>
      </w:tr>
      <w:tr w:rsidR="00CB3C45" w:rsidRPr="00352FE0" w14:paraId="4C8E75F3" w14:textId="77777777" w:rsidTr="002A2EAF">
        <w:trPr>
          <w:trHeight w:val="300"/>
        </w:trPr>
        <w:tc>
          <w:tcPr>
            <w:tcW w:w="2605" w:type="pct"/>
            <w:tcBorders>
              <w:top w:val="nil"/>
              <w:left w:val="nil"/>
              <w:bottom w:val="nil"/>
              <w:right w:val="nil"/>
            </w:tcBorders>
            <w:shd w:val="clear" w:color="auto" w:fill="auto"/>
            <w:noWrap/>
            <w:vAlign w:val="bottom"/>
            <w:hideMark/>
          </w:tcPr>
          <w:p w14:paraId="5797CA12" w14:textId="77777777" w:rsidR="00CB3C45" w:rsidRPr="00352FE0" w:rsidRDefault="00CB3C45" w:rsidP="00842F2E">
            <w:pPr>
              <w:spacing w:after="0" w:line="240" w:lineRule="auto"/>
              <w:ind w:firstLineChars="400" w:firstLine="720"/>
              <w:jc w:val="left"/>
              <w:rPr>
                <w:rFonts w:eastAsia="Times New Roman" w:cs="Times New Roman"/>
                <w:sz w:val="18"/>
                <w:szCs w:val="18"/>
                <w:lang w:eastAsia="sk-SK"/>
              </w:rPr>
            </w:pPr>
            <w:r w:rsidRPr="00352FE0">
              <w:rPr>
                <w:rFonts w:eastAsia="Times New Roman" w:cs="Times New Roman"/>
                <w:sz w:val="18"/>
                <w:szCs w:val="18"/>
                <w:lang w:eastAsia="sk-SK"/>
              </w:rPr>
              <w:t>JAVYS, a. s.</w:t>
            </w:r>
          </w:p>
        </w:tc>
        <w:tc>
          <w:tcPr>
            <w:tcW w:w="642" w:type="pct"/>
            <w:tcBorders>
              <w:top w:val="nil"/>
              <w:left w:val="nil"/>
              <w:bottom w:val="nil"/>
              <w:right w:val="nil"/>
            </w:tcBorders>
            <w:shd w:val="clear" w:color="auto" w:fill="auto"/>
            <w:noWrap/>
            <w:vAlign w:val="bottom"/>
            <w:hideMark/>
          </w:tcPr>
          <w:p w14:paraId="752FFD70"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8 339</w:t>
            </w:r>
          </w:p>
        </w:tc>
        <w:tc>
          <w:tcPr>
            <w:tcW w:w="598" w:type="pct"/>
            <w:tcBorders>
              <w:top w:val="nil"/>
              <w:left w:val="nil"/>
              <w:bottom w:val="nil"/>
              <w:right w:val="nil"/>
            </w:tcBorders>
            <w:shd w:val="clear" w:color="auto" w:fill="auto"/>
            <w:noWrap/>
            <w:vAlign w:val="bottom"/>
            <w:hideMark/>
          </w:tcPr>
          <w:p w14:paraId="4D1A96EA"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8 936</w:t>
            </w:r>
          </w:p>
        </w:tc>
        <w:tc>
          <w:tcPr>
            <w:tcW w:w="599" w:type="pct"/>
            <w:tcBorders>
              <w:top w:val="nil"/>
              <w:left w:val="nil"/>
              <w:bottom w:val="nil"/>
              <w:right w:val="nil"/>
            </w:tcBorders>
            <w:shd w:val="clear" w:color="000000" w:fill="BFBFBF"/>
            <w:noWrap/>
            <w:vAlign w:val="bottom"/>
            <w:hideMark/>
          </w:tcPr>
          <w:p w14:paraId="101C7823"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8 807</w:t>
            </w:r>
          </w:p>
        </w:tc>
        <w:tc>
          <w:tcPr>
            <w:tcW w:w="556" w:type="pct"/>
            <w:tcBorders>
              <w:top w:val="nil"/>
              <w:left w:val="nil"/>
              <w:bottom w:val="nil"/>
              <w:right w:val="nil"/>
            </w:tcBorders>
            <w:shd w:val="clear" w:color="auto" w:fill="auto"/>
            <w:noWrap/>
            <w:vAlign w:val="bottom"/>
            <w:hideMark/>
          </w:tcPr>
          <w:p w14:paraId="2F39841F"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-129</w:t>
            </w:r>
          </w:p>
        </w:tc>
      </w:tr>
      <w:tr w:rsidR="00CB3C45" w:rsidRPr="00352FE0" w14:paraId="2CD7EBA8" w14:textId="77777777" w:rsidTr="002A2EAF">
        <w:trPr>
          <w:trHeight w:val="300"/>
        </w:trPr>
        <w:tc>
          <w:tcPr>
            <w:tcW w:w="2605" w:type="pct"/>
            <w:tcBorders>
              <w:top w:val="nil"/>
              <w:left w:val="nil"/>
              <w:bottom w:val="nil"/>
              <w:right w:val="nil"/>
            </w:tcBorders>
            <w:shd w:val="clear" w:color="auto" w:fill="auto"/>
            <w:noWrap/>
            <w:vAlign w:val="bottom"/>
            <w:hideMark/>
          </w:tcPr>
          <w:p w14:paraId="104FB935" w14:textId="77777777" w:rsidR="00CB3C45" w:rsidRPr="00352FE0" w:rsidRDefault="00CB3C45" w:rsidP="00842F2E">
            <w:pPr>
              <w:spacing w:after="0" w:line="240" w:lineRule="auto"/>
              <w:ind w:firstLineChars="400" w:firstLine="720"/>
              <w:jc w:val="left"/>
              <w:rPr>
                <w:rFonts w:eastAsia="Times New Roman" w:cs="Times New Roman"/>
                <w:sz w:val="18"/>
                <w:szCs w:val="18"/>
                <w:lang w:eastAsia="sk-SK"/>
              </w:rPr>
            </w:pPr>
            <w:r w:rsidRPr="00352FE0">
              <w:rPr>
                <w:rFonts w:eastAsia="Times New Roman" w:cs="Times New Roman"/>
                <w:sz w:val="18"/>
                <w:szCs w:val="18"/>
                <w:lang w:eastAsia="sk-SK"/>
              </w:rPr>
              <w:t>MH Invest II., s. r. o.</w:t>
            </w:r>
          </w:p>
        </w:tc>
        <w:tc>
          <w:tcPr>
            <w:tcW w:w="642" w:type="pct"/>
            <w:tcBorders>
              <w:top w:val="nil"/>
              <w:left w:val="nil"/>
              <w:bottom w:val="nil"/>
              <w:right w:val="nil"/>
            </w:tcBorders>
            <w:shd w:val="clear" w:color="auto" w:fill="auto"/>
            <w:noWrap/>
            <w:vAlign w:val="bottom"/>
            <w:hideMark/>
          </w:tcPr>
          <w:p w14:paraId="5D80D622"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2 755</w:t>
            </w:r>
          </w:p>
        </w:tc>
        <w:tc>
          <w:tcPr>
            <w:tcW w:w="598" w:type="pct"/>
            <w:tcBorders>
              <w:top w:val="nil"/>
              <w:left w:val="nil"/>
              <w:bottom w:val="nil"/>
              <w:right w:val="nil"/>
            </w:tcBorders>
            <w:shd w:val="clear" w:color="auto" w:fill="auto"/>
            <w:noWrap/>
            <w:vAlign w:val="bottom"/>
            <w:hideMark/>
          </w:tcPr>
          <w:p w14:paraId="32A3B2D0"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2 730</w:t>
            </w:r>
          </w:p>
        </w:tc>
        <w:tc>
          <w:tcPr>
            <w:tcW w:w="599" w:type="pct"/>
            <w:tcBorders>
              <w:top w:val="nil"/>
              <w:left w:val="nil"/>
              <w:bottom w:val="nil"/>
              <w:right w:val="nil"/>
            </w:tcBorders>
            <w:shd w:val="clear" w:color="000000" w:fill="BFBFBF"/>
            <w:noWrap/>
            <w:vAlign w:val="bottom"/>
            <w:hideMark/>
          </w:tcPr>
          <w:p w14:paraId="4D0FB4F2"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2 730</w:t>
            </w:r>
          </w:p>
        </w:tc>
        <w:tc>
          <w:tcPr>
            <w:tcW w:w="556" w:type="pct"/>
            <w:tcBorders>
              <w:top w:val="nil"/>
              <w:left w:val="nil"/>
              <w:bottom w:val="nil"/>
              <w:right w:val="nil"/>
            </w:tcBorders>
            <w:shd w:val="clear" w:color="auto" w:fill="auto"/>
            <w:noWrap/>
            <w:vAlign w:val="bottom"/>
            <w:hideMark/>
          </w:tcPr>
          <w:p w14:paraId="6E9D8A84"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0</w:t>
            </w:r>
          </w:p>
        </w:tc>
      </w:tr>
      <w:tr w:rsidR="00CB3C45" w:rsidRPr="00352FE0" w14:paraId="6E950C4B" w14:textId="77777777" w:rsidTr="002A2EAF">
        <w:trPr>
          <w:trHeight w:val="300"/>
        </w:trPr>
        <w:tc>
          <w:tcPr>
            <w:tcW w:w="2605" w:type="pct"/>
            <w:tcBorders>
              <w:top w:val="nil"/>
              <w:left w:val="nil"/>
              <w:bottom w:val="nil"/>
              <w:right w:val="nil"/>
            </w:tcBorders>
            <w:shd w:val="clear" w:color="auto" w:fill="auto"/>
            <w:noWrap/>
            <w:vAlign w:val="bottom"/>
            <w:hideMark/>
          </w:tcPr>
          <w:p w14:paraId="72784FB0" w14:textId="77777777" w:rsidR="00CB3C45" w:rsidRPr="00352FE0" w:rsidRDefault="00CB3C45" w:rsidP="00842F2E">
            <w:pPr>
              <w:spacing w:after="0" w:line="240" w:lineRule="auto"/>
              <w:ind w:firstLineChars="200" w:firstLine="360"/>
              <w:jc w:val="left"/>
              <w:rPr>
                <w:rFonts w:eastAsia="Times New Roman" w:cs="Times New Roman"/>
                <w:sz w:val="18"/>
                <w:szCs w:val="18"/>
                <w:lang w:eastAsia="sk-SK"/>
              </w:rPr>
            </w:pPr>
            <w:r w:rsidRPr="00352FE0">
              <w:rPr>
                <w:rFonts w:eastAsia="Times New Roman" w:cs="Times New Roman"/>
                <w:sz w:val="18"/>
                <w:szCs w:val="18"/>
                <w:lang w:eastAsia="sk-SK"/>
              </w:rPr>
              <w:t>Verejné vysoké školy</w:t>
            </w:r>
          </w:p>
        </w:tc>
        <w:tc>
          <w:tcPr>
            <w:tcW w:w="642" w:type="pct"/>
            <w:tcBorders>
              <w:top w:val="nil"/>
              <w:left w:val="nil"/>
              <w:bottom w:val="nil"/>
              <w:right w:val="nil"/>
            </w:tcBorders>
            <w:shd w:val="clear" w:color="auto" w:fill="auto"/>
            <w:noWrap/>
            <w:vAlign w:val="bottom"/>
            <w:hideMark/>
          </w:tcPr>
          <w:p w14:paraId="0C9613F8"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5 553</w:t>
            </w:r>
          </w:p>
        </w:tc>
        <w:tc>
          <w:tcPr>
            <w:tcW w:w="598" w:type="pct"/>
            <w:tcBorders>
              <w:top w:val="nil"/>
              <w:left w:val="nil"/>
              <w:bottom w:val="nil"/>
              <w:right w:val="nil"/>
            </w:tcBorders>
            <w:shd w:val="clear" w:color="auto" w:fill="auto"/>
            <w:noWrap/>
            <w:vAlign w:val="bottom"/>
            <w:hideMark/>
          </w:tcPr>
          <w:p w14:paraId="7488BC79"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5 439</w:t>
            </w:r>
          </w:p>
        </w:tc>
        <w:tc>
          <w:tcPr>
            <w:tcW w:w="599" w:type="pct"/>
            <w:tcBorders>
              <w:top w:val="nil"/>
              <w:left w:val="nil"/>
              <w:bottom w:val="nil"/>
              <w:right w:val="nil"/>
            </w:tcBorders>
            <w:shd w:val="clear" w:color="000000" w:fill="BFBFBF"/>
            <w:noWrap/>
            <w:vAlign w:val="bottom"/>
            <w:hideMark/>
          </w:tcPr>
          <w:p w14:paraId="3CB374AE"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5 430</w:t>
            </w:r>
          </w:p>
        </w:tc>
        <w:tc>
          <w:tcPr>
            <w:tcW w:w="556" w:type="pct"/>
            <w:tcBorders>
              <w:top w:val="nil"/>
              <w:left w:val="nil"/>
              <w:bottom w:val="nil"/>
              <w:right w:val="nil"/>
            </w:tcBorders>
            <w:shd w:val="clear" w:color="auto" w:fill="auto"/>
            <w:noWrap/>
            <w:vAlign w:val="bottom"/>
            <w:hideMark/>
          </w:tcPr>
          <w:p w14:paraId="4B900177"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-9</w:t>
            </w:r>
          </w:p>
        </w:tc>
      </w:tr>
      <w:tr w:rsidR="00CB3C45" w:rsidRPr="00352FE0" w14:paraId="2768EDD6" w14:textId="77777777" w:rsidTr="002A2EAF">
        <w:trPr>
          <w:trHeight w:val="300"/>
        </w:trPr>
        <w:tc>
          <w:tcPr>
            <w:tcW w:w="2605" w:type="pct"/>
            <w:tcBorders>
              <w:top w:val="nil"/>
              <w:left w:val="nil"/>
              <w:bottom w:val="nil"/>
              <w:right w:val="nil"/>
            </w:tcBorders>
            <w:shd w:val="clear" w:color="auto" w:fill="auto"/>
            <w:noWrap/>
            <w:vAlign w:val="bottom"/>
            <w:hideMark/>
          </w:tcPr>
          <w:p w14:paraId="67057FD2" w14:textId="77777777" w:rsidR="00CB3C45" w:rsidRPr="00352FE0" w:rsidRDefault="00CB3C45" w:rsidP="00842F2E">
            <w:pPr>
              <w:spacing w:after="0" w:line="240" w:lineRule="auto"/>
              <w:ind w:firstLineChars="200" w:firstLine="360"/>
              <w:jc w:val="left"/>
              <w:rPr>
                <w:rFonts w:eastAsia="Times New Roman" w:cs="Times New Roman"/>
                <w:sz w:val="18"/>
                <w:szCs w:val="18"/>
                <w:lang w:eastAsia="sk-SK"/>
              </w:rPr>
            </w:pPr>
            <w:r w:rsidRPr="00352FE0">
              <w:rPr>
                <w:rFonts w:eastAsia="Times New Roman" w:cs="Times New Roman"/>
                <w:sz w:val="18"/>
                <w:szCs w:val="18"/>
                <w:lang w:eastAsia="sk-SK"/>
              </w:rPr>
              <w:t>Zdravotnícke zariadenia ústrednej správy</w:t>
            </w:r>
          </w:p>
        </w:tc>
        <w:tc>
          <w:tcPr>
            <w:tcW w:w="642" w:type="pct"/>
            <w:tcBorders>
              <w:top w:val="nil"/>
              <w:left w:val="nil"/>
              <w:bottom w:val="nil"/>
              <w:right w:val="nil"/>
            </w:tcBorders>
            <w:shd w:val="clear" w:color="auto" w:fill="auto"/>
            <w:noWrap/>
            <w:vAlign w:val="bottom"/>
            <w:hideMark/>
          </w:tcPr>
          <w:p w14:paraId="59058EC1"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153 036</w:t>
            </w:r>
          </w:p>
        </w:tc>
        <w:tc>
          <w:tcPr>
            <w:tcW w:w="598" w:type="pct"/>
            <w:tcBorders>
              <w:top w:val="nil"/>
              <w:left w:val="nil"/>
              <w:bottom w:val="nil"/>
              <w:right w:val="nil"/>
            </w:tcBorders>
            <w:shd w:val="clear" w:color="auto" w:fill="auto"/>
            <w:noWrap/>
            <w:vAlign w:val="bottom"/>
            <w:hideMark/>
          </w:tcPr>
          <w:p w14:paraId="4542586E"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180 334</w:t>
            </w:r>
          </w:p>
        </w:tc>
        <w:tc>
          <w:tcPr>
            <w:tcW w:w="599" w:type="pct"/>
            <w:tcBorders>
              <w:top w:val="nil"/>
              <w:left w:val="nil"/>
              <w:bottom w:val="nil"/>
              <w:right w:val="nil"/>
            </w:tcBorders>
            <w:shd w:val="clear" w:color="000000" w:fill="BFBFBF"/>
            <w:noWrap/>
            <w:vAlign w:val="bottom"/>
            <w:hideMark/>
          </w:tcPr>
          <w:p w14:paraId="1D475765"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194 160</w:t>
            </w:r>
          </w:p>
        </w:tc>
        <w:tc>
          <w:tcPr>
            <w:tcW w:w="556" w:type="pct"/>
            <w:tcBorders>
              <w:top w:val="nil"/>
              <w:left w:val="nil"/>
              <w:bottom w:val="nil"/>
              <w:right w:val="nil"/>
            </w:tcBorders>
            <w:shd w:val="clear" w:color="auto" w:fill="auto"/>
            <w:noWrap/>
            <w:vAlign w:val="bottom"/>
            <w:hideMark/>
          </w:tcPr>
          <w:p w14:paraId="54F07297"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13 826</w:t>
            </w:r>
          </w:p>
        </w:tc>
      </w:tr>
      <w:tr w:rsidR="00CB3C45" w:rsidRPr="00352FE0" w14:paraId="1291A06B" w14:textId="77777777" w:rsidTr="002A2EAF">
        <w:trPr>
          <w:trHeight w:val="300"/>
        </w:trPr>
        <w:tc>
          <w:tcPr>
            <w:tcW w:w="2605" w:type="pct"/>
            <w:tcBorders>
              <w:top w:val="nil"/>
              <w:left w:val="nil"/>
              <w:bottom w:val="nil"/>
              <w:right w:val="nil"/>
            </w:tcBorders>
            <w:shd w:val="clear" w:color="auto" w:fill="auto"/>
            <w:noWrap/>
            <w:vAlign w:val="bottom"/>
            <w:hideMark/>
          </w:tcPr>
          <w:p w14:paraId="7F79028E" w14:textId="77777777" w:rsidR="00CB3C45" w:rsidRPr="00352FE0" w:rsidRDefault="00CB3C45" w:rsidP="00842F2E">
            <w:pPr>
              <w:spacing w:after="0" w:line="240" w:lineRule="auto"/>
              <w:ind w:firstLineChars="200" w:firstLine="360"/>
              <w:jc w:val="left"/>
              <w:rPr>
                <w:rFonts w:eastAsia="Times New Roman" w:cs="Times New Roman"/>
                <w:sz w:val="18"/>
                <w:szCs w:val="18"/>
                <w:lang w:eastAsia="sk-SK"/>
              </w:rPr>
            </w:pPr>
            <w:r w:rsidRPr="00352FE0">
              <w:rPr>
                <w:rFonts w:eastAsia="Times New Roman" w:cs="Times New Roman"/>
                <w:sz w:val="18"/>
                <w:szCs w:val="18"/>
                <w:lang w:eastAsia="sk-SK"/>
              </w:rPr>
              <w:t>Agentúra pre núdzové zásoby ropy a ropných výrobkov</w:t>
            </w:r>
          </w:p>
        </w:tc>
        <w:tc>
          <w:tcPr>
            <w:tcW w:w="642" w:type="pct"/>
            <w:tcBorders>
              <w:top w:val="nil"/>
              <w:left w:val="nil"/>
              <w:bottom w:val="nil"/>
              <w:right w:val="nil"/>
            </w:tcBorders>
            <w:shd w:val="clear" w:color="auto" w:fill="auto"/>
            <w:noWrap/>
            <w:vAlign w:val="bottom"/>
            <w:hideMark/>
          </w:tcPr>
          <w:p w14:paraId="6063FD4A"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411 508</w:t>
            </w:r>
          </w:p>
        </w:tc>
        <w:tc>
          <w:tcPr>
            <w:tcW w:w="598" w:type="pct"/>
            <w:tcBorders>
              <w:top w:val="nil"/>
              <w:left w:val="nil"/>
              <w:bottom w:val="nil"/>
              <w:right w:val="nil"/>
            </w:tcBorders>
            <w:shd w:val="clear" w:color="auto" w:fill="auto"/>
            <w:noWrap/>
            <w:vAlign w:val="bottom"/>
            <w:hideMark/>
          </w:tcPr>
          <w:p w14:paraId="76F8FBE3"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366 616</w:t>
            </w:r>
          </w:p>
        </w:tc>
        <w:tc>
          <w:tcPr>
            <w:tcW w:w="599" w:type="pct"/>
            <w:tcBorders>
              <w:top w:val="nil"/>
              <w:left w:val="nil"/>
              <w:bottom w:val="nil"/>
              <w:right w:val="nil"/>
            </w:tcBorders>
            <w:shd w:val="clear" w:color="000000" w:fill="BFBFBF"/>
            <w:noWrap/>
            <w:vAlign w:val="bottom"/>
            <w:hideMark/>
          </w:tcPr>
          <w:p w14:paraId="48E424E8"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331 485</w:t>
            </w:r>
          </w:p>
        </w:tc>
        <w:tc>
          <w:tcPr>
            <w:tcW w:w="556" w:type="pct"/>
            <w:tcBorders>
              <w:top w:val="nil"/>
              <w:left w:val="nil"/>
              <w:bottom w:val="nil"/>
              <w:right w:val="nil"/>
            </w:tcBorders>
            <w:shd w:val="clear" w:color="auto" w:fill="auto"/>
            <w:noWrap/>
            <w:vAlign w:val="bottom"/>
            <w:hideMark/>
          </w:tcPr>
          <w:p w14:paraId="7368B26B"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-35 131</w:t>
            </w:r>
          </w:p>
        </w:tc>
      </w:tr>
      <w:tr w:rsidR="00CB3C45" w:rsidRPr="00352FE0" w14:paraId="6AA234DB" w14:textId="77777777" w:rsidTr="002A2EAF">
        <w:trPr>
          <w:trHeight w:val="300"/>
        </w:trPr>
        <w:tc>
          <w:tcPr>
            <w:tcW w:w="2605" w:type="pct"/>
            <w:tcBorders>
              <w:top w:val="nil"/>
              <w:left w:val="nil"/>
              <w:bottom w:val="nil"/>
              <w:right w:val="nil"/>
            </w:tcBorders>
            <w:shd w:val="clear" w:color="auto" w:fill="auto"/>
            <w:noWrap/>
            <w:vAlign w:val="bottom"/>
            <w:hideMark/>
          </w:tcPr>
          <w:p w14:paraId="77C3F1EC" w14:textId="77777777" w:rsidR="00CB3C45" w:rsidRPr="00352FE0" w:rsidRDefault="00CB3C45" w:rsidP="00842F2E">
            <w:pPr>
              <w:spacing w:after="0" w:line="240" w:lineRule="auto"/>
              <w:ind w:firstLineChars="200" w:firstLine="360"/>
              <w:jc w:val="left"/>
              <w:rPr>
                <w:rFonts w:eastAsia="Times New Roman" w:cs="Times New Roman"/>
                <w:sz w:val="18"/>
                <w:szCs w:val="18"/>
                <w:lang w:eastAsia="sk-SK"/>
              </w:rPr>
            </w:pPr>
            <w:r w:rsidRPr="00352FE0">
              <w:rPr>
                <w:rFonts w:eastAsia="Times New Roman" w:cs="Times New Roman"/>
                <w:sz w:val="18"/>
                <w:szCs w:val="18"/>
                <w:lang w:eastAsia="sk-SK"/>
              </w:rPr>
              <w:t>Ostatné subjekty ústrednej správy</w:t>
            </w:r>
          </w:p>
        </w:tc>
        <w:tc>
          <w:tcPr>
            <w:tcW w:w="642" w:type="pct"/>
            <w:tcBorders>
              <w:top w:val="nil"/>
              <w:left w:val="nil"/>
              <w:bottom w:val="nil"/>
              <w:right w:val="nil"/>
            </w:tcBorders>
            <w:shd w:val="clear" w:color="auto" w:fill="auto"/>
            <w:noWrap/>
            <w:vAlign w:val="bottom"/>
            <w:hideMark/>
          </w:tcPr>
          <w:p w14:paraId="3324EEC2"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900</w:t>
            </w:r>
          </w:p>
        </w:tc>
        <w:tc>
          <w:tcPr>
            <w:tcW w:w="598" w:type="pct"/>
            <w:tcBorders>
              <w:top w:val="nil"/>
              <w:left w:val="nil"/>
              <w:bottom w:val="nil"/>
              <w:right w:val="nil"/>
            </w:tcBorders>
            <w:shd w:val="clear" w:color="auto" w:fill="auto"/>
            <w:noWrap/>
            <w:vAlign w:val="bottom"/>
            <w:hideMark/>
          </w:tcPr>
          <w:p w14:paraId="2AE8646A"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911</w:t>
            </w:r>
          </w:p>
        </w:tc>
        <w:tc>
          <w:tcPr>
            <w:tcW w:w="599" w:type="pct"/>
            <w:tcBorders>
              <w:top w:val="nil"/>
              <w:left w:val="nil"/>
              <w:bottom w:val="nil"/>
              <w:right w:val="nil"/>
            </w:tcBorders>
            <w:shd w:val="clear" w:color="000000" w:fill="BFBFBF"/>
            <w:noWrap/>
            <w:vAlign w:val="bottom"/>
            <w:hideMark/>
          </w:tcPr>
          <w:p w14:paraId="30610B7A"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658</w:t>
            </w:r>
          </w:p>
        </w:tc>
        <w:tc>
          <w:tcPr>
            <w:tcW w:w="556" w:type="pct"/>
            <w:tcBorders>
              <w:top w:val="nil"/>
              <w:left w:val="nil"/>
              <w:bottom w:val="nil"/>
              <w:right w:val="nil"/>
            </w:tcBorders>
            <w:shd w:val="clear" w:color="auto" w:fill="auto"/>
            <w:noWrap/>
            <w:vAlign w:val="bottom"/>
            <w:hideMark/>
          </w:tcPr>
          <w:p w14:paraId="1602206A"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-253</w:t>
            </w:r>
          </w:p>
        </w:tc>
      </w:tr>
      <w:tr w:rsidR="00CB3C45" w:rsidRPr="00352FE0" w14:paraId="0DD46C06" w14:textId="77777777" w:rsidTr="002A2EAF">
        <w:trPr>
          <w:trHeight w:val="300"/>
        </w:trPr>
        <w:tc>
          <w:tcPr>
            <w:tcW w:w="2605" w:type="pct"/>
            <w:tcBorders>
              <w:top w:val="nil"/>
              <w:left w:val="nil"/>
              <w:bottom w:val="nil"/>
              <w:right w:val="nil"/>
            </w:tcBorders>
            <w:shd w:val="clear" w:color="auto" w:fill="auto"/>
            <w:noWrap/>
            <w:vAlign w:val="bottom"/>
            <w:hideMark/>
          </w:tcPr>
          <w:p w14:paraId="6BD2B828" w14:textId="77777777" w:rsidR="00CB3C45" w:rsidRPr="00352FE0" w:rsidRDefault="00CB3C45" w:rsidP="00842F2E">
            <w:pPr>
              <w:spacing w:after="0" w:line="240" w:lineRule="auto"/>
              <w:jc w:val="left"/>
              <w:rPr>
                <w:rFonts w:eastAsia="Times New Roman" w:cs="Times New Roman"/>
                <w:b/>
                <w:bCs/>
                <w:sz w:val="18"/>
                <w:szCs w:val="18"/>
                <w:lang w:eastAsia="sk-SK"/>
              </w:rPr>
            </w:pPr>
            <w:r w:rsidRPr="00352FE0">
              <w:rPr>
                <w:rFonts w:eastAsia="Times New Roman" w:cs="Times New Roman"/>
                <w:b/>
                <w:bCs/>
                <w:sz w:val="18"/>
                <w:szCs w:val="18"/>
                <w:lang w:eastAsia="sk-SK"/>
              </w:rPr>
              <w:t>Územná samospráva</w:t>
            </w:r>
          </w:p>
        </w:tc>
        <w:tc>
          <w:tcPr>
            <w:tcW w:w="642" w:type="pct"/>
            <w:tcBorders>
              <w:top w:val="nil"/>
              <w:left w:val="nil"/>
              <w:bottom w:val="nil"/>
              <w:right w:val="nil"/>
            </w:tcBorders>
            <w:shd w:val="clear" w:color="auto" w:fill="auto"/>
            <w:noWrap/>
            <w:vAlign w:val="bottom"/>
            <w:hideMark/>
          </w:tcPr>
          <w:p w14:paraId="0DEFC760" w14:textId="77777777" w:rsidR="00CB3C45" w:rsidRPr="00352FE0" w:rsidRDefault="00CB3C45" w:rsidP="00842F2E">
            <w:pPr>
              <w:spacing w:after="0" w:line="240" w:lineRule="auto"/>
              <w:jc w:val="left"/>
              <w:rPr>
                <w:rFonts w:eastAsia="Times New Roman" w:cs="Times New Roman"/>
                <w:b/>
                <w:bCs/>
                <w:sz w:val="18"/>
                <w:szCs w:val="18"/>
                <w:lang w:eastAsia="sk-SK"/>
              </w:rPr>
            </w:pPr>
          </w:p>
        </w:tc>
        <w:tc>
          <w:tcPr>
            <w:tcW w:w="598" w:type="pct"/>
            <w:tcBorders>
              <w:top w:val="nil"/>
              <w:left w:val="nil"/>
              <w:bottom w:val="nil"/>
              <w:right w:val="nil"/>
            </w:tcBorders>
            <w:shd w:val="clear" w:color="auto" w:fill="auto"/>
            <w:noWrap/>
            <w:vAlign w:val="bottom"/>
            <w:hideMark/>
          </w:tcPr>
          <w:p w14:paraId="42C076A1" w14:textId="77777777" w:rsidR="00CB3C45" w:rsidRPr="00352FE0" w:rsidRDefault="00CB3C45" w:rsidP="00842F2E">
            <w:pPr>
              <w:spacing w:after="0" w:line="240" w:lineRule="auto"/>
              <w:jc w:val="left"/>
              <w:rPr>
                <w:rFonts w:eastAsia="Times New Roman" w:cs="Times New Roman"/>
                <w:sz w:val="18"/>
                <w:szCs w:val="18"/>
                <w:lang w:eastAsia="sk-SK"/>
              </w:rPr>
            </w:pPr>
          </w:p>
        </w:tc>
        <w:tc>
          <w:tcPr>
            <w:tcW w:w="599" w:type="pct"/>
            <w:tcBorders>
              <w:top w:val="nil"/>
              <w:left w:val="nil"/>
              <w:bottom w:val="nil"/>
              <w:right w:val="nil"/>
            </w:tcBorders>
            <w:shd w:val="clear" w:color="000000" w:fill="BFBFBF"/>
            <w:noWrap/>
            <w:vAlign w:val="bottom"/>
            <w:hideMark/>
          </w:tcPr>
          <w:p w14:paraId="6C93E6A3" w14:textId="77777777" w:rsidR="00CB3C45" w:rsidRPr="00352FE0" w:rsidRDefault="00CB3C45" w:rsidP="00842F2E">
            <w:pPr>
              <w:spacing w:after="0" w:line="240" w:lineRule="auto"/>
              <w:jc w:val="left"/>
              <w:rPr>
                <w:rFonts w:eastAsia="Times New Roman" w:cs="Times New Roman"/>
                <w:sz w:val="18"/>
                <w:szCs w:val="18"/>
                <w:lang w:eastAsia="sk-SK"/>
              </w:rPr>
            </w:pPr>
            <w:r w:rsidRPr="00352FE0">
              <w:rPr>
                <w:rFonts w:eastAsia="Times New Roman" w:cs="Times New Roman"/>
                <w:sz w:val="18"/>
                <w:szCs w:val="18"/>
                <w:lang w:eastAsia="sk-SK"/>
              </w:rPr>
              <w:t> </w:t>
            </w:r>
          </w:p>
        </w:tc>
        <w:tc>
          <w:tcPr>
            <w:tcW w:w="556" w:type="pct"/>
            <w:tcBorders>
              <w:top w:val="nil"/>
              <w:left w:val="nil"/>
              <w:bottom w:val="nil"/>
              <w:right w:val="nil"/>
            </w:tcBorders>
            <w:shd w:val="clear" w:color="auto" w:fill="auto"/>
            <w:noWrap/>
            <w:vAlign w:val="bottom"/>
            <w:hideMark/>
          </w:tcPr>
          <w:p w14:paraId="0103E77E" w14:textId="77777777" w:rsidR="00CB3C45" w:rsidRPr="00352FE0" w:rsidRDefault="00CB3C45" w:rsidP="00842F2E">
            <w:pPr>
              <w:spacing w:after="0" w:line="240" w:lineRule="auto"/>
              <w:jc w:val="left"/>
              <w:rPr>
                <w:rFonts w:eastAsia="Times New Roman" w:cs="Times New Roman"/>
                <w:sz w:val="18"/>
                <w:szCs w:val="18"/>
                <w:lang w:eastAsia="sk-SK"/>
              </w:rPr>
            </w:pPr>
          </w:p>
        </w:tc>
      </w:tr>
      <w:tr w:rsidR="00CB3C45" w:rsidRPr="00352FE0" w14:paraId="4172D2FD" w14:textId="77777777" w:rsidTr="002A2EAF">
        <w:trPr>
          <w:trHeight w:val="300"/>
        </w:trPr>
        <w:tc>
          <w:tcPr>
            <w:tcW w:w="2605" w:type="pct"/>
            <w:tcBorders>
              <w:top w:val="nil"/>
              <w:left w:val="nil"/>
              <w:bottom w:val="nil"/>
              <w:right w:val="nil"/>
            </w:tcBorders>
            <w:shd w:val="clear" w:color="auto" w:fill="auto"/>
            <w:noWrap/>
            <w:vAlign w:val="bottom"/>
            <w:hideMark/>
          </w:tcPr>
          <w:p w14:paraId="2940CBD8" w14:textId="77777777" w:rsidR="00CB3C45" w:rsidRPr="00352FE0" w:rsidRDefault="00CB3C45" w:rsidP="00842F2E">
            <w:pPr>
              <w:spacing w:after="0" w:line="240" w:lineRule="auto"/>
              <w:ind w:firstLineChars="200" w:firstLine="360"/>
              <w:jc w:val="left"/>
              <w:rPr>
                <w:rFonts w:eastAsia="Times New Roman" w:cs="Times New Roman"/>
                <w:sz w:val="18"/>
                <w:szCs w:val="18"/>
                <w:lang w:eastAsia="sk-SK"/>
              </w:rPr>
            </w:pPr>
            <w:r w:rsidRPr="00352FE0">
              <w:rPr>
                <w:rFonts w:eastAsia="Times New Roman" w:cs="Times New Roman"/>
                <w:sz w:val="18"/>
                <w:szCs w:val="18"/>
                <w:lang w:eastAsia="sk-SK"/>
              </w:rPr>
              <w:t>Obce a ich rozpočtové organizácie</w:t>
            </w:r>
          </w:p>
        </w:tc>
        <w:tc>
          <w:tcPr>
            <w:tcW w:w="642" w:type="pct"/>
            <w:tcBorders>
              <w:top w:val="nil"/>
              <w:left w:val="nil"/>
              <w:bottom w:val="nil"/>
              <w:right w:val="nil"/>
            </w:tcBorders>
            <w:shd w:val="clear" w:color="auto" w:fill="auto"/>
            <w:noWrap/>
            <w:vAlign w:val="bottom"/>
            <w:hideMark/>
          </w:tcPr>
          <w:p w14:paraId="35D8DC26"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1 472 902</w:t>
            </w:r>
          </w:p>
        </w:tc>
        <w:tc>
          <w:tcPr>
            <w:tcW w:w="598" w:type="pct"/>
            <w:tcBorders>
              <w:top w:val="nil"/>
              <w:left w:val="nil"/>
              <w:bottom w:val="nil"/>
              <w:right w:val="nil"/>
            </w:tcBorders>
            <w:shd w:val="clear" w:color="auto" w:fill="auto"/>
            <w:noWrap/>
            <w:vAlign w:val="bottom"/>
            <w:hideMark/>
          </w:tcPr>
          <w:p w14:paraId="5B826240"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1 490 908</w:t>
            </w:r>
          </w:p>
        </w:tc>
        <w:tc>
          <w:tcPr>
            <w:tcW w:w="599" w:type="pct"/>
            <w:tcBorders>
              <w:top w:val="nil"/>
              <w:left w:val="nil"/>
              <w:bottom w:val="nil"/>
              <w:right w:val="nil"/>
            </w:tcBorders>
            <w:shd w:val="clear" w:color="000000" w:fill="BFBFBF"/>
            <w:noWrap/>
            <w:vAlign w:val="bottom"/>
            <w:hideMark/>
          </w:tcPr>
          <w:p w14:paraId="34001B80"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1 593 710</w:t>
            </w:r>
          </w:p>
        </w:tc>
        <w:tc>
          <w:tcPr>
            <w:tcW w:w="556" w:type="pct"/>
            <w:tcBorders>
              <w:top w:val="nil"/>
              <w:left w:val="nil"/>
              <w:bottom w:val="nil"/>
              <w:right w:val="nil"/>
            </w:tcBorders>
            <w:shd w:val="clear" w:color="auto" w:fill="auto"/>
            <w:noWrap/>
            <w:vAlign w:val="bottom"/>
            <w:hideMark/>
          </w:tcPr>
          <w:p w14:paraId="032BC6B5"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102 802</w:t>
            </w:r>
          </w:p>
        </w:tc>
      </w:tr>
      <w:tr w:rsidR="00CB3C45" w:rsidRPr="00352FE0" w14:paraId="1D13521A" w14:textId="77777777" w:rsidTr="002A2EAF">
        <w:trPr>
          <w:trHeight w:val="300"/>
        </w:trPr>
        <w:tc>
          <w:tcPr>
            <w:tcW w:w="2605" w:type="pct"/>
            <w:tcBorders>
              <w:top w:val="nil"/>
              <w:left w:val="nil"/>
              <w:bottom w:val="nil"/>
              <w:right w:val="nil"/>
            </w:tcBorders>
            <w:shd w:val="clear" w:color="auto" w:fill="auto"/>
            <w:noWrap/>
            <w:vAlign w:val="bottom"/>
            <w:hideMark/>
          </w:tcPr>
          <w:p w14:paraId="6D150775" w14:textId="77777777" w:rsidR="00CB3C45" w:rsidRPr="00352FE0" w:rsidRDefault="00CB3C45" w:rsidP="00842F2E">
            <w:pPr>
              <w:spacing w:after="0" w:line="240" w:lineRule="auto"/>
              <w:ind w:firstLineChars="200" w:firstLine="360"/>
              <w:jc w:val="left"/>
              <w:rPr>
                <w:rFonts w:eastAsia="Times New Roman" w:cs="Times New Roman"/>
                <w:sz w:val="18"/>
                <w:szCs w:val="18"/>
                <w:lang w:eastAsia="sk-SK"/>
              </w:rPr>
            </w:pPr>
            <w:r w:rsidRPr="00352FE0">
              <w:rPr>
                <w:rFonts w:eastAsia="Times New Roman" w:cs="Times New Roman"/>
                <w:sz w:val="18"/>
                <w:szCs w:val="18"/>
                <w:lang w:eastAsia="sk-SK"/>
              </w:rPr>
              <w:t>Vyššie územné celky a ich rozpočtové organizácie</w:t>
            </w:r>
          </w:p>
        </w:tc>
        <w:tc>
          <w:tcPr>
            <w:tcW w:w="642" w:type="pct"/>
            <w:tcBorders>
              <w:top w:val="nil"/>
              <w:left w:val="nil"/>
              <w:bottom w:val="nil"/>
              <w:right w:val="nil"/>
            </w:tcBorders>
            <w:shd w:val="clear" w:color="auto" w:fill="auto"/>
            <w:noWrap/>
            <w:vAlign w:val="bottom"/>
            <w:hideMark/>
          </w:tcPr>
          <w:p w14:paraId="5ACBF249"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362 819</w:t>
            </w:r>
          </w:p>
        </w:tc>
        <w:tc>
          <w:tcPr>
            <w:tcW w:w="598" w:type="pct"/>
            <w:tcBorders>
              <w:top w:val="nil"/>
              <w:left w:val="nil"/>
              <w:bottom w:val="nil"/>
              <w:right w:val="nil"/>
            </w:tcBorders>
            <w:shd w:val="clear" w:color="auto" w:fill="auto"/>
            <w:noWrap/>
            <w:vAlign w:val="bottom"/>
            <w:hideMark/>
          </w:tcPr>
          <w:p w14:paraId="5D1AD22E"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391 001</w:t>
            </w:r>
          </w:p>
        </w:tc>
        <w:tc>
          <w:tcPr>
            <w:tcW w:w="599" w:type="pct"/>
            <w:tcBorders>
              <w:top w:val="nil"/>
              <w:left w:val="nil"/>
              <w:bottom w:val="nil"/>
              <w:right w:val="nil"/>
            </w:tcBorders>
            <w:shd w:val="clear" w:color="000000" w:fill="BFBFBF"/>
            <w:noWrap/>
            <w:vAlign w:val="bottom"/>
            <w:hideMark/>
          </w:tcPr>
          <w:p w14:paraId="68FE0B9F"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498 712</w:t>
            </w:r>
          </w:p>
        </w:tc>
        <w:tc>
          <w:tcPr>
            <w:tcW w:w="556" w:type="pct"/>
            <w:tcBorders>
              <w:top w:val="nil"/>
              <w:left w:val="nil"/>
              <w:bottom w:val="nil"/>
              <w:right w:val="nil"/>
            </w:tcBorders>
            <w:shd w:val="clear" w:color="auto" w:fill="auto"/>
            <w:noWrap/>
            <w:vAlign w:val="bottom"/>
            <w:hideMark/>
          </w:tcPr>
          <w:p w14:paraId="7510B597"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107 711</w:t>
            </w:r>
          </w:p>
        </w:tc>
      </w:tr>
      <w:tr w:rsidR="00CB3C45" w:rsidRPr="00352FE0" w14:paraId="50B770A0" w14:textId="77777777" w:rsidTr="002A2EAF">
        <w:trPr>
          <w:trHeight w:val="300"/>
        </w:trPr>
        <w:tc>
          <w:tcPr>
            <w:tcW w:w="2605" w:type="pct"/>
            <w:tcBorders>
              <w:top w:val="nil"/>
              <w:left w:val="nil"/>
              <w:bottom w:val="nil"/>
              <w:right w:val="nil"/>
            </w:tcBorders>
            <w:shd w:val="clear" w:color="auto" w:fill="auto"/>
            <w:noWrap/>
            <w:vAlign w:val="bottom"/>
            <w:hideMark/>
          </w:tcPr>
          <w:p w14:paraId="094166D2" w14:textId="77777777" w:rsidR="00CB3C45" w:rsidRPr="00352FE0" w:rsidRDefault="00CB3C45" w:rsidP="00842F2E">
            <w:pPr>
              <w:spacing w:after="0" w:line="240" w:lineRule="auto"/>
              <w:ind w:firstLineChars="200" w:firstLine="360"/>
              <w:jc w:val="left"/>
              <w:rPr>
                <w:rFonts w:eastAsia="Times New Roman" w:cs="Times New Roman"/>
                <w:sz w:val="18"/>
                <w:szCs w:val="18"/>
                <w:lang w:eastAsia="sk-SK"/>
              </w:rPr>
            </w:pPr>
            <w:r w:rsidRPr="00352FE0">
              <w:rPr>
                <w:rFonts w:eastAsia="Times New Roman" w:cs="Times New Roman"/>
                <w:sz w:val="18"/>
                <w:szCs w:val="18"/>
                <w:lang w:eastAsia="sk-SK"/>
              </w:rPr>
              <w:t>Príspevkové organizácie obcí</w:t>
            </w:r>
          </w:p>
        </w:tc>
        <w:tc>
          <w:tcPr>
            <w:tcW w:w="642" w:type="pct"/>
            <w:tcBorders>
              <w:top w:val="nil"/>
              <w:left w:val="nil"/>
              <w:bottom w:val="nil"/>
              <w:right w:val="nil"/>
            </w:tcBorders>
            <w:shd w:val="clear" w:color="auto" w:fill="auto"/>
            <w:noWrap/>
            <w:vAlign w:val="bottom"/>
            <w:hideMark/>
          </w:tcPr>
          <w:p w14:paraId="2D1242AF"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1 540</w:t>
            </w:r>
          </w:p>
        </w:tc>
        <w:tc>
          <w:tcPr>
            <w:tcW w:w="598" w:type="pct"/>
            <w:tcBorders>
              <w:top w:val="nil"/>
              <w:left w:val="nil"/>
              <w:bottom w:val="nil"/>
              <w:right w:val="nil"/>
            </w:tcBorders>
            <w:shd w:val="clear" w:color="auto" w:fill="auto"/>
            <w:noWrap/>
            <w:vAlign w:val="bottom"/>
            <w:hideMark/>
          </w:tcPr>
          <w:p w14:paraId="3094F67D"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1 507</w:t>
            </w:r>
          </w:p>
        </w:tc>
        <w:tc>
          <w:tcPr>
            <w:tcW w:w="599" w:type="pct"/>
            <w:tcBorders>
              <w:top w:val="nil"/>
              <w:left w:val="nil"/>
              <w:bottom w:val="nil"/>
              <w:right w:val="nil"/>
            </w:tcBorders>
            <w:shd w:val="clear" w:color="000000" w:fill="BFBFBF"/>
            <w:noWrap/>
            <w:vAlign w:val="bottom"/>
            <w:hideMark/>
          </w:tcPr>
          <w:p w14:paraId="5DC0D4C0"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1 943</w:t>
            </w:r>
          </w:p>
        </w:tc>
        <w:tc>
          <w:tcPr>
            <w:tcW w:w="556" w:type="pct"/>
            <w:tcBorders>
              <w:top w:val="nil"/>
              <w:left w:val="nil"/>
              <w:bottom w:val="nil"/>
              <w:right w:val="nil"/>
            </w:tcBorders>
            <w:shd w:val="clear" w:color="auto" w:fill="auto"/>
            <w:noWrap/>
            <w:vAlign w:val="bottom"/>
            <w:hideMark/>
          </w:tcPr>
          <w:p w14:paraId="49AEC48F"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436</w:t>
            </w:r>
          </w:p>
        </w:tc>
      </w:tr>
      <w:tr w:rsidR="00CB3C45" w:rsidRPr="00352FE0" w14:paraId="473067F5" w14:textId="77777777" w:rsidTr="002A2EAF">
        <w:trPr>
          <w:trHeight w:val="300"/>
        </w:trPr>
        <w:tc>
          <w:tcPr>
            <w:tcW w:w="2605" w:type="pct"/>
            <w:tcBorders>
              <w:top w:val="nil"/>
              <w:left w:val="nil"/>
              <w:bottom w:val="nil"/>
              <w:right w:val="nil"/>
            </w:tcBorders>
            <w:shd w:val="clear" w:color="auto" w:fill="auto"/>
            <w:noWrap/>
            <w:vAlign w:val="bottom"/>
            <w:hideMark/>
          </w:tcPr>
          <w:p w14:paraId="28687953" w14:textId="77777777" w:rsidR="00CB3C45" w:rsidRPr="00352FE0" w:rsidRDefault="00CB3C45" w:rsidP="00842F2E">
            <w:pPr>
              <w:spacing w:after="0" w:line="240" w:lineRule="auto"/>
              <w:ind w:firstLineChars="200" w:firstLine="360"/>
              <w:jc w:val="left"/>
              <w:rPr>
                <w:rFonts w:eastAsia="Times New Roman" w:cs="Times New Roman"/>
                <w:sz w:val="18"/>
                <w:szCs w:val="18"/>
                <w:lang w:eastAsia="sk-SK"/>
              </w:rPr>
            </w:pPr>
            <w:r w:rsidRPr="00352FE0">
              <w:rPr>
                <w:rFonts w:eastAsia="Times New Roman" w:cs="Times New Roman"/>
                <w:sz w:val="18"/>
                <w:szCs w:val="18"/>
                <w:lang w:eastAsia="sk-SK"/>
              </w:rPr>
              <w:t>Príspevkové organizácie VÚC</w:t>
            </w:r>
          </w:p>
        </w:tc>
        <w:tc>
          <w:tcPr>
            <w:tcW w:w="642" w:type="pct"/>
            <w:tcBorders>
              <w:top w:val="nil"/>
              <w:left w:val="nil"/>
              <w:bottom w:val="nil"/>
              <w:right w:val="nil"/>
            </w:tcBorders>
            <w:shd w:val="clear" w:color="auto" w:fill="auto"/>
            <w:noWrap/>
            <w:vAlign w:val="bottom"/>
            <w:hideMark/>
          </w:tcPr>
          <w:p w14:paraId="4B033EC4"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859</w:t>
            </w:r>
          </w:p>
        </w:tc>
        <w:tc>
          <w:tcPr>
            <w:tcW w:w="598" w:type="pct"/>
            <w:tcBorders>
              <w:top w:val="nil"/>
              <w:left w:val="nil"/>
              <w:bottom w:val="nil"/>
              <w:right w:val="nil"/>
            </w:tcBorders>
            <w:shd w:val="clear" w:color="auto" w:fill="auto"/>
            <w:noWrap/>
            <w:vAlign w:val="bottom"/>
            <w:hideMark/>
          </w:tcPr>
          <w:p w14:paraId="568BC855"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782</w:t>
            </w:r>
          </w:p>
        </w:tc>
        <w:tc>
          <w:tcPr>
            <w:tcW w:w="599" w:type="pct"/>
            <w:tcBorders>
              <w:top w:val="nil"/>
              <w:left w:val="nil"/>
              <w:bottom w:val="nil"/>
              <w:right w:val="nil"/>
            </w:tcBorders>
            <w:shd w:val="clear" w:color="000000" w:fill="BFBFBF"/>
            <w:noWrap/>
            <w:vAlign w:val="bottom"/>
            <w:hideMark/>
          </w:tcPr>
          <w:p w14:paraId="4B914AA2"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857</w:t>
            </w:r>
          </w:p>
        </w:tc>
        <w:tc>
          <w:tcPr>
            <w:tcW w:w="556" w:type="pct"/>
            <w:tcBorders>
              <w:top w:val="nil"/>
              <w:left w:val="nil"/>
              <w:bottom w:val="nil"/>
              <w:right w:val="nil"/>
            </w:tcBorders>
            <w:shd w:val="clear" w:color="auto" w:fill="auto"/>
            <w:noWrap/>
            <w:vAlign w:val="bottom"/>
            <w:hideMark/>
          </w:tcPr>
          <w:p w14:paraId="1FE8F5F4"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75</w:t>
            </w:r>
          </w:p>
        </w:tc>
      </w:tr>
      <w:tr w:rsidR="00CB3C45" w:rsidRPr="00352FE0" w14:paraId="38F93000" w14:textId="77777777" w:rsidTr="002A2EAF">
        <w:trPr>
          <w:trHeight w:val="300"/>
        </w:trPr>
        <w:tc>
          <w:tcPr>
            <w:tcW w:w="2605" w:type="pct"/>
            <w:tcBorders>
              <w:top w:val="nil"/>
              <w:left w:val="nil"/>
              <w:bottom w:val="nil"/>
              <w:right w:val="nil"/>
            </w:tcBorders>
            <w:shd w:val="clear" w:color="auto" w:fill="auto"/>
            <w:noWrap/>
            <w:vAlign w:val="bottom"/>
            <w:hideMark/>
          </w:tcPr>
          <w:p w14:paraId="27110570" w14:textId="77777777" w:rsidR="00CB3C45" w:rsidRPr="00352FE0" w:rsidRDefault="00CB3C45" w:rsidP="00842F2E">
            <w:pPr>
              <w:spacing w:after="0" w:line="240" w:lineRule="auto"/>
              <w:ind w:firstLineChars="200" w:firstLine="360"/>
              <w:jc w:val="left"/>
              <w:rPr>
                <w:rFonts w:eastAsia="Times New Roman" w:cs="Times New Roman"/>
                <w:sz w:val="18"/>
                <w:szCs w:val="18"/>
                <w:lang w:eastAsia="sk-SK"/>
              </w:rPr>
            </w:pPr>
            <w:r w:rsidRPr="00352FE0">
              <w:rPr>
                <w:rFonts w:eastAsia="Times New Roman" w:cs="Times New Roman"/>
                <w:sz w:val="18"/>
                <w:szCs w:val="18"/>
                <w:lang w:eastAsia="sk-SK"/>
              </w:rPr>
              <w:t>Dopravné podniky</w:t>
            </w:r>
          </w:p>
        </w:tc>
        <w:tc>
          <w:tcPr>
            <w:tcW w:w="642" w:type="pct"/>
            <w:tcBorders>
              <w:top w:val="nil"/>
              <w:left w:val="nil"/>
              <w:bottom w:val="nil"/>
              <w:right w:val="nil"/>
            </w:tcBorders>
            <w:shd w:val="clear" w:color="auto" w:fill="auto"/>
            <w:noWrap/>
            <w:vAlign w:val="bottom"/>
            <w:hideMark/>
          </w:tcPr>
          <w:p w14:paraId="530A4E96"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76 239</w:t>
            </w:r>
          </w:p>
        </w:tc>
        <w:tc>
          <w:tcPr>
            <w:tcW w:w="598" w:type="pct"/>
            <w:tcBorders>
              <w:top w:val="nil"/>
              <w:left w:val="nil"/>
              <w:bottom w:val="nil"/>
              <w:right w:val="nil"/>
            </w:tcBorders>
            <w:shd w:val="clear" w:color="auto" w:fill="auto"/>
            <w:noWrap/>
            <w:vAlign w:val="bottom"/>
            <w:hideMark/>
          </w:tcPr>
          <w:p w14:paraId="4D75B379"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61 289</w:t>
            </w:r>
          </w:p>
        </w:tc>
        <w:tc>
          <w:tcPr>
            <w:tcW w:w="599" w:type="pct"/>
            <w:tcBorders>
              <w:top w:val="nil"/>
              <w:left w:val="nil"/>
              <w:bottom w:val="nil"/>
              <w:right w:val="nil"/>
            </w:tcBorders>
            <w:shd w:val="clear" w:color="000000" w:fill="BFBFBF"/>
            <w:noWrap/>
            <w:vAlign w:val="bottom"/>
            <w:hideMark/>
          </w:tcPr>
          <w:p w14:paraId="377300C6"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71 897</w:t>
            </w:r>
          </w:p>
        </w:tc>
        <w:tc>
          <w:tcPr>
            <w:tcW w:w="556" w:type="pct"/>
            <w:tcBorders>
              <w:top w:val="nil"/>
              <w:left w:val="nil"/>
              <w:bottom w:val="nil"/>
              <w:right w:val="nil"/>
            </w:tcBorders>
            <w:shd w:val="clear" w:color="auto" w:fill="auto"/>
            <w:noWrap/>
            <w:vAlign w:val="bottom"/>
            <w:hideMark/>
          </w:tcPr>
          <w:p w14:paraId="51F18146"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10 608</w:t>
            </w:r>
          </w:p>
        </w:tc>
      </w:tr>
      <w:tr w:rsidR="00CB3C45" w:rsidRPr="00352FE0" w14:paraId="72DB6A2D" w14:textId="77777777" w:rsidTr="002A2EAF">
        <w:trPr>
          <w:trHeight w:val="300"/>
        </w:trPr>
        <w:tc>
          <w:tcPr>
            <w:tcW w:w="2605" w:type="pct"/>
            <w:tcBorders>
              <w:top w:val="nil"/>
              <w:left w:val="nil"/>
              <w:bottom w:val="nil"/>
              <w:right w:val="nil"/>
            </w:tcBorders>
            <w:shd w:val="clear" w:color="auto" w:fill="auto"/>
            <w:noWrap/>
            <w:vAlign w:val="bottom"/>
            <w:hideMark/>
          </w:tcPr>
          <w:p w14:paraId="4AB3341C" w14:textId="77777777" w:rsidR="00CB3C45" w:rsidRPr="00352FE0" w:rsidRDefault="00CB3C45" w:rsidP="00842F2E">
            <w:pPr>
              <w:spacing w:after="0" w:line="240" w:lineRule="auto"/>
              <w:ind w:firstLineChars="200" w:firstLine="360"/>
              <w:jc w:val="left"/>
              <w:rPr>
                <w:rFonts w:eastAsia="Times New Roman" w:cs="Times New Roman"/>
                <w:sz w:val="18"/>
                <w:szCs w:val="18"/>
                <w:lang w:eastAsia="sk-SK"/>
              </w:rPr>
            </w:pPr>
            <w:r w:rsidRPr="00352FE0">
              <w:rPr>
                <w:rFonts w:eastAsia="Times New Roman" w:cs="Times New Roman"/>
                <w:sz w:val="18"/>
                <w:szCs w:val="18"/>
                <w:lang w:eastAsia="sk-SK"/>
              </w:rPr>
              <w:t>Zdravotnícke zariadenia miestnej samosprávy</w:t>
            </w:r>
          </w:p>
        </w:tc>
        <w:tc>
          <w:tcPr>
            <w:tcW w:w="642" w:type="pct"/>
            <w:tcBorders>
              <w:top w:val="nil"/>
              <w:left w:val="nil"/>
              <w:bottom w:val="nil"/>
              <w:right w:val="nil"/>
            </w:tcBorders>
            <w:shd w:val="clear" w:color="auto" w:fill="auto"/>
            <w:noWrap/>
            <w:vAlign w:val="bottom"/>
            <w:hideMark/>
          </w:tcPr>
          <w:p w14:paraId="57E2F448"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3 472</w:t>
            </w:r>
          </w:p>
        </w:tc>
        <w:tc>
          <w:tcPr>
            <w:tcW w:w="598" w:type="pct"/>
            <w:tcBorders>
              <w:top w:val="nil"/>
              <w:left w:val="nil"/>
              <w:bottom w:val="nil"/>
              <w:right w:val="nil"/>
            </w:tcBorders>
            <w:shd w:val="clear" w:color="auto" w:fill="auto"/>
            <w:noWrap/>
            <w:vAlign w:val="bottom"/>
            <w:hideMark/>
          </w:tcPr>
          <w:p w14:paraId="38C24D64"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3 042</w:t>
            </w:r>
          </w:p>
        </w:tc>
        <w:tc>
          <w:tcPr>
            <w:tcW w:w="599" w:type="pct"/>
            <w:tcBorders>
              <w:top w:val="nil"/>
              <w:left w:val="nil"/>
              <w:bottom w:val="nil"/>
              <w:right w:val="nil"/>
            </w:tcBorders>
            <w:shd w:val="clear" w:color="000000" w:fill="BFBFBF"/>
            <w:noWrap/>
            <w:vAlign w:val="bottom"/>
            <w:hideMark/>
          </w:tcPr>
          <w:p w14:paraId="111FCA00"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2 621</w:t>
            </w:r>
          </w:p>
        </w:tc>
        <w:tc>
          <w:tcPr>
            <w:tcW w:w="556" w:type="pct"/>
            <w:tcBorders>
              <w:top w:val="nil"/>
              <w:left w:val="nil"/>
              <w:bottom w:val="nil"/>
              <w:right w:val="nil"/>
            </w:tcBorders>
            <w:shd w:val="clear" w:color="auto" w:fill="auto"/>
            <w:noWrap/>
            <w:vAlign w:val="bottom"/>
            <w:hideMark/>
          </w:tcPr>
          <w:p w14:paraId="0B951F38"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-421</w:t>
            </w:r>
          </w:p>
        </w:tc>
      </w:tr>
      <w:tr w:rsidR="00CB3C45" w:rsidRPr="00352FE0" w14:paraId="3A623DC9" w14:textId="77777777" w:rsidTr="002A2EAF">
        <w:trPr>
          <w:trHeight w:val="300"/>
        </w:trPr>
        <w:tc>
          <w:tcPr>
            <w:tcW w:w="2605" w:type="pct"/>
            <w:tcBorders>
              <w:top w:val="nil"/>
              <w:left w:val="nil"/>
              <w:bottom w:val="nil"/>
              <w:right w:val="nil"/>
            </w:tcBorders>
            <w:shd w:val="clear" w:color="auto" w:fill="auto"/>
            <w:noWrap/>
            <w:vAlign w:val="bottom"/>
            <w:hideMark/>
          </w:tcPr>
          <w:p w14:paraId="66854172" w14:textId="77777777" w:rsidR="00CB3C45" w:rsidRPr="00352FE0" w:rsidRDefault="00CB3C45" w:rsidP="00842F2E">
            <w:pPr>
              <w:spacing w:after="0" w:line="240" w:lineRule="auto"/>
              <w:ind w:firstLineChars="200" w:firstLine="360"/>
              <w:jc w:val="left"/>
              <w:rPr>
                <w:rFonts w:eastAsia="Times New Roman" w:cs="Times New Roman"/>
                <w:sz w:val="18"/>
                <w:szCs w:val="18"/>
                <w:lang w:eastAsia="sk-SK"/>
              </w:rPr>
            </w:pPr>
            <w:r w:rsidRPr="00352FE0">
              <w:rPr>
                <w:rFonts w:eastAsia="Times New Roman" w:cs="Times New Roman"/>
                <w:sz w:val="18"/>
                <w:szCs w:val="18"/>
                <w:lang w:eastAsia="sk-SK"/>
              </w:rPr>
              <w:t>Ostatné subjekty miestnej samosprávy</w:t>
            </w:r>
          </w:p>
        </w:tc>
        <w:tc>
          <w:tcPr>
            <w:tcW w:w="642" w:type="pct"/>
            <w:tcBorders>
              <w:top w:val="nil"/>
              <w:left w:val="nil"/>
              <w:bottom w:val="nil"/>
              <w:right w:val="nil"/>
            </w:tcBorders>
            <w:shd w:val="clear" w:color="auto" w:fill="auto"/>
            <w:noWrap/>
            <w:vAlign w:val="bottom"/>
            <w:hideMark/>
          </w:tcPr>
          <w:p w14:paraId="212CB16B"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4 808</w:t>
            </w:r>
          </w:p>
        </w:tc>
        <w:tc>
          <w:tcPr>
            <w:tcW w:w="598" w:type="pct"/>
            <w:tcBorders>
              <w:top w:val="nil"/>
              <w:left w:val="nil"/>
              <w:bottom w:val="nil"/>
              <w:right w:val="nil"/>
            </w:tcBorders>
            <w:shd w:val="clear" w:color="auto" w:fill="auto"/>
            <w:noWrap/>
            <w:vAlign w:val="bottom"/>
            <w:hideMark/>
          </w:tcPr>
          <w:p w14:paraId="4A9F2B24"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4 654</w:t>
            </w:r>
          </w:p>
        </w:tc>
        <w:tc>
          <w:tcPr>
            <w:tcW w:w="599" w:type="pct"/>
            <w:tcBorders>
              <w:top w:val="nil"/>
              <w:left w:val="nil"/>
              <w:bottom w:val="nil"/>
              <w:right w:val="nil"/>
            </w:tcBorders>
            <w:shd w:val="clear" w:color="000000" w:fill="BFBFBF"/>
            <w:noWrap/>
            <w:vAlign w:val="bottom"/>
            <w:hideMark/>
          </w:tcPr>
          <w:p w14:paraId="5746D2AD"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5 003</w:t>
            </w:r>
          </w:p>
        </w:tc>
        <w:tc>
          <w:tcPr>
            <w:tcW w:w="556" w:type="pct"/>
            <w:tcBorders>
              <w:top w:val="nil"/>
              <w:left w:val="nil"/>
              <w:bottom w:val="nil"/>
              <w:right w:val="nil"/>
            </w:tcBorders>
            <w:shd w:val="clear" w:color="auto" w:fill="auto"/>
            <w:noWrap/>
            <w:vAlign w:val="bottom"/>
            <w:hideMark/>
          </w:tcPr>
          <w:p w14:paraId="530D2571"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349</w:t>
            </w:r>
          </w:p>
        </w:tc>
      </w:tr>
      <w:tr w:rsidR="00CB3C45" w:rsidRPr="00352FE0" w14:paraId="721EF78A" w14:textId="77777777" w:rsidTr="002A2EAF">
        <w:trPr>
          <w:trHeight w:val="300"/>
        </w:trPr>
        <w:tc>
          <w:tcPr>
            <w:tcW w:w="2605" w:type="pct"/>
            <w:tcBorders>
              <w:top w:val="nil"/>
              <w:left w:val="nil"/>
              <w:bottom w:val="nil"/>
              <w:right w:val="nil"/>
            </w:tcBorders>
            <w:shd w:val="clear" w:color="auto" w:fill="auto"/>
            <w:noWrap/>
            <w:vAlign w:val="bottom"/>
            <w:hideMark/>
          </w:tcPr>
          <w:p w14:paraId="65E92AC6" w14:textId="77777777" w:rsidR="00CB3C45" w:rsidRPr="00352FE0" w:rsidRDefault="00CB3C45" w:rsidP="00842F2E">
            <w:pPr>
              <w:spacing w:after="0" w:line="240" w:lineRule="auto"/>
              <w:jc w:val="left"/>
              <w:rPr>
                <w:rFonts w:eastAsia="Times New Roman" w:cs="Times New Roman"/>
                <w:b/>
                <w:bCs/>
                <w:sz w:val="18"/>
                <w:szCs w:val="18"/>
                <w:lang w:eastAsia="sk-SK"/>
              </w:rPr>
            </w:pPr>
            <w:r w:rsidRPr="00352FE0">
              <w:rPr>
                <w:rFonts w:eastAsia="Times New Roman" w:cs="Times New Roman"/>
                <w:b/>
                <w:bCs/>
                <w:sz w:val="18"/>
                <w:szCs w:val="18"/>
                <w:lang w:eastAsia="sk-SK"/>
              </w:rPr>
              <w:t>Fondy sociálneho zabezpečenia</w:t>
            </w:r>
          </w:p>
        </w:tc>
        <w:tc>
          <w:tcPr>
            <w:tcW w:w="642" w:type="pct"/>
            <w:tcBorders>
              <w:top w:val="nil"/>
              <w:left w:val="nil"/>
              <w:bottom w:val="nil"/>
              <w:right w:val="nil"/>
            </w:tcBorders>
            <w:shd w:val="clear" w:color="auto" w:fill="auto"/>
            <w:noWrap/>
            <w:vAlign w:val="bottom"/>
            <w:hideMark/>
          </w:tcPr>
          <w:p w14:paraId="3D1AD734" w14:textId="77777777" w:rsidR="00CB3C45" w:rsidRPr="00352FE0" w:rsidRDefault="00CB3C45" w:rsidP="00842F2E">
            <w:pPr>
              <w:spacing w:after="0" w:line="240" w:lineRule="auto"/>
              <w:jc w:val="left"/>
              <w:rPr>
                <w:rFonts w:eastAsia="Times New Roman" w:cs="Times New Roman"/>
                <w:b/>
                <w:bCs/>
                <w:sz w:val="18"/>
                <w:szCs w:val="18"/>
                <w:lang w:eastAsia="sk-SK"/>
              </w:rPr>
            </w:pPr>
          </w:p>
        </w:tc>
        <w:tc>
          <w:tcPr>
            <w:tcW w:w="598" w:type="pct"/>
            <w:tcBorders>
              <w:top w:val="nil"/>
              <w:left w:val="nil"/>
              <w:bottom w:val="nil"/>
              <w:right w:val="nil"/>
            </w:tcBorders>
            <w:shd w:val="clear" w:color="auto" w:fill="auto"/>
            <w:noWrap/>
            <w:vAlign w:val="bottom"/>
            <w:hideMark/>
          </w:tcPr>
          <w:p w14:paraId="49BEC799" w14:textId="77777777" w:rsidR="00CB3C45" w:rsidRPr="00352FE0" w:rsidRDefault="00CB3C45" w:rsidP="00842F2E">
            <w:pPr>
              <w:spacing w:after="0" w:line="240" w:lineRule="auto"/>
              <w:jc w:val="left"/>
              <w:rPr>
                <w:rFonts w:eastAsia="Times New Roman" w:cs="Times New Roman"/>
                <w:sz w:val="18"/>
                <w:szCs w:val="18"/>
                <w:lang w:eastAsia="sk-SK"/>
              </w:rPr>
            </w:pPr>
          </w:p>
        </w:tc>
        <w:tc>
          <w:tcPr>
            <w:tcW w:w="599" w:type="pct"/>
            <w:tcBorders>
              <w:top w:val="nil"/>
              <w:left w:val="nil"/>
              <w:bottom w:val="nil"/>
              <w:right w:val="nil"/>
            </w:tcBorders>
            <w:shd w:val="clear" w:color="000000" w:fill="BFBFBF"/>
            <w:noWrap/>
            <w:vAlign w:val="bottom"/>
            <w:hideMark/>
          </w:tcPr>
          <w:p w14:paraId="36FC0D07" w14:textId="77777777" w:rsidR="00CB3C45" w:rsidRPr="00352FE0" w:rsidRDefault="00CB3C45" w:rsidP="00842F2E">
            <w:pPr>
              <w:spacing w:after="0" w:line="240" w:lineRule="auto"/>
              <w:jc w:val="left"/>
              <w:rPr>
                <w:rFonts w:eastAsia="Times New Roman" w:cs="Times New Roman"/>
                <w:sz w:val="18"/>
                <w:szCs w:val="18"/>
                <w:lang w:eastAsia="sk-SK"/>
              </w:rPr>
            </w:pPr>
            <w:r w:rsidRPr="00352FE0">
              <w:rPr>
                <w:rFonts w:eastAsia="Times New Roman" w:cs="Times New Roman"/>
                <w:sz w:val="18"/>
                <w:szCs w:val="18"/>
                <w:lang w:eastAsia="sk-SK"/>
              </w:rPr>
              <w:t> </w:t>
            </w:r>
          </w:p>
        </w:tc>
        <w:tc>
          <w:tcPr>
            <w:tcW w:w="556" w:type="pct"/>
            <w:tcBorders>
              <w:top w:val="nil"/>
              <w:left w:val="nil"/>
              <w:bottom w:val="nil"/>
              <w:right w:val="nil"/>
            </w:tcBorders>
            <w:shd w:val="clear" w:color="auto" w:fill="auto"/>
            <w:noWrap/>
            <w:vAlign w:val="bottom"/>
            <w:hideMark/>
          </w:tcPr>
          <w:p w14:paraId="7E8C9437" w14:textId="77777777" w:rsidR="00CB3C45" w:rsidRPr="00352FE0" w:rsidRDefault="00CB3C45" w:rsidP="00842F2E">
            <w:pPr>
              <w:spacing w:after="0" w:line="240" w:lineRule="auto"/>
              <w:jc w:val="left"/>
              <w:rPr>
                <w:rFonts w:eastAsia="Times New Roman" w:cs="Times New Roman"/>
                <w:sz w:val="18"/>
                <w:szCs w:val="18"/>
                <w:lang w:eastAsia="sk-SK"/>
              </w:rPr>
            </w:pPr>
          </w:p>
        </w:tc>
      </w:tr>
      <w:tr w:rsidR="00CB3C45" w:rsidRPr="00352FE0" w14:paraId="228FF32E" w14:textId="77777777" w:rsidTr="002A2EAF">
        <w:trPr>
          <w:trHeight w:val="300"/>
        </w:trPr>
        <w:tc>
          <w:tcPr>
            <w:tcW w:w="2605" w:type="pct"/>
            <w:tcBorders>
              <w:top w:val="nil"/>
              <w:left w:val="nil"/>
              <w:bottom w:val="nil"/>
              <w:right w:val="nil"/>
            </w:tcBorders>
            <w:shd w:val="clear" w:color="auto" w:fill="auto"/>
            <w:noWrap/>
            <w:vAlign w:val="bottom"/>
            <w:hideMark/>
          </w:tcPr>
          <w:p w14:paraId="290B6930" w14:textId="77777777" w:rsidR="00CB3C45" w:rsidRPr="00352FE0" w:rsidRDefault="00CB3C45" w:rsidP="00842F2E">
            <w:pPr>
              <w:spacing w:after="0" w:line="240" w:lineRule="auto"/>
              <w:ind w:firstLineChars="200" w:firstLine="360"/>
              <w:jc w:val="left"/>
              <w:rPr>
                <w:rFonts w:eastAsia="Times New Roman" w:cs="Times New Roman"/>
                <w:sz w:val="18"/>
                <w:szCs w:val="18"/>
                <w:lang w:eastAsia="sk-SK"/>
              </w:rPr>
            </w:pPr>
            <w:r w:rsidRPr="00352FE0">
              <w:rPr>
                <w:rFonts w:eastAsia="Times New Roman" w:cs="Times New Roman"/>
                <w:sz w:val="18"/>
                <w:szCs w:val="18"/>
                <w:lang w:eastAsia="sk-SK"/>
              </w:rPr>
              <w:t>Sociálna poisťovňa</w:t>
            </w:r>
          </w:p>
        </w:tc>
        <w:tc>
          <w:tcPr>
            <w:tcW w:w="642" w:type="pct"/>
            <w:tcBorders>
              <w:top w:val="nil"/>
              <w:left w:val="nil"/>
              <w:bottom w:val="nil"/>
              <w:right w:val="nil"/>
            </w:tcBorders>
            <w:shd w:val="clear" w:color="auto" w:fill="auto"/>
            <w:noWrap/>
            <w:vAlign w:val="bottom"/>
            <w:hideMark/>
          </w:tcPr>
          <w:p w14:paraId="35CF1A40"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395</w:t>
            </w:r>
          </w:p>
        </w:tc>
        <w:tc>
          <w:tcPr>
            <w:tcW w:w="598" w:type="pct"/>
            <w:tcBorders>
              <w:top w:val="nil"/>
              <w:left w:val="nil"/>
              <w:bottom w:val="nil"/>
              <w:right w:val="nil"/>
            </w:tcBorders>
            <w:shd w:val="clear" w:color="auto" w:fill="auto"/>
            <w:noWrap/>
            <w:vAlign w:val="bottom"/>
            <w:hideMark/>
          </w:tcPr>
          <w:p w14:paraId="652ECB7C"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234</w:t>
            </w:r>
          </w:p>
        </w:tc>
        <w:tc>
          <w:tcPr>
            <w:tcW w:w="599" w:type="pct"/>
            <w:tcBorders>
              <w:top w:val="nil"/>
              <w:left w:val="nil"/>
              <w:bottom w:val="nil"/>
              <w:right w:val="nil"/>
            </w:tcBorders>
            <w:shd w:val="clear" w:color="000000" w:fill="BFBFBF"/>
            <w:noWrap/>
            <w:vAlign w:val="bottom"/>
            <w:hideMark/>
          </w:tcPr>
          <w:p w14:paraId="4F4143C4"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499</w:t>
            </w:r>
          </w:p>
        </w:tc>
        <w:tc>
          <w:tcPr>
            <w:tcW w:w="556" w:type="pct"/>
            <w:tcBorders>
              <w:top w:val="nil"/>
              <w:left w:val="nil"/>
              <w:bottom w:val="nil"/>
              <w:right w:val="nil"/>
            </w:tcBorders>
            <w:shd w:val="clear" w:color="auto" w:fill="auto"/>
            <w:noWrap/>
            <w:vAlign w:val="bottom"/>
            <w:hideMark/>
          </w:tcPr>
          <w:p w14:paraId="15D18960"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265</w:t>
            </w:r>
          </w:p>
        </w:tc>
      </w:tr>
      <w:tr w:rsidR="00CB3C45" w:rsidRPr="00352FE0" w14:paraId="7FA15C3A" w14:textId="77777777" w:rsidTr="002A2EAF">
        <w:trPr>
          <w:trHeight w:val="300"/>
        </w:trPr>
        <w:tc>
          <w:tcPr>
            <w:tcW w:w="2605" w:type="pct"/>
            <w:tcBorders>
              <w:top w:val="nil"/>
              <w:left w:val="nil"/>
              <w:bottom w:val="nil"/>
              <w:right w:val="nil"/>
            </w:tcBorders>
            <w:shd w:val="clear" w:color="auto" w:fill="auto"/>
            <w:noWrap/>
            <w:vAlign w:val="bottom"/>
            <w:hideMark/>
          </w:tcPr>
          <w:p w14:paraId="0770F43F" w14:textId="77777777" w:rsidR="00CB3C45" w:rsidRPr="00352FE0" w:rsidRDefault="00CB3C45" w:rsidP="00842F2E">
            <w:pPr>
              <w:spacing w:after="0" w:line="240" w:lineRule="auto"/>
              <w:ind w:firstLineChars="200" w:firstLine="360"/>
              <w:jc w:val="left"/>
              <w:rPr>
                <w:rFonts w:eastAsia="Times New Roman" w:cs="Times New Roman"/>
                <w:sz w:val="18"/>
                <w:szCs w:val="18"/>
                <w:lang w:eastAsia="sk-SK"/>
              </w:rPr>
            </w:pPr>
            <w:r w:rsidRPr="00352FE0">
              <w:rPr>
                <w:rFonts w:eastAsia="Times New Roman" w:cs="Times New Roman"/>
                <w:sz w:val="18"/>
                <w:szCs w:val="18"/>
                <w:lang w:eastAsia="sk-SK"/>
              </w:rPr>
              <w:t>Verejné zdravotné poistenie</w:t>
            </w:r>
          </w:p>
        </w:tc>
        <w:tc>
          <w:tcPr>
            <w:tcW w:w="642" w:type="pct"/>
            <w:tcBorders>
              <w:top w:val="nil"/>
              <w:left w:val="nil"/>
              <w:bottom w:val="nil"/>
              <w:right w:val="nil"/>
            </w:tcBorders>
            <w:shd w:val="clear" w:color="auto" w:fill="auto"/>
            <w:noWrap/>
            <w:vAlign w:val="bottom"/>
            <w:hideMark/>
          </w:tcPr>
          <w:p w14:paraId="1356C1C6"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144</w:t>
            </w:r>
          </w:p>
        </w:tc>
        <w:tc>
          <w:tcPr>
            <w:tcW w:w="598" w:type="pct"/>
            <w:tcBorders>
              <w:top w:val="nil"/>
              <w:left w:val="nil"/>
              <w:bottom w:val="nil"/>
              <w:right w:val="nil"/>
            </w:tcBorders>
            <w:shd w:val="clear" w:color="auto" w:fill="auto"/>
            <w:noWrap/>
            <w:vAlign w:val="bottom"/>
            <w:hideMark/>
          </w:tcPr>
          <w:p w14:paraId="025474D7"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267</w:t>
            </w:r>
          </w:p>
        </w:tc>
        <w:tc>
          <w:tcPr>
            <w:tcW w:w="599" w:type="pct"/>
            <w:tcBorders>
              <w:top w:val="nil"/>
              <w:left w:val="nil"/>
              <w:bottom w:val="nil"/>
              <w:right w:val="nil"/>
            </w:tcBorders>
            <w:shd w:val="clear" w:color="000000" w:fill="BFBFBF"/>
            <w:noWrap/>
            <w:vAlign w:val="bottom"/>
            <w:hideMark/>
          </w:tcPr>
          <w:p w14:paraId="7D132083"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775</w:t>
            </w:r>
          </w:p>
        </w:tc>
        <w:tc>
          <w:tcPr>
            <w:tcW w:w="556" w:type="pct"/>
            <w:tcBorders>
              <w:top w:val="nil"/>
              <w:left w:val="nil"/>
              <w:bottom w:val="nil"/>
              <w:right w:val="nil"/>
            </w:tcBorders>
            <w:shd w:val="clear" w:color="auto" w:fill="auto"/>
            <w:noWrap/>
            <w:vAlign w:val="bottom"/>
            <w:hideMark/>
          </w:tcPr>
          <w:p w14:paraId="61D33B93"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508</w:t>
            </w:r>
          </w:p>
        </w:tc>
      </w:tr>
      <w:tr w:rsidR="00CB3C45" w:rsidRPr="00352FE0" w14:paraId="498815B2" w14:textId="77777777" w:rsidTr="002A2EAF">
        <w:trPr>
          <w:trHeight w:val="300"/>
        </w:trPr>
        <w:tc>
          <w:tcPr>
            <w:tcW w:w="2605" w:type="pct"/>
            <w:tcBorders>
              <w:top w:val="nil"/>
              <w:left w:val="nil"/>
              <w:bottom w:val="nil"/>
              <w:right w:val="nil"/>
            </w:tcBorders>
            <w:shd w:val="clear" w:color="auto" w:fill="auto"/>
            <w:noWrap/>
            <w:vAlign w:val="bottom"/>
            <w:hideMark/>
          </w:tcPr>
          <w:p w14:paraId="6C5C1780" w14:textId="77777777" w:rsidR="00CB3C45" w:rsidRPr="00352FE0" w:rsidRDefault="00CB3C45" w:rsidP="00842F2E">
            <w:pPr>
              <w:spacing w:after="0" w:line="240" w:lineRule="auto"/>
              <w:jc w:val="left"/>
              <w:rPr>
                <w:rFonts w:eastAsia="Times New Roman" w:cs="Times New Roman"/>
                <w:b/>
                <w:bCs/>
                <w:sz w:val="18"/>
                <w:szCs w:val="18"/>
                <w:lang w:eastAsia="sk-SK"/>
              </w:rPr>
            </w:pPr>
            <w:r w:rsidRPr="00352FE0">
              <w:rPr>
                <w:rFonts w:eastAsia="Times New Roman" w:cs="Times New Roman"/>
                <w:b/>
                <w:bCs/>
                <w:sz w:val="18"/>
                <w:szCs w:val="18"/>
                <w:lang w:eastAsia="sk-SK"/>
              </w:rPr>
              <w:t>Verejná správa spolu</w:t>
            </w:r>
          </w:p>
        </w:tc>
        <w:tc>
          <w:tcPr>
            <w:tcW w:w="642" w:type="pct"/>
            <w:tcBorders>
              <w:top w:val="nil"/>
              <w:left w:val="nil"/>
              <w:bottom w:val="nil"/>
              <w:right w:val="nil"/>
            </w:tcBorders>
            <w:shd w:val="clear" w:color="auto" w:fill="auto"/>
            <w:noWrap/>
            <w:vAlign w:val="bottom"/>
            <w:hideMark/>
          </w:tcPr>
          <w:p w14:paraId="23FE8236" w14:textId="77777777" w:rsidR="00CB3C45" w:rsidRPr="00352FE0" w:rsidRDefault="00CB3C45" w:rsidP="00842F2E">
            <w:pPr>
              <w:spacing w:after="0" w:line="240" w:lineRule="auto"/>
              <w:jc w:val="right"/>
              <w:rPr>
                <w:rFonts w:eastAsia="Times New Roman" w:cs="Times New Roman"/>
                <w:b/>
                <w:bCs/>
                <w:sz w:val="18"/>
                <w:szCs w:val="18"/>
                <w:lang w:eastAsia="sk-SK"/>
              </w:rPr>
            </w:pPr>
            <w:r w:rsidRPr="00352FE0">
              <w:rPr>
                <w:rFonts w:eastAsia="Times New Roman" w:cs="Times New Roman"/>
                <w:b/>
                <w:bCs/>
                <w:sz w:val="18"/>
                <w:szCs w:val="18"/>
                <w:lang w:eastAsia="sk-SK"/>
              </w:rPr>
              <w:t>45 805 144</w:t>
            </w:r>
          </w:p>
        </w:tc>
        <w:tc>
          <w:tcPr>
            <w:tcW w:w="598" w:type="pct"/>
            <w:tcBorders>
              <w:top w:val="nil"/>
              <w:left w:val="nil"/>
              <w:bottom w:val="nil"/>
              <w:right w:val="nil"/>
            </w:tcBorders>
            <w:shd w:val="clear" w:color="auto" w:fill="auto"/>
            <w:noWrap/>
            <w:vAlign w:val="bottom"/>
            <w:hideMark/>
          </w:tcPr>
          <w:p w14:paraId="75D61D11" w14:textId="77777777" w:rsidR="00CB3C45" w:rsidRPr="00352FE0" w:rsidRDefault="00CB3C45" w:rsidP="00842F2E">
            <w:pPr>
              <w:spacing w:after="0" w:line="240" w:lineRule="auto"/>
              <w:jc w:val="right"/>
              <w:rPr>
                <w:rFonts w:eastAsia="Times New Roman" w:cs="Times New Roman"/>
                <w:b/>
                <w:bCs/>
                <w:sz w:val="18"/>
                <w:szCs w:val="18"/>
                <w:lang w:eastAsia="sk-SK"/>
              </w:rPr>
            </w:pPr>
            <w:r w:rsidRPr="00352FE0">
              <w:rPr>
                <w:rFonts w:eastAsia="Times New Roman" w:cs="Times New Roman"/>
                <w:b/>
                <w:bCs/>
                <w:sz w:val="18"/>
                <w:szCs w:val="18"/>
                <w:lang w:eastAsia="sk-SK"/>
              </w:rPr>
              <w:t>46 629 660</w:t>
            </w:r>
          </w:p>
        </w:tc>
        <w:tc>
          <w:tcPr>
            <w:tcW w:w="599" w:type="pct"/>
            <w:tcBorders>
              <w:top w:val="nil"/>
              <w:left w:val="nil"/>
              <w:bottom w:val="nil"/>
              <w:right w:val="nil"/>
            </w:tcBorders>
            <w:shd w:val="clear" w:color="000000" w:fill="BFBFBF"/>
            <w:noWrap/>
            <w:vAlign w:val="bottom"/>
            <w:hideMark/>
          </w:tcPr>
          <w:p w14:paraId="32261202" w14:textId="77777777" w:rsidR="00CB3C45" w:rsidRPr="00352FE0" w:rsidRDefault="00CB3C45" w:rsidP="00842F2E">
            <w:pPr>
              <w:spacing w:after="0" w:line="240" w:lineRule="auto"/>
              <w:jc w:val="right"/>
              <w:rPr>
                <w:rFonts w:eastAsia="Times New Roman" w:cs="Times New Roman"/>
                <w:b/>
                <w:bCs/>
                <w:sz w:val="18"/>
                <w:szCs w:val="18"/>
                <w:lang w:eastAsia="sk-SK"/>
              </w:rPr>
            </w:pPr>
            <w:r w:rsidRPr="00352FE0">
              <w:rPr>
                <w:rFonts w:eastAsia="Times New Roman" w:cs="Times New Roman"/>
                <w:b/>
                <w:bCs/>
                <w:sz w:val="18"/>
                <w:szCs w:val="18"/>
                <w:lang w:eastAsia="sk-SK"/>
              </w:rPr>
              <w:t>56 682 289</w:t>
            </w:r>
          </w:p>
        </w:tc>
        <w:tc>
          <w:tcPr>
            <w:tcW w:w="556" w:type="pct"/>
            <w:tcBorders>
              <w:top w:val="nil"/>
              <w:left w:val="nil"/>
              <w:bottom w:val="nil"/>
              <w:right w:val="nil"/>
            </w:tcBorders>
            <w:shd w:val="clear" w:color="auto" w:fill="auto"/>
            <w:noWrap/>
            <w:vAlign w:val="bottom"/>
            <w:hideMark/>
          </w:tcPr>
          <w:p w14:paraId="798DA1E0" w14:textId="77777777" w:rsidR="00CB3C45" w:rsidRPr="00352FE0" w:rsidRDefault="00CB3C45" w:rsidP="00842F2E">
            <w:pPr>
              <w:spacing w:after="0" w:line="240" w:lineRule="auto"/>
              <w:jc w:val="right"/>
              <w:rPr>
                <w:rFonts w:eastAsia="Times New Roman" w:cs="Times New Roman"/>
                <w:b/>
                <w:bCs/>
                <w:sz w:val="18"/>
                <w:szCs w:val="18"/>
                <w:lang w:eastAsia="sk-SK"/>
              </w:rPr>
            </w:pPr>
            <w:r w:rsidRPr="00352FE0">
              <w:rPr>
                <w:rFonts w:eastAsia="Times New Roman" w:cs="Times New Roman"/>
                <w:b/>
                <w:bCs/>
                <w:sz w:val="18"/>
                <w:szCs w:val="18"/>
                <w:lang w:eastAsia="sk-SK"/>
              </w:rPr>
              <w:t>10 052 629</w:t>
            </w:r>
          </w:p>
        </w:tc>
      </w:tr>
      <w:tr w:rsidR="00CB3C45" w:rsidRPr="00352FE0" w14:paraId="26588930" w14:textId="77777777" w:rsidTr="002A2EAF">
        <w:trPr>
          <w:trHeight w:val="300"/>
        </w:trPr>
        <w:tc>
          <w:tcPr>
            <w:tcW w:w="2605" w:type="pct"/>
            <w:tcBorders>
              <w:top w:val="nil"/>
              <w:left w:val="nil"/>
              <w:bottom w:val="nil"/>
              <w:right w:val="nil"/>
            </w:tcBorders>
            <w:shd w:val="clear" w:color="auto" w:fill="auto"/>
            <w:noWrap/>
            <w:vAlign w:val="bottom"/>
            <w:hideMark/>
          </w:tcPr>
          <w:p w14:paraId="04B5294E" w14:textId="77777777" w:rsidR="00CB3C45" w:rsidRPr="00352FE0" w:rsidRDefault="00CB3C45" w:rsidP="00842F2E">
            <w:pPr>
              <w:spacing w:after="0" w:line="240" w:lineRule="auto"/>
              <w:ind w:firstLineChars="200" w:firstLine="360"/>
              <w:jc w:val="left"/>
              <w:rPr>
                <w:rFonts w:eastAsia="Times New Roman" w:cs="Times New Roman"/>
                <w:i/>
                <w:iCs/>
                <w:sz w:val="18"/>
                <w:szCs w:val="18"/>
                <w:lang w:eastAsia="sk-SK"/>
              </w:rPr>
            </w:pPr>
            <w:r w:rsidRPr="00352FE0">
              <w:rPr>
                <w:rFonts w:eastAsia="Times New Roman" w:cs="Times New Roman"/>
                <w:i/>
                <w:iCs/>
                <w:sz w:val="18"/>
                <w:szCs w:val="18"/>
                <w:lang w:eastAsia="sk-SK"/>
              </w:rPr>
              <w:t>Konsolidácia</w:t>
            </w:r>
          </w:p>
        </w:tc>
        <w:tc>
          <w:tcPr>
            <w:tcW w:w="642" w:type="pct"/>
            <w:tcBorders>
              <w:top w:val="nil"/>
              <w:left w:val="nil"/>
              <w:bottom w:val="nil"/>
              <w:right w:val="nil"/>
            </w:tcBorders>
            <w:shd w:val="clear" w:color="auto" w:fill="auto"/>
            <w:noWrap/>
            <w:vAlign w:val="bottom"/>
            <w:hideMark/>
          </w:tcPr>
          <w:p w14:paraId="34FE4E6F"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1 421 962</w:t>
            </w:r>
          </w:p>
        </w:tc>
        <w:tc>
          <w:tcPr>
            <w:tcW w:w="598" w:type="pct"/>
            <w:tcBorders>
              <w:top w:val="nil"/>
              <w:left w:val="nil"/>
              <w:bottom w:val="nil"/>
              <w:right w:val="nil"/>
            </w:tcBorders>
            <w:shd w:val="clear" w:color="auto" w:fill="auto"/>
            <w:noWrap/>
            <w:vAlign w:val="bottom"/>
            <w:hideMark/>
          </w:tcPr>
          <w:p w14:paraId="1B13BB8A"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1 354 599</w:t>
            </w:r>
          </w:p>
        </w:tc>
        <w:tc>
          <w:tcPr>
            <w:tcW w:w="599" w:type="pct"/>
            <w:tcBorders>
              <w:top w:val="nil"/>
              <w:left w:val="nil"/>
              <w:bottom w:val="nil"/>
              <w:right w:val="nil"/>
            </w:tcBorders>
            <w:shd w:val="clear" w:color="000000" w:fill="BFBFBF"/>
            <w:noWrap/>
            <w:vAlign w:val="bottom"/>
            <w:hideMark/>
          </w:tcPr>
          <w:p w14:paraId="5F0E4DFC"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1 501 732</w:t>
            </w:r>
          </w:p>
        </w:tc>
        <w:tc>
          <w:tcPr>
            <w:tcW w:w="556" w:type="pct"/>
            <w:tcBorders>
              <w:top w:val="nil"/>
              <w:left w:val="nil"/>
              <w:bottom w:val="nil"/>
              <w:right w:val="nil"/>
            </w:tcBorders>
            <w:shd w:val="clear" w:color="auto" w:fill="auto"/>
            <w:noWrap/>
            <w:vAlign w:val="bottom"/>
            <w:hideMark/>
          </w:tcPr>
          <w:p w14:paraId="42D2A6DF"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147 133</w:t>
            </w:r>
          </w:p>
        </w:tc>
      </w:tr>
      <w:tr w:rsidR="00CB3C45" w:rsidRPr="00352FE0" w14:paraId="5F97ABAF" w14:textId="77777777" w:rsidTr="009D462F">
        <w:trPr>
          <w:trHeight w:val="300"/>
        </w:trPr>
        <w:tc>
          <w:tcPr>
            <w:tcW w:w="2605" w:type="pct"/>
            <w:tcBorders>
              <w:top w:val="nil"/>
              <w:left w:val="nil"/>
              <w:bottom w:val="single" w:sz="4" w:space="0" w:color="auto"/>
              <w:right w:val="nil"/>
            </w:tcBorders>
            <w:shd w:val="clear" w:color="auto" w:fill="auto"/>
            <w:noWrap/>
            <w:vAlign w:val="bottom"/>
            <w:hideMark/>
          </w:tcPr>
          <w:p w14:paraId="2D93B78D" w14:textId="77777777" w:rsidR="00CB3C45" w:rsidRPr="00352FE0" w:rsidRDefault="00CB3C45" w:rsidP="00842F2E">
            <w:pPr>
              <w:spacing w:after="0" w:line="240" w:lineRule="auto"/>
              <w:ind w:firstLineChars="200" w:firstLine="360"/>
              <w:jc w:val="left"/>
              <w:rPr>
                <w:rFonts w:eastAsia="Times New Roman" w:cs="Times New Roman"/>
                <w:sz w:val="18"/>
                <w:szCs w:val="18"/>
                <w:lang w:eastAsia="sk-SK"/>
              </w:rPr>
            </w:pPr>
            <w:r w:rsidRPr="00352FE0">
              <w:rPr>
                <w:rFonts w:eastAsia="Times New Roman" w:cs="Times New Roman"/>
                <w:sz w:val="18"/>
                <w:szCs w:val="18"/>
                <w:lang w:eastAsia="sk-SK"/>
              </w:rPr>
              <w:t>z toho: konsolidácia v skupine miestnej samosprávy</w:t>
            </w:r>
          </w:p>
        </w:tc>
        <w:tc>
          <w:tcPr>
            <w:tcW w:w="642" w:type="pct"/>
            <w:tcBorders>
              <w:top w:val="nil"/>
              <w:left w:val="nil"/>
              <w:bottom w:val="single" w:sz="4" w:space="0" w:color="auto"/>
              <w:right w:val="nil"/>
            </w:tcBorders>
            <w:shd w:val="clear" w:color="auto" w:fill="auto"/>
            <w:noWrap/>
            <w:vAlign w:val="bottom"/>
            <w:hideMark/>
          </w:tcPr>
          <w:p w14:paraId="16F57025"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776 353</w:t>
            </w:r>
          </w:p>
        </w:tc>
        <w:tc>
          <w:tcPr>
            <w:tcW w:w="598" w:type="pct"/>
            <w:tcBorders>
              <w:top w:val="nil"/>
              <w:left w:val="nil"/>
              <w:bottom w:val="single" w:sz="4" w:space="0" w:color="auto"/>
              <w:right w:val="nil"/>
            </w:tcBorders>
            <w:shd w:val="clear" w:color="auto" w:fill="auto"/>
            <w:noWrap/>
            <w:vAlign w:val="bottom"/>
            <w:hideMark/>
          </w:tcPr>
          <w:p w14:paraId="60DBFFB3"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785 408</w:t>
            </w:r>
          </w:p>
        </w:tc>
        <w:tc>
          <w:tcPr>
            <w:tcW w:w="599" w:type="pct"/>
            <w:tcBorders>
              <w:top w:val="nil"/>
              <w:left w:val="nil"/>
              <w:bottom w:val="single" w:sz="4" w:space="0" w:color="auto"/>
              <w:right w:val="nil"/>
            </w:tcBorders>
            <w:shd w:val="clear" w:color="000000" w:fill="BFBFBF"/>
            <w:noWrap/>
            <w:vAlign w:val="bottom"/>
            <w:hideMark/>
          </w:tcPr>
          <w:p w14:paraId="72ED6212"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999 331</w:t>
            </w:r>
          </w:p>
        </w:tc>
        <w:tc>
          <w:tcPr>
            <w:tcW w:w="556" w:type="pct"/>
            <w:tcBorders>
              <w:top w:val="nil"/>
              <w:left w:val="nil"/>
              <w:bottom w:val="single" w:sz="4" w:space="0" w:color="auto"/>
              <w:right w:val="nil"/>
            </w:tcBorders>
            <w:shd w:val="clear" w:color="auto" w:fill="auto"/>
            <w:noWrap/>
            <w:vAlign w:val="bottom"/>
            <w:hideMark/>
          </w:tcPr>
          <w:p w14:paraId="17D849E6" w14:textId="77777777" w:rsidR="00CB3C45" w:rsidRPr="00352FE0" w:rsidRDefault="00CB3C45" w:rsidP="00842F2E">
            <w:pPr>
              <w:spacing w:after="0" w:line="240" w:lineRule="auto"/>
              <w:jc w:val="right"/>
              <w:rPr>
                <w:rFonts w:eastAsia="Times New Roman" w:cs="Times New Roman"/>
                <w:sz w:val="18"/>
                <w:szCs w:val="18"/>
                <w:lang w:eastAsia="sk-SK"/>
              </w:rPr>
            </w:pPr>
            <w:r w:rsidRPr="00352FE0">
              <w:rPr>
                <w:rFonts w:eastAsia="Times New Roman" w:cs="Times New Roman"/>
                <w:sz w:val="18"/>
                <w:szCs w:val="18"/>
                <w:lang w:eastAsia="sk-SK"/>
              </w:rPr>
              <w:t>213 923</w:t>
            </w:r>
          </w:p>
        </w:tc>
      </w:tr>
      <w:tr w:rsidR="00CB3C45" w:rsidRPr="00352FE0" w14:paraId="32211004" w14:textId="77777777" w:rsidTr="009D462F">
        <w:trPr>
          <w:trHeight w:val="300"/>
        </w:trPr>
        <w:tc>
          <w:tcPr>
            <w:tcW w:w="2605" w:type="pct"/>
            <w:tcBorders>
              <w:top w:val="single" w:sz="4" w:space="0" w:color="auto"/>
              <w:left w:val="nil"/>
              <w:bottom w:val="single" w:sz="4" w:space="0" w:color="auto"/>
              <w:right w:val="nil"/>
            </w:tcBorders>
            <w:shd w:val="clear" w:color="auto" w:fill="auto"/>
            <w:noWrap/>
            <w:vAlign w:val="bottom"/>
            <w:hideMark/>
          </w:tcPr>
          <w:p w14:paraId="58A23C14" w14:textId="77777777" w:rsidR="00CB3C45" w:rsidRPr="00352FE0" w:rsidRDefault="00CB3C45" w:rsidP="00842F2E">
            <w:pPr>
              <w:spacing w:after="0" w:line="240" w:lineRule="auto"/>
              <w:jc w:val="left"/>
              <w:rPr>
                <w:rFonts w:eastAsia="Times New Roman" w:cs="Times New Roman"/>
                <w:b/>
                <w:bCs/>
                <w:sz w:val="18"/>
                <w:szCs w:val="18"/>
                <w:lang w:eastAsia="sk-SK"/>
              </w:rPr>
            </w:pPr>
            <w:r w:rsidRPr="00352FE0">
              <w:rPr>
                <w:rFonts w:eastAsia="Times New Roman" w:cs="Times New Roman"/>
                <w:b/>
                <w:bCs/>
                <w:sz w:val="18"/>
                <w:szCs w:val="18"/>
                <w:lang w:eastAsia="sk-SK"/>
              </w:rPr>
              <w:t>Verejná správa spolu konsolidovaná</w:t>
            </w:r>
          </w:p>
        </w:tc>
        <w:tc>
          <w:tcPr>
            <w:tcW w:w="642" w:type="pct"/>
            <w:tcBorders>
              <w:top w:val="single" w:sz="4" w:space="0" w:color="auto"/>
              <w:left w:val="nil"/>
              <w:bottom w:val="single" w:sz="4" w:space="0" w:color="auto"/>
              <w:right w:val="nil"/>
            </w:tcBorders>
            <w:shd w:val="clear" w:color="auto" w:fill="auto"/>
            <w:noWrap/>
            <w:vAlign w:val="bottom"/>
            <w:hideMark/>
          </w:tcPr>
          <w:p w14:paraId="62E7AD7F" w14:textId="77777777" w:rsidR="00CB3C45" w:rsidRPr="00352FE0" w:rsidRDefault="00CB3C45" w:rsidP="00842F2E">
            <w:pPr>
              <w:spacing w:after="0" w:line="240" w:lineRule="auto"/>
              <w:jc w:val="right"/>
              <w:rPr>
                <w:rFonts w:eastAsia="Times New Roman" w:cs="Times New Roman"/>
                <w:b/>
                <w:bCs/>
                <w:sz w:val="18"/>
                <w:szCs w:val="18"/>
                <w:lang w:eastAsia="sk-SK"/>
              </w:rPr>
            </w:pPr>
            <w:r w:rsidRPr="00352FE0">
              <w:rPr>
                <w:rFonts w:eastAsia="Times New Roman" w:cs="Times New Roman"/>
                <w:b/>
                <w:bCs/>
                <w:sz w:val="18"/>
                <w:szCs w:val="18"/>
                <w:lang w:eastAsia="sk-SK"/>
              </w:rPr>
              <w:t>44 383 182</w:t>
            </w:r>
          </w:p>
        </w:tc>
        <w:tc>
          <w:tcPr>
            <w:tcW w:w="598" w:type="pct"/>
            <w:tcBorders>
              <w:top w:val="single" w:sz="4" w:space="0" w:color="auto"/>
              <w:left w:val="nil"/>
              <w:bottom w:val="single" w:sz="4" w:space="0" w:color="auto"/>
              <w:right w:val="nil"/>
            </w:tcBorders>
            <w:shd w:val="clear" w:color="auto" w:fill="auto"/>
            <w:noWrap/>
            <w:vAlign w:val="bottom"/>
            <w:hideMark/>
          </w:tcPr>
          <w:p w14:paraId="6CF7BFFE" w14:textId="77777777" w:rsidR="00CB3C45" w:rsidRPr="00352FE0" w:rsidRDefault="00CB3C45" w:rsidP="00842F2E">
            <w:pPr>
              <w:spacing w:after="0" w:line="240" w:lineRule="auto"/>
              <w:jc w:val="right"/>
              <w:rPr>
                <w:rFonts w:eastAsia="Times New Roman" w:cs="Times New Roman"/>
                <w:b/>
                <w:bCs/>
                <w:sz w:val="18"/>
                <w:szCs w:val="18"/>
                <w:lang w:eastAsia="sk-SK"/>
              </w:rPr>
            </w:pPr>
            <w:r w:rsidRPr="00352FE0">
              <w:rPr>
                <w:rFonts w:eastAsia="Times New Roman" w:cs="Times New Roman"/>
                <w:b/>
                <w:bCs/>
                <w:sz w:val="18"/>
                <w:szCs w:val="18"/>
                <w:lang w:eastAsia="sk-SK"/>
              </w:rPr>
              <w:t>45 275 061</w:t>
            </w:r>
          </w:p>
        </w:tc>
        <w:tc>
          <w:tcPr>
            <w:tcW w:w="599" w:type="pct"/>
            <w:tcBorders>
              <w:top w:val="single" w:sz="4" w:space="0" w:color="auto"/>
              <w:left w:val="nil"/>
              <w:bottom w:val="single" w:sz="4" w:space="0" w:color="auto"/>
              <w:right w:val="nil"/>
            </w:tcBorders>
            <w:shd w:val="clear" w:color="000000" w:fill="BFBFBF"/>
            <w:noWrap/>
            <w:vAlign w:val="bottom"/>
            <w:hideMark/>
          </w:tcPr>
          <w:p w14:paraId="778D71D3" w14:textId="77777777" w:rsidR="00CB3C45" w:rsidRPr="00352FE0" w:rsidRDefault="00CB3C45" w:rsidP="00842F2E">
            <w:pPr>
              <w:spacing w:after="0" w:line="240" w:lineRule="auto"/>
              <w:jc w:val="right"/>
              <w:rPr>
                <w:rFonts w:eastAsia="Times New Roman" w:cs="Times New Roman"/>
                <w:b/>
                <w:bCs/>
                <w:sz w:val="18"/>
                <w:szCs w:val="18"/>
                <w:lang w:eastAsia="sk-SK"/>
              </w:rPr>
            </w:pPr>
            <w:r w:rsidRPr="00352FE0">
              <w:rPr>
                <w:rFonts w:eastAsia="Times New Roman" w:cs="Times New Roman"/>
                <w:b/>
                <w:bCs/>
                <w:sz w:val="18"/>
                <w:szCs w:val="18"/>
                <w:lang w:eastAsia="sk-SK"/>
              </w:rPr>
              <w:t>55 180 557</w:t>
            </w:r>
          </w:p>
        </w:tc>
        <w:tc>
          <w:tcPr>
            <w:tcW w:w="556" w:type="pct"/>
            <w:tcBorders>
              <w:top w:val="single" w:sz="4" w:space="0" w:color="auto"/>
              <w:left w:val="nil"/>
              <w:bottom w:val="single" w:sz="4" w:space="0" w:color="auto"/>
              <w:right w:val="nil"/>
            </w:tcBorders>
            <w:shd w:val="clear" w:color="auto" w:fill="auto"/>
            <w:noWrap/>
            <w:vAlign w:val="bottom"/>
            <w:hideMark/>
          </w:tcPr>
          <w:p w14:paraId="0854A3EA" w14:textId="77777777" w:rsidR="00CB3C45" w:rsidRPr="00352FE0" w:rsidRDefault="00CB3C45" w:rsidP="00842F2E">
            <w:pPr>
              <w:spacing w:after="0" w:line="240" w:lineRule="auto"/>
              <w:jc w:val="right"/>
              <w:rPr>
                <w:rFonts w:eastAsia="Times New Roman" w:cs="Times New Roman"/>
                <w:b/>
                <w:bCs/>
                <w:sz w:val="18"/>
                <w:szCs w:val="18"/>
                <w:lang w:eastAsia="sk-SK"/>
              </w:rPr>
            </w:pPr>
            <w:r w:rsidRPr="00352FE0">
              <w:rPr>
                <w:rFonts w:eastAsia="Times New Roman" w:cs="Times New Roman"/>
                <w:b/>
                <w:bCs/>
                <w:sz w:val="18"/>
                <w:szCs w:val="18"/>
                <w:lang w:eastAsia="sk-SK"/>
              </w:rPr>
              <w:t>9 905 496</w:t>
            </w:r>
          </w:p>
        </w:tc>
      </w:tr>
      <w:tr w:rsidR="00CB3C45" w:rsidRPr="00352FE0" w14:paraId="110201AE" w14:textId="77777777" w:rsidTr="009D462F">
        <w:trPr>
          <w:trHeight w:val="300"/>
        </w:trPr>
        <w:tc>
          <w:tcPr>
            <w:tcW w:w="2605" w:type="pct"/>
            <w:tcBorders>
              <w:top w:val="single" w:sz="4" w:space="0" w:color="auto"/>
              <w:left w:val="nil"/>
              <w:bottom w:val="single" w:sz="4" w:space="0" w:color="auto"/>
              <w:right w:val="nil"/>
            </w:tcBorders>
            <w:shd w:val="clear" w:color="auto" w:fill="auto"/>
            <w:noWrap/>
            <w:vAlign w:val="bottom"/>
            <w:hideMark/>
          </w:tcPr>
          <w:p w14:paraId="39703249" w14:textId="77777777" w:rsidR="00CB3C45" w:rsidRPr="00352FE0" w:rsidRDefault="00CB3C45" w:rsidP="00842F2E">
            <w:pPr>
              <w:spacing w:after="0" w:line="240" w:lineRule="auto"/>
              <w:ind w:firstLineChars="200" w:firstLine="361"/>
              <w:jc w:val="left"/>
              <w:rPr>
                <w:rFonts w:eastAsia="Times New Roman" w:cs="Times New Roman"/>
                <w:b/>
                <w:bCs/>
                <w:sz w:val="18"/>
                <w:szCs w:val="18"/>
                <w:lang w:eastAsia="sk-SK"/>
              </w:rPr>
            </w:pPr>
            <w:r w:rsidRPr="00352FE0">
              <w:rPr>
                <w:rFonts w:eastAsia="Times New Roman" w:cs="Times New Roman"/>
                <w:b/>
                <w:bCs/>
                <w:sz w:val="18"/>
                <w:szCs w:val="18"/>
                <w:lang w:eastAsia="sk-SK"/>
              </w:rPr>
              <w:t>% z HDP</w:t>
            </w:r>
          </w:p>
        </w:tc>
        <w:tc>
          <w:tcPr>
            <w:tcW w:w="642" w:type="pct"/>
            <w:tcBorders>
              <w:top w:val="single" w:sz="4" w:space="0" w:color="auto"/>
              <w:left w:val="nil"/>
              <w:bottom w:val="single" w:sz="4" w:space="0" w:color="auto"/>
              <w:right w:val="nil"/>
            </w:tcBorders>
            <w:shd w:val="clear" w:color="auto" w:fill="auto"/>
            <w:noWrap/>
            <w:vAlign w:val="bottom"/>
            <w:hideMark/>
          </w:tcPr>
          <w:p w14:paraId="2045E347" w14:textId="77777777" w:rsidR="00CB3C45" w:rsidRPr="00352FE0" w:rsidRDefault="00CB3C45" w:rsidP="00842F2E">
            <w:pPr>
              <w:spacing w:after="0" w:line="240" w:lineRule="auto"/>
              <w:jc w:val="right"/>
              <w:rPr>
                <w:rFonts w:eastAsia="Times New Roman" w:cs="Times New Roman"/>
                <w:b/>
                <w:bCs/>
                <w:sz w:val="18"/>
                <w:szCs w:val="18"/>
                <w:lang w:eastAsia="sk-SK"/>
              </w:rPr>
            </w:pPr>
            <w:r w:rsidRPr="00352FE0">
              <w:rPr>
                <w:rFonts w:eastAsia="Times New Roman" w:cs="Times New Roman"/>
                <w:b/>
                <w:bCs/>
                <w:sz w:val="18"/>
                <w:szCs w:val="18"/>
                <w:lang w:eastAsia="sk-SK"/>
              </w:rPr>
              <w:t>49,6</w:t>
            </w:r>
          </w:p>
        </w:tc>
        <w:tc>
          <w:tcPr>
            <w:tcW w:w="598" w:type="pct"/>
            <w:tcBorders>
              <w:top w:val="single" w:sz="4" w:space="0" w:color="auto"/>
              <w:left w:val="nil"/>
              <w:bottom w:val="single" w:sz="4" w:space="0" w:color="auto"/>
              <w:right w:val="nil"/>
            </w:tcBorders>
            <w:shd w:val="clear" w:color="auto" w:fill="auto"/>
            <w:noWrap/>
            <w:vAlign w:val="bottom"/>
            <w:hideMark/>
          </w:tcPr>
          <w:p w14:paraId="342CDC95" w14:textId="77777777" w:rsidR="00CB3C45" w:rsidRPr="00352FE0" w:rsidRDefault="00CB3C45" w:rsidP="00842F2E">
            <w:pPr>
              <w:spacing w:after="0" w:line="240" w:lineRule="auto"/>
              <w:jc w:val="right"/>
              <w:rPr>
                <w:rFonts w:eastAsia="Times New Roman" w:cs="Times New Roman"/>
                <w:b/>
                <w:bCs/>
                <w:sz w:val="18"/>
                <w:szCs w:val="18"/>
                <w:lang w:eastAsia="sk-SK"/>
              </w:rPr>
            </w:pPr>
            <w:r w:rsidRPr="00352FE0">
              <w:rPr>
                <w:rFonts w:eastAsia="Times New Roman" w:cs="Times New Roman"/>
                <w:b/>
                <w:bCs/>
                <w:sz w:val="18"/>
                <w:szCs w:val="18"/>
                <w:lang w:eastAsia="sk-SK"/>
              </w:rPr>
              <w:t>48,2</w:t>
            </w:r>
          </w:p>
        </w:tc>
        <w:tc>
          <w:tcPr>
            <w:tcW w:w="599" w:type="pct"/>
            <w:tcBorders>
              <w:top w:val="single" w:sz="4" w:space="0" w:color="auto"/>
              <w:left w:val="nil"/>
              <w:bottom w:val="single" w:sz="4" w:space="0" w:color="auto"/>
              <w:right w:val="nil"/>
            </w:tcBorders>
            <w:shd w:val="clear" w:color="000000" w:fill="BFBFBF"/>
            <w:noWrap/>
            <w:vAlign w:val="bottom"/>
            <w:hideMark/>
          </w:tcPr>
          <w:p w14:paraId="3817060A" w14:textId="77777777" w:rsidR="00CB3C45" w:rsidRPr="00352FE0" w:rsidRDefault="00CB3C45" w:rsidP="00842F2E">
            <w:pPr>
              <w:spacing w:after="0" w:line="240" w:lineRule="auto"/>
              <w:jc w:val="right"/>
              <w:rPr>
                <w:rFonts w:eastAsia="Times New Roman" w:cs="Times New Roman"/>
                <w:b/>
                <w:bCs/>
                <w:sz w:val="18"/>
                <w:szCs w:val="18"/>
                <w:lang w:eastAsia="sk-SK"/>
              </w:rPr>
            </w:pPr>
            <w:r w:rsidRPr="00352FE0">
              <w:rPr>
                <w:rFonts w:eastAsia="Times New Roman" w:cs="Times New Roman"/>
                <w:b/>
                <w:bCs/>
                <w:sz w:val="18"/>
                <w:szCs w:val="18"/>
                <w:lang w:eastAsia="sk-SK"/>
              </w:rPr>
              <w:t>60,6</w:t>
            </w:r>
          </w:p>
        </w:tc>
        <w:tc>
          <w:tcPr>
            <w:tcW w:w="556" w:type="pct"/>
            <w:tcBorders>
              <w:top w:val="single" w:sz="4" w:space="0" w:color="auto"/>
              <w:left w:val="nil"/>
              <w:bottom w:val="single" w:sz="4" w:space="0" w:color="auto"/>
              <w:right w:val="nil"/>
            </w:tcBorders>
            <w:shd w:val="clear" w:color="auto" w:fill="auto"/>
            <w:noWrap/>
            <w:vAlign w:val="bottom"/>
            <w:hideMark/>
          </w:tcPr>
          <w:p w14:paraId="664F732A" w14:textId="77777777" w:rsidR="00CB3C45" w:rsidRPr="00352FE0" w:rsidRDefault="00CB3C45" w:rsidP="00842F2E">
            <w:pPr>
              <w:spacing w:after="0" w:line="240" w:lineRule="auto"/>
              <w:jc w:val="right"/>
              <w:rPr>
                <w:rFonts w:eastAsia="Times New Roman" w:cs="Times New Roman"/>
                <w:b/>
                <w:bCs/>
                <w:sz w:val="18"/>
                <w:szCs w:val="18"/>
                <w:lang w:eastAsia="sk-SK"/>
              </w:rPr>
            </w:pPr>
            <w:r w:rsidRPr="00352FE0">
              <w:rPr>
                <w:rFonts w:eastAsia="Times New Roman" w:cs="Times New Roman"/>
                <w:b/>
                <w:bCs/>
                <w:sz w:val="18"/>
                <w:szCs w:val="18"/>
                <w:lang w:eastAsia="sk-SK"/>
              </w:rPr>
              <w:t>12,4</w:t>
            </w:r>
          </w:p>
        </w:tc>
      </w:tr>
    </w:tbl>
    <w:p w14:paraId="15072783" w14:textId="62B7E274" w:rsidR="00CB3C45" w:rsidRPr="004A5951" w:rsidRDefault="00CB3C45" w:rsidP="00CB3C45">
      <w:pPr>
        <w:rPr>
          <w:sz w:val="16"/>
          <w:szCs w:val="16"/>
        </w:rPr>
      </w:pPr>
      <w:r w:rsidRPr="004A5951">
        <w:rPr>
          <w:sz w:val="16"/>
          <w:szCs w:val="16"/>
        </w:rPr>
        <w:t xml:space="preserve">1) Bez tzv. refinančného systému a záväzkov z vkladov subjektov verejnej správy v Štátnej pokladnici   </w:t>
      </w:r>
      <w:r w:rsidR="001903EC">
        <w:rPr>
          <w:sz w:val="16"/>
          <w:szCs w:val="16"/>
        </w:rPr>
        <w:t xml:space="preserve">                                           </w:t>
      </w:r>
      <w:r w:rsidRPr="004A5951">
        <w:rPr>
          <w:sz w:val="16"/>
          <w:szCs w:val="16"/>
        </w:rPr>
        <w:t xml:space="preserve"> Zdroj: MF SR</w:t>
      </w:r>
    </w:p>
    <w:p w14:paraId="4E838203" w14:textId="77777777" w:rsidR="00CB3C45" w:rsidRPr="004A5951" w:rsidRDefault="00CB3C45" w:rsidP="004A5951">
      <w:pPr>
        <w:spacing w:after="0" w:line="240" w:lineRule="auto"/>
        <w:rPr>
          <w:sz w:val="24"/>
          <w:szCs w:val="24"/>
        </w:rPr>
      </w:pPr>
      <w:r w:rsidRPr="004A5951">
        <w:rPr>
          <w:sz w:val="24"/>
          <w:szCs w:val="24"/>
        </w:rPr>
        <w:t xml:space="preserve">Na náraste nominálneho dlhu v roku 2020 sa v najvyššej miere podieľal </w:t>
      </w:r>
      <w:r w:rsidRPr="004A5951">
        <w:rPr>
          <w:b/>
          <w:sz w:val="24"/>
          <w:szCs w:val="24"/>
        </w:rPr>
        <w:t xml:space="preserve">hotovostný schodok štátneho rozpočtu </w:t>
      </w:r>
      <w:r w:rsidRPr="004A5951">
        <w:rPr>
          <w:sz w:val="24"/>
          <w:szCs w:val="24"/>
        </w:rPr>
        <w:t xml:space="preserve">vo výške 7 758 420 tis. eur. Zvýšenie maastrichtského dlhu oproti roku 2019 </w:t>
      </w:r>
      <w:r w:rsidRPr="004A5951">
        <w:rPr>
          <w:b/>
          <w:sz w:val="24"/>
          <w:szCs w:val="24"/>
        </w:rPr>
        <w:t>negatívne</w:t>
      </w:r>
      <w:r w:rsidRPr="004A5951">
        <w:rPr>
          <w:sz w:val="24"/>
          <w:szCs w:val="24"/>
        </w:rPr>
        <w:t xml:space="preserve"> ovplyvnili najmä nasledovné skutočnosti:</w:t>
      </w:r>
    </w:p>
    <w:p w14:paraId="261F9A7D" w14:textId="76487276" w:rsidR="00CB3C45" w:rsidRPr="004A5951" w:rsidRDefault="00CB3C45" w:rsidP="004A5951">
      <w:pPr>
        <w:pStyle w:val="Odsekzoznamu"/>
        <w:numPr>
          <w:ilvl w:val="0"/>
          <w:numId w:val="21"/>
        </w:numPr>
        <w:spacing w:after="120"/>
        <w:jc w:val="both"/>
        <w:rPr>
          <w:rFonts w:ascii="Times New Roman" w:hAnsi="Times New Roman"/>
          <w:sz w:val="24"/>
          <w:szCs w:val="24"/>
        </w:rPr>
      </w:pPr>
      <w:r w:rsidRPr="004A5951">
        <w:rPr>
          <w:rFonts w:ascii="Times New Roman" w:hAnsi="Times New Roman"/>
          <w:sz w:val="24"/>
          <w:szCs w:val="24"/>
        </w:rPr>
        <w:t>schodok štátneho rozpočtu na hotovostnej báze a ďalšie požiadavky na cudzie zdroje vyplývajúce z riadenia dlhu a likvidity a v neposlednom rade mimoriadne výdavky spojené s pandémiou v priebehu uplynulého roka, ktoré vyvolali potrebu emitovať štátne pokladničné poukážky v menovitej hodnote 3 200 000 tis. eur, rovnako ako štátne dlhopisy v menovitej hodnote 9 995 700 tis. eur,</w:t>
      </w:r>
    </w:p>
    <w:p w14:paraId="25766861" w14:textId="77777777" w:rsidR="00CB3C45" w:rsidRPr="004A5951" w:rsidRDefault="00CB3C45" w:rsidP="004A5951">
      <w:pPr>
        <w:pStyle w:val="Odsekzoznamu"/>
        <w:numPr>
          <w:ilvl w:val="0"/>
          <w:numId w:val="21"/>
        </w:numPr>
        <w:spacing w:after="120"/>
        <w:jc w:val="both"/>
        <w:rPr>
          <w:rFonts w:ascii="Times New Roman" w:hAnsi="Times New Roman"/>
          <w:sz w:val="24"/>
          <w:szCs w:val="24"/>
        </w:rPr>
      </w:pPr>
      <w:r w:rsidRPr="004A5951">
        <w:rPr>
          <w:rFonts w:ascii="Times New Roman" w:hAnsi="Times New Roman"/>
          <w:sz w:val="24"/>
          <w:szCs w:val="24"/>
        </w:rPr>
        <w:t>prijatie úverov od Európskej investičnej banky vo výške 347 970 tis. eur, od Rozvojovej banky Rady Európy vo výške 480 000 tis. eur a čerpanie prvej tranže úveru SURE od Európskej únie vo výške 300 000 tis. eur v rámci štátneho dlhu,</w:t>
      </w:r>
    </w:p>
    <w:p w14:paraId="4A8F2934" w14:textId="77777777" w:rsidR="00CB3C45" w:rsidRPr="004A5951" w:rsidRDefault="00CB3C45" w:rsidP="004A5951">
      <w:pPr>
        <w:pStyle w:val="Odsekzoznamu"/>
        <w:numPr>
          <w:ilvl w:val="0"/>
          <w:numId w:val="21"/>
        </w:numPr>
        <w:spacing w:after="120"/>
        <w:jc w:val="both"/>
        <w:rPr>
          <w:rFonts w:ascii="Times New Roman" w:hAnsi="Times New Roman"/>
          <w:sz w:val="24"/>
          <w:szCs w:val="24"/>
        </w:rPr>
      </w:pPr>
      <w:r w:rsidRPr="004A5951">
        <w:rPr>
          <w:rFonts w:ascii="Times New Roman" w:hAnsi="Times New Roman"/>
          <w:sz w:val="24"/>
          <w:szCs w:val="24"/>
        </w:rPr>
        <w:t>imputácia záruky Exportno-importnej banky SR v hodnote 173 000 tis. eur do štátneho dlhu,</w:t>
      </w:r>
    </w:p>
    <w:p w14:paraId="712C932B" w14:textId="77777777" w:rsidR="00CB3C45" w:rsidRPr="004A5951" w:rsidRDefault="00CB3C45" w:rsidP="004A5951">
      <w:pPr>
        <w:pStyle w:val="Odsekzoznamu"/>
        <w:numPr>
          <w:ilvl w:val="0"/>
          <w:numId w:val="21"/>
        </w:numPr>
        <w:spacing w:after="120"/>
        <w:jc w:val="both"/>
        <w:rPr>
          <w:rFonts w:ascii="Times New Roman" w:hAnsi="Times New Roman"/>
          <w:sz w:val="24"/>
          <w:szCs w:val="24"/>
        </w:rPr>
      </w:pPr>
      <w:r w:rsidRPr="004A5951">
        <w:rPr>
          <w:rFonts w:ascii="Times New Roman" w:hAnsi="Times New Roman"/>
          <w:sz w:val="24"/>
          <w:szCs w:val="24"/>
        </w:rPr>
        <w:t>zvýšenie dlhu Exportno-importnej banky SR o 51 418 tis. eur,</w:t>
      </w:r>
    </w:p>
    <w:p w14:paraId="5616CC4F" w14:textId="77777777" w:rsidR="00CB3C45" w:rsidRPr="004A5951" w:rsidRDefault="00CB3C45" w:rsidP="004A5951">
      <w:pPr>
        <w:pStyle w:val="Odsekzoznamu"/>
        <w:numPr>
          <w:ilvl w:val="0"/>
          <w:numId w:val="21"/>
        </w:numPr>
        <w:spacing w:after="120"/>
        <w:jc w:val="both"/>
        <w:rPr>
          <w:rFonts w:ascii="Times New Roman" w:hAnsi="Times New Roman"/>
          <w:sz w:val="24"/>
          <w:szCs w:val="24"/>
        </w:rPr>
      </w:pPr>
      <w:r w:rsidRPr="004A5951">
        <w:rPr>
          <w:rFonts w:ascii="Times New Roman" w:hAnsi="Times New Roman"/>
          <w:sz w:val="24"/>
          <w:szCs w:val="24"/>
        </w:rPr>
        <w:t>nárast dlhu Železničnej spoločnosti Slovensko, a. s. o 51 083 tis. eur,</w:t>
      </w:r>
    </w:p>
    <w:p w14:paraId="43A8DDEC" w14:textId="77777777" w:rsidR="00CB3C45" w:rsidRPr="004A5951" w:rsidRDefault="00CB3C45" w:rsidP="004A5951">
      <w:pPr>
        <w:pStyle w:val="Odsekzoznamu"/>
        <w:numPr>
          <w:ilvl w:val="0"/>
          <w:numId w:val="21"/>
        </w:numPr>
        <w:spacing w:after="120"/>
        <w:jc w:val="both"/>
        <w:rPr>
          <w:rFonts w:ascii="Times New Roman" w:hAnsi="Times New Roman"/>
          <w:sz w:val="24"/>
          <w:szCs w:val="24"/>
        </w:rPr>
      </w:pPr>
      <w:r w:rsidRPr="004A5951">
        <w:rPr>
          <w:rFonts w:ascii="Times New Roman" w:hAnsi="Times New Roman"/>
          <w:sz w:val="24"/>
          <w:szCs w:val="24"/>
        </w:rPr>
        <w:t>nárast konsolidovaného dlhu obcí o 17 808 tis. eur,</w:t>
      </w:r>
    </w:p>
    <w:p w14:paraId="40567DCD" w14:textId="77777777" w:rsidR="00CB3C45" w:rsidRPr="004A5951" w:rsidRDefault="00CB3C45" w:rsidP="004A5951">
      <w:pPr>
        <w:pStyle w:val="Odsekzoznamu"/>
        <w:numPr>
          <w:ilvl w:val="0"/>
          <w:numId w:val="21"/>
        </w:numPr>
        <w:spacing w:after="120"/>
        <w:jc w:val="both"/>
        <w:rPr>
          <w:rFonts w:ascii="Times New Roman" w:hAnsi="Times New Roman"/>
          <w:sz w:val="24"/>
          <w:szCs w:val="24"/>
        </w:rPr>
      </w:pPr>
      <w:r w:rsidRPr="004A5951">
        <w:rPr>
          <w:rFonts w:ascii="Times New Roman" w:hAnsi="Times New Roman"/>
          <w:sz w:val="24"/>
          <w:szCs w:val="24"/>
        </w:rPr>
        <w:t>zvýšenie konsolidovaného dlhu zdravotníckych zariadení patriacich do ústrednej správy o 13 861 tis. eur,</w:t>
      </w:r>
    </w:p>
    <w:p w14:paraId="5124FDDC" w14:textId="77777777" w:rsidR="00CB3C45" w:rsidRPr="004A5951" w:rsidRDefault="00CB3C45" w:rsidP="004A5951">
      <w:pPr>
        <w:pStyle w:val="Odsekzoznamu"/>
        <w:numPr>
          <w:ilvl w:val="0"/>
          <w:numId w:val="21"/>
        </w:numPr>
        <w:spacing w:after="120"/>
        <w:jc w:val="both"/>
        <w:rPr>
          <w:rFonts w:ascii="Times New Roman" w:hAnsi="Times New Roman"/>
          <w:sz w:val="24"/>
          <w:szCs w:val="24"/>
        </w:rPr>
      </w:pPr>
      <w:r w:rsidRPr="004A5951">
        <w:rPr>
          <w:rFonts w:ascii="Times New Roman" w:hAnsi="Times New Roman"/>
          <w:sz w:val="24"/>
          <w:szCs w:val="24"/>
        </w:rPr>
        <w:t>nárast dlhu dopravných podnikov v územnej samospráve o 10 608 tis. eur.</w:t>
      </w:r>
    </w:p>
    <w:p w14:paraId="132BB957" w14:textId="77777777" w:rsidR="00CB3C45" w:rsidRPr="004A5951" w:rsidRDefault="00CB3C45" w:rsidP="00C148B1">
      <w:pPr>
        <w:keepNext/>
        <w:spacing w:after="160" w:line="240" w:lineRule="auto"/>
        <w:rPr>
          <w:sz w:val="24"/>
          <w:szCs w:val="24"/>
        </w:rPr>
      </w:pPr>
      <w:r w:rsidRPr="004A5951">
        <w:rPr>
          <w:b/>
          <w:sz w:val="24"/>
          <w:szCs w:val="24"/>
        </w:rPr>
        <w:t xml:space="preserve">Pozitívny </w:t>
      </w:r>
      <w:r w:rsidRPr="004A5951">
        <w:rPr>
          <w:sz w:val="24"/>
          <w:szCs w:val="24"/>
        </w:rPr>
        <w:t>vplyv na vývoj maastrichtského dlhu oproti jeho stavu v roku 2019 mali najmä tieto skutočnosti:</w:t>
      </w:r>
    </w:p>
    <w:p w14:paraId="0F71FEF9" w14:textId="77777777" w:rsidR="00CB3C45" w:rsidRPr="004A5951" w:rsidRDefault="00CB3C45" w:rsidP="00C148B1">
      <w:pPr>
        <w:pStyle w:val="Odsekzoznamu"/>
        <w:keepNext/>
        <w:numPr>
          <w:ilvl w:val="0"/>
          <w:numId w:val="22"/>
        </w:numPr>
        <w:spacing w:after="120"/>
        <w:jc w:val="both"/>
        <w:rPr>
          <w:sz w:val="24"/>
          <w:szCs w:val="24"/>
        </w:rPr>
      </w:pPr>
      <w:r w:rsidRPr="004A5951">
        <w:rPr>
          <w:rFonts w:ascii="Times New Roman" w:hAnsi="Times New Roman"/>
          <w:sz w:val="24"/>
          <w:szCs w:val="24"/>
        </w:rPr>
        <w:t>splátky záväzkov zo štátnych pokladničných poukážok v menovitej hodnote 1 820 000 tis. eur,</w:t>
      </w:r>
    </w:p>
    <w:p w14:paraId="234F4B0F" w14:textId="77777777" w:rsidR="00CB3C45" w:rsidRPr="004A5951" w:rsidRDefault="00CB3C45" w:rsidP="004A5951">
      <w:pPr>
        <w:pStyle w:val="Odsekzoznamu"/>
        <w:numPr>
          <w:ilvl w:val="0"/>
          <w:numId w:val="22"/>
        </w:numPr>
        <w:spacing w:after="120"/>
        <w:jc w:val="both"/>
        <w:rPr>
          <w:sz w:val="24"/>
          <w:szCs w:val="24"/>
        </w:rPr>
      </w:pPr>
      <w:r w:rsidRPr="004A5951">
        <w:rPr>
          <w:rFonts w:ascii="Times New Roman" w:hAnsi="Times New Roman"/>
          <w:sz w:val="24"/>
          <w:szCs w:val="24"/>
        </w:rPr>
        <w:t>splátky záväzkov zo štátnych dlhopisov v menovitej hodnote 2 863 611 tis. eur</w:t>
      </w:r>
    </w:p>
    <w:p w14:paraId="33FF458F" w14:textId="77777777" w:rsidR="00CB3C45" w:rsidRPr="004A5951" w:rsidRDefault="00CB3C45" w:rsidP="004A5951">
      <w:pPr>
        <w:pStyle w:val="Odsekzoznamu"/>
        <w:numPr>
          <w:ilvl w:val="0"/>
          <w:numId w:val="22"/>
        </w:numPr>
        <w:spacing w:after="120"/>
        <w:jc w:val="both"/>
        <w:rPr>
          <w:sz w:val="24"/>
          <w:szCs w:val="24"/>
        </w:rPr>
      </w:pPr>
      <w:r w:rsidRPr="004A5951">
        <w:rPr>
          <w:rFonts w:ascii="Times New Roman" w:hAnsi="Times New Roman"/>
          <w:sz w:val="24"/>
          <w:szCs w:val="24"/>
        </w:rPr>
        <w:t>splátky úverov v štátnom dlhu v hodnote 15 411 tis. eur,</w:t>
      </w:r>
    </w:p>
    <w:p w14:paraId="631C40E2" w14:textId="77777777" w:rsidR="00CB3C45" w:rsidRPr="004A5951" w:rsidRDefault="00CB3C45" w:rsidP="004A5951">
      <w:pPr>
        <w:pStyle w:val="Odsekzoznamu"/>
        <w:numPr>
          <w:ilvl w:val="0"/>
          <w:numId w:val="22"/>
        </w:numPr>
        <w:spacing w:after="120"/>
        <w:jc w:val="both"/>
        <w:rPr>
          <w:rFonts w:ascii="Times New Roman" w:hAnsi="Times New Roman"/>
          <w:sz w:val="24"/>
          <w:szCs w:val="24"/>
        </w:rPr>
      </w:pPr>
      <w:r w:rsidRPr="004A5951">
        <w:rPr>
          <w:rFonts w:ascii="Times New Roman" w:hAnsi="Times New Roman"/>
          <w:sz w:val="24"/>
          <w:szCs w:val="24"/>
        </w:rPr>
        <w:t>pokles zadlženosti Národnej diaľničnej spoločnosti, a. s. o 29 768 tis. eur,</w:t>
      </w:r>
    </w:p>
    <w:p w14:paraId="4DF2184F" w14:textId="77777777" w:rsidR="00CB3C45" w:rsidRPr="004A5951" w:rsidRDefault="00CB3C45" w:rsidP="004A5951">
      <w:pPr>
        <w:pStyle w:val="Odsekzoznamu"/>
        <w:numPr>
          <w:ilvl w:val="0"/>
          <w:numId w:val="22"/>
        </w:numPr>
        <w:spacing w:after="120"/>
        <w:jc w:val="both"/>
        <w:rPr>
          <w:rFonts w:ascii="Times New Roman" w:hAnsi="Times New Roman"/>
          <w:sz w:val="24"/>
          <w:szCs w:val="24"/>
        </w:rPr>
      </w:pPr>
      <w:r w:rsidRPr="004A5951">
        <w:rPr>
          <w:rFonts w:ascii="Times New Roman" w:hAnsi="Times New Roman"/>
          <w:sz w:val="24"/>
          <w:szCs w:val="24"/>
        </w:rPr>
        <w:t>pokles konsolidovaného dlhu vyšších územných celkov 21 243 tis. eur,</w:t>
      </w:r>
    </w:p>
    <w:p w14:paraId="5B9B725A" w14:textId="77777777" w:rsidR="00CB3C45" w:rsidRPr="004A5951" w:rsidRDefault="00CB3C45" w:rsidP="004A5951">
      <w:pPr>
        <w:pStyle w:val="Odsekzoznamu"/>
        <w:numPr>
          <w:ilvl w:val="0"/>
          <w:numId w:val="22"/>
        </w:numPr>
        <w:spacing w:after="120"/>
        <w:jc w:val="both"/>
        <w:rPr>
          <w:rFonts w:ascii="Times New Roman" w:hAnsi="Times New Roman"/>
          <w:sz w:val="24"/>
          <w:szCs w:val="24"/>
        </w:rPr>
      </w:pPr>
      <w:r w:rsidRPr="004A5951">
        <w:rPr>
          <w:rFonts w:ascii="Times New Roman" w:hAnsi="Times New Roman"/>
          <w:sz w:val="24"/>
          <w:szCs w:val="24"/>
        </w:rPr>
        <w:t>zníženie dlhu MH Manažmentu o 15 130 tis. eur.</w:t>
      </w:r>
    </w:p>
    <w:p w14:paraId="757ED6DC" w14:textId="77777777" w:rsidR="00CB3C45" w:rsidRPr="004A5951" w:rsidRDefault="00CB3C45" w:rsidP="004A5951">
      <w:pPr>
        <w:spacing w:line="240" w:lineRule="auto"/>
        <w:rPr>
          <w:sz w:val="24"/>
          <w:szCs w:val="24"/>
        </w:rPr>
      </w:pPr>
      <w:r w:rsidRPr="004A5951">
        <w:rPr>
          <w:b/>
          <w:sz w:val="24"/>
          <w:szCs w:val="24"/>
        </w:rPr>
        <w:t xml:space="preserve">Maastrichtský dlh verejnej správy bol financovaný predovšetkým cennými papiermi, štátnymi pokladničnými poukážkami a štátnymi dlhopismi </w:t>
      </w:r>
      <w:r w:rsidRPr="004A5951">
        <w:rPr>
          <w:sz w:val="24"/>
          <w:szCs w:val="24"/>
        </w:rPr>
        <w:t>v súhrnnej menovitej hodnote 46 681 021 tis. eur (84,6 %). Bankové úvery a iné záväzky dosiahli hodnotu 8 230 039 tis. eur (14,9 %), z čoho 1 859 323 tis. eur predstavuje záväzok pripadajúci na Slovenskú republiku z nástroja EFSF, ktorého úroveň sa oproti roku 2019 nezmenila. Osobitnou súčasťou maastrichtského dlhu sú záväzky z vkladov peňažných prostriedkov v Štátnej pokladnici tých klientov, ktorí nie sú súčasťou verejnej správy. Tieto záväzky dosiahli hodnotu 203 187 tis. eur (0,4 %).</w:t>
      </w:r>
    </w:p>
    <w:p w14:paraId="1E05B2E8" w14:textId="77777777" w:rsidR="00CB3C45" w:rsidRPr="004A5951" w:rsidRDefault="00CB3C45" w:rsidP="004A5951">
      <w:pPr>
        <w:spacing w:line="240" w:lineRule="auto"/>
        <w:rPr>
          <w:sz w:val="24"/>
          <w:szCs w:val="24"/>
        </w:rPr>
      </w:pPr>
      <w:r w:rsidRPr="004A5951">
        <w:rPr>
          <w:b/>
          <w:sz w:val="24"/>
          <w:szCs w:val="24"/>
        </w:rPr>
        <w:t xml:space="preserve">Z pohľadu meny bol maastrichtský dlh v roku 2020 tvorený z 96,6 % dlhom v eurách </w:t>
      </w:r>
      <w:r w:rsidRPr="004A5951">
        <w:rPr>
          <w:sz w:val="24"/>
          <w:szCs w:val="24"/>
        </w:rPr>
        <w:t>a 3,4 % dlhu pripadlo na iné meny, ktoré sú najmä v štátnom dlhu pri emitovaných dlhopisoch denominovaných v amerických dolároch, japonských jenoch, švajčiarskych frankoch a nórskych korunách.</w:t>
      </w:r>
    </w:p>
    <w:p w14:paraId="5BAD20DB" w14:textId="77777777" w:rsidR="00CB3C45" w:rsidRPr="004A5951" w:rsidRDefault="00CB3C45" w:rsidP="004A5951">
      <w:pPr>
        <w:spacing w:line="240" w:lineRule="auto"/>
        <w:rPr>
          <w:sz w:val="24"/>
          <w:szCs w:val="24"/>
        </w:rPr>
      </w:pPr>
      <w:r w:rsidRPr="004A5951">
        <w:rPr>
          <w:b/>
          <w:sz w:val="24"/>
          <w:szCs w:val="24"/>
        </w:rPr>
        <w:t xml:space="preserve">Z hľadiska pôvodnej splatnosti </w:t>
      </w:r>
      <w:r w:rsidRPr="004A5951">
        <w:rPr>
          <w:sz w:val="24"/>
          <w:szCs w:val="24"/>
        </w:rPr>
        <w:t>(dohodnutej pri vzniku dlhu) je maastrichtský dlh tvorený z 3,5 % (1 914 650 tis. eur) krátkodobým dlhom, pričom majoritu tvoria štátne pokladničné poukážky v menovitej hodnote 1 380 000. Dlh s pôvodnou splatnosťou vyššou ako jeden rok predstavuje 96,5 % (53 265 907 tis. eur).</w:t>
      </w:r>
    </w:p>
    <w:p w14:paraId="05F8DE38" w14:textId="1BD262B4" w:rsidR="00CB3C45" w:rsidRDefault="00CB3C45" w:rsidP="004A5951">
      <w:pPr>
        <w:spacing w:line="240" w:lineRule="auto"/>
      </w:pPr>
      <w:r w:rsidRPr="004A5951">
        <w:rPr>
          <w:b/>
          <w:sz w:val="24"/>
          <w:szCs w:val="24"/>
        </w:rPr>
        <w:t>Z hľadiska teritoriálnej štruktúry</w:t>
      </w:r>
      <w:r w:rsidRPr="004A5951">
        <w:rPr>
          <w:sz w:val="24"/>
          <w:szCs w:val="24"/>
        </w:rPr>
        <w:t xml:space="preserve"> majú v držbe väčšinu maastrichtského dlhu verejnej správy SR zahraniční veritelia, a to 53,6 % (29 588 610 tis. eur). V portfóliu tuzemských veriteľov je 46,4 % (25 591 947 tis. eur) maastrichtského dlhu, pričom ide o tuzemské bankové inštitúcie a obchodníkov s cennými papiermi.</w:t>
      </w:r>
    </w:p>
    <w:p w14:paraId="1EF9B094" w14:textId="38D297B6" w:rsidR="002A2EAF" w:rsidRDefault="002A2EAF">
      <w:pPr>
        <w:spacing w:after="160" w:line="259" w:lineRule="auto"/>
        <w:jc w:val="left"/>
      </w:pPr>
    </w:p>
    <w:p w14:paraId="610409B6" w14:textId="4D336E34" w:rsidR="006822D1" w:rsidRPr="00352FE0" w:rsidRDefault="006822D1" w:rsidP="006822D1">
      <w:pPr>
        <w:pStyle w:val="Nadpis3"/>
        <w:rPr>
          <w:sz w:val="24"/>
        </w:rPr>
      </w:pPr>
      <w:bookmarkStart w:id="27" w:name="_Toc70026088"/>
      <w:r w:rsidRPr="00352FE0">
        <w:rPr>
          <w:sz w:val="24"/>
        </w:rPr>
        <w:t>Maastrichtský dlh štátnych rozpočtových organizácií</w:t>
      </w:r>
      <w:bookmarkEnd w:id="27"/>
    </w:p>
    <w:p w14:paraId="2A23CAF4" w14:textId="721D7C05" w:rsidR="00CB3C45" w:rsidRPr="004A5951" w:rsidRDefault="00CB3C45" w:rsidP="004A5951">
      <w:pPr>
        <w:spacing w:line="240" w:lineRule="auto"/>
        <w:rPr>
          <w:sz w:val="24"/>
          <w:szCs w:val="24"/>
        </w:rPr>
      </w:pPr>
      <w:r w:rsidRPr="004A5951">
        <w:rPr>
          <w:sz w:val="24"/>
          <w:szCs w:val="24"/>
        </w:rPr>
        <w:t>Štátny dlh, ktorý je v správe Ministerstva financií SR a ktorým sa financuje nesúlad príjmov a výdavkov štátneho rozpočtu, dosiahol v menovitej hodnote ku koncu roka 2020 výšku 53 046 072 tis. eur. V porovnaní s revidovaným stavom dlhu za predchádzajúci rok</w:t>
      </w:r>
      <w:r w:rsidRPr="004A5951">
        <w:rPr>
          <w:rStyle w:val="Odkaznapoznmkupodiarou"/>
          <w:sz w:val="24"/>
          <w:szCs w:val="24"/>
        </w:rPr>
        <w:footnoteReference w:id="23"/>
      </w:r>
      <w:r w:rsidRPr="004A5951">
        <w:rPr>
          <w:sz w:val="24"/>
          <w:szCs w:val="24"/>
        </w:rPr>
        <w:t xml:space="preserve"> vzrástol o 9 789 709 tis. eur (o 22,6 %). Mimoriadne zvýšenie štátneho dlhu súvisí s</w:t>
      </w:r>
      <w:r w:rsidR="00C148B1">
        <w:rPr>
          <w:sz w:val="24"/>
          <w:szCs w:val="24"/>
        </w:rPr>
        <w:t> </w:t>
      </w:r>
      <w:r w:rsidRPr="004A5951">
        <w:rPr>
          <w:sz w:val="24"/>
          <w:szCs w:val="24"/>
        </w:rPr>
        <w:t>financovaním</w:t>
      </w:r>
      <w:r w:rsidR="00C148B1">
        <w:rPr>
          <w:sz w:val="24"/>
          <w:szCs w:val="24"/>
        </w:rPr>
        <w:t xml:space="preserve"> </w:t>
      </w:r>
      <w:r w:rsidRPr="004A5951">
        <w:rPr>
          <w:sz w:val="24"/>
          <w:szCs w:val="24"/>
        </w:rPr>
        <w:t xml:space="preserve">výdavkov na opatrenia prijaté v súvislosti s pandémiou COVID-19 a s plánovaným schodkom štátneho rozpočtu na úrovni 11 952 634 tis. eur. </w:t>
      </w:r>
    </w:p>
    <w:p w14:paraId="3A2DB22E" w14:textId="77777777" w:rsidR="00CB3C45" w:rsidRPr="004A5951" w:rsidRDefault="00CB3C45" w:rsidP="004A5951">
      <w:pPr>
        <w:spacing w:line="240" w:lineRule="auto"/>
        <w:rPr>
          <w:sz w:val="24"/>
          <w:szCs w:val="24"/>
        </w:rPr>
      </w:pPr>
      <w:r w:rsidRPr="004A5951">
        <w:rPr>
          <w:sz w:val="24"/>
          <w:szCs w:val="24"/>
        </w:rPr>
        <w:t>Štátny dlh je v rozhodujúcej miere tvorený záväzkami z emisie štátnych dlhopisov (85,4 %), štátnych pokladničných poukážok (2,6 %), prijatými bankovými úvermi (6,8 %) a záväzkami z nástroja EFSF (3,5 %). Imputovanie záväzkov za tzv. zelenú energiu (0,4 %) a imputované prevzatie záruky Eximbanky (0,3 %) výšku štátneho dlhu v rozhodujúcej miere neovplyvnilo.</w:t>
      </w:r>
    </w:p>
    <w:tbl>
      <w:tblPr>
        <w:tblW w:w="5000" w:type="pct"/>
        <w:tblLayout w:type="fixed"/>
        <w:tblCellMar>
          <w:left w:w="70" w:type="dxa"/>
          <w:right w:w="70" w:type="dxa"/>
        </w:tblCellMar>
        <w:tblLook w:val="04A0" w:firstRow="1" w:lastRow="0" w:firstColumn="1" w:lastColumn="0" w:noHBand="0" w:noVBand="1"/>
      </w:tblPr>
      <w:tblGrid>
        <w:gridCol w:w="4302"/>
        <w:gridCol w:w="1229"/>
        <w:gridCol w:w="1229"/>
        <w:gridCol w:w="1227"/>
        <w:gridCol w:w="1227"/>
      </w:tblGrid>
      <w:tr w:rsidR="00CB3C45" w:rsidRPr="004A5951" w14:paraId="08915AD6" w14:textId="77777777" w:rsidTr="00842F2E">
        <w:trPr>
          <w:trHeight w:val="330"/>
          <w:tblHeader/>
        </w:trPr>
        <w:tc>
          <w:tcPr>
            <w:tcW w:w="4334" w:type="pct"/>
            <w:gridSpan w:val="4"/>
            <w:tcBorders>
              <w:top w:val="single" w:sz="4" w:space="0" w:color="auto"/>
              <w:left w:val="nil"/>
              <w:bottom w:val="single" w:sz="4" w:space="0" w:color="auto"/>
              <w:right w:val="nil"/>
            </w:tcBorders>
            <w:shd w:val="clear" w:color="000000" w:fill="000000"/>
            <w:noWrap/>
            <w:vAlign w:val="center"/>
            <w:hideMark/>
          </w:tcPr>
          <w:p w14:paraId="061969C1" w14:textId="77777777" w:rsidR="00CB3C45" w:rsidRPr="004A5951" w:rsidRDefault="00CB3C45" w:rsidP="00842F2E">
            <w:pPr>
              <w:spacing w:after="0" w:line="240" w:lineRule="auto"/>
              <w:jc w:val="left"/>
              <w:rPr>
                <w:rFonts w:eastAsia="Times New Roman" w:cs="Times New Roman"/>
                <w:b/>
                <w:bCs/>
                <w:color w:val="FFFFFF"/>
                <w:sz w:val="18"/>
                <w:szCs w:val="18"/>
                <w:lang w:eastAsia="sk-SK"/>
              </w:rPr>
            </w:pPr>
            <w:r w:rsidRPr="004A5951">
              <w:rPr>
                <w:rFonts w:eastAsia="Times New Roman" w:cs="Times New Roman"/>
                <w:b/>
                <w:bCs/>
                <w:color w:val="FFFFFF"/>
                <w:sz w:val="18"/>
                <w:szCs w:val="18"/>
                <w:lang w:eastAsia="sk-SK"/>
              </w:rPr>
              <w:t>Štátny dlh podľa dlhových nástrojov</w:t>
            </w:r>
          </w:p>
        </w:tc>
        <w:tc>
          <w:tcPr>
            <w:tcW w:w="666" w:type="pct"/>
            <w:tcBorders>
              <w:top w:val="single" w:sz="4" w:space="0" w:color="auto"/>
              <w:left w:val="nil"/>
              <w:bottom w:val="single" w:sz="4" w:space="0" w:color="auto"/>
              <w:right w:val="nil"/>
            </w:tcBorders>
            <w:shd w:val="clear" w:color="000000" w:fill="000000"/>
            <w:noWrap/>
            <w:vAlign w:val="center"/>
            <w:hideMark/>
          </w:tcPr>
          <w:p w14:paraId="17FAB8D4" w14:textId="77777777" w:rsidR="00CB3C45" w:rsidRPr="004A5951" w:rsidRDefault="00CB3C45" w:rsidP="00842F2E">
            <w:pPr>
              <w:spacing w:after="0" w:line="240" w:lineRule="auto"/>
              <w:jc w:val="right"/>
              <w:rPr>
                <w:rFonts w:eastAsia="Times New Roman" w:cs="Times New Roman"/>
                <w:b/>
                <w:bCs/>
                <w:color w:val="FFFFFF"/>
                <w:sz w:val="18"/>
                <w:szCs w:val="18"/>
                <w:lang w:eastAsia="sk-SK"/>
              </w:rPr>
            </w:pPr>
            <w:r w:rsidRPr="004A5951">
              <w:rPr>
                <w:rFonts w:eastAsia="Times New Roman" w:cs="Times New Roman"/>
                <w:b/>
                <w:bCs/>
                <w:color w:val="FFFFFF"/>
                <w:sz w:val="18"/>
                <w:szCs w:val="18"/>
                <w:lang w:eastAsia="sk-SK"/>
              </w:rPr>
              <w:t>v tis. eur</w:t>
            </w:r>
          </w:p>
        </w:tc>
      </w:tr>
      <w:tr w:rsidR="00CB3C45" w:rsidRPr="004A5951" w14:paraId="260FD9DE" w14:textId="77777777" w:rsidTr="00842F2E">
        <w:trPr>
          <w:trHeight w:val="300"/>
          <w:tblHeader/>
        </w:trPr>
        <w:tc>
          <w:tcPr>
            <w:tcW w:w="2334" w:type="pct"/>
            <w:tcBorders>
              <w:top w:val="single" w:sz="4" w:space="0" w:color="auto"/>
              <w:left w:val="nil"/>
              <w:bottom w:val="nil"/>
              <w:right w:val="nil"/>
            </w:tcBorders>
            <w:shd w:val="clear" w:color="000000" w:fill="BFBFBF"/>
            <w:vAlign w:val="center"/>
            <w:hideMark/>
          </w:tcPr>
          <w:p w14:paraId="4B567199" w14:textId="77777777" w:rsidR="00CB3C45" w:rsidRPr="004A5951" w:rsidRDefault="00CB3C45" w:rsidP="00842F2E">
            <w:pPr>
              <w:spacing w:after="0" w:line="240" w:lineRule="auto"/>
              <w:rPr>
                <w:rFonts w:eastAsia="Times New Roman" w:cs="Times New Roman"/>
                <w:b/>
                <w:bCs/>
                <w:sz w:val="18"/>
                <w:szCs w:val="18"/>
                <w:lang w:eastAsia="sk-SK"/>
              </w:rPr>
            </w:pPr>
            <w:r w:rsidRPr="004A5951">
              <w:rPr>
                <w:rFonts w:eastAsia="Times New Roman" w:cs="Times New Roman"/>
                <w:b/>
                <w:bCs/>
                <w:sz w:val="18"/>
                <w:szCs w:val="18"/>
                <w:lang w:eastAsia="sk-SK"/>
              </w:rPr>
              <w:t> </w:t>
            </w:r>
          </w:p>
        </w:tc>
        <w:tc>
          <w:tcPr>
            <w:tcW w:w="667" w:type="pct"/>
            <w:tcBorders>
              <w:top w:val="single" w:sz="4" w:space="0" w:color="auto"/>
              <w:left w:val="nil"/>
              <w:bottom w:val="nil"/>
              <w:right w:val="nil"/>
            </w:tcBorders>
            <w:shd w:val="clear" w:color="000000" w:fill="BFBFBF"/>
            <w:vAlign w:val="center"/>
            <w:hideMark/>
          </w:tcPr>
          <w:p w14:paraId="4E50DAB7" w14:textId="77777777" w:rsidR="00CB3C45" w:rsidRPr="004A5951" w:rsidRDefault="00CB3C45" w:rsidP="00842F2E">
            <w:pPr>
              <w:spacing w:after="0" w:line="240" w:lineRule="auto"/>
              <w:jc w:val="center"/>
              <w:rPr>
                <w:rFonts w:eastAsia="Times New Roman" w:cs="Times New Roman"/>
                <w:b/>
                <w:bCs/>
                <w:sz w:val="18"/>
                <w:szCs w:val="18"/>
                <w:lang w:eastAsia="sk-SK"/>
              </w:rPr>
            </w:pPr>
            <w:r w:rsidRPr="004A5951">
              <w:rPr>
                <w:rFonts w:eastAsia="Times New Roman" w:cs="Times New Roman"/>
                <w:b/>
                <w:bCs/>
                <w:sz w:val="18"/>
                <w:szCs w:val="18"/>
                <w:lang w:eastAsia="sk-SK"/>
              </w:rPr>
              <w:t>k 31.12.2018</w:t>
            </w:r>
          </w:p>
        </w:tc>
        <w:tc>
          <w:tcPr>
            <w:tcW w:w="667" w:type="pct"/>
            <w:tcBorders>
              <w:top w:val="single" w:sz="4" w:space="0" w:color="auto"/>
              <w:left w:val="nil"/>
              <w:bottom w:val="nil"/>
              <w:right w:val="nil"/>
            </w:tcBorders>
            <w:shd w:val="clear" w:color="000000" w:fill="BFBFBF"/>
            <w:vAlign w:val="center"/>
            <w:hideMark/>
          </w:tcPr>
          <w:p w14:paraId="0EE37A0C" w14:textId="77777777" w:rsidR="00CB3C45" w:rsidRPr="004A5951" w:rsidRDefault="00CB3C45" w:rsidP="00842F2E">
            <w:pPr>
              <w:spacing w:after="0" w:line="240" w:lineRule="auto"/>
              <w:jc w:val="center"/>
              <w:rPr>
                <w:rFonts w:eastAsia="Times New Roman" w:cs="Times New Roman"/>
                <w:b/>
                <w:bCs/>
                <w:sz w:val="18"/>
                <w:szCs w:val="18"/>
                <w:lang w:eastAsia="sk-SK"/>
              </w:rPr>
            </w:pPr>
            <w:r w:rsidRPr="004A5951">
              <w:rPr>
                <w:rFonts w:eastAsia="Times New Roman" w:cs="Times New Roman"/>
                <w:b/>
                <w:bCs/>
                <w:sz w:val="18"/>
                <w:szCs w:val="18"/>
                <w:lang w:eastAsia="sk-SK"/>
              </w:rPr>
              <w:t>k 31.12.2019</w:t>
            </w:r>
          </w:p>
        </w:tc>
        <w:tc>
          <w:tcPr>
            <w:tcW w:w="666" w:type="pct"/>
            <w:tcBorders>
              <w:top w:val="single" w:sz="4" w:space="0" w:color="auto"/>
              <w:left w:val="nil"/>
              <w:bottom w:val="nil"/>
              <w:right w:val="nil"/>
            </w:tcBorders>
            <w:shd w:val="clear" w:color="000000" w:fill="BFBFBF"/>
            <w:vAlign w:val="center"/>
            <w:hideMark/>
          </w:tcPr>
          <w:p w14:paraId="47CDD07C" w14:textId="77777777" w:rsidR="00CB3C45" w:rsidRPr="004A5951" w:rsidRDefault="00CB3C45" w:rsidP="00842F2E">
            <w:pPr>
              <w:spacing w:after="0" w:line="240" w:lineRule="auto"/>
              <w:jc w:val="center"/>
              <w:rPr>
                <w:rFonts w:eastAsia="Times New Roman" w:cs="Times New Roman"/>
                <w:b/>
                <w:bCs/>
                <w:sz w:val="18"/>
                <w:szCs w:val="18"/>
                <w:lang w:eastAsia="sk-SK"/>
              </w:rPr>
            </w:pPr>
            <w:r w:rsidRPr="004A5951">
              <w:rPr>
                <w:rFonts w:eastAsia="Times New Roman" w:cs="Times New Roman"/>
                <w:b/>
                <w:bCs/>
                <w:sz w:val="18"/>
                <w:szCs w:val="18"/>
                <w:lang w:eastAsia="sk-SK"/>
              </w:rPr>
              <w:t>k 31.12.2020</w:t>
            </w:r>
          </w:p>
        </w:tc>
        <w:tc>
          <w:tcPr>
            <w:tcW w:w="666" w:type="pct"/>
            <w:tcBorders>
              <w:top w:val="single" w:sz="4" w:space="0" w:color="auto"/>
              <w:left w:val="nil"/>
              <w:bottom w:val="nil"/>
              <w:right w:val="nil"/>
            </w:tcBorders>
            <w:shd w:val="clear" w:color="000000" w:fill="BFBFBF"/>
            <w:vAlign w:val="center"/>
            <w:hideMark/>
          </w:tcPr>
          <w:p w14:paraId="3DC412BE" w14:textId="77777777" w:rsidR="00CB3C45" w:rsidRPr="004A5951" w:rsidRDefault="00CB3C45" w:rsidP="00842F2E">
            <w:pPr>
              <w:spacing w:after="0" w:line="240" w:lineRule="auto"/>
              <w:jc w:val="center"/>
              <w:rPr>
                <w:rFonts w:eastAsia="Times New Roman" w:cs="Times New Roman"/>
                <w:b/>
                <w:bCs/>
                <w:sz w:val="18"/>
                <w:szCs w:val="18"/>
                <w:lang w:eastAsia="sk-SK"/>
              </w:rPr>
            </w:pPr>
            <w:r w:rsidRPr="004A5951">
              <w:rPr>
                <w:rFonts w:eastAsia="Times New Roman" w:cs="Times New Roman"/>
                <w:b/>
                <w:bCs/>
                <w:sz w:val="18"/>
                <w:szCs w:val="18"/>
                <w:lang w:eastAsia="sk-SK"/>
              </w:rPr>
              <w:t>Zmena</w:t>
            </w:r>
          </w:p>
        </w:tc>
      </w:tr>
      <w:tr w:rsidR="00CB3C45" w:rsidRPr="004A5951" w14:paraId="666623A6" w14:textId="77777777" w:rsidTr="00842F2E">
        <w:trPr>
          <w:trHeight w:val="81"/>
          <w:tblHeader/>
        </w:trPr>
        <w:tc>
          <w:tcPr>
            <w:tcW w:w="2334" w:type="pct"/>
            <w:tcBorders>
              <w:top w:val="nil"/>
              <w:left w:val="nil"/>
              <w:bottom w:val="single" w:sz="4" w:space="0" w:color="auto"/>
              <w:right w:val="nil"/>
            </w:tcBorders>
            <w:shd w:val="clear" w:color="000000" w:fill="BFBFBF"/>
            <w:vAlign w:val="center"/>
            <w:hideMark/>
          </w:tcPr>
          <w:p w14:paraId="4925E121" w14:textId="77777777" w:rsidR="00CB3C45" w:rsidRPr="004A5951" w:rsidRDefault="00CB3C45" w:rsidP="00842F2E">
            <w:pPr>
              <w:spacing w:after="0" w:line="240" w:lineRule="auto"/>
              <w:rPr>
                <w:rFonts w:eastAsia="Times New Roman" w:cs="Times New Roman"/>
                <w:b/>
                <w:bCs/>
                <w:sz w:val="18"/>
                <w:szCs w:val="18"/>
                <w:lang w:eastAsia="sk-SK"/>
              </w:rPr>
            </w:pPr>
            <w:r w:rsidRPr="004A5951">
              <w:rPr>
                <w:rFonts w:eastAsia="Times New Roman" w:cs="Times New Roman"/>
                <w:b/>
                <w:bCs/>
                <w:sz w:val="18"/>
                <w:szCs w:val="18"/>
                <w:lang w:eastAsia="sk-SK"/>
              </w:rPr>
              <w:t> </w:t>
            </w:r>
          </w:p>
        </w:tc>
        <w:tc>
          <w:tcPr>
            <w:tcW w:w="667" w:type="pct"/>
            <w:tcBorders>
              <w:top w:val="nil"/>
              <w:left w:val="nil"/>
              <w:bottom w:val="single" w:sz="4" w:space="0" w:color="auto"/>
              <w:right w:val="nil"/>
            </w:tcBorders>
            <w:shd w:val="clear" w:color="000000" w:fill="BFBFBF"/>
            <w:vAlign w:val="center"/>
            <w:hideMark/>
          </w:tcPr>
          <w:p w14:paraId="4D3A93C4" w14:textId="77777777" w:rsidR="00CB3C45" w:rsidRPr="004A5951" w:rsidRDefault="00CB3C45" w:rsidP="00842F2E">
            <w:pPr>
              <w:spacing w:after="0" w:line="240" w:lineRule="auto"/>
              <w:jc w:val="center"/>
              <w:rPr>
                <w:rFonts w:eastAsia="Times New Roman" w:cs="Times New Roman"/>
                <w:b/>
                <w:bCs/>
                <w:sz w:val="18"/>
                <w:szCs w:val="18"/>
                <w:lang w:eastAsia="sk-SK"/>
              </w:rPr>
            </w:pPr>
            <w:r w:rsidRPr="004A5951">
              <w:rPr>
                <w:rFonts w:eastAsia="Times New Roman" w:cs="Times New Roman"/>
                <w:b/>
                <w:bCs/>
                <w:sz w:val="18"/>
                <w:szCs w:val="18"/>
                <w:lang w:eastAsia="sk-SK"/>
              </w:rPr>
              <w:t>1</w:t>
            </w:r>
          </w:p>
        </w:tc>
        <w:tc>
          <w:tcPr>
            <w:tcW w:w="667" w:type="pct"/>
            <w:tcBorders>
              <w:top w:val="nil"/>
              <w:left w:val="nil"/>
              <w:bottom w:val="single" w:sz="4" w:space="0" w:color="auto"/>
              <w:right w:val="nil"/>
            </w:tcBorders>
            <w:shd w:val="clear" w:color="000000" w:fill="BFBFBF"/>
            <w:vAlign w:val="center"/>
            <w:hideMark/>
          </w:tcPr>
          <w:p w14:paraId="5B43ABCE" w14:textId="77777777" w:rsidR="00CB3C45" w:rsidRPr="004A5951" w:rsidRDefault="00CB3C45" w:rsidP="00842F2E">
            <w:pPr>
              <w:spacing w:after="0" w:line="240" w:lineRule="auto"/>
              <w:jc w:val="center"/>
              <w:rPr>
                <w:rFonts w:eastAsia="Times New Roman" w:cs="Times New Roman"/>
                <w:b/>
                <w:bCs/>
                <w:sz w:val="18"/>
                <w:szCs w:val="18"/>
                <w:lang w:eastAsia="sk-SK"/>
              </w:rPr>
            </w:pPr>
            <w:r w:rsidRPr="004A5951">
              <w:rPr>
                <w:rFonts w:eastAsia="Times New Roman" w:cs="Times New Roman"/>
                <w:b/>
                <w:bCs/>
                <w:sz w:val="18"/>
                <w:szCs w:val="18"/>
                <w:lang w:eastAsia="sk-SK"/>
              </w:rPr>
              <w:t>2</w:t>
            </w:r>
          </w:p>
        </w:tc>
        <w:tc>
          <w:tcPr>
            <w:tcW w:w="666" w:type="pct"/>
            <w:tcBorders>
              <w:top w:val="nil"/>
              <w:left w:val="nil"/>
              <w:bottom w:val="single" w:sz="4" w:space="0" w:color="auto"/>
              <w:right w:val="nil"/>
            </w:tcBorders>
            <w:shd w:val="clear" w:color="000000" w:fill="BFBFBF"/>
            <w:vAlign w:val="center"/>
            <w:hideMark/>
          </w:tcPr>
          <w:p w14:paraId="4E22E35D" w14:textId="77777777" w:rsidR="00CB3C45" w:rsidRPr="004A5951" w:rsidRDefault="00CB3C45" w:rsidP="00842F2E">
            <w:pPr>
              <w:spacing w:after="0" w:line="240" w:lineRule="auto"/>
              <w:jc w:val="center"/>
              <w:rPr>
                <w:rFonts w:eastAsia="Times New Roman" w:cs="Times New Roman"/>
                <w:b/>
                <w:bCs/>
                <w:sz w:val="18"/>
                <w:szCs w:val="18"/>
                <w:lang w:eastAsia="sk-SK"/>
              </w:rPr>
            </w:pPr>
            <w:r w:rsidRPr="004A5951">
              <w:rPr>
                <w:rFonts w:eastAsia="Times New Roman" w:cs="Times New Roman"/>
                <w:b/>
                <w:bCs/>
                <w:sz w:val="18"/>
                <w:szCs w:val="18"/>
                <w:lang w:eastAsia="sk-SK"/>
              </w:rPr>
              <w:t>3</w:t>
            </w:r>
          </w:p>
        </w:tc>
        <w:tc>
          <w:tcPr>
            <w:tcW w:w="666" w:type="pct"/>
            <w:tcBorders>
              <w:top w:val="nil"/>
              <w:left w:val="nil"/>
              <w:bottom w:val="single" w:sz="4" w:space="0" w:color="auto"/>
              <w:right w:val="nil"/>
            </w:tcBorders>
            <w:shd w:val="clear" w:color="000000" w:fill="BFBFBF"/>
            <w:vAlign w:val="center"/>
            <w:hideMark/>
          </w:tcPr>
          <w:p w14:paraId="2B794559" w14:textId="77777777" w:rsidR="00CB3C45" w:rsidRPr="004A5951" w:rsidRDefault="00CB3C45" w:rsidP="00842F2E">
            <w:pPr>
              <w:spacing w:after="0" w:line="240" w:lineRule="auto"/>
              <w:jc w:val="center"/>
              <w:rPr>
                <w:rFonts w:eastAsia="Times New Roman" w:cs="Times New Roman"/>
                <w:b/>
                <w:bCs/>
                <w:sz w:val="18"/>
                <w:szCs w:val="18"/>
                <w:lang w:eastAsia="sk-SK"/>
              </w:rPr>
            </w:pPr>
            <w:r w:rsidRPr="004A5951">
              <w:rPr>
                <w:rFonts w:eastAsia="Times New Roman" w:cs="Times New Roman"/>
                <w:b/>
                <w:bCs/>
                <w:sz w:val="18"/>
                <w:szCs w:val="18"/>
                <w:lang w:eastAsia="sk-SK"/>
              </w:rPr>
              <w:t>4=(3-2)</w:t>
            </w:r>
          </w:p>
        </w:tc>
      </w:tr>
      <w:tr w:rsidR="00CB3C45" w:rsidRPr="004A5951" w14:paraId="304502A7" w14:textId="77777777" w:rsidTr="00842F2E">
        <w:trPr>
          <w:trHeight w:val="340"/>
        </w:trPr>
        <w:tc>
          <w:tcPr>
            <w:tcW w:w="2334" w:type="pct"/>
            <w:tcBorders>
              <w:top w:val="nil"/>
              <w:left w:val="nil"/>
              <w:bottom w:val="nil"/>
              <w:right w:val="nil"/>
            </w:tcBorders>
            <w:shd w:val="clear" w:color="auto" w:fill="auto"/>
            <w:noWrap/>
            <w:vAlign w:val="center"/>
            <w:hideMark/>
          </w:tcPr>
          <w:p w14:paraId="7772799C" w14:textId="77777777" w:rsidR="00CB3C45" w:rsidRPr="004A5951" w:rsidRDefault="00CB3C45" w:rsidP="00842F2E">
            <w:pPr>
              <w:spacing w:after="0" w:line="240" w:lineRule="auto"/>
              <w:jc w:val="left"/>
              <w:rPr>
                <w:rFonts w:eastAsia="Times New Roman" w:cs="Times New Roman"/>
                <w:sz w:val="18"/>
                <w:szCs w:val="18"/>
                <w:lang w:eastAsia="sk-SK"/>
              </w:rPr>
            </w:pPr>
            <w:r w:rsidRPr="004A5951">
              <w:rPr>
                <w:rFonts w:eastAsia="Times New Roman" w:cs="Times New Roman"/>
                <w:sz w:val="18"/>
                <w:szCs w:val="18"/>
                <w:lang w:eastAsia="sk-SK"/>
              </w:rPr>
              <w:t>Štátne dlhopisy</w:t>
            </w:r>
          </w:p>
        </w:tc>
        <w:tc>
          <w:tcPr>
            <w:tcW w:w="667" w:type="pct"/>
            <w:tcBorders>
              <w:top w:val="nil"/>
              <w:left w:val="nil"/>
              <w:bottom w:val="nil"/>
              <w:right w:val="nil"/>
            </w:tcBorders>
            <w:shd w:val="clear" w:color="auto" w:fill="auto"/>
            <w:noWrap/>
            <w:vAlign w:val="center"/>
            <w:hideMark/>
          </w:tcPr>
          <w:p w14:paraId="7DB03B7F"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36 937 291</w:t>
            </w:r>
          </w:p>
        </w:tc>
        <w:tc>
          <w:tcPr>
            <w:tcW w:w="667" w:type="pct"/>
            <w:tcBorders>
              <w:top w:val="nil"/>
              <w:left w:val="nil"/>
              <w:bottom w:val="nil"/>
              <w:right w:val="nil"/>
            </w:tcBorders>
            <w:shd w:val="clear" w:color="auto" w:fill="auto"/>
            <w:noWrap/>
            <w:vAlign w:val="center"/>
            <w:hideMark/>
          </w:tcPr>
          <w:p w14:paraId="6CE771A4"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38 165 775</w:t>
            </w:r>
          </w:p>
        </w:tc>
        <w:tc>
          <w:tcPr>
            <w:tcW w:w="666" w:type="pct"/>
            <w:tcBorders>
              <w:top w:val="nil"/>
              <w:left w:val="nil"/>
              <w:bottom w:val="nil"/>
              <w:right w:val="nil"/>
            </w:tcBorders>
            <w:shd w:val="clear" w:color="auto" w:fill="BFBFBF" w:themeFill="background1" w:themeFillShade="BF"/>
            <w:noWrap/>
            <w:vAlign w:val="center"/>
            <w:hideMark/>
          </w:tcPr>
          <w:p w14:paraId="05FFA02F"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45 297 864</w:t>
            </w:r>
          </w:p>
        </w:tc>
        <w:tc>
          <w:tcPr>
            <w:tcW w:w="666" w:type="pct"/>
            <w:tcBorders>
              <w:top w:val="nil"/>
              <w:left w:val="nil"/>
              <w:bottom w:val="nil"/>
              <w:right w:val="nil"/>
            </w:tcBorders>
            <w:shd w:val="clear" w:color="auto" w:fill="auto"/>
            <w:noWrap/>
            <w:vAlign w:val="center"/>
            <w:hideMark/>
          </w:tcPr>
          <w:p w14:paraId="3AB0EB70"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7 132 089</w:t>
            </w:r>
          </w:p>
        </w:tc>
      </w:tr>
      <w:tr w:rsidR="00CB3C45" w:rsidRPr="004A5951" w14:paraId="77716A81" w14:textId="77777777" w:rsidTr="00842F2E">
        <w:trPr>
          <w:trHeight w:val="340"/>
        </w:trPr>
        <w:tc>
          <w:tcPr>
            <w:tcW w:w="2334" w:type="pct"/>
            <w:tcBorders>
              <w:top w:val="nil"/>
              <w:left w:val="nil"/>
              <w:bottom w:val="nil"/>
              <w:right w:val="nil"/>
            </w:tcBorders>
            <w:shd w:val="clear" w:color="auto" w:fill="auto"/>
            <w:noWrap/>
            <w:vAlign w:val="center"/>
            <w:hideMark/>
          </w:tcPr>
          <w:p w14:paraId="628387C6" w14:textId="77777777" w:rsidR="00CB3C45" w:rsidRPr="004A5951" w:rsidRDefault="00CB3C45" w:rsidP="00842F2E">
            <w:pPr>
              <w:spacing w:after="0" w:line="240" w:lineRule="auto"/>
              <w:jc w:val="left"/>
              <w:rPr>
                <w:rFonts w:eastAsia="Times New Roman" w:cs="Times New Roman"/>
                <w:sz w:val="18"/>
                <w:szCs w:val="18"/>
                <w:lang w:eastAsia="sk-SK"/>
              </w:rPr>
            </w:pPr>
            <w:r w:rsidRPr="004A5951">
              <w:rPr>
                <w:rFonts w:eastAsia="Times New Roman" w:cs="Times New Roman"/>
                <w:sz w:val="18"/>
                <w:szCs w:val="18"/>
                <w:lang w:eastAsia="sk-SK"/>
              </w:rPr>
              <w:t>Bankové úvery a iné pôžičky</w:t>
            </w:r>
          </w:p>
        </w:tc>
        <w:tc>
          <w:tcPr>
            <w:tcW w:w="667" w:type="pct"/>
            <w:tcBorders>
              <w:top w:val="nil"/>
              <w:left w:val="nil"/>
              <w:bottom w:val="nil"/>
              <w:right w:val="nil"/>
            </w:tcBorders>
            <w:shd w:val="clear" w:color="auto" w:fill="auto"/>
            <w:noWrap/>
            <w:vAlign w:val="center"/>
            <w:hideMark/>
          </w:tcPr>
          <w:p w14:paraId="6AFC9F3A"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2 280 118</w:t>
            </w:r>
          </w:p>
        </w:tc>
        <w:tc>
          <w:tcPr>
            <w:tcW w:w="667" w:type="pct"/>
            <w:tcBorders>
              <w:top w:val="nil"/>
              <w:left w:val="nil"/>
              <w:bottom w:val="nil"/>
              <w:right w:val="nil"/>
            </w:tcBorders>
            <w:shd w:val="clear" w:color="auto" w:fill="auto"/>
            <w:noWrap/>
            <w:vAlign w:val="center"/>
            <w:hideMark/>
          </w:tcPr>
          <w:p w14:paraId="78756E46"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2 471 559</w:t>
            </w:r>
          </w:p>
        </w:tc>
        <w:tc>
          <w:tcPr>
            <w:tcW w:w="666" w:type="pct"/>
            <w:tcBorders>
              <w:top w:val="nil"/>
              <w:left w:val="nil"/>
              <w:bottom w:val="nil"/>
              <w:right w:val="nil"/>
            </w:tcBorders>
            <w:shd w:val="clear" w:color="auto" w:fill="BFBFBF" w:themeFill="background1" w:themeFillShade="BF"/>
            <w:noWrap/>
            <w:vAlign w:val="center"/>
            <w:hideMark/>
          </w:tcPr>
          <w:p w14:paraId="4C147D86"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3 583 436</w:t>
            </w:r>
          </w:p>
        </w:tc>
        <w:tc>
          <w:tcPr>
            <w:tcW w:w="666" w:type="pct"/>
            <w:tcBorders>
              <w:top w:val="nil"/>
              <w:left w:val="nil"/>
              <w:bottom w:val="nil"/>
              <w:right w:val="nil"/>
            </w:tcBorders>
            <w:shd w:val="clear" w:color="auto" w:fill="auto"/>
            <w:noWrap/>
            <w:vAlign w:val="center"/>
            <w:hideMark/>
          </w:tcPr>
          <w:p w14:paraId="49204E87"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1 111 877</w:t>
            </w:r>
          </w:p>
        </w:tc>
      </w:tr>
      <w:tr w:rsidR="00CB3C45" w:rsidRPr="004A5951" w14:paraId="3B612EEA" w14:textId="77777777" w:rsidTr="00842F2E">
        <w:trPr>
          <w:trHeight w:val="340"/>
        </w:trPr>
        <w:tc>
          <w:tcPr>
            <w:tcW w:w="2334" w:type="pct"/>
            <w:tcBorders>
              <w:top w:val="nil"/>
              <w:left w:val="nil"/>
              <w:bottom w:val="nil"/>
              <w:right w:val="nil"/>
            </w:tcBorders>
            <w:shd w:val="clear" w:color="auto" w:fill="auto"/>
            <w:noWrap/>
            <w:vAlign w:val="center"/>
            <w:hideMark/>
          </w:tcPr>
          <w:p w14:paraId="550FD26B" w14:textId="77777777" w:rsidR="00CB3C45" w:rsidRPr="004A5951" w:rsidRDefault="00CB3C45" w:rsidP="00842F2E">
            <w:pPr>
              <w:spacing w:after="0" w:line="240" w:lineRule="auto"/>
              <w:jc w:val="left"/>
              <w:rPr>
                <w:rFonts w:eastAsia="Times New Roman" w:cs="Times New Roman"/>
                <w:sz w:val="18"/>
                <w:szCs w:val="18"/>
                <w:lang w:eastAsia="sk-SK"/>
              </w:rPr>
            </w:pPr>
            <w:r w:rsidRPr="004A5951">
              <w:rPr>
                <w:rFonts w:eastAsia="Times New Roman" w:cs="Times New Roman"/>
                <w:sz w:val="18"/>
                <w:szCs w:val="18"/>
                <w:lang w:eastAsia="sk-SK"/>
              </w:rPr>
              <w:t>Záväzky z EFSF</w:t>
            </w:r>
          </w:p>
        </w:tc>
        <w:tc>
          <w:tcPr>
            <w:tcW w:w="667" w:type="pct"/>
            <w:tcBorders>
              <w:top w:val="nil"/>
              <w:left w:val="nil"/>
              <w:bottom w:val="nil"/>
              <w:right w:val="nil"/>
            </w:tcBorders>
            <w:shd w:val="clear" w:color="auto" w:fill="auto"/>
            <w:noWrap/>
            <w:vAlign w:val="center"/>
            <w:hideMark/>
          </w:tcPr>
          <w:p w14:paraId="5B0840F0"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1 880 640</w:t>
            </w:r>
          </w:p>
        </w:tc>
        <w:tc>
          <w:tcPr>
            <w:tcW w:w="667" w:type="pct"/>
            <w:tcBorders>
              <w:top w:val="nil"/>
              <w:left w:val="nil"/>
              <w:bottom w:val="nil"/>
              <w:right w:val="nil"/>
            </w:tcBorders>
            <w:shd w:val="clear" w:color="auto" w:fill="auto"/>
            <w:noWrap/>
            <w:vAlign w:val="center"/>
            <w:hideMark/>
          </w:tcPr>
          <w:p w14:paraId="66B030DE"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1 859 323</w:t>
            </w:r>
          </w:p>
        </w:tc>
        <w:tc>
          <w:tcPr>
            <w:tcW w:w="666" w:type="pct"/>
            <w:tcBorders>
              <w:top w:val="nil"/>
              <w:left w:val="nil"/>
              <w:bottom w:val="nil"/>
              <w:right w:val="nil"/>
            </w:tcBorders>
            <w:shd w:val="clear" w:color="auto" w:fill="BFBFBF" w:themeFill="background1" w:themeFillShade="BF"/>
            <w:noWrap/>
            <w:vAlign w:val="center"/>
            <w:hideMark/>
          </w:tcPr>
          <w:p w14:paraId="104FB441"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1 859 323</w:t>
            </w:r>
          </w:p>
        </w:tc>
        <w:tc>
          <w:tcPr>
            <w:tcW w:w="666" w:type="pct"/>
            <w:tcBorders>
              <w:top w:val="nil"/>
              <w:left w:val="nil"/>
              <w:bottom w:val="nil"/>
              <w:right w:val="nil"/>
            </w:tcBorders>
            <w:shd w:val="clear" w:color="auto" w:fill="auto"/>
            <w:noWrap/>
            <w:vAlign w:val="center"/>
            <w:hideMark/>
          </w:tcPr>
          <w:p w14:paraId="5CC2E1E6"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0</w:t>
            </w:r>
          </w:p>
        </w:tc>
      </w:tr>
      <w:tr w:rsidR="00CB3C45" w:rsidRPr="004A5951" w14:paraId="73A65A25" w14:textId="77777777" w:rsidTr="00842F2E">
        <w:trPr>
          <w:trHeight w:val="340"/>
        </w:trPr>
        <w:tc>
          <w:tcPr>
            <w:tcW w:w="2334" w:type="pct"/>
            <w:tcBorders>
              <w:top w:val="nil"/>
              <w:left w:val="nil"/>
              <w:bottom w:val="nil"/>
              <w:right w:val="nil"/>
            </w:tcBorders>
            <w:shd w:val="clear" w:color="auto" w:fill="auto"/>
            <w:noWrap/>
            <w:vAlign w:val="center"/>
            <w:hideMark/>
          </w:tcPr>
          <w:p w14:paraId="1A51923D" w14:textId="77777777" w:rsidR="00CB3C45" w:rsidRPr="004A5951" w:rsidRDefault="00CB3C45" w:rsidP="00842F2E">
            <w:pPr>
              <w:spacing w:after="0" w:line="240" w:lineRule="auto"/>
              <w:jc w:val="left"/>
              <w:rPr>
                <w:rFonts w:eastAsia="Times New Roman" w:cs="Times New Roman"/>
                <w:sz w:val="18"/>
                <w:szCs w:val="18"/>
                <w:lang w:eastAsia="sk-SK"/>
              </w:rPr>
            </w:pPr>
            <w:r w:rsidRPr="004A5951">
              <w:rPr>
                <w:rFonts w:eastAsia="Times New Roman" w:cs="Times New Roman"/>
                <w:sz w:val="18"/>
                <w:szCs w:val="18"/>
                <w:lang w:eastAsia="sk-SK"/>
              </w:rPr>
              <w:t>Štátne pokladničné poukážky</w:t>
            </w:r>
          </w:p>
        </w:tc>
        <w:tc>
          <w:tcPr>
            <w:tcW w:w="667" w:type="pct"/>
            <w:tcBorders>
              <w:top w:val="nil"/>
              <w:left w:val="nil"/>
              <w:bottom w:val="nil"/>
              <w:right w:val="nil"/>
            </w:tcBorders>
            <w:shd w:val="clear" w:color="auto" w:fill="auto"/>
            <w:noWrap/>
            <w:vAlign w:val="center"/>
            <w:hideMark/>
          </w:tcPr>
          <w:p w14:paraId="4663EFB9"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800 000</w:t>
            </w:r>
          </w:p>
        </w:tc>
        <w:tc>
          <w:tcPr>
            <w:tcW w:w="667" w:type="pct"/>
            <w:tcBorders>
              <w:top w:val="nil"/>
              <w:left w:val="nil"/>
              <w:bottom w:val="nil"/>
              <w:right w:val="nil"/>
            </w:tcBorders>
            <w:shd w:val="clear" w:color="auto" w:fill="auto"/>
            <w:noWrap/>
            <w:vAlign w:val="center"/>
            <w:hideMark/>
          </w:tcPr>
          <w:p w14:paraId="02F06394"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0</w:t>
            </w:r>
          </w:p>
        </w:tc>
        <w:tc>
          <w:tcPr>
            <w:tcW w:w="666" w:type="pct"/>
            <w:tcBorders>
              <w:top w:val="nil"/>
              <w:left w:val="nil"/>
              <w:bottom w:val="nil"/>
              <w:right w:val="nil"/>
            </w:tcBorders>
            <w:shd w:val="clear" w:color="auto" w:fill="BFBFBF" w:themeFill="background1" w:themeFillShade="BF"/>
            <w:noWrap/>
            <w:vAlign w:val="center"/>
            <w:hideMark/>
          </w:tcPr>
          <w:p w14:paraId="5B28D04C"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1 380 000</w:t>
            </w:r>
          </w:p>
        </w:tc>
        <w:tc>
          <w:tcPr>
            <w:tcW w:w="666" w:type="pct"/>
            <w:tcBorders>
              <w:top w:val="nil"/>
              <w:left w:val="nil"/>
              <w:bottom w:val="nil"/>
              <w:right w:val="nil"/>
            </w:tcBorders>
            <w:shd w:val="clear" w:color="auto" w:fill="auto"/>
            <w:noWrap/>
            <w:vAlign w:val="center"/>
            <w:hideMark/>
          </w:tcPr>
          <w:p w14:paraId="47CBE1E8"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1 380 000</w:t>
            </w:r>
          </w:p>
        </w:tc>
      </w:tr>
      <w:tr w:rsidR="00CB3C45" w:rsidRPr="004A5951" w14:paraId="72CC1394" w14:textId="77777777" w:rsidTr="00842F2E">
        <w:trPr>
          <w:trHeight w:val="340"/>
        </w:trPr>
        <w:tc>
          <w:tcPr>
            <w:tcW w:w="2334" w:type="pct"/>
            <w:tcBorders>
              <w:top w:val="nil"/>
              <w:left w:val="nil"/>
              <w:bottom w:val="nil"/>
              <w:right w:val="nil"/>
            </w:tcBorders>
            <w:shd w:val="clear" w:color="auto" w:fill="auto"/>
            <w:noWrap/>
            <w:vAlign w:val="center"/>
            <w:hideMark/>
          </w:tcPr>
          <w:p w14:paraId="4FDD279D" w14:textId="77777777" w:rsidR="00CB3C45" w:rsidRPr="004A5951" w:rsidRDefault="00CB3C45" w:rsidP="00842F2E">
            <w:pPr>
              <w:spacing w:after="0" w:line="240" w:lineRule="auto"/>
              <w:jc w:val="left"/>
              <w:rPr>
                <w:rFonts w:eastAsia="Times New Roman" w:cs="Times New Roman"/>
                <w:sz w:val="18"/>
                <w:szCs w:val="18"/>
                <w:lang w:eastAsia="sk-SK"/>
              </w:rPr>
            </w:pPr>
            <w:r w:rsidRPr="004A5951">
              <w:rPr>
                <w:rFonts w:eastAsia="Times New Roman" w:cs="Times New Roman"/>
                <w:sz w:val="18"/>
                <w:szCs w:val="18"/>
                <w:lang w:eastAsia="sk-SK"/>
              </w:rPr>
              <w:t>Záväzky z vkladov v Štátnej pokladnici</w:t>
            </w:r>
          </w:p>
        </w:tc>
        <w:tc>
          <w:tcPr>
            <w:tcW w:w="667" w:type="pct"/>
            <w:tcBorders>
              <w:top w:val="nil"/>
              <w:left w:val="nil"/>
              <w:bottom w:val="nil"/>
              <w:right w:val="nil"/>
            </w:tcBorders>
            <w:shd w:val="clear" w:color="auto" w:fill="auto"/>
            <w:noWrap/>
            <w:vAlign w:val="center"/>
            <w:hideMark/>
          </w:tcPr>
          <w:p w14:paraId="72459AB5"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42 635</w:t>
            </w:r>
          </w:p>
        </w:tc>
        <w:tc>
          <w:tcPr>
            <w:tcW w:w="667" w:type="pct"/>
            <w:tcBorders>
              <w:top w:val="nil"/>
              <w:left w:val="nil"/>
              <w:bottom w:val="nil"/>
              <w:right w:val="nil"/>
            </w:tcBorders>
            <w:shd w:val="clear" w:color="auto" w:fill="auto"/>
            <w:noWrap/>
            <w:vAlign w:val="center"/>
            <w:hideMark/>
          </w:tcPr>
          <w:p w14:paraId="734D0870"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40 820</w:t>
            </w:r>
          </w:p>
        </w:tc>
        <w:tc>
          <w:tcPr>
            <w:tcW w:w="666" w:type="pct"/>
            <w:tcBorders>
              <w:top w:val="nil"/>
              <w:left w:val="nil"/>
              <w:bottom w:val="nil"/>
              <w:right w:val="nil"/>
            </w:tcBorders>
            <w:shd w:val="clear" w:color="auto" w:fill="BFBFBF" w:themeFill="background1" w:themeFillShade="BF"/>
            <w:noWrap/>
            <w:vAlign w:val="center"/>
            <w:hideMark/>
          </w:tcPr>
          <w:p w14:paraId="6D49A619"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203 187</w:t>
            </w:r>
          </w:p>
        </w:tc>
        <w:tc>
          <w:tcPr>
            <w:tcW w:w="666" w:type="pct"/>
            <w:tcBorders>
              <w:top w:val="nil"/>
              <w:left w:val="nil"/>
              <w:bottom w:val="nil"/>
              <w:right w:val="nil"/>
            </w:tcBorders>
            <w:shd w:val="clear" w:color="auto" w:fill="auto"/>
            <w:noWrap/>
            <w:vAlign w:val="center"/>
            <w:hideMark/>
          </w:tcPr>
          <w:p w14:paraId="3D75FF33"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162 367</w:t>
            </w:r>
          </w:p>
        </w:tc>
      </w:tr>
      <w:tr w:rsidR="00CB3C45" w:rsidRPr="004A5951" w14:paraId="110C3CBF" w14:textId="77777777" w:rsidTr="00842F2E">
        <w:trPr>
          <w:trHeight w:val="340"/>
        </w:trPr>
        <w:tc>
          <w:tcPr>
            <w:tcW w:w="2334" w:type="pct"/>
            <w:tcBorders>
              <w:top w:val="nil"/>
              <w:left w:val="nil"/>
              <w:bottom w:val="nil"/>
              <w:right w:val="nil"/>
            </w:tcBorders>
            <w:shd w:val="clear" w:color="auto" w:fill="auto"/>
            <w:noWrap/>
            <w:vAlign w:val="center"/>
            <w:hideMark/>
          </w:tcPr>
          <w:p w14:paraId="1A17FC9E" w14:textId="77777777" w:rsidR="00CB3C45" w:rsidRPr="004A5951" w:rsidRDefault="00CB3C45" w:rsidP="00842F2E">
            <w:pPr>
              <w:spacing w:after="0" w:line="240" w:lineRule="auto"/>
              <w:jc w:val="left"/>
              <w:rPr>
                <w:rFonts w:eastAsia="Times New Roman" w:cs="Times New Roman"/>
                <w:sz w:val="18"/>
                <w:szCs w:val="18"/>
                <w:lang w:eastAsia="sk-SK"/>
              </w:rPr>
            </w:pPr>
            <w:r w:rsidRPr="004A5951">
              <w:rPr>
                <w:rFonts w:eastAsia="Times New Roman" w:cs="Times New Roman"/>
                <w:sz w:val="18"/>
                <w:szCs w:val="18"/>
                <w:lang w:eastAsia="sk-SK"/>
              </w:rPr>
              <w:t>Zábezpeky</w:t>
            </w:r>
          </w:p>
        </w:tc>
        <w:tc>
          <w:tcPr>
            <w:tcW w:w="667" w:type="pct"/>
            <w:tcBorders>
              <w:top w:val="nil"/>
              <w:left w:val="nil"/>
              <w:bottom w:val="nil"/>
              <w:right w:val="nil"/>
            </w:tcBorders>
            <w:shd w:val="clear" w:color="auto" w:fill="auto"/>
            <w:noWrap/>
            <w:vAlign w:val="center"/>
            <w:hideMark/>
          </w:tcPr>
          <w:p w14:paraId="254309F3"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139 028</w:t>
            </w:r>
          </w:p>
        </w:tc>
        <w:tc>
          <w:tcPr>
            <w:tcW w:w="667" w:type="pct"/>
            <w:tcBorders>
              <w:top w:val="nil"/>
              <w:left w:val="nil"/>
              <w:bottom w:val="nil"/>
              <w:right w:val="nil"/>
            </w:tcBorders>
            <w:shd w:val="clear" w:color="auto" w:fill="auto"/>
            <w:noWrap/>
            <w:vAlign w:val="center"/>
            <w:hideMark/>
          </w:tcPr>
          <w:p w14:paraId="17E16CDF"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236 009</w:t>
            </w:r>
          </w:p>
        </w:tc>
        <w:tc>
          <w:tcPr>
            <w:tcW w:w="666" w:type="pct"/>
            <w:tcBorders>
              <w:top w:val="nil"/>
              <w:left w:val="nil"/>
              <w:bottom w:val="nil"/>
              <w:right w:val="nil"/>
            </w:tcBorders>
            <w:shd w:val="clear" w:color="auto" w:fill="BFBFBF" w:themeFill="background1" w:themeFillShade="BF"/>
            <w:noWrap/>
            <w:vAlign w:val="center"/>
            <w:hideMark/>
          </w:tcPr>
          <w:p w14:paraId="3E1A6654"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177 586</w:t>
            </w:r>
          </w:p>
        </w:tc>
        <w:tc>
          <w:tcPr>
            <w:tcW w:w="666" w:type="pct"/>
            <w:tcBorders>
              <w:top w:val="nil"/>
              <w:left w:val="nil"/>
              <w:bottom w:val="nil"/>
              <w:right w:val="nil"/>
            </w:tcBorders>
            <w:shd w:val="clear" w:color="auto" w:fill="auto"/>
            <w:noWrap/>
            <w:vAlign w:val="center"/>
            <w:hideMark/>
          </w:tcPr>
          <w:p w14:paraId="15D46AA7"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-58 423</w:t>
            </w:r>
          </w:p>
        </w:tc>
      </w:tr>
      <w:tr w:rsidR="00CB3C45" w:rsidRPr="004A5951" w14:paraId="5AC1F918" w14:textId="77777777" w:rsidTr="00842F2E">
        <w:trPr>
          <w:trHeight w:val="340"/>
        </w:trPr>
        <w:tc>
          <w:tcPr>
            <w:tcW w:w="2334" w:type="pct"/>
            <w:tcBorders>
              <w:top w:val="nil"/>
              <w:left w:val="nil"/>
              <w:bottom w:val="nil"/>
              <w:right w:val="nil"/>
            </w:tcBorders>
            <w:shd w:val="clear" w:color="auto" w:fill="auto"/>
            <w:noWrap/>
            <w:vAlign w:val="center"/>
            <w:hideMark/>
          </w:tcPr>
          <w:p w14:paraId="1D832815" w14:textId="77777777" w:rsidR="00CB3C45" w:rsidRPr="004A5951" w:rsidRDefault="00CB3C45" w:rsidP="00842F2E">
            <w:pPr>
              <w:spacing w:after="0" w:line="240" w:lineRule="auto"/>
              <w:jc w:val="left"/>
              <w:rPr>
                <w:rFonts w:eastAsia="Times New Roman" w:cs="Times New Roman"/>
                <w:sz w:val="18"/>
                <w:szCs w:val="18"/>
                <w:lang w:eastAsia="sk-SK"/>
              </w:rPr>
            </w:pPr>
            <w:r w:rsidRPr="004A5951">
              <w:rPr>
                <w:rFonts w:eastAsia="Times New Roman" w:cs="Times New Roman"/>
                <w:sz w:val="18"/>
                <w:szCs w:val="18"/>
                <w:lang w:eastAsia="sk-SK"/>
              </w:rPr>
              <w:t>Dlhodobé záväzky z obchodného styku a prijaté preddavky</w:t>
            </w:r>
          </w:p>
        </w:tc>
        <w:tc>
          <w:tcPr>
            <w:tcW w:w="667" w:type="pct"/>
            <w:tcBorders>
              <w:top w:val="nil"/>
              <w:left w:val="nil"/>
              <w:bottom w:val="nil"/>
              <w:right w:val="nil"/>
            </w:tcBorders>
            <w:shd w:val="clear" w:color="auto" w:fill="auto"/>
            <w:noWrap/>
            <w:vAlign w:val="center"/>
            <w:hideMark/>
          </w:tcPr>
          <w:p w14:paraId="4BA5660D"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4 401</w:t>
            </w:r>
          </w:p>
        </w:tc>
        <w:tc>
          <w:tcPr>
            <w:tcW w:w="667" w:type="pct"/>
            <w:tcBorders>
              <w:top w:val="nil"/>
              <w:left w:val="nil"/>
              <w:bottom w:val="nil"/>
              <w:right w:val="nil"/>
            </w:tcBorders>
            <w:shd w:val="clear" w:color="auto" w:fill="auto"/>
            <w:noWrap/>
            <w:vAlign w:val="center"/>
            <w:hideMark/>
          </w:tcPr>
          <w:p w14:paraId="2348D1F2"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3 654</w:t>
            </w:r>
          </w:p>
        </w:tc>
        <w:tc>
          <w:tcPr>
            <w:tcW w:w="666" w:type="pct"/>
            <w:tcBorders>
              <w:top w:val="nil"/>
              <w:left w:val="nil"/>
              <w:bottom w:val="nil"/>
              <w:right w:val="nil"/>
            </w:tcBorders>
            <w:shd w:val="clear" w:color="auto" w:fill="BFBFBF" w:themeFill="background1" w:themeFillShade="BF"/>
            <w:noWrap/>
            <w:vAlign w:val="center"/>
            <w:hideMark/>
          </w:tcPr>
          <w:p w14:paraId="3BAB06DB"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0</w:t>
            </w:r>
          </w:p>
        </w:tc>
        <w:tc>
          <w:tcPr>
            <w:tcW w:w="666" w:type="pct"/>
            <w:tcBorders>
              <w:top w:val="nil"/>
              <w:left w:val="nil"/>
              <w:bottom w:val="nil"/>
              <w:right w:val="nil"/>
            </w:tcBorders>
            <w:shd w:val="clear" w:color="auto" w:fill="auto"/>
            <w:noWrap/>
            <w:vAlign w:val="center"/>
            <w:hideMark/>
          </w:tcPr>
          <w:p w14:paraId="2B32E683"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-3 654</w:t>
            </w:r>
          </w:p>
        </w:tc>
      </w:tr>
      <w:tr w:rsidR="00CB3C45" w:rsidRPr="004A5951" w14:paraId="6EE9B250" w14:textId="77777777" w:rsidTr="00842F2E">
        <w:trPr>
          <w:trHeight w:val="340"/>
        </w:trPr>
        <w:tc>
          <w:tcPr>
            <w:tcW w:w="2334" w:type="pct"/>
            <w:tcBorders>
              <w:top w:val="nil"/>
              <w:left w:val="nil"/>
              <w:bottom w:val="nil"/>
              <w:right w:val="nil"/>
            </w:tcBorders>
            <w:shd w:val="clear" w:color="auto" w:fill="auto"/>
            <w:noWrap/>
            <w:vAlign w:val="center"/>
            <w:hideMark/>
          </w:tcPr>
          <w:p w14:paraId="5E7DEED3" w14:textId="77777777" w:rsidR="00CB3C45" w:rsidRPr="004A5951" w:rsidRDefault="00CB3C45" w:rsidP="00842F2E">
            <w:pPr>
              <w:spacing w:after="0" w:line="240" w:lineRule="auto"/>
              <w:jc w:val="left"/>
              <w:rPr>
                <w:rFonts w:eastAsia="Times New Roman" w:cs="Times New Roman"/>
                <w:i/>
                <w:sz w:val="18"/>
                <w:szCs w:val="18"/>
                <w:lang w:eastAsia="sk-SK"/>
              </w:rPr>
            </w:pPr>
            <w:proofErr w:type="spellStart"/>
            <w:r w:rsidRPr="004A5951">
              <w:rPr>
                <w:rFonts w:eastAsia="Times New Roman" w:cs="Times New Roman"/>
                <w:i/>
                <w:sz w:val="18"/>
                <w:szCs w:val="18"/>
                <w:lang w:eastAsia="sk-SK"/>
              </w:rPr>
              <w:t>Imput</w:t>
            </w:r>
            <w:proofErr w:type="spellEnd"/>
            <w:r w:rsidRPr="004A5951">
              <w:rPr>
                <w:rFonts w:eastAsia="Times New Roman" w:cs="Times New Roman"/>
                <w:i/>
                <w:sz w:val="18"/>
                <w:szCs w:val="18"/>
                <w:lang w:eastAsia="sk-SK"/>
              </w:rPr>
              <w:t xml:space="preserve"> pôžičky z EOSA</w:t>
            </w:r>
          </w:p>
        </w:tc>
        <w:tc>
          <w:tcPr>
            <w:tcW w:w="667" w:type="pct"/>
            <w:tcBorders>
              <w:top w:val="nil"/>
              <w:left w:val="nil"/>
              <w:bottom w:val="nil"/>
              <w:right w:val="nil"/>
            </w:tcBorders>
            <w:shd w:val="clear" w:color="auto" w:fill="auto"/>
            <w:noWrap/>
            <w:vAlign w:val="center"/>
            <w:hideMark/>
          </w:tcPr>
          <w:p w14:paraId="203FFE14" w14:textId="77777777" w:rsidR="00CB3C45" w:rsidRPr="004A5951" w:rsidRDefault="00CB3C45" w:rsidP="00842F2E">
            <w:pPr>
              <w:spacing w:after="0" w:line="240" w:lineRule="auto"/>
              <w:jc w:val="right"/>
              <w:rPr>
                <w:rFonts w:eastAsia="Times New Roman" w:cs="Times New Roman"/>
                <w:i/>
                <w:sz w:val="18"/>
                <w:szCs w:val="18"/>
                <w:lang w:eastAsia="sk-SK"/>
              </w:rPr>
            </w:pPr>
            <w:r w:rsidRPr="004A5951">
              <w:rPr>
                <w:rFonts w:eastAsia="Times New Roman" w:cs="Times New Roman"/>
                <w:i/>
                <w:sz w:val="18"/>
                <w:szCs w:val="18"/>
                <w:lang w:eastAsia="sk-SK"/>
              </w:rPr>
              <w:t>227 832</w:t>
            </w:r>
          </w:p>
        </w:tc>
        <w:tc>
          <w:tcPr>
            <w:tcW w:w="667" w:type="pct"/>
            <w:tcBorders>
              <w:top w:val="nil"/>
              <w:left w:val="nil"/>
              <w:bottom w:val="nil"/>
              <w:right w:val="nil"/>
            </w:tcBorders>
            <w:shd w:val="clear" w:color="auto" w:fill="auto"/>
            <w:noWrap/>
            <w:vAlign w:val="center"/>
            <w:hideMark/>
          </w:tcPr>
          <w:p w14:paraId="52030E8B" w14:textId="77777777" w:rsidR="00CB3C45" w:rsidRPr="004A5951" w:rsidRDefault="00CB3C45" w:rsidP="00842F2E">
            <w:pPr>
              <w:spacing w:after="0" w:line="240" w:lineRule="auto"/>
              <w:jc w:val="right"/>
              <w:rPr>
                <w:rFonts w:eastAsia="Times New Roman" w:cs="Times New Roman"/>
                <w:i/>
                <w:sz w:val="18"/>
                <w:szCs w:val="18"/>
                <w:lang w:eastAsia="sk-SK"/>
              </w:rPr>
            </w:pPr>
            <w:r w:rsidRPr="004A5951">
              <w:rPr>
                <w:rFonts w:eastAsia="Times New Roman" w:cs="Times New Roman"/>
                <w:i/>
                <w:sz w:val="18"/>
                <w:szCs w:val="18"/>
                <w:lang w:eastAsia="sk-SK"/>
              </w:rPr>
              <w:t>197 217</w:t>
            </w:r>
          </w:p>
        </w:tc>
        <w:tc>
          <w:tcPr>
            <w:tcW w:w="666" w:type="pct"/>
            <w:tcBorders>
              <w:top w:val="nil"/>
              <w:left w:val="nil"/>
              <w:bottom w:val="nil"/>
              <w:right w:val="nil"/>
            </w:tcBorders>
            <w:shd w:val="clear" w:color="auto" w:fill="BFBFBF" w:themeFill="background1" w:themeFillShade="BF"/>
            <w:noWrap/>
            <w:vAlign w:val="center"/>
            <w:hideMark/>
          </w:tcPr>
          <w:p w14:paraId="5A51DD0F" w14:textId="77777777" w:rsidR="00CB3C45" w:rsidRPr="004A5951" w:rsidRDefault="00CB3C45" w:rsidP="00842F2E">
            <w:pPr>
              <w:spacing w:after="0" w:line="240" w:lineRule="auto"/>
              <w:jc w:val="right"/>
              <w:rPr>
                <w:rFonts w:eastAsia="Times New Roman" w:cs="Times New Roman"/>
                <w:i/>
                <w:sz w:val="18"/>
                <w:szCs w:val="18"/>
                <w:lang w:eastAsia="sk-SK"/>
              </w:rPr>
            </w:pPr>
            <w:r w:rsidRPr="004A5951">
              <w:rPr>
                <w:rFonts w:eastAsia="Times New Roman" w:cs="Times New Roman"/>
                <w:i/>
                <w:sz w:val="18"/>
                <w:szCs w:val="18"/>
                <w:lang w:eastAsia="sk-SK"/>
              </w:rPr>
              <w:t>165 462</w:t>
            </w:r>
          </w:p>
        </w:tc>
        <w:tc>
          <w:tcPr>
            <w:tcW w:w="666" w:type="pct"/>
            <w:tcBorders>
              <w:top w:val="nil"/>
              <w:left w:val="nil"/>
              <w:bottom w:val="nil"/>
              <w:right w:val="nil"/>
            </w:tcBorders>
            <w:shd w:val="clear" w:color="auto" w:fill="auto"/>
            <w:noWrap/>
            <w:vAlign w:val="center"/>
            <w:hideMark/>
          </w:tcPr>
          <w:p w14:paraId="119A7E3D" w14:textId="77777777" w:rsidR="00CB3C45" w:rsidRPr="004A5951" w:rsidRDefault="00CB3C45" w:rsidP="00842F2E">
            <w:pPr>
              <w:spacing w:after="0" w:line="240" w:lineRule="auto"/>
              <w:jc w:val="right"/>
              <w:rPr>
                <w:rFonts w:eastAsia="Times New Roman" w:cs="Times New Roman"/>
                <w:i/>
                <w:sz w:val="18"/>
                <w:szCs w:val="18"/>
                <w:lang w:eastAsia="sk-SK"/>
              </w:rPr>
            </w:pPr>
            <w:r w:rsidRPr="004A5951">
              <w:rPr>
                <w:rFonts w:eastAsia="Times New Roman" w:cs="Times New Roman"/>
                <w:i/>
                <w:sz w:val="18"/>
                <w:szCs w:val="18"/>
                <w:lang w:eastAsia="sk-SK"/>
              </w:rPr>
              <w:t>-31 755</w:t>
            </w:r>
          </w:p>
        </w:tc>
      </w:tr>
      <w:tr w:rsidR="00CB3C45" w:rsidRPr="004A5951" w14:paraId="5A07B688" w14:textId="77777777" w:rsidTr="00842F2E">
        <w:trPr>
          <w:trHeight w:val="293"/>
        </w:trPr>
        <w:tc>
          <w:tcPr>
            <w:tcW w:w="2334" w:type="pct"/>
            <w:tcBorders>
              <w:top w:val="nil"/>
              <w:left w:val="nil"/>
              <w:bottom w:val="nil"/>
              <w:right w:val="nil"/>
            </w:tcBorders>
            <w:shd w:val="clear" w:color="auto" w:fill="auto"/>
            <w:noWrap/>
            <w:vAlign w:val="center"/>
            <w:hideMark/>
          </w:tcPr>
          <w:p w14:paraId="166AA432" w14:textId="77777777" w:rsidR="00CB3C45" w:rsidRPr="004A5951" w:rsidRDefault="00CB3C45" w:rsidP="00842F2E">
            <w:pPr>
              <w:spacing w:after="0" w:line="240" w:lineRule="auto"/>
              <w:jc w:val="left"/>
              <w:rPr>
                <w:rFonts w:eastAsia="Times New Roman" w:cs="Times New Roman"/>
                <w:i/>
                <w:sz w:val="18"/>
                <w:szCs w:val="18"/>
                <w:lang w:eastAsia="sk-SK"/>
              </w:rPr>
            </w:pPr>
            <w:proofErr w:type="spellStart"/>
            <w:r w:rsidRPr="004A5951">
              <w:rPr>
                <w:rFonts w:eastAsia="Times New Roman" w:cs="Times New Roman"/>
                <w:i/>
                <w:sz w:val="18"/>
                <w:szCs w:val="18"/>
                <w:lang w:eastAsia="sk-SK"/>
              </w:rPr>
              <w:t>Imput</w:t>
            </w:r>
            <w:proofErr w:type="spellEnd"/>
            <w:r w:rsidRPr="004A5951">
              <w:rPr>
                <w:rFonts w:eastAsia="Times New Roman" w:cs="Times New Roman"/>
                <w:i/>
                <w:sz w:val="18"/>
                <w:szCs w:val="18"/>
                <w:lang w:eastAsia="sk-SK"/>
              </w:rPr>
              <w:t xml:space="preserve"> záväzkov schémy zelenej energie</w:t>
            </w:r>
          </w:p>
        </w:tc>
        <w:tc>
          <w:tcPr>
            <w:tcW w:w="667" w:type="pct"/>
            <w:tcBorders>
              <w:top w:val="nil"/>
              <w:left w:val="nil"/>
              <w:bottom w:val="nil"/>
              <w:right w:val="nil"/>
            </w:tcBorders>
            <w:shd w:val="clear" w:color="auto" w:fill="auto"/>
            <w:noWrap/>
            <w:vAlign w:val="center"/>
            <w:hideMark/>
          </w:tcPr>
          <w:p w14:paraId="1429D2D5" w14:textId="77777777" w:rsidR="00CB3C45" w:rsidRPr="004A5951" w:rsidRDefault="00CB3C45" w:rsidP="00842F2E">
            <w:pPr>
              <w:spacing w:after="0" w:line="240" w:lineRule="auto"/>
              <w:jc w:val="right"/>
              <w:rPr>
                <w:rFonts w:eastAsia="Times New Roman" w:cs="Times New Roman"/>
                <w:i/>
                <w:sz w:val="18"/>
                <w:szCs w:val="18"/>
                <w:lang w:eastAsia="sk-SK"/>
              </w:rPr>
            </w:pPr>
            <w:r w:rsidRPr="004A5951">
              <w:rPr>
                <w:rFonts w:eastAsia="Times New Roman" w:cs="Times New Roman"/>
                <w:i/>
                <w:sz w:val="18"/>
                <w:szCs w:val="18"/>
                <w:lang w:eastAsia="sk-SK"/>
              </w:rPr>
              <w:t>307 600</w:t>
            </w:r>
          </w:p>
        </w:tc>
        <w:tc>
          <w:tcPr>
            <w:tcW w:w="667" w:type="pct"/>
            <w:tcBorders>
              <w:top w:val="nil"/>
              <w:left w:val="nil"/>
              <w:bottom w:val="nil"/>
              <w:right w:val="nil"/>
            </w:tcBorders>
            <w:shd w:val="clear" w:color="auto" w:fill="auto"/>
            <w:noWrap/>
            <w:vAlign w:val="center"/>
            <w:hideMark/>
          </w:tcPr>
          <w:p w14:paraId="2389DF7E" w14:textId="77777777" w:rsidR="00CB3C45" w:rsidRPr="004A5951" w:rsidRDefault="00CB3C45" w:rsidP="00842F2E">
            <w:pPr>
              <w:spacing w:after="0" w:line="240" w:lineRule="auto"/>
              <w:jc w:val="right"/>
              <w:rPr>
                <w:rFonts w:eastAsia="Times New Roman" w:cs="Times New Roman"/>
                <w:i/>
                <w:sz w:val="18"/>
                <w:szCs w:val="18"/>
                <w:lang w:eastAsia="sk-SK"/>
              </w:rPr>
            </w:pPr>
            <w:r w:rsidRPr="004A5951">
              <w:rPr>
                <w:rFonts w:eastAsia="Times New Roman" w:cs="Times New Roman"/>
                <w:i/>
                <w:sz w:val="18"/>
                <w:szCs w:val="18"/>
                <w:lang w:eastAsia="sk-SK"/>
              </w:rPr>
              <w:t>282 006</w:t>
            </w:r>
          </w:p>
        </w:tc>
        <w:tc>
          <w:tcPr>
            <w:tcW w:w="666" w:type="pct"/>
            <w:tcBorders>
              <w:top w:val="nil"/>
              <w:left w:val="nil"/>
              <w:bottom w:val="nil"/>
              <w:right w:val="nil"/>
            </w:tcBorders>
            <w:shd w:val="clear" w:color="auto" w:fill="BFBFBF" w:themeFill="background1" w:themeFillShade="BF"/>
            <w:noWrap/>
            <w:vAlign w:val="center"/>
            <w:hideMark/>
          </w:tcPr>
          <w:p w14:paraId="7B4F9B65" w14:textId="77777777" w:rsidR="00CB3C45" w:rsidRPr="004A5951" w:rsidRDefault="00CB3C45" w:rsidP="00842F2E">
            <w:pPr>
              <w:spacing w:after="0" w:line="240" w:lineRule="auto"/>
              <w:jc w:val="right"/>
              <w:rPr>
                <w:rFonts w:eastAsia="Times New Roman" w:cs="Times New Roman"/>
                <w:i/>
                <w:sz w:val="18"/>
                <w:szCs w:val="18"/>
                <w:lang w:eastAsia="sk-SK"/>
              </w:rPr>
            </w:pPr>
            <w:r w:rsidRPr="004A5951">
              <w:rPr>
                <w:rFonts w:eastAsia="Times New Roman" w:cs="Times New Roman"/>
                <w:i/>
                <w:sz w:val="18"/>
                <w:szCs w:val="18"/>
                <w:lang w:eastAsia="sk-SK"/>
              </w:rPr>
              <w:t>206 214</w:t>
            </w:r>
          </w:p>
        </w:tc>
        <w:tc>
          <w:tcPr>
            <w:tcW w:w="666" w:type="pct"/>
            <w:tcBorders>
              <w:top w:val="nil"/>
              <w:left w:val="nil"/>
              <w:bottom w:val="nil"/>
              <w:right w:val="nil"/>
            </w:tcBorders>
            <w:shd w:val="clear" w:color="auto" w:fill="auto"/>
            <w:noWrap/>
            <w:vAlign w:val="center"/>
            <w:hideMark/>
          </w:tcPr>
          <w:p w14:paraId="38095B7E" w14:textId="77777777" w:rsidR="00CB3C45" w:rsidRPr="004A5951" w:rsidRDefault="00CB3C45" w:rsidP="00842F2E">
            <w:pPr>
              <w:spacing w:after="0" w:line="240" w:lineRule="auto"/>
              <w:jc w:val="right"/>
              <w:rPr>
                <w:rFonts w:eastAsia="Times New Roman" w:cs="Times New Roman"/>
                <w:i/>
                <w:sz w:val="18"/>
                <w:szCs w:val="18"/>
                <w:lang w:eastAsia="sk-SK"/>
              </w:rPr>
            </w:pPr>
            <w:r w:rsidRPr="004A5951">
              <w:rPr>
                <w:rFonts w:eastAsia="Times New Roman" w:cs="Times New Roman"/>
                <w:i/>
                <w:sz w:val="18"/>
                <w:szCs w:val="18"/>
                <w:lang w:eastAsia="sk-SK"/>
              </w:rPr>
              <w:t>-75 792</w:t>
            </w:r>
          </w:p>
        </w:tc>
      </w:tr>
      <w:tr w:rsidR="00CB3C45" w:rsidRPr="004A5951" w14:paraId="54598863" w14:textId="77777777" w:rsidTr="00842F2E">
        <w:trPr>
          <w:trHeight w:val="340"/>
        </w:trPr>
        <w:tc>
          <w:tcPr>
            <w:tcW w:w="2334" w:type="pct"/>
            <w:tcBorders>
              <w:top w:val="nil"/>
              <w:left w:val="nil"/>
              <w:bottom w:val="single" w:sz="4" w:space="0" w:color="auto"/>
              <w:right w:val="nil"/>
            </w:tcBorders>
            <w:shd w:val="clear" w:color="auto" w:fill="auto"/>
            <w:noWrap/>
            <w:vAlign w:val="center"/>
            <w:hideMark/>
          </w:tcPr>
          <w:p w14:paraId="74F25D5D" w14:textId="77777777" w:rsidR="00CB3C45" w:rsidRPr="004A5951" w:rsidRDefault="00CB3C45" w:rsidP="00842F2E">
            <w:pPr>
              <w:spacing w:after="0" w:line="240" w:lineRule="auto"/>
              <w:jc w:val="left"/>
              <w:rPr>
                <w:rFonts w:eastAsia="Times New Roman" w:cs="Times New Roman"/>
                <w:i/>
                <w:sz w:val="18"/>
                <w:szCs w:val="18"/>
                <w:lang w:eastAsia="sk-SK"/>
              </w:rPr>
            </w:pPr>
            <w:r w:rsidRPr="004A5951">
              <w:rPr>
                <w:rFonts w:eastAsia="Times New Roman" w:cs="Times New Roman"/>
                <w:i/>
                <w:sz w:val="18"/>
                <w:szCs w:val="18"/>
                <w:lang w:eastAsia="sk-SK"/>
              </w:rPr>
              <w:t>Imputované prevzatie záruky Eximbanky do štátneho dlhu</w:t>
            </w:r>
          </w:p>
        </w:tc>
        <w:tc>
          <w:tcPr>
            <w:tcW w:w="667" w:type="pct"/>
            <w:tcBorders>
              <w:top w:val="nil"/>
              <w:left w:val="nil"/>
              <w:bottom w:val="single" w:sz="4" w:space="0" w:color="auto"/>
              <w:right w:val="nil"/>
            </w:tcBorders>
            <w:shd w:val="clear" w:color="auto" w:fill="auto"/>
            <w:noWrap/>
            <w:vAlign w:val="center"/>
            <w:hideMark/>
          </w:tcPr>
          <w:p w14:paraId="10F4B073" w14:textId="77777777" w:rsidR="00CB3C45" w:rsidRPr="004A5951" w:rsidRDefault="00CB3C45" w:rsidP="00842F2E">
            <w:pPr>
              <w:spacing w:after="0" w:line="240" w:lineRule="auto"/>
              <w:jc w:val="right"/>
              <w:rPr>
                <w:rFonts w:eastAsia="Times New Roman" w:cs="Times New Roman"/>
                <w:i/>
                <w:sz w:val="18"/>
                <w:szCs w:val="18"/>
                <w:lang w:eastAsia="sk-SK"/>
              </w:rPr>
            </w:pPr>
            <w:r w:rsidRPr="004A5951">
              <w:rPr>
                <w:rFonts w:eastAsia="Times New Roman" w:cs="Times New Roman"/>
                <w:i/>
                <w:sz w:val="18"/>
                <w:szCs w:val="18"/>
                <w:lang w:eastAsia="sk-SK"/>
              </w:rPr>
              <w:t>0</w:t>
            </w:r>
          </w:p>
        </w:tc>
        <w:tc>
          <w:tcPr>
            <w:tcW w:w="667" w:type="pct"/>
            <w:tcBorders>
              <w:top w:val="nil"/>
              <w:left w:val="nil"/>
              <w:bottom w:val="single" w:sz="4" w:space="0" w:color="auto"/>
              <w:right w:val="nil"/>
            </w:tcBorders>
            <w:shd w:val="clear" w:color="auto" w:fill="auto"/>
            <w:noWrap/>
            <w:vAlign w:val="center"/>
            <w:hideMark/>
          </w:tcPr>
          <w:p w14:paraId="1621E267" w14:textId="77777777" w:rsidR="00CB3C45" w:rsidRPr="004A5951" w:rsidRDefault="00CB3C45" w:rsidP="00842F2E">
            <w:pPr>
              <w:spacing w:after="0" w:line="240" w:lineRule="auto"/>
              <w:jc w:val="right"/>
              <w:rPr>
                <w:rFonts w:eastAsia="Times New Roman" w:cs="Times New Roman"/>
                <w:i/>
                <w:sz w:val="18"/>
                <w:szCs w:val="18"/>
                <w:lang w:eastAsia="sk-SK"/>
              </w:rPr>
            </w:pPr>
            <w:r w:rsidRPr="004A5951">
              <w:rPr>
                <w:rFonts w:eastAsia="Times New Roman" w:cs="Times New Roman"/>
                <w:i/>
                <w:sz w:val="18"/>
                <w:szCs w:val="18"/>
                <w:lang w:eastAsia="sk-SK"/>
              </w:rPr>
              <w:t>0</w:t>
            </w:r>
          </w:p>
        </w:tc>
        <w:tc>
          <w:tcPr>
            <w:tcW w:w="666" w:type="pct"/>
            <w:tcBorders>
              <w:top w:val="nil"/>
              <w:left w:val="nil"/>
              <w:bottom w:val="single" w:sz="4" w:space="0" w:color="auto"/>
              <w:right w:val="nil"/>
            </w:tcBorders>
            <w:shd w:val="clear" w:color="auto" w:fill="BFBFBF" w:themeFill="background1" w:themeFillShade="BF"/>
            <w:noWrap/>
            <w:vAlign w:val="center"/>
            <w:hideMark/>
          </w:tcPr>
          <w:p w14:paraId="2CF74CDB" w14:textId="77777777" w:rsidR="00CB3C45" w:rsidRPr="004A5951" w:rsidRDefault="00CB3C45" w:rsidP="00842F2E">
            <w:pPr>
              <w:spacing w:after="0" w:line="240" w:lineRule="auto"/>
              <w:jc w:val="right"/>
              <w:rPr>
                <w:rFonts w:eastAsia="Times New Roman" w:cs="Times New Roman"/>
                <w:i/>
                <w:sz w:val="18"/>
                <w:szCs w:val="18"/>
                <w:lang w:eastAsia="sk-SK"/>
              </w:rPr>
            </w:pPr>
            <w:r w:rsidRPr="004A5951">
              <w:rPr>
                <w:rFonts w:eastAsia="Times New Roman" w:cs="Times New Roman"/>
                <w:i/>
                <w:sz w:val="18"/>
                <w:szCs w:val="18"/>
                <w:lang w:eastAsia="sk-SK"/>
              </w:rPr>
              <w:t>173 000</w:t>
            </w:r>
          </w:p>
        </w:tc>
        <w:tc>
          <w:tcPr>
            <w:tcW w:w="666" w:type="pct"/>
            <w:tcBorders>
              <w:top w:val="nil"/>
              <w:left w:val="nil"/>
              <w:bottom w:val="single" w:sz="4" w:space="0" w:color="auto"/>
              <w:right w:val="nil"/>
            </w:tcBorders>
            <w:shd w:val="clear" w:color="auto" w:fill="auto"/>
            <w:noWrap/>
            <w:vAlign w:val="center"/>
            <w:hideMark/>
          </w:tcPr>
          <w:p w14:paraId="264C3352" w14:textId="77777777" w:rsidR="00CB3C45" w:rsidRPr="004A5951" w:rsidRDefault="00CB3C45" w:rsidP="00842F2E">
            <w:pPr>
              <w:spacing w:after="0" w:line="240" w:lineRule="auto"/>
              <w:jc w:val="right"/>
              <w:rPr>
                <w:rFonts w:eastAsia="Times New Roman" w:cs="Times New Roman"/>
                <w:i/>
                <w:sz w:val="18"/>
                <w:szCs w:val="18"/>
                <w:lang w:eastAsia="sk-SK"/>
              </w:rPr>
            </w:pPr>
            <w:r w:rsidRPr="004A5951">
              <w:rPr>
                <w:rFonts w:eastAsia="Times New Roman" w:cs="Times New Roman"/>
                <w:i/>
                <w:sz w:val="18"/>
                <w:szCs w:val="18"/>
                <w:lang w:eastAsia="sk-SK"/>
              </w:rPr>
              <w:t>173 000</w:t>
            </w:r>
          </w:p>
        </w:tc>
      </w:tr>
      <w:tr w:rsidR="00CB3C45" w:rsidRPr="004A5951" w14:paraId="7CD17B74" w14:textId="77777777" w:rsidTr="00842F2E">
        <w:trPr>
          <w:trHeight w:val="300"/>
        </w:trPr>
        <w:tc>
          <w:tcPr>
            <w:tcW w:w="2334" w:type="pct"/>
            <w:tcBorders>
              <w:top w:val="single" w:sz="4" w:space="0" w:color="auto"/>
              <w:left w:val="nil"/>
              <w:bottom w:val="single" w:sz="4" w:space="0" w:color="auto"/>
              <w:right w:val="nil"/>
            </w:tcBorders>
            <w:shd w:val="clear" w:color="auto" w:fill="auto"/>
            <w:noWrap/>
            <w:vAlign w:val="center"/>
            <w:hideMark/>
          </w:tcPr>
          <w:p w14:paraId="09D20F44" w14:textId="77777777" w:rsidR="00CB3C45" w:rsidRPr="004A5951" w:rsidRDefault="00CB3C45" w:rsidP="00842F2E">
            <w:pPr>
              <w:keepNext/>
              <w:spacing w:after="0" w:line="240" w:lineRule="auto"/>
              <w:jc w:val="left"/>
              <w:rPr>
                <w:rFonts w:eastAsia="Times New Roman" w:cs="Times New Roman"/>
                <w:b/>
                <w:bCs/>
                <w:sz w:val="18"/>
                <w:szCs w:val="18"/>
                <w:lang w:eastAsia="sk-SK"/>
              </w:rPr>
            </w:pPr>
            <w:r w:rsidRPr="004A5951">
              <w:rPr>
                <w:rFonts w:eastAsia="Times New Roman" w:cs="Times New Roman"/>
                <w:b/>
                <w:bCs/>
                <w:sz w:val="18"/>
                <w:szCs w:val="18"/>
                <w:lang w:eastAsia="sk-SK"/>
              </w:rPr>
              <w:t>Spolu dlh</w:t>
            </w:r>
          </w:p>
        </w:tc>
        <w:tc>
          <w:tcPr>
            <w:tcW w:w="667" w:type="pct"/>
            <w:tcBorders>
              <w:top w:val="single" w:sz="4" w:space="0" w:color="auto"/>
              <w:left w:val="nil"/>
              <w:bottom w:val="single" w:sz="4" w:space="0" w:color="auto"/>
              <w:right w:val="nil"/>
            </w:tcBorders>
            <w:shd w:val="clear" w:color="auto" w:fill="auto"/>
            <w:noWrap/>
            <w:vAlign w:val="center"/>
            <w:hideMark/>
          </w:tcPr>
          <w:p w14:paraId="5AA05A40" w14:textId="77777777" w:rsidR="00CB3C45" w:rsidRPr="004A5951" w:rsidRDefault="00CB3C45" w:rsidP="00842F2E">
            <w:pPr>
              <w:keepNext/>
              <w:spacing w:after="0" w:line="240" w:lineRule="auto"/>
              <w:jc w:val="right"/>
              <w:rPr>
                <w:rFonts w:eastAsia="Times New Roman" w:cs="Times New Roman"/>
                <w:b/>
                <w:bCs/>
                <w:sz w:val="18"/>
                <w:szCs w:val="18"/>
                <w:lang w:eastAsia="sk-SK"/>
              </w:rPr>
            </w:pPr>
            <w:r w:rsidRPr="004A5951">
              <w:rPr>
                <w:rFonts w:eastAsia="Times New Roman" w:cs="Times New Roman"/>
                <w:b/>
                <w:bCs/>
                <w:sz w:val="18"/>
                <w:szCs w:val="18"/>
                <w:lang w:eastAsia="sk-SK"/>
              </w:rPr>
              <w:t>42 619 545</w:t>
            </w:r>
          </w:p>
        </w:tc>
        <w:tc>
          <w:tcPr>
            <w:tcW w:w="667" w:type="pct"/>
            <w:tcBorders>
              <w:top w:val="single" w:sz="4" w:space="0" w:color="auto"/>
              <w:left w:val="nil"/>
              <w:bottom w:val="single" w:sz="4" w:space="0" w:color="auto"/>
              <w:right w:val="nil"/>
            </w:tcBorders>
            <w:shd w:val="clear" w:color="auto" w:fill="auto"/>
            <w:noWrap/>
            <w:vAlign w:val="center"/>
            <w:hideMark/>
          </w:tcPr>
          <w:p w14:paraId="54B32C14" w14:textId="77777777" w:rsidR="00CB3C45" w:rsidRPr="004A5951" w:rsidRDefault="00CB3C45" w:rsidP="00842F2E">
            <w:pPr>
              <w:keepNext/>
              <w:spacing w:after="0" w:line="240" w:lineRule="auto"/>
              <w:jc w:val="right"/>
              <w:rPr>
                <w:rFonts w:eastAsia="Times New Roman" w:cs="Times New Roman"/>
                <w:b/>
                <w:bCs/>
                <w:sz w:val="18"/>
                <w:szCs w:val="18"/>
                <w:lang w:eastAsia="sk-SK"/>
              </w:rPr>
            </w:pPr>
            <w:r w:rsidRPr="004A5951">
              <w:rPr>
                <w:rFonts w:eastAsia="Times New Roman" w:cs="Times New Roman"/>
                <w:b/>
                <w:bCs/>
                <w:sz w:val="18"/>
                <w:szCs w:val="18"/>
                <w:lang w:eastAsia="sk-SK"/>
              </w:rPr>
              <w:t>43 256 363</w:t>
            </w:r>
          </w:p>
        </w:tc>
        <w:tc>
          <w:tcPr>
            <w:tcW w:w="666" w:type="pct"/>
            <w:tcBorders>
              <w:top w:val="single" w:sz="4" w:space="0" w:color="auto"/>
              <w:left w:val="nil"/>
              <w:bottom w:val="single" w:sz="4" w:space="0" w:color="auto"/>
              <w:right w:val="nil"/>
            </w:tcBorders>
            <w:shd w:val="clear" w:color="auto" w:fill="BFBFBF" w:themeFill="background1" w:themeFillShade="BF"/>
            <w:noWrap/>
            <w:vAlign w:val="center"/>
            <w:hideMark/>
          </w:tcPr>
          <w:p w14:paraId="78AEEB81" w14:textId="77777777" w:rsidR="00CB3C45" w:rsidRPr="004A5951" w:rsidRDefault="00CB3C45" w:rsidP="00842F2E">
            <w:pPr>
              <w:keepNext/>
              <w:spacing w:after="0" w:line="240" w:lineRule="auto"/>
              <w:jc w:val="right"/>
              <w:rPr>
                <w:rFonts w:eastAsia="Times New Roman" w:cs="Times New Roman"/>
                <w:b/>
                <w:bCs/>
                <w:sz w:val="18"/>
                <w:szCs w:val="18"/>
                <w:lang w:eastAsia="sk-SK"/>
              </w:rPr>
            </w:pPr>
            <w:r w:rsidRPr="004A5951">
              <w:rPr>
                <w:rFonts w:eastAsia="Times New Roman" w:cs="Times New Roman"/>
                <w:b/>
                <w:bCs/>
                <w:sz w:val="18"/>
                <w:szCs w:val="18"/>
                <w:lang w:eastAsia="sk-SK"/>
              </w:rPr>
              <w:t>53 046 072</w:t>
            </w:r>
          </w:p>
        </w:tc>
        <w:tc>
          <w:tcPr>
            <w:tcW w:w="666" w:type="pct"/>
            <w:tcBorders>
              <w:top w:val="single" w:sz="4" w:space="0" w:color="auto"/>
              <w:left w:val="nil"/>
              <w:bottom w:val="single" w:sz="4" w:space="0" w:color="auto"/>
              <w:right w:val="nil"/>
            </w:tcBorders>
            <w:shd w:val="clear" w:color="auto" w:fill="auto"/>
            <w:noWrap/>
            <w:vAlign w:val="center"/>
            <w:hideMark/>
          </w:tcPr>
          <w:p w14:paraId="698DB7CF" w14:textId="77777777" w:rsidR="00CB3C45" w:rsidRPr="004A5951" w:rsidRDefault="00CB3C45" w:rsidP="00842F2E">
            <w:pPr>
              <w:keepNext/>
              <w:spacing w:after="0" w:line="240" w:lineRule="auto"/>
              <w:jc w:val="right"/>
              <w:rPr>
                <w:rFonts w:eastAsia="Times New Roman" w:cs="Times New Roman"/>
                <w:b/>
                <w:bCs/>
                <w:sz w:val="18"/>
                <w:szCs w:val="18"/>
                <w:lang w:eastAsia="sk-SK"/>
              </w:rPr>
            </w:pPr>
            <w:r w:rsidRPr="004A5951">
              <w:rPr>
                <w:rFonts w:eastAsia="Times New Roman" w:cs="Times New Roman"/>
                <w:b/>
                <w:bCs/>
                <w:sz w:val="18"/>
                <w:szCs w:val="18"/>
                <w:lang w:eastAsia="sk-SK"/>
              </w:rPr>
              <w:t>9 789 709</w:t>
            </w:r>
          </w:p>
        </w:tc>
      </w:tr>
    </w:tbl>
    <w:p w14:paraId="0B7A09A1" w14:textId="77777777" w:rsidR="00CB3C45" w:rsidRPr="003B799A" w:rsidRDefault="00CB3C45" w:rsidP="00CB3C45">
      <w:pPr>
        <w:keepNext/>
        <w:ind w:left="6372"/>
        <w:jc w:val="right"/>
        <w:rPr>
          <w:sz w:val="16"/>
          <w:szCs w:val="16"/>
        </w:rPr>
      </w:pPr>
      <w:r w:rsidRPr="003B799A">
        <w:rPr>
          <w:sz w:val="16"/>
          <w:szCs w:val="16"/>
        </w:rPr>
        <w:t>Zdroj: MF SR, ARDAL</w:t>
      </w:r>
    </w:p>
    <w:p w14:paraId="63D01BF6" w14:textId="09820CB1" w:rsidR="00CB3C45" w:rsidRPr="004A5951" w:rsidRDefault="00CB3C45" w:rsidP="004A5951">
      <w:pPr>
        <w:spacing w:line="240" w:lineRule="auto"/>
        <w:rPr>
          <w:sz w:val="24"/>
          <w:szCs w:val="24"/>
        </w:rPr>
      </w:pPr>
      <w:r w:rsidRPr="004A5951">
        <w:rPr>
          <w:sz w:val="24"/>
          <w:szCs w:val="24"/>
        </w:rPr>
        <w:t>V priebehu roka 2020 si mimoriadna situácia v súvislosti s pandémiou COVID-19 vynútila emisiu štátnych dlhopisov v menovitej hodnote 9 995 700 tis. eur a štátnych pokladničných poukážok v menovitej hodnote 3 200 000 tis. eur. Zároveň boli splatené štátne dlhopisy vydané v prechádzajúcich rokoch v hodnote 2 863 611 tis. eur a štátne pokladničné poukážky v hodnote 1 820 000 tis. eur.</w:t>
      </w:r>
    </w:p>
    <w:p w14:paraId="41CD883B" w14:textId="77777777" w:rsidR="00CB3C45" w:rsidRPr="004A5951" w:rsidRDefault="00CB3C45" w:rsidP="004A5951">
      <w:pPr>
        <w:spacing w:line="240" w:lineRule="auto"/>
        <w:rPr>
          <w:sz w:val="24"/>
          <w:szCs w:val="24"/>
        </w:rPr>
      </w:pPr>
      <w:r w:rsidRPr="004A5951">
        <w:rPr>
          <w:sz w:val="24"/>
          <w:szCs w:val="24"/>
        </w:rPr>
        <w:t xml:space="preserve">Ministerstvo financií SR v mene Slovenskej republiky prijíma úvery od medzinárodných finančných inštitúcií, a to na podporu národných projektov v oblasti budovania cestnej infraštruktúry, životného prostredia, poľnohospodárstva, informatizácie a podobne. Z prostriedkov sa spolufinancujú aj spoločné projekty SR a EÚ financované európskymi štrukturálnymi fondmi a Kohéznym fondom. Z hodnoty týchto úverov tvoria úvery od Európskej investičnej banky 2 335 719 tis. eur a úvery od Rozvojovej banky Rady Európy 930 000 tis. eur. V priebehu roka 2020 boli z ďalších úverových </w:t>
      </w:r>
      <w:proofErr w:type="spellStart"/>
      <w:r w:rsidRPr="004A5951">
        <w:rPr>
          <w:sz w:val="24"/>
          <w:szCs w:val="24"/>
        </w:rPr>
        <w:t>tranží</w:t>
      </w:r>
      <w:proofErr w:type="spellEnd"/>
      <w:r w:rsidRPr="004A5951">
        <w:rPr>
          <w:sz w:val="24"/>
          <w:szCs w:val="24"/>
        </w:rPr>
        <w:t xml:space="preserve"> prijaté prostriedky vo výške 827 970 tis. eur, vrátane úveru COVID od Rozvojovej banky Rady Európy vo výške 200 000 tis. eur. Od Európskej únie sa do štátneho dlhu načerpala aj prvá </w:t>
      </w:r>
      <w:proofErr w:type="spellStart"/>
      <w:r w:rsidRPr="004A5951">
        <w:rPr>
          <w:sz w:val="24"/>
          <w:szCs w:val="24"/>
        </w:rPr>
        <w:t>tranža</w:t>
      </w:r>
      <w:proofErr w:type="spellEnd"/>
      <w:r w:rsidRPr="004A5951">
        <w:rPr>
          <w:sz w:val="24"/>
          <w:szCs w:val="24"/>
        </w:rPr>
        <w:t xml:space="preserve"> úveru SURE vo výške 300 000 tis. eur.</w:t>
      </w:r>
    </w:p>
    <w:p w14:paraId="04F00D70" w14:textId="77777777" w:rsidR="00CB3C45" w:rsidRPr="004A5951" w:rsidRDefault="00CB3C45" w:rsidP="004A5951">
      <w:pPr>
        <w:spacing w:line="240" w:lineRule="auto"/>
        <w:rPr>
          <w:sz w:val="24"/>
          <w:szCs w:val="24"/>
        </w:rPr>
      </w:pPr>
      <w:r w:rsidRPr="004A5951">
        <w:rPr>
          <w:sz w:val="24"/>
          <w:szCs w:val="24"/>
        </w:rPr>
        <w:t xml:space="preserve">Hodnota zábezpek sa medziročne znížila o 58 423 tis. eur. Z tejto sumy tvorí pokles úrovne pasívneho </w:t>
      </w:r>
      <w:proofErr w:type="spellStart"/>
      <w:r w:rsidRPr="004A5951">
        <w:rPr>
          <w:sz w:val="24"/>
          <w:szCs w:val="24"/>
        </w:rPr>
        <w:t>kolaterálu</w:t>
      </w:r>
      <w:proofErr w:type="spellEnd"/>
      <w:r w:rsidRPr="004A5951">
        <w:rPr>
          <w:sz w:val="24"/>
          <w:szCs w:val="24"/>
        </w:rPr>
        <w:t xml:space="preserve"> z derivátových operácií 42 030 tis. eur. Zníženie úrovne zábezpek jednotlivých štátnych rozpočtových organizácií tvorí 16 393 tis. eur. (oproti roku 2019 najviac klesla výška zábezpek u Ministerstva financií SR až o 12 543 tis. eur).</w:t>
      </w:r>
    </w:p>
    <w:p w14:paraId="0840388A" w14:textId="57565A91" w:rsidR="00CB3C45" w:rsidRPr="004A5951" w:rsidRDefault="00CB3C45" w:rsidP="004A5951">
      <w:pPr>
        <w:spacing w:line="240" w:lineRule="auto"/>
        <w:rPr>
          <w:sz w:val="24"/>
          <w:szCs w:val="24"/>
        </w:rPr>
      </w:pPr>
      <w:r w:rsidRPr="004A5951">
        <w:rPr>
          <w:b/>
          <w:sz w:val="24"/>
          <w:szCs w:val="24"/>
        </w:rPr>
        <w:t>Z hľadiska pôvodnej splatnosti</w:t>
      </w:r>
      <w:r w:rsidRPr="004A5951">
        <w:rPr>
          <w:sz w:val="24"/>
          <w:szCs w:val="24"/>
        </w:rPr>
        <w:t xml:space="preserve"> je štátny dlh z 96,8 % dlhodobý (51 285 428 tis. eur). Krátkodobý štátny dlh, ktorý predstavuje len 3,2 % je tvorený najmä štátnymi pokladničnými poukážkami v menovitej hodnote 1 380 000 tis. eur, zábezpekami vo výške 177 586 tis. eur (z toho 66 310 tis. eur tvorí pasívny </w:t>
      </w:r>
      <w:proofErr w:type="spellStart"/>
      <w:r w:rsidRPr="004A5951">
        <w:rPr>
          <w:sz w:val="24"/>
          <w:szCs w:val="24"/>
        </w:rPr>
        <w:t>kolaterál</w:t>
      </w:r>
      <w:proofErr w:type="spellEnd"/>
      <w:r w:rsidRPr="004A5951">
        <w:rPr>
          <w:sz w:val="24"/>
          <w:szCs w:val="24"/>
        </w:rPr>
        <w:t xml:space="preserve"> z derivátových operácií uskutočnených na zabezpečenie dlhu v cudzej mene proti kurzovému riziku) a záväzkami z vkladov tých klientov Štátnej pokladnice, ktorí nie sú zaradení v sektore verejnej správy, v hodnote 203</w:t>
      </w:r>
      <w:r w:rsidR="00C148B1">
        <w:rPr>
          <w:sz w:val="24"/>
          <w:szCs w:val="24"/>
        </w:rPr>
        <w:t> </w:t>
      </w:r>
      <w:r w:rsidRPr="004A5951">
        <w:rPr>
          <w:sz w:val="24"/>
          <w:szCs w:val="24"/>
        </w:rPr>
        <w:t>187 tis. eur. Podrobnú štruktúru štátneho dlhu podľa pôvodnej splatnosti poskytuje nasledujúci prehľad.</w:t>
      </w:r>
    </w:p>
    <w:tbl>
      <w:tblPr>
        <w:tblW w:w="5000" w:type="pct"/>
        <w:tblCellMar>
          <w:left w:w="70" w:type="dxa"/>
          <w:right w:w="70" w:type="dxa"/>
        </w:tblCellMar>
        <w:tblLook w:val="04A0" w:firstRow="1" w:lastRow="0" w:firstColumn="1" w:lastColumn="0" w:noHBand="0" w:noVBand="1"/>
      </w:tblPr>
      <w:tblGrid>
        <w:gridCol w:w="2871"/>
        <w:gridCol w:w="1587"/>
        <w:gridCol w:w="1603"/>
        <w:gridCol w:w="1568"/>
        <w:gridCol w:w="1585"/>
      </w:tblGrid>
      <w:tr w:rsidR="00CB3C45" w:rsidRPr="004A5951" w14:paraId="06FF2E8C" w14:textId="77777777" w:rsidTr="00842F2E">
        <w:trPr>
          <w:trHeight w:val="300"/>
          <w:tblHeader/>
        </w:trPr>
        <w:tc>
          <w:tcPr>
            <w:tcW w:w="4140" w:type="pct"/>
            <w:gridSpan w:val="4"/>
            <w:tcBorders>
              <w:top w:val="single" w:sz="4" w:space="0" w:color="auto"/>
              <w:left w:val="nil"/>
              <w:bottom w:val="single" w:sz="4" w:space="0" w:color="auto"/>
              <w:right w:val="nil"/>
            </w:tcBorders>
            <w:shd w:val="clear" w:color="000000" w:fill="000000"/>
            <w:noWrap/>
            <w:vAlign w:val="center"/>
            <w:hideMark/>
          </w:tcPr>
          <w:p w14:paraId="22C5B81D" w14:textId="77777777" w:rsidR="00CB3C45" w:rsidRPr="004A5951" w:rsidRDefault="00CB3C45" w:rsidP="00842F2E">
            <w:pPr>
              <w:spacing w:after="0" w:line="240" w:lineRule="auto"/>
              <w:jc w:val="left"/>
              <w:rPr>
                <w:rFonts w:eastAsia="Times New Roman" w:cs="Times New Roman"/>
                <w:b/>
                <w:bCs/>
                <w:color w:val="FFFFFF"/>
                <w:sz w:val="18"/>
                <w:szCs w:val="18"/>
                <w:lang w:eastAsia="sk-SK"/>
              </w:rPr>
            </w:pPr>
            <w:r w:rsidRPr="004A5951">
              <w:rPr>
                <w:rFonts w:eastAsia="Times New Roman" w:cs="Times New Roman"/>
                <w:b/>
                <w:bCs/>
                <w:color w:val="FFFFFF"/>
                <w:sz w:val="18"/>
                <w:szCs w:val="18"/>
                <w:lang w:eastAsia="sk-SK"/>
              </w:rPr>
              <w:t>Štátny dlh podľa pôvodnej splatnosti</w:t>
            </w:r>
          </w:p>
        </w:tc>
        <w:tc>
          <w:tcPr>
            <w:tcW w:w="860" w:type="pct"/>
            <w:tcBorders>
              <w:top w:val="single" w:sz="4" w:space="0" w:color="auto"/>
              <w:left w:val="nil"/>
              <w:bottom w:val="single" w:sz="4" w:space="0" w:color="auto"/>
              <w:right w:val="nil"/>
            </w:tcBorders>
            <w:shd w:val="clear" w:color="000000" w:fill="000000"/>
            <w:noWrap/>
            <w:vAlign w:val="center"/>
            <w:hideMark/>
          </w:tcPr>
          <w:p w14:paraId="1634E9EF" w14:textId="26DD5BCC" w:rsidR="00CB3C45" w:rsidRPr="004A5951" w:rsidRDefault="005C4AEB" w:rsidP="005C4AEB">
            <w:pPr>
              <w:spacing w:after="0" w:line="240" w:lineRule="auto"/>
              <w:jc w:val="center"/>
              <w:rPr>
                <w:rFonts w:eastAsia="Times New Roman" w:cs="Times New Roman"/>
                <w:b/>
                <w:bCs/>
                <w:color w:val="FFFFFF"/>
                <w:sz w:val="18"/>
                <w:szCs w:val="18"/>
                <w:lang w:eastAsia="sk-SK"/>
              </w:rPr>
            </w:pPr>
            <w:r>
              <w:rPr>
                <w:rFonts w:eastAsia="Times New Roman" w:cs="Times New Roman"/>
                <w:b/>
                <w:bCs/>
                <w:color w:val="FFFFFF"/>
                <w:sz w:val="18"/>
                <w:szCs w:val="18"/>
                <w:lang w:eastAsia="sk-SK"/>
              </w:rPr>
              <w:t xml:space="preserve">  </w:t>
            </w:r>
            <w:r w:rsidR="00C148B1">
              <w:rPr>
                <w:rFonts w:eastAsia="Times New Roman" w:cs="Times New Roman"/>
                <w:b/>
                <w:bCs/>
                <w:color w:val="FFFFFF"/>
                <w:sz w:val="18"/>
                <w:szCs w:val="18"/>
                <w:lang w:eastAsia="sk-SK"/>
              </w:rPr>
              <w:t xml:space="preserve">                       </w:t>
            </w:r>
            <w:r w:rsidR="00CB3C45" w:rsidRPr="004A5951">
              <w:rPr>
                <w:rFonts w:eastAsia="Times New Roman" w:cs="Times New Roman"/>
                <w:b/>
                <w:bCs/>
                <w:color w:val="FFFFFF"/>
                <w:sz w:val="18"/>
                <w:szCs w:val="18"/>
                <w:lang w:eastAsia="sk-SK"/>
              </w:rPr>
              <w:t>v %</w:t>
            </w:r>
          </w:p>
        </w:tc>
      </w:tr>
      <w:tr w:rsidR="00CB3C45" w:rsidRPr="004A5951" w14:paraId="24FA2B94" w14:textId="77777777" w:rsidTr="00842F2E">
        <w:trPr>
          <w:trHeight w:val="300"/>
          <w:tblHeader/>
        </w:trPr>
        <w:tc>
          <w:tcPr>
            <w:tcW w:w="1558" w:type="pct"/>
            <w:tcBorders>
              <w:top w:val="single" w:sz="4" w:space="0" w:color="auto"/>
              <w:left w:val="nil"/>
              <w:bottom w:val="nil"/>
              <w:right w:val="nil"/>
            </w:tcBorders>
            <w:shd w:val="clear" w:color="000000" w:fill="BFBFBF"/>
            <w:vAlign w:val="center"/>
            <w:hideMark/>
          </w:tcPr>
          <w:p w14:paraId="06A97798" w14:textId="77777777" w:rsidR="00CB3C45" w:rsidRPr="004A5951" w:rsidRDefault="00CB3C45" w:rsidP="00842F2E">
            <w:pPr>
              <w:spacing w:after="0" w:line="240" w:lineRule="auto"/>
              <w:rPr>
                <w:rFonts w:eastAsia="Times New Roman" w:cs="Times New Roman"/>
                <w:b/>
                <w:bCs/>
                <w:sz w:val="18"/>
                <w:szCs w:val="18"/>
                <w:lang w:eastAsia="sk-SK"/>
              </w:rPr>
            </w:pPr>
            <w:r w:rsidRPr="004A5951">
              <w:rPr>
                <w:rFonts w:eastAsia="Times New Roman" w:cs="Times New Roman"/>
                <w:b/>
                <w:bCs/>
                <w:sz w:val="18"/>
                <w:szCs w:val="18"/>
                <w:lang w:eastAsia="sk-SK"/>
              </w:rPr>
              <w:t> </w:t>
            </w:r>
          </w:p>
        </w:tc>
        <w:tc>
          <w:tcPr>
            <w:tcW w:w="861" w:type="pct"/>
            <w:vMerge w:val="restart"/>
            <w:tcBorders>
              <w:top w:val="single" w:sz="4" w:space="0" w:color="auto"/>
              <w:left w:val="nil"/>
              <w:bottom w:val="single" w:sz="4" w:space="0" w:color="000000"/>
              <w:right w:val="nil"/>
            </w:tcBorders>
            <w:shd w:val="clear" w:color="000000" w:fill="BFBFBF"/>
            <w:vAlign w:val="center"/>
            <w:hideMark/>
          </w:tcPr>
          <w:p w14:paraId="2E5DC7AE" w14:textId="77777777" w:rsidR="00CB3C45" w:rsidRPr="004A5951" w:rsidRDefault="00CB3C45" w:rsidP="00842F2E">
            <w:pPr>
              <w:spacing w:after="0" w:line="240" w:lineRule="auto"/>
              <w:jc w:val="center"/>
              <w:rPr>
                <w:rFonts w:eastAsia="Times New Roman" w:cs="Times New Roman"/>
                <w:b/>
                <w:bCs/>
                <w:sz w:val="18"/>
                <w:szCs w:val="18"/>
                <w:lang w:eastAsia="sk-SK"/>
              </w:rPr>
            </w:pPr>
            <w:r w:rsidRPr="004A5951">
              <w:rPr>
                <w:rFonts w:eastAsia="Times New Roman" w:cs="Times New Roman"/>
                <w:b/>
                <w:bCs/>
                <w:sz w:val="18"/>
                <w:szCs w:val="18"/>
                <w:lang w:eastAsia="sk-SK"/>
              </w:rPr>
              <w:t>Štátne dlhopisy a ŠPP</w:t>
            </w:r>
          </w:p>
        </w:tc>
        <w:tc>
          <w:tcPr>
            <w:tcW w:w="870" w:type="pct"/>
            <w:vMerge w:val="restart"/>
            <w:tcBorders>
              <w:top w:val="single" w:sz="4" w:space="0" w:color="auto"/>
              <w:left w:val="nil"/>
              <w:bottom w:val="single" w:sz="4" w:space="0" w:color="000000"/>
              <w:right w:val="nil"/>
            </w:tcBorders>
            <w:shd w:val="clear" w:color="000000" w:fill="BFBFBF"/>
            <w:vAlign w:val="center"/>
            <w:hideMark/>
          </w:tcPr>
          <w:p w14:paraId="5EC2204C" w14:textId="77777777" w:rsidR="00CB3C45" w:rsidRPr="004A5951" w:rsidRDefault="00CB3C45" w:rsidP="00842F2E">
            <w:pPr>
              <w:spacing w:after="0" w:line="240" w:lineRule="auto"/>
              <w:jc w:val="center"/>
              <w:rPr>
                <w:rFonts w:eastAsia="Times New Roman" w:cs="Times New Roman"/>
                <w:b/>
                <w:bCs/>
                <w:sz w:val="18"/>
                <w:szCs w:val="18"/>
                <w:lang w:eastAsia="sk-SK"/>
              </w:rPr>
            </w:pPr>
            <w:r w:rsidRPr="004A5951">
              <w:rPr>
                <w:rFonts w:eastAsia="Times New Roman" w:cs="Times New Roman"/>
                <w:b/>
                <w:bCs/>
                <w:sz w:val="18"/>
                <w:szCs w:val="18"/>
                <w:lang w:eastAsia="sk-SK"/>
              </w:rPr>
              <w:t>Bankové úvery a iné pôžičky</w:t>
            </w:r>
          </w:p>
        </w:tc>
        <w:tc>
          <w:tcPr>
            <w:tcW w:w="850" w:type="pct"/>
            <w:vMerge w:val="restart"/>
            <w:tcBorders>
              <w:top w:val="single" w:sz="4" w:space="0" w:color="auto"/>
              <w:left w:val="nil"/>
              <w:bottom w:val="single" w:sz="4" w:space="0" w:color="000000"/>
              <w:right w:val="nil"/>
            </w:tcBorders>
            <w:shd w:val="clear" w:color="000000" w:fill="BFBFBF"/>
            <w:vAlign w:val="center"/>
            <w:hideMark/>
          </w:tcPr>
          <w:p w14:paraId="585DE564" w14:textId="77777777" w:rsidR="00CB3C45" w:rsidRPr="004A5951" w:rsidRDefault="00CB3C45" w:rsidP="00842F2E">
            <w:pPr>
              <w:spacing w:after="0" w:line="240" w:lineRule="auto"/>
              <w:jc w:val="center"/>
              <w:rPr>
                <w:rFonts w:eastAsia="Times New Roman" w:cs="Times New Roman"/>
                <w:b/>
                <w:bCs/>
                <w:sz w:val="18"/>
                <w:szCs w:val="18"/>
                <w:lang w:eastAsia="sk-SK"/>
              </w:rPr>
            </w:pPr>
            <w:r w:rsidRPr="004A5951">
              <w:rPr>
                <w:rFonts w:eastAsia="Times New Roman" w:cs="Times New Roman"/>
                <w:b/>
                <w:bCs/>
                <w:sz w:val="18"/>
                <w:szCs w:val="18"/>
                <w:lang w:eastAsia="sk-SK"/>
              </w:rPr>
              <w:t>Ostatné záväzky</w:t>
            </w:r>
          </w:p>
        </w:tc>
        <w:tc>
          <w:tcPr>
            <w:tcW w:w="860" w:type="pct"/>
            <w:vMerge w:val="restart"/>
            <w:tcBorders>
              <w:top w:val="single" w:sz="4" w:space="0" w:color="auto"/>
              <w:left w:val="nil"/>
              <w:bottom w:val="single" w:sz="4" w:space="0" w:color="000000"/>
              <w:right w:val="nil"/>
            </w:tcBorders>
            <w:shd w:val="clear" w:color="000000" w:fill="BFBFBF"/>
            <w:vAlign w:val="center"/>
            <w:hideMark/>
          </w:tcPr>
          <w:p w14:paraId="253608BE" w14:textId="77777777" w:rsidR="00CB3C45" w:rsidRPr="004A5951" w:rsidRDefault="00CB3C45" w:rsidP="00842F2E">
            <w:pPr>
              <w:spacing w:after="0" w:line="240" w:lineRule="auto"/>
              <w:jc w:val="center"/>
              <w:rPr>
                <w:rFonts w:eastAsia="Times New Roman" w:cs="Times New Roman"/>
                <w:b/>
                <w:bCs/>
                <w:sz w:val="18"/>
                <w:szCs w:val="18"/>
                <w:lang w:eastAsia="sk-SK"/>
              </w:rPr>
            </w:pPr>
            <w:r w:rsidRPr="004A5951">
              <w:rPr>
                <w:rFonts w:eastAsia="Times New Roman" w:cs="Times New Roman"/>
                <w:b/>
                <w:bCs/>
                <w:sz w:val="18"/>
                <w:szCs w:val="18"/>
                <w:lang w:eastAsia="sk-SK"/>
              </w:rPr>
              <w:t>Spolu</w:t>
            </w:r>
          </w:p>
        </w:tc>
      </w:tr>
      <w:tr w:rsidR="00CB3C45" w:rsidRPr="004A5951" w14:paraId="345E3852" w14:textId="77777777" w:rsidTr="00842F2E">
        <w:trPr>
          <w:trHeight w:val="300"/>
          <w:tblHeader/>
        </w:trPr>
        <w:tc>
          <w:tcPr>
            <w:tcW w:w="1558" w:type="pct"/>
            <w:tcBorders>
              <w:top w:val="nil"/>
              <w:left w:val="nil"/>
              <w:bottom w:val="single" w:sz="4" w:space="0" w:color="auto"/>
              <w:right w:val="nil"/>
            </w:tcBorders>
            <w:shd w:val="clear" w:color="000000" w:fill="BFBFBF"/>
            <w:vAlign w:val="center"/>
            <w:hideMark/>
          </w:tcPr>
          <w:p w14:paraId="2C669C57" w14:textId="77777777" w:rsidR="00CB3C45" w:rsidRPr="004A5951" w:rsidRDefault="00CB3C45" w:rsidP="00842F2E">
            <w:pPr>
              <w:spacing w:after="0" w:line="240" w:lineRule="auto"/>
              <w:rPr>
                <w:rFonts w:eastAsia="Times New Roman" w:cs="Times New Roman"/>
                <w:b/>
                <w:bCs/>
                <w:sz w:val="18"/>
                <w:szCs w:val="18"/>
                <w:lang w:eastAsia="sk-SK"/>
              </w:rPr>
            </w:pPr>
            <w:r w:rsidRPr="004A5951">
              <w:rPr>
                <w:rFonts w:eastAsia="Times New Roman" w:cs="Times New Roman"/>
                <w:b/>
                <w:bCs/>
                <w:sz w:val="18"/>
                <w:szCs w:val="18"/>
                <w:lang w:eastAsia="sk-SK"/>
              </w:rPr>
              <w:t> </w:t>
            </w:r>
          </w:p>
        </w:tc>
        <w:tc>
          <w:tcPr>
            <w:tcW w:w="861" w:type="pct"/>
            <w:vMerge/>
            <w:tcBorders>
              <w:top w:val="single" w:sz="4" w:space="0" w:color="auto"/>
              <w:left w:val="nil"/>
              <w:bottom w:val="single" w:sz="4" w:space="0" w:color="000000"/>
              <w:right w:val="nil"/>
            </w:tcBorders>
            <w:vAlign w:val="center"/>
            <w:hideMark/>
          </w:tcPr>
          <w:p w14:paraId="77888BB2" w14:textId="77777777" w:rsidR="00CB3C45" w:rsidRPr="004A5951" w:rsidRDefault="00CB3C45" w:rsidP="00842F2E">
            <w:pPr>
              <w:spacing w:after="0" w:line="240" w:lineRule="auto"/>
              <w:jc w:val="left"/>
              <w:rPr>
                <w:rFonts w:eastAsia="Times New Roman" w:cs="Times New Roman"/>
                <w:b/>
                <w:bCs/>
                <w:sz w:val="18"/>
                <w:szCs w:val="18"/>
                <w:lang w:eastAsia="sk-SK"/>
              </w:rPr>
            </w:pPr>
          </w:p>
        </w:tc>
        <w:tc>
          <w:tcPr>
            <w:tcW w:w="870" w:type="pct"/>
            <w:vMerge/>
            <w:tcBorders>
              <w:top w:val="single" w:sz="4" w:space="0" w:color="auto"/>
              <w:left w:val="nil"/>
              <w:bottom w:val="single" w:sz="4" w:space="0" w:color="000000"/>
              <w:right w:val="nil"/>
            </w:tcBorders>
            <w:vAlign w:val="center"/>
            <w:hideMark/>
          </w:tcPr>
          <w:p w14:paraId="4C64208D" w14:textId="77777777" w:rsidR="00CB3C45" w:rsidRPr="004A5951" w:rsidRDefault="00CB3C45" w:rsidP="00842F2E">
            <w:pPr>
              <w:spacing w:after="0" w:line="240" w:lineRule="auto"/>
              <w:jc w:val="left"/>
              <w:rPr>
                <w:rFonts w:eastAsia="Times New Roman" w:cs="Times New Roman"/>
                <w:b/>
                <w:bCs/>
                <w:sz w:val="18"/>
                <w:szCs w:val="18"/>
                <w:lang w:eastAsia="sk-SK"/>
              </w:rPr>
            </w:pPr>
          </w:p>
        </w:tc>
        <w:tc>
          <w:tcPr>
            <w:tcW w:w="850" w:type="pct"/>
            <w:vMerge/>
            <w:tcBorders>
              <w:top w:val="single" w:sz="4" w:space="0" w:color="auto"/>
              <w:left w:val="nil"/>
              <w:bottom w:val="single" w:sz="4" w:space="0" w:color="000000"/>
              <w:right w:val="nil"/>
            </w:tcBorders>
            <w:vAlign w:val="center"/>
            <w:hideMark/>
          </w:tcPr>
          <w:p w14:paraId="3841A8D9" w14:textId="77777777" w:rsidR="00CB3C45" w:rsidRPr="004A5951" w:rsidRDefault="00CB3C45" w:rsidP="00842F2E">
            <w:pPr>
              <w:spacing w:after="0" w:line="240" w:lineRule="auto"/>
              <w:jc w:val="left"/>
              <w:rPr>
                <w:rFonts w:eastAsia="Times New Roman" w:cs="Times New Roman"/>
                <w:b/>
                <w:bCs/>
                <w:sz w:val="18"/>
                <w:szCs w:val="18"/>
                <w:lang w:eastAsia="sk-SK"/>
              </w:rPr>
            </w:pPr>
          </w:p>
        </w:tc>
        <w:tc>
          <w:tcPr>
            <w:tcW w:w="860" w:type="pct"/>
            <w:vMerge/>
            <w:tcBorders>
              <w:top w:val="single" w:sz="4" w:space="0" w:color="auto"/>
              <w:left w:val="nil"/>
              <w:bottom w:val="single" w:sz="4" w:space="0" w:color="000000"/>
              <w:right w:val="nil"/>
            </w:tcBorders>
            <w:vAlign w:val="center"/>
            <w:hideMark/>
          </w:tcPr>
          <w:p w14:paraId="49F76EB0" w14:textId="77777777" w:rsidR="00CB3C45" w:rsidRPr="004A5951" w:rsidRDefault="00CB3C45" w:rsidP="00842F2E">
            <w:pPr>
              <w:spacing w:after="0" w:line="240" w:lineRule="auto"/>
              <w:jc w:val="left"/>
              <w:rPr>
                <w:rFonts w:eastAsia="Times New Roman" w:cs="Times New Roman"/>
                <w:b/>
                <w:bCs/>
                <w:sz w:val="18"/>
                <w:szCs w:val="18"/>
                <w:lang w:eastAsia="sk-SK"/>
              </w:rPr>
            </w:pPr>
          </w:p>
        </w:tc>
      </w:tr>
      <w:tr w:rsidR="00CB3C45" w:rsidRPr="004A5951" w14:paraId="0577F44B" w14:textId="77777777" w:rsidTr="00842F2E">
        <w:trPr>
          <w:trHeight w:val="300"/>
        </w:trPr>
        <w:tc>
          <w:tcPr>
            <w:tcW w:w="1558" w:type="pct"/>
            <w:tcBorders>
              <w:top w:val="nil"/>
              <w:left w:val="nil"/>
              <w:bottom w:val="nil"/>
              <w:right w:val="nil"/>
            </w:tcBorders>
            <w:shd w:val="clear" w:color="auto" w:fill="auto"/>
            <w:noWrap/>
            <w:vAlign w:val="bottom"/>
            <w:hideMark/>
          </w:tcPr>
          <w:p w14:paraId="1DA36839" w14:textId="77777777" w:rsidR="00CB3C45" w:rsidRPr="004A5951" w:rsidRDefault="00CB3C45" w:rsidP="00842F2E">
            <w:pPr>
              <w:spacing w:after="0" w:line="240" w:lineRule="auto"/>
              <w:jc w:val="left"/>
              <w:rPr>
                <w:rFonts w:eastAsia="Times New Roman" w:cs="Times New Roman"/>
                <w:sz w:val="18"/>
                <w:szCs w:val="18"/>
                <w:lang w:eastAsia="sk-SK"/>
              </w:rPr>
            </w:pPr>
            <w:r w:rsidRPr="004A5951">
              <w:rPr>
                <w:rFonts w:eastAsia="Times New Roman" w:cs="Times New Roman"/>
                <w:sz w:val="18"/>
                <w:szCs w:val="18"/>
                <w:lang w:eastAsia="sk-SK"/>
              </w:rPr>
              <w:t>Do 1 roka</w:t>
            </w:r>
          </w:p>
        </w:tc>
        <w:tc>
          <w:tcPr>
            <w:tcW w:w="861" w:type="pct"/>
            <w:tcBorders>
              <w:top w:val="nil"/>
              <w:left w:val="nil"/>
              <w:bottom w:val="nil"/>
              <w:right w:val="nil"/>
            </w:tcBorders>
            <w:shd w:val="clear" w:color="auto" w:fill="auto"/>
            <w:noWrap/>
            <w:vAlign w:val="bottom"/>
            <w:hideMark/>
          </w:tcPr>
          <w:p w14:paraId="20E222A8"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3,0</w:t>
            </w:r>
          </w:p>
        </w:tc>
        <w:tc>
          <w:tcPr>
            <w:tcW w:w="870" w:type="pct"/>
            <w:tcBorders>
              <w:top w:val="nil"/>
              <w:left w:val="nil"/>
              <w:bottom w:val="nil"/>
              <w:right w:val="nil"/>
            </w:tcBorders>
            <w:shd w:val="clear" w:color="auto" w:fill="auto"/>
            <w:noWrap/>
            <w:vAlign w:val="bottom"/>
            <w:hideMark/>
          </w:tcPr>
          <w:p w14:paraId="1E58599B"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0,0</w:t>
            </w:r>
          </w:p>
        </w:tc>
        <w:tc>
          <w:tcPr>
            <w:tcW w:w="850" w:type="pct"/>
            <w:tcBorders>
              <w:top w:val="nil"/>
              <w:left w:val="nil"/>
              <w:bottom w:val="nil"/>
              <w:right w:val="nil"/>
            </w:tcBorders>
            <w:shd w:val="clear" w:color="auto" w:fill="auto"/>
            <w:noWrap/>
            <w:vAlign w:val="bottom"/>
            <w:hideMark/>
          </w:tcPr>
          <w:p w14:paraId="3E72493B"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50,1</w:t>
            </w:r>
          </w:p>
        </w:tc>
        <w:tc>
          <w:tcPr>
            <w:tcW w:w="860" w:type="pct"/>
            <w:tcBorders>
              <w:top w:val="nil"/>
              <w:left w:val="nil"/>
              <w:bottom w:val="nil"/>
              <w:right w:val="nil"/>
            </w:tcBorders>
            <w:shd w:val="clear" w:color="000000" w:fill="BFBFBF"/>
            <w:noWrap/>
            <w:vAlign w:val="bottom"/>
            <w:hideMark/>
          </w:tcPr>
          <w:p w14:paraId="41701F92"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3,20</w:t>
            </w:r>
          </w:p>
        </w:tc>
      </w:tr>
      <w:tr w:rsidR="00CB3C45" w:rsidRPr="004A5951" w14:paraId="5A568F72" w14:textId="77777777" w:rsidTr="00842F2E">
        <w:trPr>
          <w:trHeight w:val="300"/>
        </w:trPr>
        <w:tc>
          <w:tcPr>
            <w:tcW w:w="1558" w:type="pct"/>
            <w:tcBorders>
              <w:top w:val="nil"/>
              <w:left w:val="nil"/>
              <w:bottom w:val="nil"/>
              <w:right w:val="nil"/>
            </w:tcBorders>
            <w:shd w:val="clear" w:color="auto" w:fill="auto"/>
            <w:noWrap/>
            <w:vAlign w:val="bottom"/>
            <w:hideMark/>
          </w:tcPr>
          <w:p w14:paraId="65E382F6" w14:textId="77777777" w:rsidR="00CB3C45" w:rsidRPr="004A5951" w:rsidRDefault="00CB3C45" w:rsidP="00842F2E">
            <w:pPr>
              <w:spacing w:after="0" w:line="240" w:lineRule="auto"/>
              <w:jc w:val="left"/>
              <w:rPr>
                <w:rFonts w:eastAsia="Times New Roman" w:cs="Times New Roman"/>
                <w:sz w:val="18"/>
                <w:szCs w:val="18"/>
                <w:lang w:eastAsia="sk-SK"/>
              </w:rPr>
            </w:pPr>
            <w:r w:rsidRPr="004A5951">
              <w:rPr>
                <w:rFonts w:eastAsia="Times New Roman" w:cs="Times New Roman"/>
                <w:sz w:val="18"/>
                <w:szCs w:val="18"/>
                <w:lang w:eastAsia="sk-SK"/>
              </w:rPr>
              <w:t>Do 5 rokov</w:t>
            </w:r>
          </w:p>
        </w:tc>
        <w:tc>
          <w:tcPr>
            <w:tcW w:w="861" w:type="pct"/>
            <w:tcBorders>
              <w:top w:val="nil"/>
              <w:left w:val="nil"/>
              <w:bottom w:val="nil"/>
              <w:right w:val="nil"/>
            </w:tcBorders>
            <w:shd w:val="clear" w:color="auto" w:fill="auto"/>
            <w:noWrap/>
            <w:vAlign w:val="bottom"/>
            <w:hideMark/>
          </w:tcPr>
          <w:p w14:paraId="64240D87"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1,6</w:t>
            </w:r>
          </w:p>
        </w:tc>
        <w:tc>
          <w:tcPr>
            <w:tcW w:w="870" w:type="pct"/>
            <w:tcBorders>
              <w:top w:val="nil"/>
              <w:left w:val="nil"/>
              <w:bottom w:val="nil"/>
              <w:right w:val="nil"/>
            </w:tcBorders>
            <w:shd w:val="clear" w:color="auto" w:fill="auto"/>
            <w:noWrap/>
            <w:vAlign w:val="bottom"/>
            <w:hideMark/>
          </w:tcPr>
          <w:p w14:paraId="5627DF0A"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3,0</w:t>
            </w:r>
          </w:p>
        </w:tc>
        <w:tc>
          <w:tcPr>
            <w:tcW w:w="850" w:type="pct"/>
            <w:tcBorders>
              <w:top w:val="nil"/>
              <w:left w:val="nil"/>
              <w:bottom w:val="nil"/>
              <w:right w:val="nil"/>
            </w:tcBorders>
            <w:shd w:val="clear" w:color="auto" w:fill="auto"/>
            <w:noWrap/>
            <w:vAlign w:val="bottom"/>
            <w:hideMark/>
          </w:tcPr>
          <w:p w14:paraId="52A46B28"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49,9</w:t>
            </w:r>
          </w:p>
        </w:tc>
        <w:tc>
          <w:tcPr>
            <w:tcW w:w="860" w:type="pct"/>
            <w:tcBorders>
              <w:top w:val="nil"/>
              <w:left w:val="nil"/>
              <w:bottom w:val="nil"/>
              <w:right w:val="nil"/>
            </w:tcBorders>
            <w:shd w:val="clear" w:color="000000" w:fill="BFBFBF"/>
            <w:noWrap/>
            <w:vAlign w:val="bottom"/>
            <w:hideMark/>
          </w:tcPr>
          <w:p w14:paraId="08AFC649"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2,4</w:t>
            </w:r>
          </w:p>
        </w:tc>
      </w:tr>
      <w:tr w:rsidR="00CB3C45" w:rsidRPr="004A5951" w14:paraId="662CC8D3" w14:textId="77777777" w:rsidTr="00842F2E">
        <w:trPr>
          <w:trHeight w:val="300"/>
        </w:trPr>
        <w:tc>
          <w:tcPr>
            <w:tcW w:w="1558" w:type="pct"/>
            <w:tcBorders>
              <w:top w:val="nil"/>
              <w:left w:val="nil"/>
              <w:bottom w:val="nil"/>
              <w:right w:val="nil"/>
            </w:tcBorders>
            <w:shd w:val="clear" w:color="auto" w:fill="auto"/>
            <w:noWrap/>
            <w:vAlign w:val="bottom"/>
            <w:hideMark/>
          </w:tcPr>
          <w:p w14:paraId="45C9F9B5" w14:textId="77777777" w:rsidR="00CB3C45" w:rsidRPr="004A5951" w:rsidRDefault="00CB3C45" w:rsidP="00842F2E">
            <w:pPr>
              <w:spacing w:after="0" w:line="240" w:lineRule="auto"/>
              <w:jc w:val="left"/>
              <w:rPr>
                <w:rFonts w:eastAsia="Times New Roman" w:cs="Times New Roman"/>
                <w:sz w:val="18"/>
                <w:szCs w:val="18"/>
                <w:lang w:eastAsia="sk-SK"/>
              </w:rPr>
            </w:pPr>
            <w:r w:rsidRPr="004A5951">
              <w:rPr>
                <w:rFonts w:eastAsia="Times New Roman" w:cs="Times New Roman"/>
                <w:sz w:val="18"/>
                <w:szCs w:val="18"/>
                <w:lang w:eastAsia="sk-SK"/>
              </w:rPr>
              <w:t>Do 7 rokov</w:t>
            </w:r>
          </w:p>
        </w:tc>
        <w:tc>
          <w:tcPr>
            <w:tcW w:w="861" w:type="pct"/>
            <w:tcBorders>
              <w:top w:val="nil"/>
              <w:left w:val="nil"/>
              <w:bottom w:val="nil"/>
              <w:right w:val="nil"/>
            </w:tcBorders>
            <w:shd w:val="clear" w:color="auto" w:fill="auto"/>
            <w:noWrap/>
            <w:vAlign w:val="bottom"/>
            <w:hideMark/>
          </w:tcPr>
          <w:p w14:paraId="707D60CE"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4,2</w:t>
            </w:r>
          </w:p>
        </w:tc>
        <w:tc>
          <w:tcPr>
            <w:tcW w:w="870" w:type="pct"/>
            <w:tcBorders>
              <w:top w:val="nil"/>
              <w:left w:val="nil"/>
              <w:bottom w:val="nil"/>
              <w:right w:val="nil"/>
            </w:tcBorders>
            <w:shd w:val="clear" w:color="auto" w:fill="auto"/>
            <w:noWrap/>
            <w:vAlign w:val="bottom"/>
            <w:hideMark/>
          </w:tcPr>
          <w:p w14:paraId="14F7A6B1"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11,1</w:t>
            </w:r>
          </w:p>
        </w:tc>
        <w:tc>
          <w:tcPr>
            <w:tcW w:w="850" w:type="pct"/>
            <w:tcBorders>
              <w:top w:val="nil"/>
              <w:left w:val="nil"/>
              <w:bottom w:val="nil"/>
              <w:right w:val="nil"/>
            </w:tcBorders>
            <w:shd w:val="clear" w:color="auto" w:fill="auto"/>
            <w:noWrap/>
            <w:vAlign w:val="bottom"/>
            <w:hideMark/>
          </w:tcPr>
          <w:p w14:paraId="7BC27E7B"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0,0</w:t>
            </w:r>
          </w:p>
        </w:tc>
        <w:tc>
          <w:tcPr>
            <w:tcW w:w="860" w:type="pct"/>
            <w:tcBorders>
              <w:top w:val="nil"/>
              <w:left w:val="nil"/>
              <w:bottom w:val="nil"/>
              <w:right w:val="nil"/>
            </w:tcBorders>
            <w:shd w:val="clear" w:color="000000" w:fill="BFBFBF"/>
            <w:noWrap/>
            <w:vAlign w:val="bottom"/>
            <w:hideMark/>
          </w:tcPr>
          <w:p w14:paraId="6F7B3F00"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5,0</w:t>
            </w:r>
          </w:p>
        </w:tc>
      </w:tr>
      <w:tr w:rsidR="00CB3C45" w:rsidRPr="004A5951" w14:paraId="24B184DD" w14:textId="77777777" w:rsidTr="00842F2E">
        <w:trPr>
          <w:trHeight w:val="300"/>
        </w:trPr>
        <w:tc>
          <w:tcPr>
            <w:tcW w:w="1558" w:type="pct"/>
            <w:tcBorders>
              <w:top w:val="nil"/>
              <w:left w:val="nil"/>
              <w:bottom w:val="nil"/>
              <w:right w:val="nil"/>
            </w:tcBorders>
            <w:shd w:val="clear" w:color="auto" w:fill="auto"/>
            <w:noWrap/>
            <w:vAlign w:val="bottom"/>
            <w:hideMark/>
          </w:tcPr>
          <w:p w14:paraId="5F214129" w14:textId="77777777" w:rsidR="00CB3C45" w:rsidRPr="004A5951" w:rsidRDefault="00CB3C45" w:rsidP="00842F2E">
            <w:pPr>
              <w:spacing w:after="0" w:line="240" w:lineRule="auto"/>
              <w:jc w:val="left"/>
              <w:rPr>
                <w:rFonts w:eastAsia="Times New Roman" w:cs="Times New Roman"/>
                <w:sz w:val="18"/>
                <w:szCs w:val="18"/>
                <w:lang w:eastAsia="sk-SK"/>
              </w:rPr>
            </w:pPr>
            <w:r w:rsidRPr="004A5951">
              <w:rPr>
                <w:rFonts w:eastAsia="Times New Roman" w:cs="Times New Roman"/>
                <w:sz w:val="18"/>
                <w:szCs w:val="18"/>
                <w:lang w:eastAsia="sk-SK"/>
              </w:rPr>
              <w:t>Do 10 rokov</w:t>
            </w:r>
          </w:p>
        </w:tc>
        <w:tc>
          <w:tcPr>
            <w:tcW w:w="861" w:type="pct"/>
            <w:tcBorders>
              <w:top w:val="nil"/>
              <w:left w:val="nil"/>
              <w:bottom w:val="nil"/>
              <w:right w:val="nil"/>
            </w:tcBorders>
            <w:shd w:val="clear" w:color="auto" w:fill="auto"/>
            <w:noWrap/>
            <w:vAlign w:val="bottom"/>
            <w:hideMark/>
          </w:tcPr>
          <w:p w14:paraId="19CD9B10"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7,4</w:t>
            </w:r>
          </w:p>
        </w:tc>
        <w:tc>
          <w:tcPr>
            <w:tcW w:w="870" w:type="pct"/>
            <w:tcBorders>
              <w:top w:val="nil"/>
              <w:left w:val="nil"/>
              <w:bottom w:val="nil"/>
              <w:right w:val="nil"/>
            </w:tcBorders>
            <w:shd w:val="clear" w:color="auto" w:fill="auto"/>
            <w:noWrap/>
            <w:vAlign w:val="bottom"/>
            <w:hideMark/>
          </w:tcPr>
          <w:p w14:paraId="7FC26E21"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4,5</w:t>
            </w:r>
          </w:p>
        </w:tc>
        <w:tc>
          <w:tcPr>
            <w:tcW w:w="850" w:type="pct"/>
            <w:tcBorders>
              <w:top w:val="nil"/>
              <w:left w:val="nil"/>
              <w:bottom w:val="nil"/>
              <w:right w:val="nil"/>
            </w:tcBorders>
            <w:shd w:val="clear" w:color="auto" w:fill="auto"/>
            <w:noWrap/>
            <w:vAlign w:val="bottom"/>
            <w:hideMark/>
          </w:tcPr>
          <w:p w14:paraId="6107E677"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0,0</w:t>
            </w:r>
          </w:p>
        </w:tc>
        <w:tc>
          <w:tcPr>
            <w:tcW w:w="860" w:type="pct"/>
            <w:tcBorders>
              <w:top w:val="nil"/>
              <w:left w:val="nil"/>
              <w:bottom w:val="nil"/>
              <w:right w:val="nil"/>
            </w:tcBorders>
            <w:shd w:val="clear" w:color="000000" w:fill="BFBFBF"/>
            <w:noWrap/>
            <w:vAlign w:val="bottom"/>
            <w:hideMark/>
          </w:tcPr>
          <w:p w14:paraId="07215473"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7,0</w:t>
            </w:r>
          </w:p>
        </w:tc>
      </w:tr>
      <w:tr w:rsidR="00CB3C45" w:rsidRPr="004A5951" w14:paraId="179D7DE5" w14:textId="77777777" w:rsidTr="00842F2E">
        <w:trPr>
          <w:trHeight w:val="300"/>
        </w:trPr>
        <w:tc>
          <w:tcPr>
            <w:tcW w:w="1558" w:type="pct"/>
            <w:tcBorders>
              <w:top w:val="nil"/>
              <w:left w:val="nil"/>
              <w:bottom w:val="nil"/>
              <w:right w:val="nil"/>
            </w:tcBorders>
            <w:shd w:val="clear" w:color="auto" w:fill="auto"/>
            <w:noWrap/>
            <w:vAlign w:val="bottom"/>
            <w:hideMark/>
          </w:tcPr>
          <w:p w14:paraId="4942D7E5" w14:textId="77777777" w:rsidR="00CB3C45" w:rsidRPr="004A5951" w:rsidRDefault="00CB3C45" w:rsidP="00842F2E">
            <w:pPr>
              <w:spacing w:after="0" w:line="240" w:lineRule="auto"/>
              <w:jc w:val="left"/>
              <w:rPr>
                <w:rFonts w:eastAsia="Times New Roman" w:cs="Times New Roman"/>
                <w:sz w:val="18"/>
                <w:szCs w:val="18"/>
                <w:lang w:eastAsia="sk-SK"/>
              </w:rPr>
            </w:pPr>
            <w:r w:rsidRPr="004A5951">
              <w:rPr>
                <w:rFonts w:eastAsia="Times New Roman" w:cs="Times New Roman"/>
                <w:sz w:val="18"/>
                <w:szCs w:val="18"/>
                <w:lang w:eastAsia="sk-SK"/>
              </w:rPr>
              <w:t>Do 15 rokov</w:t>
            </w:r>
          </w:p>
        </w:tc>
        <w:tc>
          <w:tcPr>
            <w:tcW w:w="861" w:type="pct"/>
            <w:tcBorders>
              <w:top w:val="nil"/>
              <w:left w:val="nil"/>
              <w:bottom w:val="nil"/>
              <w:right w:val="nil"/>
            </w:tcBorders>
            <w:shd w:val="clear" w:color="auto" w:fill="auto"/>
            <w:noWrap/>
            <w:vAlign w:val="bottom"/>
            <w:hideMark/>
          </w:tcPr>
          <w:p w14:paraId="24613C38"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42,4</w:t>
            </w:r>
          </w:p>
        </w:tc>
        <w:tc>
          <w:tcPr>
            <w:tcW w:w="870" w:type="pct"/>
            <w:tcBorders>
              <w:top w:val="nil"/>
              <w:left w:val="nil"/>
              <w:bottom w:val="nil"/>
              <w:right w:val="nil"/>
            </w:tcBorders>
            <w:shd w:val="clear" w:color="auto" w:fill="auto"/>
            <w:noWrap/>
            <w:vAlign w:val="bottom"/>
            <w:hideMark/>
          </w:tcPr>
          <w:p w14:paraId="414FE385"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10,2</w:t>
            </w:r>
          </w:p>
        </w:tc>
        <w:tc>
          <w:tcPr>
            <w:tcW w:w="850" w:type="pct"/>
            <w:tcBorders>
              <w:top w:val="nil"/>
              <w:left w:val="nil"/>
              <w:bottom w:val="nil"/>
              <w:right w:val="nil"/>
            </w:tcBorders>
            <w:shd w:val="clear" w:color="auto" w:fill="auto"/>
            <w:noWrap/>
            <w:vAlign w:val="bottom"/>
            <w:hideMark/>
          </w:tcPr>
          <w:p w14:paraId="30D8417B"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0,0</w:t>
            </w:r>
          </w:p>
        </w:tc>
        <w:tc>
          <w:tcPr>
            <w:tcW w:w="860" w:type="pct"/>
            <w:tcBorders>
              <w:top w:val="nil"/>
              <w:left w:val="nil"/>
              <w:bottom w:val="nil"/>
              <w:right w:val="nil"/>
            </w:tcBorders>
            <w:shd w:val="clear" w:color="000000" w:fill="BFBFBF"/>
            <w:noWrap/>
            <w:vAlign w:val="bottom"/>
            <w:hideMark/>
          </w:tcPr>
          <w:p w14:paraId="7354CF31"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38,4</w:t>
            </w:r>
          </w:p>
        </w:tc>
      </w:tr>
      <w:tr w:rsidR="00CB3C45" w:rsidRPr="004A5951" w14:paraId="5B7C1050" w14:textId="77777777" w:rsidTr="00842F2E">
        <w:trPr>
          <w:trHeight w:val="300"/>
        </w:trPr>
        <w:tc>
          <w:tcPr>
            <w:tcW w:w="1558" w:type="pct"/>
            <w:tcBorders>
              <w:top w:val="nil"/>
              <w:left w:val="nil"/>
              <w:bottom w:val="nil"/>
              <w:right w:val="nil"/>
            </w:tcBorders>
            <w:shd w:val="clear" w:color="auto" w:fill="auto"/>
            <w:noWrap/>
            <w:vAlign w:val="bottom"/>
            <w:hideMark/>
          </w:tcPr>
          <w:p w14:paraId="0FF36DAC" w14:textId="77777777" w:rsidR="00CB3C45" w:rsidRPr="004A5951" w:rsidRDefault="00CB3C45" w:rsidP="00842F2E">
            <w:pPr>
              <w:spacing w:after="0" w:line="240" w:lineRule="auto"/>
              <w:jc w:val="left"/>
              <w:rPr>
                <w:rFonts w:eastAsia="Times New Roman" w:cs="Times New Roman"/>
                <w:sz w:val="18"/>
                <w:szCs w:val="18"/>
                <w:lang w:eastAsia="sk-SK"/>
              </w:rPr>
            </w:pPr>
            <w:r w:rsidRPr="004A5951">
              <w:rPr>
                <w:rFonts w:eastAsia="Times New Roman" w:cs="Times New Roman"/>
                <w:sz w:val="18"/>
                <w:szCs w:val="18"/>
                <w:lang w:eastAsia="sk-SK"/>
              </w:rPr>
              <w:t>Do 29 rokov</w:t>
            </w:r>
          </w:p>
        </w:tc>
        <w:tc>
          <w:tcPr>
            <w:tcW w:w="861" w:type="pct"/>
            <w:tcBorders>
              <w:top w:val="nil"/>
              <w:left w:val="nil"/>
              <w:bottom w:val="nil"/>
              <w:right w:val="nil"/>
            </w:tcBorders>
            <w:shd w:val="clear" w:color="auto" w:fill="auto"/>
            <w:noWrap/>
            <w:vAlign w:val="bottom"/>
            <w:hideMark/>
          </w:tcPr>
          <w:p w14:paraId="08C30ACC"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35,9</w:t>
            </w:r>
          </w:p>
        </w:tc>
        <w:tc>
          <w:tcPr>
            <w:tcW w:w="870" w:type="pct"/>
            <w:tcBorders>
              <w:top w:val="nil"/>
              <w:left w:val="nil"/>
              <w:bottom w:val="nil"/>
              <w:right w:val="nil"/>
            </w:tcBorders>
            <w:shd w:val="clear" w:color="auto" w:fill="auto"/>
            <w:noWrap/>
            <w:vAlign w:val="bottom"/>
            <w:hideMark/>
          </w:tcPr>
          <w:p w14:paraId="3D81E723"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38,0</w:t>
            </w:r>
          </w:p>
        </w:tc>
        <w:tc>
          <w:tcPr>
            <w:tcW w:w="850" w:type="pct"/>
            <w:tcBorders>
              <w:top w:val="nil"/>
              <w:left w:val="nil"/>
              <w:bottom w:val="nil"/>
              <w:right w:val="nil"/>
            </w:tcBorders>
            <w:shd w:val="clear" w:color="auto" w:fill="auto"/>
            <w:noWrap/>
            <w:vAlign w:val="bottom"/>
            <w:hideMark/>
          </w:tcPr>
          <w:p w14:paraId="3B8CF7F1"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0,0</w:t>
            </w:r>
          </w:p>
        </w:tc>
        <w:tc>
          <w:tcPr>
            <w:tcW w:w="860" w:type="pct"/>
            <w:tcBorders>
              <w:top w:val="nil"/>
              <w:left w:val="nil"/>
              <w:bottom w:val="nil"/>
              <w:right w:val="nil"/>
            </w:tcBorders>
            <w:shd w:val="clear" w:color="000000" w:fill="BFBFBF"/>
            <w:noWrap/>
            <w:vAlign w:val="bottom"/>
            <w:hideMark/>
          </w:tcPr>
          <w:p w14:paraId="2A10A44E"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35,6</w:t>
            </w:r>
          </w:p>
        </w:tc>
      </w:tr>
      <w:tr w:rsidR="00CB3C45" w:rsidRPr="004A5951" w14:paraId="0D00953D" w14:textId="77777777" w:rsidTr="009D462F">
        <w:trPr>
          <w:trHeight w:val="300"/>
        </w:trPr>
        <w:tc>
          <w:tcPr>
            <w:tcW w:w="1558" w:type="pct"/>
            <w:tcBorders>
              <w:top w:val="nil"/>
              <w:left w:val="nil"/>
              <w:bottom w:val="single" w:sz="4" w:space="0" w:color="auto"/>
              <w:right w:val="nil"/>
            </w:tcBorders>
            <w:shd w:val="clear" w:color="auto" w:fill="auto"/>
            <w:noWrap/>
            <w:vAlign w:val="bottom"/>
            <w:hideMark/>
          </w:tcPr>
          <w:p w14:paraId="418AADF2" w14:textId="77777777" w:rsidR="00CB3C45" w:rsidRPr="004A5951" w:rsidRDefault="00CB3C45" w:rsidP="00842F2E">
            <w:pPr>
              <w:spacing w:after="0" w:line="240" w:lineRule="auto"/>
              <w:jc w:val="left"/>
              <w:rPr>
                <w:rFonts w:eastAsia="Times New Roman" w:cs="Times New Roman"/>
                <w:sz w:val="18"/>
                <w:szCs w:val="18"/>
                <w:lang w:eastAsia="sk-SK"/>
              </w:rPr>
            </w:pPr>
            <w:r w:rsidRPr="004A5951">
              <w:rPr>
                <w:rFonts w:eastAsia="Times New Roman" w:cs="Times New Roman"/>
                <w:sz w:val="18"/>
                <w:szCs w:val="18"/>
                <w:lang w:eastAsia="sk-SK"/>
              </w:rPr>
              <w:t>30 rokov a viac</w:t>
            </w:r>
          </w:p>
        </w:tc>
        <w:tc>
          <w:tcPr>
            <w:tcW w:w="861" w:type="pct"/>
            <w:tcBorders>
              <w:top w:val="nil"/>
              <w:left w:val="nil"/>
              <w:bottom w:val="single" w:sz="4" w:space="0" w:color="auto"/>
              <w:right w:val="nil"/>
            </w:tcBorders>
            <w:shd w:val="clear" w:color="auto" w:fill="auto"/>
            <w:noWrap/>
            <w:vAlign w:val="bottom"/>
            <w:hideMark/>
          </w:tcPr>
          <w:p w14:paraId="003FF170"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5,5</w:t>
            </w:r>
          </w:p>
        </w:tc>
        <w:tc>
          <w:tcPr>
            <w:tcW w:w="870" w:type="pct"/>
            <w:tcBorders>
              <w:top w:val="nil"/>
              <w:left w:val="nil"/>
              <w:bottom w:val="single" w:sz="4" w:space="0" w:color="auto"/>
              <w:right w:val="nil"/>
            </w:tcBorders>
            <w:shd w:val="clear" w:color="auto" w:fill="auto"/>
            <w:noWrap/>
            <w:vAlign w:val="bottom"/>
            <w:hideMark/>
          </w:tcPr>
          <w:p w14:paraId="301E04F8"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33,2</w:t>
            </w:r>
          </w:p>
        </w:tc>
        <w:tc>
          <w:tcPr>
            <w:tcW w:w="850" w:type="pct"/>
            <w:tcBorders>
              <w:top w:val="nil"/>
              <w:left w:val="nil"/>
              <w:bottom w:val="single" w:sz="4" w:space="0" w:color="auto"/>
              <w:right w:val="nil"/>
            </w:tcBorders>
            <w:shd w:val="clear" w:color="auto" w:fill="auto"/>
            <w:noWrap/>
            <w:vAlign w:val="bottom"/>
            <w:hideMark/>
          </w:tcPr>
          <w:p w14:paraId="0AB1692D"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0,0</w:t>
            </w:r>
          </w:p>
        </w:tc>
        <w:tc>
          <w:tcPr>
            <w:tcW w:w="860" w:type="pct"/>
            <w:tcBorders>
              <w:top w:val="nil"/>
              <w:left w:val="nil"/>
              <w:bottom w:val="single" w:sz="4" w:space="0" w:color="auto"/>
              <w:right w:val="nil"/>
            </w:tcBorders>
            <w:shd w:val="clear" w:color="000000" w:fill="BFBFBF"/>
            <w:noWrap/>
            <w:vAlign w:val="bottom"/>
            <w:hideMark/>
          </w:tcPr>
          <w:p w14:paraId="531CA55C"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8,4</w:t>
            </w:r>
          </w:p>
        </w:tc>
      </w:tr>
      <w:tr w:rsidR="00CB3C45" w:rsidRPr="004A5951" w14:paraId="027B1EB1" w14:textId="77777777" w:rsidTr="009D462F">
        <w:trPr>
          <w:trHeight w:val="300"/>
        </w:trPr>
        <w:tc>
          <w:tcPr>
            <w:tcW w:w="1558" w:type="pct"/>
            <w:tcBorders>
              <w:top w:val="single" w:sz="4" w:space="0" w:color="auto"/>
              <w:left w:val="nil"/>
              <w:bottom w:val="single" w:sz="4" w:space="0" w:color="auto"/>
              <w:right w:val="nil"/>
            </w:tcBorders>
            <w:shd w:val="clear" w:color="auto" w:fill="auto"/>
            <w:noWrap/>
            <w:vAlign w:val="bottom"/>
            <w:hideMark/>
          </w:tcPr>
          <w:p w14:paraId="6A69FE54" w14:textId="77777777" w:rsidR="00CB3C45" w:rsidRPr="004A5951" w:rsidRDefault="00CB3C45" w:rsidP="00842F2E">
            <w:pPr>
              <w:spacing w:after="0" w:line="240" w:lineRule="auto"/>
              <w:jc w:val="left"/>
              <w:rPr>
                <w:rFonts w:eastAsia="Times New Roman" w:cs="Times New Roman"/>
                <w:b/>
                <w:bCs/>
                <w:sz w:val="18"/>
                <w:szCs w:val="18"/>
                <w:lang w:eastAsia="sk-SK"/>
              </w:rPr>
            </w:pPr>
            <w:r w:rsidRPr="004A5951">
              <w:rPr>
                <w:rFonts w:eastAsia="Times New Roman" w:cs="Times New Roman"/>
                <w:b/>
                <w:bCs/>
                <w:sz w:val="18"/>
                <w:szCs w:val="18"/>
                <w:lang w:eastAsia="sk-SK"/>
              </w:rPr>
              <w:t>Spolu</w:t>
            </w:r>
          </w:p>
        </w:tc>
        <w:tc>
          <w:tcPr>
            <w:tcW w:w="861" w:type="pct"/>
            <w:tcBorders>
              <w:top w:val="single" w:sz="4" w:space="0" w:color="auto"/>
              <w:left w:val="nil"/>
              <w:bottom w:val="single" w:sz="4" w:space="0" w:color="auto"/>
              <w:right w:val="nil"/>
            </w:tcBorders>
            <w:shd w:val="clear" w:color="auto" w:fill="auto"/>
            <w:noWrap/>
            <w:vAlign w:val="bottom"/>
            <w:hideMark/>
          </w:tcPr>
          <w:p w14:paraId="7F4ECD0E" w14:textId="77777777" w:rsidR="00CB3C45" w:rsidRPr="004A5951" w:rsidRDefault="00CB3C45" w:rsidP="00842F2E">
            <w:pPr>
              <w:spacing w:after="0" w:line="240" w:lineRule="auto"/>
              <w:jc w:val="right"/>
              <w:rPr>
                <w:rFonts w:eastAsia="Times New Roman" w:cs="Times New Roman"/>
                <w:b/>
                <w:bCs/>
                <w:sz w:val="18"/>
                <w:szCs w:val="18"/>
                <w:lang w:eastAsia="sk-SK"/>
              </w:rPr>
            </w:pPr>
            <w:r w:rsidRPr="004A5951">
              <w:rPr>
                <w:rFonts w:eastAsia="Times New Roman" w:cs="Times New Roman"/>
                <w:b/>
                <w:bCs/>
                <w:sz w:val="18"/>
                <w:szCs w:val="18"/>
                <w:lang w:eastAsia="sk-SK"/>
              </w:rPr>
              <w:t>100,0</w:t>
            </w:r>
          </w:p>
        </w:tc>
        <w:tc>
          <w:tcPr>
            <w:tcW w:w="870" w:type="pct"/>
            <w:tcBorders>
              <w:top w:val="single" w:sz="4" w:space="0" w:color="auto"/>
              <w:left w:val="nil"/>
              <w:bottom w:val="single" w:sz="4" w:space="0" w:color="auto"/>
              <w:right w:val="nil"/>
            </w:tcBorders>
            <w:shd w:val="clear" w:color="auto" w:fill="auto"/>
            <w:noWrap/>
            <w:vAlign w:val="bottom"/>
            <w:hideMark/>
          </w:tcPr>
          <w:p w14:paraId="0D1D8B8C" w14:textId="77777777" w:rsidR="00CB3C45" w:rsidRPr="004A5951" w:rsidRDefault="00CB3C45" w:rsidP="00842F2E">
            <w:pPr>
              <w:spacing w:after="0" w:line="240" w:lineRule="auto"/>
              <w:jc w:val="right"/>
              <w:rPr>
                <w:rFonts w:eastAsia="Times New Roman" w:cs="Times New Roman"/>
                <w:b/>
                <w:bCs/>
                <w:sz w:val="18"/>
                <w:szCs w:val="18"/>
                <w:lang w:eastAsia="sk-SK"/>
              </w:rPr>
            </w:pPr>
            <w:r w:rsidRPr="004A5951">
              <w:rPr>
                <w:rFonts w:eastAsia="Times New Roman" w:cs="Times New Roman"/>
                <w:b/>
                <w:bCs/>
                <w:sz w:val="18"/>
                <w:szCs w:val="18"/>
                <w:lang w:eastAsia="sk-SK"/>
              </w:rPr>
              <w:t>100,0</w:t>
            </w:r>
          </w:p>
        </w:tc>
        <w:tc>
          <w:tcPr>
            <w:tcW w:w="850" w:type="pct"/>
            <w:tcBorders>
              <w:top w:val="single" w:sz="4" w:space="0" w:color="auto"/>
              <w:left w:val="nil"/>
              <w:bottom w:val="single" w:sz="4" w:space="0" w:color="auto"/>
              <w:right w:val="nil"/>
            </w:tcBorders>
            <w:shd w:val="clear" w:color="auto" w:fill="auto"/>
            <w:noWrap/>
            <w:vAlign w:val="bottom"/>
            <w:hideMark/>
          </w:tcPr>
          <w:p w14:paraId="417F3E45" w14:textId="77777777" w:rsidR="00CB3C45" w:rsidRPr="004A5951" w:rsidRDefault="00CB3C45" w:rsidP="00842F2E">
            <w:pPr>
              <w:spacing w:after="0" w:line="240" w:lineRule="auto"/>
              <w:jc w:val="right"/>
              <w:rPr>
                <w:rFonts w:eastAsia="Times New Roman" w:cs="Times New Roman"/>
                <w:b/>
                <w:bCs/>
                <w:sz w:val="18"/>
                <w:szCs w:val="18"/>
                <w:lang w:eastAsia="sk-SK"/>
              </w:rPr>
            </w:pPr>
            <w:r w:rsidRPr="004A5951">
              <w:rPr>
                <w:rFonts w:eastAsia="Times New Roman" w:cs="Times New Roman"/>
                <w:b/>
                <w:bCs/>
                <w:sz w:val="18"/>
                <w:szCs w:val="18"/>
                <w:lang w:eastAsia="sk-SK"/>
              </w:rPr>
              <w:t>100,0</w:t>
            </w:r>
          </w:p>
        </w:tc>
        <w:tc>
          <w:tcPr>
            <w:tcW w:w="860" w:type="pct"/>
            <w:tcBorders>
              <w:top w:val="single" w:sz="4" w:space="0" w:color="auto"/>
              <w:left w:val="nil"/>
              <w:bottom w:val="single" w:sz="4" w:space="0" w:color="auto"/>
              <w:right w:val="nil"/>
            </w:tcBorders>
            <w:shd w:val="clear" w:color="000000" w:fill="BFBFBF"/>
            <w:noWrap/>
            <w:vAlign w:val="bottom"/>
            <w:hideMark/>
          </w:tcPr>
          <w:p w14:paraId="4984B0B0" w14:textId="77777777" w:rsidR="00CB3C45" w:rsidRPr="004A5951" w:rsidRDefault="00CB3C45" w:rsidP="00842F2E">
            <w:pPr>
              <w:spacing w:after="0" w:line="240" w:lineRule="auto"/>
              <w:jc w:val="right"/>
              <w:rPr>
                <w:rFonts w:eastAsia="Times New Roman" w:cs="Times New Roman"/>
                <w:b/>
                <w:bCs/>
                <w:sz w:val="18"/>
                <w:szCs w:val="18"/>
                <w:lang w:eastAsia="sk-SK"/>
              </w:rPr>
            </w:pPr>
            <w:r w:rsidRPr="004A5951">
              <w:rPr>
                <w:rFonts w:eastAsia="Times New Roman" w:cs="Times New Roman"/>
                <w:b/>
                <w:bCs/>
                <w:sz w:val="18"/>
                <w:szCs w:val="18"/>
                <w:lang w:eastAsia="sk-SK"/>
              </w:rPr>
              <w:t>100,0</w:t>
            </w:r>
          </w:p>
        </w:tc>
      </w:tr>
    </w:tbl>
    <w:p w14:paraId="4C53EEB7" w14:textId="24BF8757" w:rsidR="00CB3C45" w:rsidRDefault="001903EC" w:rsidP="00CB3C45">
      <w:r>
        <w:rPr>
          <w:sz w:val="18"/>
          <w:szCs w:val="18"/>
        </w:rPr>
        <w:t xml:space="preserve">                                                                                                                                                                      </w:t>
      </w:r>
      <w:r w:rsidR="00CB3C45" w:rsidRPr="00D85AC4">
        <w:rPr>
          <w:sz w:val="18"/>
          <w:szCs w:val="18"/>
        </w:rPr>
        <w:t>Zdroj: MF SR, ARDAL</w:t>
      </w:r>
    </w:p>
    <w:p w14:paraId="4AF9B846" w14:textId="77777777" w:rsidR="00CB3C45" w:rsidRPr="00CB3C45" w:rsidRDefault="00CB3C45" w:rsidP="00CB3C45"/>
    <w:p w14:paraId="48C9B41C" w14:textId="77777777" w:rsidR="00F11052" w:rsidRDefault="00F11052">
      <w:pPr>
        <w:spacing w:after="160" w:line="259" w:lineRule="auto"/>
        <w:jc w:val="left"/>
        <w:rPr>
          <w:rFonts w:eastAsiaTheme="majorEastAsia" w:cstheme="majorBidi"/>
          <w:b/>
          <w:sz w:val="24"/>
          <w:szCs w:val="24"/>
        </w:rPr>
      </w:pPr>
      <w:bookmarkStart w:id="28" w:name="_Toc70026089"/>
      <w:r>
        <w:rPr>
          <w:sz w:val="24"/>
        </w:rPr>
        <w:br w:type="page"/>
      </w:r>
    </w:p>
    <w:p w14:paraId="5532B33C" w14:textId="5CABE053" w:rsidR="006822D1" w:rsidRPr="00E7456D" w:rsidRDefault="006822D1" w:rsidP="006822D1">
      <w:pPr>
        <w:pStyle w:val="Nadpis3"/>
        <w:rPr>
          <w:sz w:val="24"/>
        </w:rPr>
      </w:pPr>
      <w:r w:rsidRPr="00E7456D">
        <w:rPr>
          <w:sz w:val="24"/>
        </w:rPr>
        <w:t>Maastrichtský dlh ostatných subjektov verejnej správy</w:t>
      </w:r>
      <w:bookmarkEnd w:id="28"/>
    </w:p>
    <w:p w14:paraId="2EA2596B" w14:textId="77777777" w:rsidR="00CB3C45" w:rsidRPr="004A5951" w:rsidRDefault="00CB3C45" w:rsidP="004A5951">
      <w:pPr>
        <w:spacing w:line="240" w:lineRule="auto"/>
        <w:rPr>
          <w:sz w:val="24"/>
          <w:szCs w:val="24"/>
        </w:rPr>
      </w:pPr>
      <w:r w:rsidRPr="004A5951">
        <w:rPr>
          <w:sz w:val="24"/>
          <w:szCs w:val="24"/>
        </w:rPr>
        <w:t xml:space="preserve">Konsolidovaná hodnota maastrichtského dlhu ostatných subjektov verejnej správy k 31.12.2020 dosiahla 2 134 485 tis. eur, z toho pre subjekty územnej samosprávy pripadá 1 175 412 tis. eur. </w:t>
      </w:r>
    </w:p>
    <w:p w14:paraId="254D3CCF" w14:textId="77777777" w:rsidR="00CB3C45" w:rsidRPr="009623D7" w:rsidRDefault="00CB3C45" w:rsidP="004A5951">
      <w:pPr>
        <w:spacing w:line="240" w:lineRule="auto"/>
      </w:pPr>
      <w:r w:rsidRPr="004A5951">
        <w:rPr>
          <w:sz w:val="24"/>
          <w:szCs w:val="24"/>
        </w:rPr>
        <w:t xml:space="preserve">Dlh </w:t>
      </w:r>
      <w:r w:rsidRPr="004A5951">
        <w:rPr>
          <w:b/>
          <w:sz w:val="24"/>
          <w:szCs w:val="24"/>
        </w:rPr>
        <w:t xml:space="preserve">obcí </w:t>
      </w:r>
      <w:r w:rsidRPr="004A5951">
        <w:rPr>
          <w:sz w:val="24"/>
          <w:szCs w:val="24"/>
        </w:rPr>
        <w:t>(vrátane ich rozpočtových organizácií)</w:t>
      </w:r>
      <w:r w:rsidRPr="004A5951">
        <w:rPr>
          <w:b/>
          <w:sz w:val="24"/>
          <w:szCs w:val="24"/>
        </w:rPr>
        <w:t xml:space="preserve"> </w:t>
      </w:r>
      <w:r w:rsidRPr="004A5951">
        <w:rPr>
          <w:sz w:val="24"/>
          <w:szCs w:val="24"/>
        </w:rPr>
        <w:t>dosiahol v roku 2020 výšku 1 593 710 tis. eur (vrátane záväzkov z pôžičiek od ŠFRB). Oproti stavu v roku 2019 je vyšší o 102 802 tis. eur. Rozhodujúcu časť dlhu obcí tvoria pôžičky od ŠFRB vo výške 732 655 tis. eur a bankové úvery 674 459 tis. eur. Treťou významnou položkou dlhu obcí sú prijaté návratné finančné výpomoci zo štátnych finančných aktív, vo výške zostatku 121 095 tis. eur. Z hľadiska splatnosti má dlh obcí prevažne dlhodobý charakter (97,5 %) a prevažná časť dlhu obcí je v rukách domácich veriteľov (96,3 %).</w:t>
      </w:r>
    </w:p>
    <w:tbl>
      <w:tblPr>
        <w:tblW w:w="5000" w:type="pct"/>
        <w:tblLayout w:type="fixed"/>
        <w:tblCellMar>
          <w:left w:w="70" w:type="dxa"/>
          <w:right w:w="70" w:type="dxa"/>
        </w:tblCellMar>
        <w:tblLook w:val="04A0" w:firstRow="1" w:lastRow="0" w:firstColumn="1" w:lastColumn="0" w:noHBand="0" w:noVBand="1"/>
      </w:tblPr>
      <w:tblGrid>
        <w:gridCol w:w="4609"/>
        <w:gridCol w:w="1229"/>
        <w:gridCol w:w="1227"/>
        <w:gridCol w:w="1233"/>
        <w:gridCol w:w="916"/>
      </w:tblGrid>
      <w:tr w:rsidR="00CB3C45" w:rsidRPr="004A5951" w14:paraId="0B14C957" w14:textId="77777777" w:rsidTr="00842F2E">
        <w:trPr>
          <w:trHeight w:val="300"/>
          <w:tblHeader/>
        </w:trPr>
        <w:tc>
          <w:tcPr>
            <w:tcW w:w="5000" w:type="pct"/>
            <w:gridSpan w:val="5"/>
            <w:tcBorders>
              <w:top w:val="single" w:sz="4" w:space="0" w:color="auto"/>
              <w:left w:val="nil"/>
              <w:bottom w:val="single" w:sz="4" w:space="0" w:color="auto"/>
              <w:right w:val="nil"/>
            </w:tcBorders>
            <w:shd w:val="clear" w:color="000000" w:fill="000000"/>
            <w:noWrap/>
            <w:vAlign w:val="center"/>
            <w:hideMark/>
          </w:tcPr>
          <w:p w14:paraId="1F2289FF" w14:textId="151762E6" w:rsidR="00CB3C45" w:rsidRPr="004A5951" w:rsidRDefault="00CB3C45" w:rsidP="00842F2E">
            <w:pPr>
              <w:spacing w:after="0" w:line="240" w:lineRule="auto"/>
              <w:jc w:val="left"/>
              <w:rPr>
                <w:rFonts w:eastAsia="Times New Roman" w:cs="Times New Roman"/>
                <w:b/>
                <w:bCs/>
                <w:color w:val="FFFFFF"/>
                <w:sz w:val="18"/>
                <w:szCs w:val="18"/>
                <w:lang w:eastAsia="sk-SK"/>
              </w:rPr>
            </w:pPr>
            <w:r w:rsidRPr="004A5951">
              <w:rPr>
                <w:rFonts w:eastAsia="Times New Roman" w:cs="Times New Roman"/>
                <w:b/>
                <w:bCs/>
                <w:color w:val="FFFFFF"/>
                <w:sz w:val="18"/>
                <w:szCs w:val="18"/>
                <w:lang w:eastAsia="sk-SK"/>
              </w:rPr>
              <w:t xml:space="preserve">Dlh obcí podľa dlhového nástroja                                                                                               </w:t>
            </w:r>
            <w:r w:rsidR="004A5951">
              <w:rPr>
                <w:rFonts w:eastAsia="Times New Roman" w:cs="Times New Roman"/>
                <w:b/>
                <w:bCs/>
                <w:color w:val="FFFFFF"/>
                <w:sz w:val="18"/>
                <w:szCs w:val="18"/>
                <w:lang w:eastAsia="sk-SK"/>
              </w:rPr>
              <w:t xml:space="preserve">                  </w:t>
            </w:r>
            <w:r w:rsidR="00C148B1">
              <w:rPr>
                <w:rFonts w:eastAsia="Times New Roman" w:cs="Times New Roman"/>
                <w:b/>
                <w:bCs/>
                <w:color w:val="FFFFFF"/>
                <w:sz w:val="18"/>
                <w:szCs w:val="18"/>
                <w:lang w:eastAsia="sk-SK"/>
              </w:rPr>
              <w:t xml:space="preserve">    </w:t>
            </w:r>
            <w:r w:rsidR="004A5951">
              <w:rPr>
                <w:rFonts w:eastAsia="Times New Roman" w:cs="Times New Roman"/>
                <w:b/>
                <w:bCs/>
                <w:color w:val="FFFFFF"/>
                <w:sz w:val="18"/>
                <w:szCs w:val="18"/>
                <w:lang w:eastAsia="sk-SK"/>
              </w:rPr>
              <w:t xml:space="preserve">            </w:t>
            </w:r>
            <w:r w:rsidRPr="004A5951">
              <w:rPr>
                <w:rFonts w:eastAsia="Times New Roman" w:cs="Times New Roman"/>
                <w:b/>
                <w:bCs/>
                <w:color w:val="FFFFFF"/>
                <w:sz w:val="18"/>
                <w:szCs w:val="18"/>
                <w:lang w:eastAsia="sk-SK"/>
              </w:rPr>
              <w:t>v tis. eur</w:t>
            </w:r>
          </w:p>
        </w:tc>
      </w:tr>
      <w:tr w:rsidR="00CB3C45" w:rsidRPr="004A5951" w14:paraId="6B8F6823" w14:textId="77777777" w:rsidTr="00842F2E">
        <w:trPr>
          <w:trHeight w:val="300"/>
          <w:tblHeader/>
        </w:trPr>
        <w:tc>
          <w:tcPr>
            <w:tcW w:w="2501" w:type="pct"/>
            <w:tcBorders>
              <w:top w:val="single" w:sz="4" w:space="0" w:color="auto"/>
              <w:left w:val="nil"/>
              <w:bottom w:val="nil"/>
              <w:right w:val="nil"/>
            </w:tcBorders>
            <w:shd w:val="clear" w:color="000000" w:fill="BFBFBF"/>
            <w:vAlign w:val="center"/>
            <w:hideMark/>
          </w:tcPr>
          <w:p w14:paraId="377CCFF2" w14:textId="77777777" w:rsidR="00CB3C45" w:rsidRPr="004A5951" w:rsidRDefault="00CB3C45" w:rsidP="00842F2E">
            <w:pPr>
              <w:spacing w:after="0" w:line="240" w:lineRule="auto"/>
              <w:rPr>
                <w:rFonts w:eastAsia="Times New Roman" w:cs="Times New Roman"/>
                <w:b/>
                <w:bCs/>
                <w:sz w:val="18"/>
                <w:szCs w:val="18"/>
                <w:lang w:eastAsia="sk-SK"/>
              </w:rPr>
            </w:pPr>
            <w:r w:rsidRPr="004A5951">
              <w:rPr>
                <w:rFonts w:eastAsia="Times New Roman" w:cs="Times New Roman"/>
                <w:b/>
                <w:bCs/>
                <w:sz w:val="18"/>
                <w:szCs w:val="18"/>
                <w:lang w:eastAsia="sk-SK"/>
              </w:rPr>
              <w:t> </w:t>
            </w:r>
          </w:p>
        </w:tc>
        <w:tc>
          <w:tcPr>
            <w:tcW w:w="667" w:type="pct"/>
            <w:tcBorders>
              <w:top w:val="single" w:sz="4" w:space="0" w:color="auto"/>
              <w:left w:val="nil"/>
              <w:bottom w:val="nil"/>
              <w:right w:val="nil"/>
            </w:tcBorders>
            <w:shd w:val="clear" w:color="000000" w:fill="BFBFBF"/>
            <w:vAlign w:val="center"/>
            <w:hideMark/>
          </w:tcPr>
          <w:p w14:paraId="4A423960" w14:textId="77777777" w:rsidR="00CB3C45" w:rsidRPr="004A5951" w:rsidRDefault="00CB3C45" w:rsidP="00842F2E">
            <w:pPr>
              <w:spacing w:after="0" w:line="240" w:lineRule="auto"/>
              <w:jc w:val="center"/>
              <w:rPr>
                <w:rFonts w:eastAsia="Times New Roman" w:cs="Times New Roman"/>
                <w:b/>
                <w:bCs/>
                <w:sz w:val="18"/>
                <w:szCs w:val="18"/>
                <w:lang w:eastAsia="sk-SK"/>
              </w:rPr>
            </w:pPr>
            <w:r w:rsidRPr="004A5951">
              <w:rPr>
                <w:rFonts w:eastAsia="Times New Roman" w:cs="Times New Roman"/>
                <w:b/>
                <w:bCs/>
                <w:sz w:val="18"/>
                <w:szCs w:val="18"/>
                <w:lang w:eastAsia="sk-SK"/>
              </w:rPr>
              <w:t>k 31.12.2018</w:t>
            </w:r>
          </w:p>
        </w:tc>
        <w:tc>
          <w:tcPr>
            <w:tcW w:w="666" w:type="pct"/>
            <w:tcBorders>
              <w:top w:val="single" w:sz="4" w:space="0" w:color="auto"/>
              <w:left w:val="nil"/>
              <w:bottom w:val="nil"/>
              <w:right w:val="nil"/>
            </w:tcBorders>
            <w:shd w:val="clear" w:color="000000" w:fill="BFBFBF"/>
            <w:vAlign w:val="center"/>
            <w:hideMark/>
          </w:tcPr>
          <w:p w14:paraId="699FF622" w14:textId="77777777" w:rsidR="00CB3C45" w:rsidRPr="004A5951" w:rsidRDefault="00CB3C45" w:rsidP="00842F2E">
            <w:pPr>
              <w:spacing w:after="0" w:line="240" w:lineRule="auto"/>
              <w:jc w:val="center"/>
              <w:rPr>
                <w:rFonts w:eastAsia="Times New Roman" w:cs="Times New Roman"/>
                <w:b/>
                <w:bCs/>
                <w:sz w:val="18"/>
                <w:szCs w:val="18"/>
                <w:lang w:eastAsia="sk-SK"/>
              </w:rPr>
            </w:pPr>
            <w:r w:rsidRPr="004A5951">
              <w:rPr>
                <w:rFonts w:eastAsia="Times New Roman" w:cs="Times New Roman"/>
                <w:b/>
                <w:bCs/>
                <w:sz w:val="18"/>
                <w:szCs w:val="18"/>
                <w:lang w:eastAsia="sk-SK"/>
              </w:rPr>
              <w:t>k 31.12.2019</w:t>
            </w:r>
          </w:p>
        </w:tc>
        <w:tc>
          <w:tcPr>
            <w:tcW w:w="669" w:type="pct"/>
            <w:tcBorders>
              <w:top w:val="single" w:sz="4" w:space="0" w:color="auto"/>
              <w:left w:val="nil"/>
              <w:bottom w:val="nil"/>
              <w:right w:val="nil"/>
            </w:tcBorders>
            <w:shd w:val="clear" w:color="000000" w:fill="BFBFBF"/>
            <w:vAlign w:val="center"/>
            <w:hideMark/>
          </w:tcPr>
          <w:p w14:paraId="38B26386" w14:textId="77777777" w:rsidR="00CB3C45" w:rsidRPr="004A5951" w:rsidRDefault="00CB3C45" w:rsidP="00842F2E">
            <w:pPr>
              <w:spacing w:after="0" w:line="240" w:lineRule="auto"/>
              <w:jc w:val="center"/>
              <w:rPr>
                <w:rFonts w:eastAsia="Times New Roman" w:cs="Times New Roman"/>
                <w:b/>
                <w:bCs/>
                <w:sz w:val="18"/>
                <w:szCs w:val="18"/>
                <w:lang w:eastAsia="sk-SK"/>
              </w:rPr>
            </w:pPr>
            <w:r w:rsidRPr="004A5951">
              <w:rPr>
                <w:rFonts w:eastAsia="Times New Roman" w:cs="Times New Roman"/>
                <w:b/>
                <w:bCs/>
                <w:sz w:val="18"/>
                <w:szCs w:val="18"/>
                <w:lang w:eastAsia="sk-SK"/>
              </w:rPr>
              <w:t>k 31.12.2020</w:t>
            </w:r>
          </w:p>
        </w:tc>
        <w:tc>
          <w:tcPr>
            <w:tcW w:w="497" w:type="pct"/>
            <w:tcBorders>
              <w:top w:val="single" w:sz="4" w:space="0" w:color="auto"/>
              <w:left w:val="nil"/>
              <w:bottom w:val="nil"/>
              <w:right w:val="nil"/>
            </w:tcBorders>
            <w:shd w:val="clear" w:color="000000" w:fill="BFBFBF"/>
            <w:vAlign w:val="center"/>
            <w:hideMark/>
          </w:tcPr>
          <w:p w14:paraId="2EA0D81C" w14:textId="77777777" w:rsidR="00CB3C45" w:rsidRPr="004A5951" w:rsidRDefault="00CB3C45" w:rsidP="00842F2E">
            <w:pPr>
              <w:spacing w:after="0" w:line="240" w:lineRule="auto"/>
              <w:jc w:val="center"/>
              <w:rPr>
                <w:rFonts w:eastAsia="Times New Roman" w:cs="Times New Roman"/>
                <w:b/>
                <w:bCs/>
                <w:sz w:val="18"/>
                <w:szCs w:val="18"/>
                <w:lang w:eastAsia="sk-SK"/>
              </w:rPr>
            </w:pPr>
            <w:r w:rsidRPr="004A5951">
              <w:rPr>
                <w:rFonts w:eastAsia="Times New Roman" w:cs="Times New Roman"/>
                <w:b/>
                <w:bCs/>
                <w:sz w:val="18"/>
                <w:szCs w:val="18"/>
                <w:lang w:eastAsia="sk-SK"/>
              </w:rPr>
              <w:t>Zmena</w:t>
            </w:r>
          </w:p>
        </w:tc>
      </w:tr>
      <w:tr w:rsidR="00CB3C45" w:rsidRPr="004A5951" w14:paraId="780F2205" w14:textId="77777777" w:rsidTr="00842F2E">
        <w:trPr>
          <w:trHeight w:val="300"/>
          <w:tblHeader/>
        </w:trPr>
        <w:tc>
          <w:tcPr>
            <w:tcW w:w="2501" w:type="pct"/>
            <w:tcBorders>
              <w:top w:val="nil"/>
              <w:left w:val="nil"/>
              <w:bottom w:val="single" w:sz="4" w:space="0" w:color="auto"/>
              <w:right w:val="nil"/>
            </w:tcBorders>
            <w:shd w:val="clear" w:color="000000" w:fill="BFBFBF"/>
            <w:vAlign w:val="center"/>
            <w:hideMark/>
          </w:tcPr>
          <w:p w14:paraId="779AE8DE" w14:textId="77777777" w:rsidR="00CB3C45" w:rsidRPr="004A5951" w:rsidRDefault="00CB3C45" w:rsidP="00842F2E">
            <w:pPr>
              <w:spacing w:after="0" w:line="240" w:lineRule="auto"/>
              <w:rPr>
                <w:rFonts w:eastAsia="Times New Roman" w:cs="Times New Roman"/>
                <w:b/>
                <w:bCs/>
                <w:sz w:val="18"/>
                <w:szCs w:val="18"/>
                <w:lang w:eastAsia="sk-SK"/>
              </w:rPr>
            </w:pPr>
            <w:r w:rsidRPr="004A5951">
              <w:rPr>
                <w:rFonts w:eastAsia="Times New Roman" w:cs="Times New Roman"/>
                <w:b/>
                <w:bCs/>
                <w:sz w:val="18"/>
                <w:szCs w:val="18"/>
                <w:lang w:eastAsia="sk-SK"/>
              </w:rPr>
              <w:t> </w:t>
            </w:r>
          </w:p>
        </w:tc>
        <w:tc>
          <w:tcPr>
            <w:tcW w:w="667" w:type="pct"/>
            <w:tcBorders>
              <w:top w:val="nil"/>
              <w:left w:val="nil"/>
              <w:bottom w:val="single" w:sz="4" w:space="0" w:color="auto"/>
              <w:right w:val="nil"/>
            </w:tcBorders>
            <w:shd w:val="clear" w:color="000000" w:fill="BFBFBF"/>
            <w:vAlign w:val="center"/>
            <w:hideMark/>
          </w:tcPr>
          <w:p w14:paraId="0CE48B0E" w14:textId="77777777" w:rsidR="00CB3C45" w:rsidRPr="004A5951" w:rsidRDefault="00CB3C45" w:rsidP="00842F2E">
            <w:pPr>
              <w:spacing w:after="0" w:line="240" w:lineRule="auto"/>
              <w:jc w:val="center"/>
              <w:rPr>
                <w:rFonts w:eastAsia="Times New Roman" w:cs="Times New Roman"/>
                <w:b/>
                <w:bCs/>
                <w:sz w:val="18"/>
                <w:szCs w:val="18"/>
                <w:lang w:eastAsia="sk-SK"/>
              </w:rPr>
            </w:pPr>
            <w:r w:rsidRPr="004A5951">
              <w:rPr>
                <w:rFonts w:eastAsia="Times New Roman" w:cs="Times New Roman"/>
                <w:b/>
                <w:bCs/>
                <w:sz w:val="18"/>
                <w:szCs w:val="18"/>
                <w:lang w:eastAsia="sk-SK"/>
              </w:rPr>
              <w:t>1</w:t>
            </w:r>
          </w:p>
        </w:tc>
        <w:tc>
          <w:tcPr>
            <w:tcW w:w="666" w:type="pct"/>
            <w:tcBorders>
              <w:top w:val="nil"/>
              <w:left w:val="nil"/>
              <w:bottom w:val="single" w:sz="4" w:space="0" w:color="auto"/>
              <w:right w:val="nil"/>
            </w:tcBorders>
            <w:shd w:val="clear" w:color="000000" w:fill="BFBFBF"/>
            <w:vAlign w:val="center"/>
            <w:hideMark/>
          </w:tcPr>
          <w:p w14:paraId="36B75C0C" w14:textId="77777777" w:rsidR="00CB3C45" w:rsidRPr="004A5951" w:rsidRDefault="00CB3C45" w:rsidP="00842F2E">
            <w:pPr>
              <w:spacing w:after="0" w:line="240" w:lineRule="auto"/>
              <w:jc w:val="center"/>
              <w:rPr>
                <w:rFonts w:eastAsia="Times New Roman" w:cs="Times New Roman"/>
                <w:b/>
                <w:bCs/>
                <w:sz w:val="18"/>
                <w:szCs w:val="18"/>
                <w:lang w:eastAsia="sk-SK"/>
              </w:rPr>
            </w:pPr>
            <w:r w:rsidRPr="004A5951">
              <w:rPr>
                <w:rFonts w:eastAsia="Times New Roman" w:cs="Times New Roman"/>
                <w:b/>
                <w:bCs/>
                <w:sz w:val="18"/>
                <w:szCs w:val="18"/>
                <w:lang w:eastAsia="sk-SK"/>
              </w:rPr>
              <w:t>2</w:t>
            </w:r>
          </w:p>
        </w:tc>
        <w:tc>
          <w:tcPr>
            <w:tcW w:w="669" w:type="pct"/>
            <w:tcBorders>
              <w:top w:val="nil"/>
              <w:left w:val="nil"/>
              <w:bottom w:val="single" w:sz="4" w:space="0" w:color="auto"/>
              <w:right w:val="nil"/>
            </w:tcBorders>
            <w:shd w:val="clear" w:color="000000" w:fill="BFBFBF"/>
            <w:vAlign w:val="center"/>
            <w:hideMark/>
          </w:tcPr>
          <w:p w14:paraId="33530889" w14:textId="77777777" w:rsidR="00CB3C45" w:rsidRPr="004A5951" w:rsidRDefault="00CB3C45" w:rsidP="00842F2E">
            <w:pPr>
              <w:spacing w:after="0" w:line="240" w:lineRule="auto"/>
              <w:jc w:val="center"/>
              <w:rPr>
                <w:rFonts w:eastAsia="Times New Roman" w:cs="Times New Roman"/>
                <w:b/>
                <w:bCs/>
                <w:sz w:val="18"/>
                <w:szCs w:val="18"/>
                <w:lang w:eastAsia="sk-SK"/>
              </w:rPr>
            </w:pPr>
            <w:r w:rsidRPr="004A5951">
              <w:rPr>
                <w:rFonts w:eastAsia="Times New Roman" w:cs="Times New Roman"/>
                <w:b/>
                <w:bCs/>
                <w:sz w:val="18"/>
                <w:szCs w:val="18"/>
                <w:lang w:eastAsia="sk-SK"/>
              </w:rPr>
              <w:t>3</w:t>
            </w:r>
          </w:p>
        </w:tc>
        <w:tc>
          <w:tcPr>
            <w:tcW w:w="497" w:type="pct"/>
            <w:tcBorders>
              <w:top w:val="nil"/>
              <w:left w:val="nil"/>
              <w:bottom w:val="single" w:sz="4" w:space="0" w:color="auto"/>
              <w:right w:val="nil"/>
            </w:tcBorders>
            <w:shd w:val="clear" w:color="000000" w:fill="BFBFBF"/>
            <w:vAlign w:val="center"/>
            <w:hideMark/>
          </w:tcPr>
          <w:p w14:paraId="137B30E3" w14:textId="77777777" w:rsidR="00CB3C45" w:rsidRPr="004A5951" w:rsidRDefault="00CB3C45" w:rsidP="00842F2E">
            <w:pPr>
              <w:spacing w:after="0" w:line="240" w:lineRule="auto"/>
              <w:jc w:val="center"/>
              <w:rPr>
                <w:rFonts w:eastAsia="Times New Roman" w:cs="Times New Roman"/>
                <w:b/>
                <w:bCs/>
                <w:sz w:val="18"/>
                <w:szCs w:val="18"/>
                <w:lang w:eastAsia="sk-SK"/>
              </w:rPr>
            </w:pPr>
            <w:r w:rsidRPr="004A5951">
              <w:rPr>
                <w:rFonts w:eastAsia="Times New Roman" w:cs="Times New Roman"/>
                <w:b/>
                <w:bCs/>
                <w:sz w:val="18"/>
                <w:szCs w:val="18"/>
                <w:lang w:eastAsia="sk-SK"/>
              </w:rPr>
              <w:t>4=(3-2)</w:t>
            </w:r>
          </w:p>
        </w:tc>
      </w:tr>
      <w:tr w:rsidR="00CB3C45" w:rsidRPr="004A5951" w14:paraId="107C9A27" w14:textId="77777777" w:rsidTr="00842F2E">
        <w:trPr>
          <w:trHeight w:val="300"/>
        </w:trPr>
        <w:tc>
          <w:tcPr>
            <w:tcW w:w="2501" w:type="pct"/>
            <w:tcBorders>
              <w:top w:val="nil"/>
              <w:left w:val="nil"/>
              <w:bottom w:val="nil"/>
              <w:right w:val="nil"/>
            </w:tcBorders>
            <w:shd w:val="clear" w:color="auto" w:fill="auto"/>
            <w:noWrap/>
            <w:vAlign w:val="bottom"/>
            <w:hideMark/>
          </w:tcPr>
          <w:p w14:paraId="77990470" w14:textId="77777777" w:rsidR="00CB3C45" w:rsidRPr="004A5951" w:rsidRDefault="00CB3C45" w:rsidP="00842F2E">
            <w:pPr>
              <w:spacing w:after="0" w:line="240" w:lineRule="auto"/>
              <w:jc w:val="left"/>
              <w:rPr>
                <w:rFonts w:eastAsia="Times New Roman" w:cs="Times New Roman"/>
                <w:sz w:val="18"/>
                <w:szCs w:val="18"/>
                <w:lang w:eastAsia="sk-SK"/>
              </w:rPr>
            </w:pPr>
            <w:r w:rsidRPr="004A5951">
              <w:rPr>
                <w:rFonts w:eastAsia="Times New Roman" w:cs="Times New Roman"/>
                <w:sz w:val="18"/>
                <w:szCs w:val="18"/>
                <w:lang w:eastAsia="sk-SK"/>
              </w:rPr>
              <w:t>Pôžičky zo ŠFRB (konsoliduje sa)</w:t>
            </w:r>
          </w:p>
        </w:tc>
        <w:tc>
          <w:tcPr>
            <w:tcW w:w="667" w:type="pct"/>
            <w:tcBorders>
              <w:top w:val="nil"/>
              <w:left w:val="nil"/>
              <w:bottom w:val="nil"/>
              <w:right w:val="nil"/>
            </w:tcBorders>
            <w:shd w:val="clear" w:color="auto" w:fill="auto"/>
            <w:noWrap/>
            <w:vAlign w:val="bottom"/>
            <w:hideMark/>
          </w:tcPr>
          <w:p w14:paraId="444C28CF"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728 099</w:t>
            </w:r>
          </w:p>
        </w:tc>
        <w:tc>
          <w:tcPr>
            <w:tcW w:w="666" w:type="pct"/>
            <w:tcBorders>
              <w:top w:val="nil"/>
              <w:left w:val="nil"/>
              <w:bottom w:val="nil"/>
              <w:right w:val="nil"/>
            </w:tcBorders>
            <w:shd w:val="clear" w:color="auto" w:fill="auto"/>
            <w:noWrap/>
            <w:vAlign w:val="bottom"/>
            <w:hideMark/>
          </w:tcPr>
          <w:p w14:paraId="38C66B3C"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743 561</w:t>
            </w:r>
          </w:p>
        </w:tc>
        <w:tc>
          <w:tcPr>
            <w:tcW w:w="669" w:type="pct"/>
            <w:tcBorders>
              <w:top w:val="nil"/>
              <w:left w:val="nil"/>
              <w:bottom w:val="nil"/>
              <w:right w:val="nil"/>
            </w:tcBorders>
            <w:shd w:val="clear" w:color="000000" w:fill="BFBFBF"/>
            <w:noWrap/>
            <w:vAlign w:val="bottom"/>
            <w:hideMark/>
          </w:tcPr>
          <w:p w14:paraId="2F0CB510"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732 655</w:t>
            </w:r>
          </w:p>
        </w:tc>
        <w:tc>
          <w:tcPr>
            <w:tcW w:w="497" w:type="pct"/>
            <w:tcBorders>
              <w:top w:val="nil"/>
              <w:left w:val="nil"/>
              <w:bottom w:val="nil"/>
              <w:right w:val="nil"/>
            </w:tcBorders>
            <w:shd w:val="clear" w:color="auto" w:fill="auto"/>
            <w:noWrap/>
            <w:vAlign w:val="bottom"/>
            <w:hideMark/>
          </w:tcPr>
          <w:p w14:paraId="158AFF9B"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-10 906</w:t>
            </w:r>
          </w:p>
        </w:tc>
      </w:tr>
      <w:tr w:rsidR="00CB3C45" w:rsidRPr="004A5951" w14:paraId="7B2F4F2E" w14:textId="77777777" w:rsidTr="00842F2E">
        <w:trPr>
          <w:trHeight w:val="300"/>
        </w:trPr>
        <w:tc>
          <w:tcPr>
            <w:tcW w:w="2501" w:type="pct"/>
            <w:tcBorders>
              <w:top w:val="nil"/>
              <w:left w:val="nil"/>
              <w:bottom w:val="nil"/>
              <w:right w:val="nil"/>
            </w:tcBorders>
            <w:shd w:val="clear" w:color="auto" w:fill="auto"/>
            <w:noWrap/>
            <w:vAlign w:val="bottom"/>
            <w:hideMark/>
          </w:tcPr>
          <w:p w14:paraId="17329087" w14:textId="77777777" w:rsidR="00CB3C45" w:rsidRPr="004A5951" w:rsidRDefault="00CB3C45" w:rsidP="00842F2E">
            <w:pPr>
              <w:spacing w:after="0" w:line="240" w:lineRule="auto"/>
              <w:jc w:val="left"/>
              <w:rPr>
                <w:rFonts w:eastAsia="Times New Roman" w:cs="Times New Roman"/>
                <w:sz w:val="18"/>
                <w:szCs w:val="18"/>
                <w:lang w:eastAsia="sk-SK"/>
              </w:rPr>
            </w:pPr>
            <w:r w:rsidRPr="004A5951">
              <w:rPr>
                <w:rFonts w:eastAsia="Times New Roman" w:cs="Times New Roman"/>
                <w:sz w:val="18"/>
                <w:szCs w:val="18"/>
                <w:lang w:eastAsia="sk-SK"/>
              </w:rPr>
              <w:t>Bankové úvery</w:t>
            </w:r>
          </w:p>
        </w:tc>
        <w:tc>
          <w:tcPr>
            <w:tcW w:w="667" w:type="pct"/>
            <w:tcBorders>
              <w:top w:val="nil"/>
              <w:left w:val="nil"/>
              <w:bottom w:val="nil"/>
              <w:right w:val="nil"/>
            </w:tcBorders>
            <w:shd w:val="clear" w:color="auto" w:fill="auto"/>
            <w:noWrap/>
            <w:vAlign w:val="bottom"/>
            <w:hideMark/>
          </w:tcPr>
          <w:p w14:paraId="09DF5407"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628 608</w:t>
            </w:r>
          </w:p>
        </w:tc>
        <w:tc>
          <w:tcPr>
            <w:tcW w:w="666" w:type="pct"/>
            <w:tcBorders>
              <w:top w:val="nil"/>
              <w:left w:val="nil"/>
              <w:bottom w:val="nil"/>
              <w:right w:val="nil"/>
            </w:tcBorders>
            <w:shd w:val="clear" w:color="auto" w:fill="auto"/>
            <w:noWrap/>
            <w:vAlign w:val="bottom"/>
            <w:hideMark/>
          </w:tcPr>
          <w:p w14:paraId="57A740DF"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655 959</w:t>
            </w:r>
          </w:p>
        </w:tc>
        <w:tc>
          <w:tcPr>
            <w:tcW w:w="669" w:type="pct"/>
            <w:tcBorders>
              <w:top w:val="nil"/>
              <w:left w:val="nil"/>
              <w:bottom w:val="nil"/>
              <w:right w:val="nil"/>
            </w:tcBorders>
            <w:shd w:val="clear" w:color="000000" w:fill="BFBFBF"/>
            <w:noWrap/>
            <w:vAlign w:val="bottom"/>
            <w:hideMark/>
          </w:tcPr>
          <w:p w14:paraId="46708AEB"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674 459</w:t>
            </w:r>
          </w:p>
        </w:tc>
        <w:tc>
          <w:tcPr>
            <w:tcW w:w="497" w:type="pct"/>
            <w:tcBorders>
              <w:top w:val="nil"/>
              <w:left w:val="nil"/>
              <w:bottom w:val="nil"/>
              <w:right w:val="nil"/>
            </w:tcBorders>
            <w:shd w:val="clear" w:color="auto" w:fill="auto"/>
            <w:noWrap/>
            <w:vAlign w:val="bottom"/>
            <w:hideMark/>
          </w:tcPr>
          <w:p w14:paraId="668E4664"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18 500</w:t>
            </w:r>
          </w:p>
        </w:tc>
      </w:tr>
      <w:tr w:rsidR="00CB3C45" w:rsidRPr="004A5951" w14:paraId="7CB5CE84" w14:textId="77777777" w:rsidTr="00842F2E">
        <w:trPr>
          <w:trHeight w:val="300"/>
        </w:trPr>
        <w:tc>
          <w:tcPr>
            <w:tcW w:w="2501" w:type="pct"/>
            <w:tcBorders>
              <w:top w:val="nil"/>
              <w:left w:val="nil"/>
              <w:bottom w:val="nil"/>
              <w:right w:val="nil"/>
            </w:tcBorders>
            <w:shd w:val="clear" w:color="auto" w:fill="auto"/>
            <w:noWrap/>
            <w:vAlign w:val="bottom"/>
            <w:hideMark/>
          </w:tcPr>
          <w:p w14:paraId="60FD8448" w14:textId="77777777" w:rsidR="00CB3C45" w:rsidRPr="004A5951" w:rsidRDefault="00CB3C45" w:rsidP="00842F2E">
            <w:pPr>
              <w:spacing w:after="0" w:line="240" w:lineRule="auto"/>
              <w:jc w:val="left"/>
              <w:rPr>
                <w:rFonts w:eastAsia="Times New Roman" w:cs="Times New Roman"/>
                <w:sz w:val="18"/>
                <w:szCs w:val="18"/>
                <w:lang w:eastAsia="sk-SK"/>
              </w:rPr>
            </w:pPr>
            <w:r w:rsidRPr="004A5951">
              <w:rPr>
                <w:rFonts w:eastAsia="Times New Roman" w:cs="Times New Roman"/>
                <w:sz w:val="18"/>
                <w:szCs w:val="18"/>
                <w:lang w:eastAsia="sk-SK"/>
              </w:rPr>
              <w:t>Finančné výpomoci</w:t>
            </w:r>
          </w:p>
        </w:tc>
        <w:tc>
          <w:tcPr>
            <w:tcW w:w="667" w:type="pct"/>
            <w:tcBorders>
              <w:top w:val="nil"/>
              <w:left w:val="nil"/>
              <w:bottom w:val="nil"/>
              <w:right w:val="nil"/>
            </w:tcBorders>
            <w:shd w:val="clear" w:color="auto" w:fill="auto"/>
            <w:noWrap/>
            <w:vAlign w:val="bottom"/>
            <w:hideMark/>
          </w:tcPr>
          <w:p w14:paraId="78C89FA3"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46 549</w:t>
            </w:r>
          </w:p>
        </w:tc>
        <w:tc>
          <w:tcPr>
            <w:tcW w:w="666" w:type="pct"/>
            <w:tcBorders>
              <w:top w:val="nil"/>
              <w:left w:val="nil"/>
              <w:bottom w:val="nil"/>
              <w:right w:val="nil"/>
            </w:tcBorders>
            <w:shd w:val="clear" w:color="auto" w:fill="auto"/>
            <w:noWrap/>
            <w:vAlign w:val="bottom"/>
            <w:hideMark/>
          </w:tcPr>
          <w:p w14:paraId="43A1161E"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25 209</w:t>
            </w:r>
          </w:p>
        </w:tc>
        <w:tc>
          <w:tcPr>
            <w:tcW w:w="669" w:type="pct"/>
            <w:tcBorders>
              <w:top w:val="nil"/>
              <w:left w:val="nil"/>
              <w:bottom w:val="nil"/>
              <w:right w:val="nil"/>
            </w:tcBorders>
            <w:shd w:val="clear" w:color="000000" w:fill="BFBFBF"/>
            <w:noWrap/>
            <w:vAlign w:val="bottom"/>
            <w:hideMark/>
          </w:tcPr>
          <w:p w14:paraId="15DA57F0"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121 095</w:t>
            </w:r>
          </w:p>
        </w:tc>
        <w:tc>
          <w:tcPr>
            <w:tcW w:w="497" w:type="pct"/>
            <w:tcBorders>
              <w:top w:val="nil"/>
              <w:left w:val="nil"/>
              <w:bottom w:val="nil"/>
              <w:right w:val="nil"/>
            </w:tcBorders>
            <w:shd w:val="clear" w:color="auto" w:fill="auto"/>
            <w:noWrap/>
            <w:vAlign w:val="bottom"/>
            <w:hideMark/>
          </w:tcPr>
          <w:p w14:paraId="746C6043"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95 886</w:t>
            </w:r>
          </w:p>
        </w:tc>
      </w:tr>
      <w:tr w:rsidR="00CB3C45" w:rsidRPr="004A5951" w14:paraId="45154054" w14:textId="77777777" w:rsidTr="00842F2E">
        <w:trPr>
          <w:trHeight w:val="300"/>
        </w:trPr>
        <w:tc>
          <w:tcPr>
            <w:tcW w:w="2501" w:type="pct"/>
            <w:tcBorders>
              <w:top w:val="nil"/>
              <w:left w:val="nil"/>
              <w:bottom w:val="nil"/>
              <w:right w:val="nil"/>
            </w:tcBorders>
            <w:shd w:val="clear" w:color="auto" w:fill="auto"/>
            <w:noWrap/>
            <w:vAlign w:val="bottom"/>
            <w:hideMark/>
          </w:tcPr>
          <w:p w14:paraId="65C0989C" w14:textId="77777777" w:rsidR="00CB3C45" w:rsidRPr="004A5951" w:rsidRDefault="00CB3C45" w:rsidP="00842F2E">
            <w:pPr>
              <w:spacing w:after="0" w:line="240" w:lineRule="auto"/>
              <w:jc w:val="left"/>
              <w:rPr>
                <w:rFonts w:eastAsia="Times New Roman" w:cs="Times New Roman"/>
                <w:sz w:val="18"/>
                <w:szCs w:val="18"/>
                <w:lang w:eastAsia="sk-SK"/>
              </w:rPr>
            </w:pPr>
            <w:r w:rsidRPr="004A5951">
              <w:rPr>
                <w:rFonts w:eastAsia="Times New Roman" w:cs="Times New Roman"/>
                <w:sz w:val="18"/>
                <w:szCs w:val="18"/>
                <w:lang w:eastAsia="sk-SK"/>
              </w:rPr>
              <w:t xml:space="preserve">   z toho: NFV z VPS a ŠD (konsoliduje sa)</w:t>
            </w:r>
          </w:p>
        </w:tc>
        <w:tc>
          <w:tcPr>
            <w:tcW w:w="667" w:type="pct"/>
            <w:tcBorders>
              <w:top w:val="nil"/>
              <w:left w:val="nil"/>
              <w:bottom w:val="nil"/>
              <w:right w:val="nil"/>
            </w:tcBorders>
            <w:shd w:val="clear" w:color="auto" w:fill="auto"/>
            <w:noWrap/>
            <w:vAlign w:val="bottom"/>
            <w:hideMark/>
          </w:tcPr>
          <w:p w14:paraId="28AB7FDA"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46 315</w:t>
            </w:r>
          </w:p>
        </w:tc>
        <w:tc>
          <w:tcPr>
            <w:tcW w:w="666" w:type="pct"/>
            <w:tcBorders>
              <w:top w:val="nil"/>
              <w:left w:val="nil"/>
              <w:bottom w:val="nil"/>
              <w:right w:val="nil"/>
            </w:tcBorders>
            <w:shd w:val="clear" w:color="auto" w:fill="auto"/>
            <w:noWrap/>
            <w:vAlign w:val="bottom"/>
            <w:hideMark/>
          </w:tcPr>
          <w:p w14:paraId="5654863E"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23 250</w:t>
            </w:r>
          </w:p>
        </w:tc>
        <w:tc>
          <w:tcPr>
            <w:tcW w:w="669" w:type="pct"/>
            <w:tcBorders>
              <w:top w:val="nil"/>
              <w:left w:val="nil"/>
              <w:bottom w:val="nil"/>
              <w:right w:val="nil"/>
            </w:tcBorders>
            <w:shd w:val="clear" w:color="000000" w:fill="BFBFBF"/>
            <w:noWrap/>
            <w:vAlign w:val="bottom"/>
            <w:hideMark/>
          </w:tcPr>
          <w:p w14:paraId="03AECD45"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121 095</w:t>
            </w:r>
          </w:p>
        </w:tc>
        <w:tc>
          <w:tcPr>
            <w:tcW w:w="497" w:type="pct"/>
            <w:tcBorders>
              <w:top w:val="nil"/>
              <w:left w:val="nil"/>
              <w:bottom w:val="nil"/>
              <w:right w:val="nil"/>
            </w:tcBorders>
            <w:shd w:val="clear" w:color="auto" w:fill="auto"/>
            <w:noWrap/>
            <w:vAlign w:val="bottom"/>
            <w:hideMark/>
          </w:tcPr>
          <w:p w14:paraId="64059440"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97 845</w:t>
            </w:r>
          </w:p>
        </w:tc>
      </w:tr>
      <w:tr w:rsidR="00CB3C45" w:rsidRPr="004A5951" w14:paraId="2D237EA9" w14:textId="77777777" w:rsidTr="00842F2E">
        <w:trPr>
          <w:trHeight w:val="300"/>
        </w:trPr>
        <w:tc>
          <w:tcPr>
            <w:tcW w:w="2501" w:type="pct"/>
            <w:tcBorders>
              <w:top w:val="nil"/>
              <w:left w:val="nil"/>
              <w:bottom w:val="nil"/>
              <w:right w:val="nil"/>
            </w:tcBorders>
            <w:shd w:val="clear" w:color="auto" w:fill="auto"/>
            <w:noWrap/>
            <w:vAlign w:val="bottom"/>
            <w:hideMark/>
          </w:tcPr>
          <w:p w14:paraId="5B51B1A1" w14:textId="77777777" w:rsidR="00CB3C45" w:rsidRPr="004A5951" w:rsidRDefault="00CB3C45" w:rsidP="00842F2E">
            <w:pPr>
              <w:spacing w:after="0" w:line="240" w:lineRule="auto"/>
              <w:jc w:val="left"/>
              <w:rPr>
                <w:rFonts w:eastAsia="Times New Roman" w:cs="Times New Roman"/>
                <w:sz w:val="18"/>
                <w:szCs w:val="18"/>
                <w:lang w:eastAsia="sk-SK"/>
              </w:rPr>
            </w:pPr>
            <w:r w:rsidRPr="004A5951">
              <w:rPr>
                <w:rFonts w:eastAsia="Times New Roman" w:cs="Times New Roman"/>
                <w:sz w:val="18"/>
                <w:szCs w:val="18"/>
                <w:lang w:eastAsia="sk-SK"/>
              </w:rPr>
              <w:t xml:space="preserve">   od </w:t>
            </w:r>
            <w:proofErr w:type="spellStart"/>
            <w:r w:rsidRPr="004A5951">
              <w:rPr>
                <w:rFonts w:eastAsia="Times New Roman" w:cs="Times New Roman"/>
                <w:sz w:val="18"/>
                <w:szCs w:val="18"/>
                <w:lang w:eastAsia="sk-SK"/>
              </w:rPr>
              <w:t>ostat</w:t>
            </w:r>
            <w:proofErr w:type="spellEnd"/>
            <w:r w:rsidRPr="004A5951">
              <w:rPr>
                <w:rFonts w:eastAsia="Times New Roman" w:cs="Times New Roman"/>
                <w:sz w:val="18"/>
                <w:szCs w:val="18"/>
                <w:lang w:eastAsia="sk-SK"/>
              </w:rPr>
              <w:t xml:space="preserve">. </w:t>
            </w:r>
            <w:proofErr w:type="spellStart"/>
            <w:r w:rsidRPr="004A5951">
              <w:rPr>
                <w:rFonts w:eastAsia="Times New Roman" w:cs="Times New Roman"/>
                <w:sz w:val="18"/>
                <w:szCs w:val="18"/>
                <w:lang w:eastAsia="sk-SK"/>
              </w:rPr>
              <w:t>subj</w:t>
            </w:r>
            <w:proofErr w:type="spellEnd"/>
            <w:r w:rsidRPr="004A5951">
              <w:rPr>
                <w:rFonts w:eastAsia="Times New Roman" w:cs="Times New Roman"/>
                <w:sz w:val="18"/>
                <w:szCs w:val="18"/>
                <w:lang w:eastAsia="sk-SK"/>
              </w:rPr>
              <w:t>. verejnej správy (konsoliduje sa)</w:t>
            </w:r>
          </w:p>
        </w:tc>
        <w:tc>
          <w:tcPr>
            <w:tcW w:w="667" w:type="pct"/>
            <w:tcBorders>
              <w:top w:val="nil"/>
              <w:left w:val="nil"/>
              <w:bottom w:val="nil"/>
              <w:right w:val="nil"/>
            </w:tcBorders>
            <w:shd w:val="clear" w:color="auto" w:fill="auto"/>
            <w:noWrap/>
            <w:vAlign w:val="bottom"/>
            <w:hideMark/>
          </w:tcPr>
          <w:p w14:paraId="68184288"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234</w:t>
            </w:r>
          </w:p>
        </w:tc>
        <w:tc>
          <w:tcPr>
            <w:tcW w:w="666" w:type="pct"/>
            <w:tcBorders>
              <w:top w:val="nil"/>
              <w:left w:val="nil"/>
              <w:bottom w:val="nil"/>
              <w:right w:val="nil"/>
            </w:tcBorders>
            <w:shd w:val="clear" w:color="auto" w:fill="auto"/>
            <w:noWrap/>
            <w:vAlign w:val="bottom"/>
            <w:hideMark/>
          </w:tcPr>
          <w:p w14:paraId="05BD3B78"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1 959</w:t>
            </w:r>
          </w:p>
        </w:tc>
        <w:tc>
          <w:tcPr>
            <w:tcW w:w="669" w:type="pct"/>
            <w:tcBorders>
              <w:top w:val="nil"/>
              <w:left w:val="nil"/>
              <w:bottom w:val="nil"/>
              <w:right w:val="nil"/>
            </w:tcBorders>
            <w:shd w:val="clear" w:color="000000" w:fill="BFBFBF"/>
            <w:noWrap/>
            <w:vAlign w:val="bottom"/>
            <w:hideMark/>
          </w:tcPr>
          <w:p w14:paraId="479F18D3"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0</w:t>
            </w:r>
          </w:p>
        </w:tc>
        <w:tc>
          <w:tcPr>
            <w:tcW w:w="497" w:type="pct"/>
            <w:tcBorders>
              <w:top w:val="nil"/>
              <w:left w:val="nil"/>
              <w:bottom w:val="nil"/>
              <w:right w:val="nil"/>
            </w:tcBorders>
            <w:shd w:val="clear" w:color="auto" w:fill="auto"/>
            <w:noWrap/>
            <w:vAlign w:val="bottom"/>
            <w:hideMark/>
          </w:tcPr>
          <w:p w14:paraId="3D883344"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-1 959</w:t>
            </w:r>
          </w:p>
        </w:tc>
      </w:tr>
      <w:tr w:rsidR="00CB3C45" w:rsidRPr="004A5951" w14:paraId="335707E6" w14:textId="77777777" w:rsidTr="00842F2E">
        <w:trPr>
          <w:trHeight w:val="300"/>
        </w:trPr>
        <w:tc>
          <w:tcPr>
            <w:tcW w:w="2501" w:type="pct"/>
            <w:tcBorders>
              <w:top w:val="nil"/>
              <w:left w:val="nil"/>
              <w:bottom w:val="nil"/>
              <w:right w:val="nil"/>
            </w:tcBorders>
            <w:shd w:val="clear" w:color="auto" w:fill="auto"/>
            <w:noWrap/>
            <w:vAlign w:val="bottom"/>
            <w:hideMark/>
          </w:tcPr>
          <w:p w14:paraId="45BEF3C2" w14:textId="77777777" w:rsidR="00CB3C45" w:rsidRPr="004A5951" w:rsidRDefault="00CB3C45" w:rsidP="00842F2E">
            <w:pPr>
              <w:spacing w:after="0" w:line="240" w:lineRule="auto"/>
              <w:jc w:val="left"/>
              <w:rPr>
                <w:rFonts w:eastAsia="Times New Roman" w:cs="Times New Roman"/>
                <w:sz w:val="18"/>
                <w:szCs w:val="18"/>
                <w:lang w:eastAsia="sk-SK"/>
              </w:rPr>
            </w:pPr>
            <w:r w:rsidRPr="004A5951">
              <w:rPr>
                <w:rFonts w:eastAsia="Times New Roman" w:cs="Times New Roman"/>
                <w:sz w:val="18"/>
                <w:szCs w:val="18"/>
                <w:lang w:eastAsia="sk-SK"/>
              </w:rPr>
              <w:t>Zábezpeky</w:t>
            </w:r>
          </w:p>
        </w:tc>
        <w:tc>
          <w:tcPr>
            <w:tcW w:w="667" w:type="pct"/>
            <w:tcBorders>
              <w:top w:val="nil"/>
              <w:left w:val="nil"/>
              <w:bottom w:val="nil"/>
              <w:right w:val="nil"/>
            </w:tcBorders>
            <w:shd w:val="clear" w:color="auto" w:fill="auto"/>
            <w:noWrap/>
            <w:vAlign w:val="bottom"/>
            <w:hideMark/>
          </w:tcPr>
          <w:p w14:paraId="499A3590"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20 940</w:t>
            </w:r>
          </w:p>
        </w:tc>
        <w:tc>
          <w:tcPr>
            <w:tcW w:w="666" w:type="pct"/>
            <w:tcBorders>
              <w:top w:val="nil"/>
              <w:left w:val="nil"/>
              <w:bottom w:val="nil"/>
              <w:right w:val="nil"/>
            </w:tcBorders>
            <w:shd w:val="clear" w:color="auto" w:fill="auto"/>
            <w:noWrap/>
            <w:vAlign w:val="bottom"/>
            <w:hideMark/>
          </w:tcPr>
          <w:p w14:paraId="3C05B838"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22 747</w:t>
            </w:r>
          </w:p>
        </w:tc>
        <w:tc>
          <w:tcPr>
            <w:tcW w:w="669" w:type="pct"/>
            <w:tcBorders>
              <w:top w:val="nil"/>
              <w:left w:val="nil"/>
              <w:bottom w:val="nil"/>
              <w:right w:val="nil"/>
            </w:tcBorders>
            <w:shd w:val="clear" w:color="000000" w:fill="BFBFBF"/>
            <w:noWrap/>
            <w:vAlign w:val="bottom"/>
            <w:hideMark/>
          </w:tcPr>
          <w:p w14:paraId="42790D31"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23 714</w:t>
            </w:r>
          </w:p>
        </w:tc>
        <w:tc>
          <w:tcPr>
            <w:tcW w:w="497" w:type="pct"/>
            <w:tcBorders>
              <w:top w:val="nil"/>
              <w:left w:val="nil"/>
              <w:bottom w:val="nil"/>
              <w:right w:val="nil"/>
            </w:tcBorders>
            <w:shd w:val="clear" w:color="auto" w:fill="auto"/>
            <w:noWrap/>
            <w:vAlign w:val="bottom"/>
            <w:hideMark/>
          </w:tcPr>
          <w:p w14:paraId="38FBEA44"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967</w:t>
            </w:r>
          </w:p>
        </w:tc>
      </w:tr>
      <w:tr w:rsidR="00CB3C45" w:rsidRPr="004A5951" w14:paraId="62B4A83E" w14:textId="77777777" w:rsidTr="00842F2E">
        <w:trPr>
          <w:trHeight w:val="300"/>
        </w:trPr>
        <w:tc>
          <w:tcPr>
            <w:tcW w:w="2501" w:type="pct"/>
            <w:tcBorders>
              <w:top w:val="nil"/>
              <w:left w:val="nil"/>
              <w:bottom w:val="nil"/>
              <w:right w:val="nil"/>
            </w:tcBorders>
            <w:shd w:val="clear" w:color="auto" w:fill="auto"/>
            <w:noWrap/>
            <w:vAlign w:val="bottom"/>
            <w:hideMark/>
          </w:tcPr>
          <w:p w14:paraId="2CD6CA30" w14:textId="77777777" w:rsidR="00CB3C45" w:rsidRPr="004A5951" w:rsidRDefault="00CB3C45" w:rsidP="00842F2E">
            <w:pPr>
              <w:spacing w:after="0" w:line="240" w:lineRule="auto"/>
              <w:jc w:val="left"/>
              <w:rPr>
                <w:rFonts w:eastAsia="Times New Roman" w:cs="Times New Roman"/>
                <w:sz w:val="18"/>
                <w:szCs w:val="18"/>
                <w:lang w:eastAsia="sk-SK"/>
              </w:rPr>
            </w:pPr>
            <w:r w:rsidRPr="004A5951">
              <w:rPr>
                <w:rFonts w:eastAsia="Times New Roman" w:cs="Times New Roman"/>
                <w:sz w:val="18"/>
                <w:szCs w:val="18"/>
                <w:lang w:eastAsia="sk-SK"/>
              </w:rPr>
              <w:t>Dlhodobé záväzky z obchodného styku a prijaté preddavky</w:t>
            </w:r>
          </w:p>
        </w:tc>
        <w:tc>
          <w:tcPr>
            <w:tcW w:w="667" w:type="pct"/>
            <w:tcBorders>
              <w:top w:val="nil"/>
              <w:left w:val="nil"/>
              <w:bottom w:val="nil"/>
              <w:right w:val="nil"/>
            </w:tcBorders>
            <w:shd w:val="clear" w:color="auto" w:fill="auto"/>
            <w:noWrap/>
            <w:vAlign w:val="bottom"/>
            <w:hideMark/>
          </w:tcPr>
          <w:p w14:paraId="47175FCA"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17 902</w:t>
            </w:r>
          </w:p>
        </w:tc>
        <w:tc>
          <w:tcPr>
            <w:tcW w:w="666" w:type="pct"/>
            <w:tcBorders>
              <w:top w:val="nil"/>
              <w:left w:val="nil"/>
              <w:bottom w:val="nil"/>
              <w:right w:val="nil"/>
            </w:tcBorders>
            <w:shd w:val="clear" w:color="auto" w:fill="auto"/>
            <w:noWrap/>
            <w:vAlign w:val="bottom"/>
            <w:hideMark/>
          </w:tcPr>
          <w:p w14:paraId="66C2A5BE"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17 490</w:t>
            </w:r>
          </w:p>
        </w:tc>
        <w:tc>
          <w:tcPr>
            <w:tcW w:w="669" w:type="pct"/>
            <w:tcBorders>
              <w:top w:val="nil"/>
              <w:left w:val="nil"/>
              <w:bottom w:val="nil"/>
              <w:right w:val="nil"/>
            </w:tcBorders>
            <w:shd w:val="clear" w:color="000000" w:fill="BFBFBF"/>
            <w:noWrap/>
            <w:vAlign w:val="bottom"/>
            <w:hideMark/>
          </w:tcPr>
          <w:p w14:paraId="545D504D"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16 923</w:t>
            </w:r>
          </w:p>
        </w:tc>
        <w:tc>
          <w:tcPr>
            <w:tcW w:w="497" w:type="pct"/>
            <w:tcBorders>
              <w:top w:val="nil"/>
              <w:left w:val="nil"/>
              <w:bottom w:val="nil"/>
              <w:right w:val="nil"/>
            </w:tcBorders>
            <w:shd w:val="clear" w:color="auto" w:fill="auto"/>
            <w:noWrap/>
            <w:vAlign w:val="bottom"/>
            <w:hideMark/>
          </w:tcPr>
          <w:p w14:paraId="1ADE717E"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-567</w:t>
            </w:r>
          </w:p>
        </w:tc>
      </w:tr>
      <w:tr w:rsidR="00CB3C45" w:rsidRPr="004A5951" w14:paraId="5506ECDA" w14:textId="77777777" w:rsidTr="00842F2E">
        <w:trPr>
          <w:trHeight w:val="300"/>
        </w:trPr>
        <w:tc>
          <w:tcPr>
            <w:tcW w:w="2501" w:type="pct"/>
            <w:tcBorders>
              <w:top w:val="nil"/>
              <w:left w:val="nil"/>
              <w:bottom w:val="nil"/>
              <w:right w:val="nil"/>
            </w:tcBorders>
            <w:shd w:val="clear" w:color="auto" w:fill="auto"/>
            <w:noWrap/>
            <w:vAlign w:val="bottom"/>
            <w:hideMark/>
          </w:tcPr>
          <w:p w14:paraId="47A73893" w14:textId="77777777" w:rsidR="00CB3C45" w:rsidRPr="004A5951" w:rsidRDefault="00CB3C45" w:rsidP="00842F2E">
            <w:pPr>
              <w:spacing w:after="0" w:line="240" w:lineRule="auto"/>
              <w:jc w:val="left"/>
              <w:rPr>
                <w:rFonts w:eastAsia="Times New Roman" w:cs="Times New Roman"/>
                <w:sz w:val="18"/>
                <w:szCs w:val="18"/>
                <w:lang w:eastAsia="sk-SK"/>
              </w:rPr>
            </w:pPr>
            <w:r w:rsidRPr="004A5951">
              <w:rPr>
                <w:rFonts w:eastAsia="Times New Roman" w:cs="Times New Roman"/>
                <w:sz w:val="18"/>
                <w:szCs w:val="18"/>
                <w:lang w:eastAsia="sk-SK"/>
              </w:rPr>
              <w:t>Investičné dodávateľské úvery a dodávateľské úvery</w:t>
            </w:r>
          </w:p>
        </w:tc>
        <w:tc>
          <w:tcPr>
            <w:tcW w:w="667" w:type="pct"/>
            <w:tcBorders>
              <w:top w:val="nil"/>
              <w:left w:val="nil"/>
              <w:bottom w:val="nil"/>
              <w:right w:val="nil"/>
            </w:tcBorders>
            <w:shd w:val="clear" w:color="auto" w:fill="auto"/>
            <w:noWrap/>
            <w:vAlign w:val="bottom"/>
            <w:hideMark/>
          </w:tcPr>
          <w:p w14:paraId="75324860"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17 610</w:t>
            </w:r>
          </w:p>
        </w:tc>
        <w:tc>
          <w:tcPr>
            <w:tcW w:w="666" w:type="pct"/>
            <w:tcBorders>
              <w:top w:val="nil"/>
              <w:left w:val="nil"/>
              <w:bottom w:val="nil"/>
              <w:right w:val="nil"/>
            </w:tcBorders>
            <w:shd w:val="clear" w:color="auto" w:fill="auto"/>
            <w:noWrap/>
            <w:vAlign w:val="bottom"/>
            <w:hideMark/>
          </w:tcPr>
          <w:p w14:paraId="250F7713"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12 106</w:t>
            </w:r>
          </w:p>
        </w:tc>
        <w:tc>
          <w:tcPr>
            <w:tcW w:w="669" w:type="pct"/>
            <w:tcBorders>
              <w:top w:val="nil"/>
              <w:left w:val="nil"/>
              <w:bottom w:val="nil"/>
              <w:right w:val="nil"/>
            </w:tcBorders>
            <w:shd w:val="clear" w:color="000000" w:fill="BFBFBF"/>
            <w:noWrap/>
            <w:vAlign w:val="bottom"/>
            <w:hideMark/>
          </w:tcPr>
          <w:p w14:paraId="5D57D277"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12 043</w:t>
            </w:r>
          </w:p>
        </w:tc>
        <w:tc>
          <w:tcPr>
            <w:tcW w:w="497" w:type="pct"/>
            <w:tcBorders>
              <w:top w:val="nil"/>
              <w:left w:val="nil"/>
              <w:bottom w:val="nil"/>
              <w:right w:val="nil"/>
            </w:tcBorders>
            <w:shd w:val="clear" w:color="auto" w:fill="auto"/>
            <w:noWrap/>
            <w:vAlign w:val="bottom"/>
            <w:hideMark/>
          </w:tcPr>
          <w:p w14:paraId="0D3212C6"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-63</w:t>
            </w:r>
          </w:p>
        </w:tc>
      </w:tr>
      <w:tr w:rsidR="00CB3C45" w:rsidRPr="004A5951" w14:paraId="57E6DA81" w14:textId="77777777" w:rsidTr="00842F2E">
        <w:trPr>
          <w:trHeight w:val="300"/>
        </w:trPr>
        <w:tc>
          <w:tcPr>
            <w:tcW w:w="2501" w:type="pct"/>
            <w:tcBorders>
              <w:top w:val="nil"/>
              <w:left w:val="nil"/>
              <w:bottom w:val="nil"/>
              <w:right w:val="nil"/>
            </w:tcBorders>
            <w:shd w:val="clear" w:color="auto" w:fill="auto"/>
            <w:noWrap/>
            <w:vAlign w:val="bottom"/>
            <w:hideMark/>
          </w:tcPr>
          <w:p w14:paraId="05B94682" w14:textId="77777777" w:rsidR="00CB3C45" w:rsidRPr="004A5951" w:rsidRDefault="00CB3C45" w:rsidP="00842F2E">
            <w:pPr>
              <w:spacing w:after="0" w:line="240" w:lineRule="auto"/>
              <w:jc w:val="left"/>
              <w:rPr>
                <w:rFonts w:eastAsia="Times New Roman" w:cs="Times New Roman"/>
                <w:sz w:val="18"/>
                <w:szCs w:val="18"/>
                <w:lang w:eastAsia="sk-SK"/>
              </w:rPr>
            </w:pPr>
            <w:r w:rsidRPr="004A5951">
              <w:rPr>
                <w:rFonts w:eastAsia="Times New Roman" w:cs="Times New Roman"/>
                <w:sz w:val="18"/>
                <w:szCs w:val="18"/>
                <w:lang w:eastAsia="sk-SK"/>
              </w:rPr>
              <w:t>Finančný prenájom</w:t>
            </w:r>
          </w:p>
        </w:tc>
        <w:tc>
          <w:tcPr>
            <w:tcW w:w="667" w:type="pct"/>
            <w:tcBorders>
              <w:top w:val="nil"/>
              <w:left w:val="nil"/>
              <w:bottom w:val="nil"/>
              <w:right w:val="nil"/>
            </w:tcBorders>
            <w:shd w:val="clear" w:color="auto" w:fill="auto"/>
            <w:noWrap/>
            <w:vAlign w:val="bottom"/>
            <w:hideMark/>
          </w:tcPr>
          <w:p w14:paraId="2FD29E80"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5 343</w:t>
            </w:r>
          </w:p>
        </w:tc>
        <w:tc>
          <w:tcPr>
            <w:tcW w:w="666" w:type="pct"/>
            <w:tcBorders>
              <w:top w:val="nil"/>
              <w:left w:val="nil"/>
              <w:bottom w:val="nil"/>
              <w:right w:val="nil"/>
            </w:tcBorders>
            <w:shd w:val="clear" w:color="auto" w:fill="auto"/>
            <w:noWrap/>
            <w:vAlign w:val="bottom"/>
            <w:hideMark/>
          </w:tcPr>
          <w:p w14:paraId="3E1773F6"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5 236</w:t>
            </w:r>
          </w:p>
        </w:tc>
        <w:tc>
          <w:tcPr>
            <w:tcW w:w="669" w:type="pct"/>
            <w:tcBorders>
              <w:top w:val="nil"/>
              <w:left w:val="nil"/>
              <w:bottom w:val="nil"/>
              <w:right w:val="nil"/>
            </w:tcBorders>
            <w:shd w:val="clear" w:color="000000" w:fill="BFBFBF"/>
            <w:noWrap/>
            <w:vAlign w:val="bottom"/>
            <w:hideMark/>
          </w:tcPr>
          <w:p w14:paraId="24C86794"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5 041</w:t>
            </w:r>
          </w:p>
        </w:tc>
        <w:tc>
          <w:tcPr>
            <w:tcW w:w="497" w:type="pct"/>
            <w:tcBorders>
              <w:top w:val="nil"/>
              <w:left w:val="nil"/>
              <w:bottom w:val="nil"/>
              <w:right w:val="nil"/>
            </w:tcBorders>
            <w:shd w:val="clear" w:color="auto" w:fill="auto"/>
            <w:noWrap/>
            <w:vAlign w:val="bottom"/>
            <w:hideMark/>
          </w:tcPr>
          <w:p w14:paraId="373A6FFC"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-195</w:t>
            </w:r>
          </w:p>
        </w:tc>
      </w:tr>
      <w:tr w:rsidR="00CB3C45" w:rsidRPr="004A5951" w14:paraId="4877A4AF" w14:textId="77777777" w:rsidTr="00842F2E">
        <w:trPr>
          <w:trHeight w:val="300"/>
        </w:trPr>
        <w:tc>
          <w:tcPr>
            <w:tcW w:w="2501" w:type="pct"/>
            <w:tcBorders>
              <w:top w:val="nil"/>
              <w:left w:val="nil"/>
              <w:bottom w:val="nil"/>
              <w:right w:val="nil"/>
            </w:tcBorders>
            <w:shd w:val="clear" w:color="auto" w:fill="auto"/>
            <w:noWrap/>
            <w:vAlign w:val="bottom"/>
            <w:hideMark/>
          </w:tcPr>
          <w:p w14:paraId="4E597D66" w14:textId="77777777" w:rsidR="00CB3C45" w:rsidRPr="004A5951" w:rsidRDefault="00CB3C45" w:rsidP="00842F2E">
            <w:pPr>
              <w:spacing w:after="0" w:line="240" w:lineRule="auto"/>
              <w:jc w:val="left"/>
              <w:rPr>
                <w:rFonts w:eastAsia="Times New Roman" w:cs="Times New Roman"/>
                <w:sz w:val="18"/>
                <w:szCs w:val="18"/>
                <w:lang w:eastAsia="sk-SK"/>
              </w:rPr>
            </w:pPr>
            <w:r w:rsidRPr="004A5951">
              <w:rPr>
                <w:rFonts w:eastAsia="Times New Roman" w:cs="Times New Roman"/>
                <w:sz w:val="18"/>
                <w:szCs w:val="18"/>
                <w:lang w:eastAsia="sk-SK"/>
              </w:rPr>
              <w:t>Ostatné nebankové pôžičky</w:t>
            </w:r>
          </w:p>
        </w:tc>
        <w:tc>
          <w:tcPr>
            <w:tcW w:w="667" w:type="pct"/>
            <w:tcBorders>
              <w:top w:val="nil"/>
              <w:left w:val="nil"/>
              <w:bottom w:val="nil"/>
              <w:right w:val="nil"/>
            </w:tcBorders>
            <w:shd w:val="clear" w:color="auto" w:fill="auto"/>
            <w:noWrap/>
            <w:vAlign w:val="bottom"/>
            <w:hideMark/>
          </w:tcPr>
          <w:p w14:paraId="5A2C9988"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3 901</w:t>
            </w:r>
          </w:p>
        </w:tc>
        <w:tc>
          <w:tcPr>
            <w:tcW w:w="666" w:type="pct"/>
            <w:tcBorders>
              <w:top w:val="nil"/>
              <w:left w:val="nil"/>
              <w:bottom w:val="nil"/>
              <w:right w:val="nil"/>
            </w:tcBorders>
            <w:shd w:val="clear" w:color="auto" w:fill="auto"/>
            <w:noWrap/>
            <w:vAlign w:val="bottom"/>
            <w:hideMark/>
          </w:tcPr>
          <w:p w14:paraId="7C0ACA53"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4 562</w:t>
            </w:r>
          </w:p>
        </w:tc>
        <w:tc>
          <w:tcPr>
            <w:tcW w:w="669" w:type="pct"/>
            <w:tcBorders>
              <w:top w:val="nil"/>
              <w:left w:val="nil"/>
              <w:bottom w:val="nil"/>
              <w:right w:val="nil"/>
            </w:tcBorders>
            <w:shd w:val="clear" w:color="000000" w:fill="BFBFBF"/>
            <w:noWrap/>
            <w:vAlign w:val="bottom"/>
            <w:hideMark/>
          </w:tcPr>
          <w:p w14:paraId="4500BCC6"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3 750</w:t>
            </w:r>
          </w:p>
        </w:tc>
        <w:tc>
          <w:tcPr>
            <w:tcW w:w="497" w:type="pct"/>
            <w:tcBorders>
              <w:top w:val="nil"/>
              <w:left w:val="nil"/>
              <w:bottom w:val="nil"/>
              <w:right w:val="nil"/>
            </w:tcBorders>
            <w:shd w:val="clear" w:color="auto" w:fill="auto"/>
            <w:noWrap/>
            <w:vAlign w:val="bottom"/>
            <w:hideMark/>
          </w:tcPr>
          <w:p w14:paraId="4856E40D"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-812</w:t>
            </w:r>
          </w:p>
        </w:tc>
      </w:tr>
      <w:tr w:rsidR="00CB3C45" w:rsidRPr="004A5951" w14:paraId="0E3C15CF" w14:textId="77777777" w:rsidTr="00842F2E">
        <w:trPr>
          <w:trHeight w:val="300"/>
        </w:trPr>
        <w:tc>
          <w:tcPr>
            <w:tcW w:w="2501" w:type="pct"/>
            <w:tcBorders>
              <w:top w:val="nil"/>
              <w:left w:val="nil"/>
              <w:bottom w:val="nil"/>
              <w:right w:val="nil"/>
            </w:tcBorders>
            <w:shd w:val="clear" w:color="auto" w:fill="auto"/>
            <w:noWrap/>
            <w:vAlign w:val="bottom"/>
            <w:hideMark/>
          </w:tcPr>
          <w:p w14:paraId="30F59EDF" w14:textId="77777777" w:rsidR="00CB3C45" w:rsidRPr="004A5951" w:rsidRDefault="00CB3C45" w:rsidP="00842F2E">
            <w:pPr>
              <w:spacing w:after="0" w:line="240" w:lineRule="auto"/>
              <w:jc w:val="left"/>
              <w:rPr>
                <w:rFonts w:eastAsia="Times New Roman" w:cs="Times New Roman"/>
                <w:sz w:val="18"/>
                <w:szCs w:val="18"/>
                <w:lang w:eastAsia="sk-SK"/>
              </w:rPr>
            </w:pPr>
            <w:r w:rsidRPr="004A5951">
              <w:rPr>
                <w:rFonts w:eastAsia="Times New Roman" w:cs="Times New Roman"/>
                <w:sz w:val="18"/>
                <w:szCs w:val="18"/>
                <w:lang w:eastAsia="sk-SK"/>
              </w:rPr>
              <w:t>Cenné papiere</w:t>
            </w:r>
          </w:p>
        </w:tc>
        <w:tc>
          <w:tcPr>
            <w:tcW w:w="667" w:type="pct"/>
            <w:tcBorders>
              <w:top w:val="nil"/>
              <w:left w:val="nil"/>
              <w:bottom w:val="nil"/>
              <w:right w:val="nil"/>
            </w:tcBorders>
            <w:shd w:val="clear" w:color="auto" w:fill="auto"/>
            <w:noWrap/>
            <w:vAlign w:val="bottom"/>
            <w:hideMark/>
          </w:tcPr>
          <w:p w14:paraId="59DCADEC"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2 839</w:t>
            </w:r>
          </w:p>
        </w:tc>
        <w:tc>
          <w:tcPr>
            <w:tcW w:w="666" w:type="pct"/>
            <w:tcBorders>
              <w:top w:val="nil"/>
              <w:left w:val="nil"/>
              <w:bottom w:val="nil"/>
              <w:right w:val="nil"/>
            </w:tcBorders>
            <w:shd w:val="clear" w:color="auto" w:fill="auto"/>
            <w:noWrap/>
            <w:vAlign w:val="bottom"/>
            <w:hideMark/>
          </w:tcPr>
          <w:p w14:paraId="02091992"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3 090</w:t>
            </w:r>
          </w:p>
        </w:tc>
        <w:tc>
          <w:tcPr>
            <w:tcW w:w="669" w:type="pct"/>
            <w:tcBorders>
              <w:top w:val="nil"/>
              <w:left w:val="nil"/>
              <w:bottom w:val="nil"/>
              <w:right w:val="nil"/>
            </w:tcBorders>
            <w:shd w:val="clear" w:color="000000" w:fill="BFBFBF"/>
            <w:noWrap/>
            <w:vAlign w:val="bottom"/>
            <w:hideMark/>
          </w:tcPr>
          <w:p w14:paraId="3226998E"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3 068</w:t>
            </w:r>
          </w:p>
        </w:tc>
        <w:tc>
          <w:tcPr>
            <w:tcW w:w="497" w:type="pct"/>
            <w:tcBorders>
              <w:top w:val="nil"/>
              <w:left w:val="nil"/>
              <w:bottom w:val="nil"/>
              <w:right w:val="nil"/>
            </w:tcBorders>
            <w:shd w:val="clear" w:color="auto" w:fill="auto"/>
            <w:noWrap/>
            <w:vAlign w:val="bottom"/>
            <w:hideMark/>
          </w:tcPr>
          <w:p w14:paraId="0DDDBA2D"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-22</w:t>
            </w:r>
          </w:p>
        </w:tc>
      </w:tr>
      <w:tr w:rsidR="00CB3C45" w:rsidRPr="004A5951" w14:paraId="56DDFCEB" w14:textId="77777777" w:rsidTr="00842F2E">
        <w:trPr>
          <w:trHeight w:val="300"/>
        </w:trPr>
        <w:tc>
          <w:tcPr>
            <w:tcW w:w="2501" w:type="pct"/>
            <w:tcBorders>
              <w:top w:val="nil"/>
              <w:left w:val="nil"/>
              <w:bottom w:val="nil"/>
              <w:right w:val="nil"/>
            </w:tcBorders>
            <w:shd w:val="clear" w:color="auto" w:fill="auto"/>
            <w:noWrap/>
            <w:vAlign w:val="bottom"/>
            <w:hideMark/>
          </w:tcPr>
          <w:p w14:paraId="321D684A" w14:textId="77777777" w:rsidR="00CB3C45" w:rsidRPr="004A5951" w:rsidRDefault="00CB3C45" w:rsidP="00842F2E">
            <w:pPr>
              <w:spacing w:after="0" w:line="240" w:lineRule="auto"/>
              <w:jc w:val="left"/>
              <w:rPr>
                <w:rFonts w:eastAsia="Times New Roman" w:cs="Times New Roman"/>
                <w:sz w:val="18"/>
                <w:szCs w:val="18"/>
                <w:lang w:eastAsia="sk-SK"/>
              </w:rPr>
            </w:pPr>
            <w:r w:rsidRPr="004A5951">
              <w:rPr>
                <w:rFonts w:eastAsia="Times New Roman" w:cs="Times New Roman"/>
                <w:sz w:val="18"/>
                <w:szCs w:val="18"/>
                <w:lang w:eastAsia="sk-SK"/>
              </w:rPr>
              <w:t>Pôžičky z ENVF (konsoliduje sa)</w:t>
            </w:r>
          </w:p>
        </w:tc>
        <w:tc>
          <w:tcPr>
            <w:tcW w:w="667" w:type="pct"/>
            <w:tcBorders>
              <w:top w:val="nil"/>
              <w:left w:val="nil"/>
              <w:bottom w:val="nil"/>
              <w:right w:val="nil"/>
            </w:tcBorders>
            <w:shd w:val="clear" w:color="auto" w:fill="auto"/>
            <w:noWrap/>
            <w:vAlign w:val="bottom"/>
            <w:hideMark/>
          </w:tcPr>
          <w:p w14:paraId="2D369A4D"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1 111</w:t>
            </w:r>
          </w:p>
        </w:tc>
        <w:tc>
          <w:tcPr>
            <w:tcW w:w="666" w:type="pct"/>
            <w:tcBorders>
              <w:top w:val="nil"/>
              <w:left w:val="nil"/>
              <w:bottom w:val="nil"/>
              <w:right w:val="nil"/>
            </w:tcBorders>
            <w:shd w:val="clear" w:color="auto" w:fill="auto"/>
            <w:noWrap/>
            <w:vAlign w:val="bottom"/>
            <w:hideMark/>
          </w:tcPr>
          <w:p w14:paraId="22CA5763"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948</w:t>
            </w:r>
          </w:p>
        </w:tc>
        <w:tc>
          <w:tcPr>
            <w:tcW w:w="669" w:type="pct"/>
            <w:tcBorders>
              <w:top w:val="nil"/>
              <w:left w:val="nil"/>
              <w:bottom w:val="nil"/>
              <w:right w:val="nil"/>
            </w:tcBorders>
            <w:shd w:val="clear" w:color="000000" w:fill="BFBFBF"/>
            <w:noWrap/>
            <w:vAlign w:val="bottom"/>
            <w:hideMark/>
          </w:tcPr>
          <w:p w14:paraId="47873B85"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962</w:t>
            </w:r>
          </w:p>
        </w:tc>
        <w:tc>
          <w:tcPr>
            <w:tcW w:w="497" w:type="pct"/>
            <w:tcBorders>
              <w:top w:val="nil"/>
              <w:left w:val="nil"/>
              <w:bottom w:val="nil"/>
              <w:right w:val="nil"/>
            </w:tcBorders>
            <w:shd w:val="clear" w:color="auto" w:fill="auto"/>
            <w:noWrap/>
            <w:vAlign w:val="bottom"/>
            <w:hideMark/>
          </w:tcPr>
          <w:p w14:paraId="2A032CE4"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14</w:t>
            </w:r>
          </w:p>
        </w:tc>
      </w:tr>
      <w:tr w:rsidR="00CB3C45" w:rsidRPr="004A5951" w14:paraId="1AD58139" w14:textId="77777777" w:rsidTr="009D462F">
        <w:trPr>
          <w:trHeight w:val="300"/>
        </w:trPr>
        <w:tc>
          <w:tcPr>
            <w:tcW w:w="2501" w:type="pct"/>
            <w:tcBorders>
              <w:top w:val="nil"/>
              <w:left w:val="nil"/>
              <w:bottom w:val="single" w:sz="4" w:space="0" w:color="auto"/>
              <w:right w:val="nil"/>
            </w:tcBorders>
            <w:shd w:val="clear" w:color="auto" w:fill="auto"/>
            <w:noWrap/>
            <w:vAlign w:val="bottom"/>
            <w:hideMark/>
          </w:tcPr>
          <w:p w14:paraId="1D3CB843" w14:textId="77777777" w:rsidR="00CB3C45" w:rsidRPr="004A5951" w:rsidRDefault="00CB3C45" w:rsidP="00842F2E">
            <w:pPr>
              <w:spacing w:after="0" w:line="240" w:lineRule="auto"/>
              <w:jc w:val="left"/>
              <w:rPr>
                <w:rFonts w:eastAsia="Times New Roman" w:cs="Times New Roman"/>
                <w:b/>
                <w:bCs/>
                <w:sz w:val="18"/>
                <w:szCs w:val="18"/>
                <w:lang w:eastAsia="sk-SK"/>
              </w:rPr>
            </w:pPr>
            <w:r w:rsidRPr="004A5951">
              <w:rPr>
                <w:rFonts w:eastAsia="Times New Roman" w:cs="Times New Roman"/>
                <w:b/>
                <w:bCs/>
                <w:sz w:val="18"/>
                <w:szCs w:val="18"/>
                <w:lang w:eastAsia="sk-SK"/>
              </w:rPr>
              <w:t>Spolu nekonsolidovaný dlh obcí</w:t>
            </w:r>
          </w:p>
        </w:tc>
        <w:tc>
          <w:tcPr>
            <w:tcW w:w="667" w:type="pct"/>
            <w:tcBorders>
              <w:top w:val="nil"/>
              <w:left w:val="nil"/>
              <w:bottom w:val="single" w:sz="4" w:space="0" w:color="auto"/>
              <w:right w:val="nil"/>
            </w:tcBorders>
            <w:shd w:val="clear" w:color="auto" w:fill="auto"/>
            <w:noWrap/>
            <w:vAlign w:val="bottom"/>
            <w:hideMark/>
          </w:tcPr>
          <w:p w14:paraId="3D75A39A" w14:textId="77777777" w:rsidR="00CB3C45" w:rsidRPr="004A5951" w:rsidRDefault="00CB3C45" w:rsidP="00842F2E">
            <w:pPr>
              <w:spacing w:after="0" w:line="240" w:lineRule="auto"/>
              <w:jc w:val="right"/>
              <w:rPr>
                <w:rFonts w:eastAsia="Times New Roman" w:cs="Times New Roman"/>
                <w:b/>
                <w:bCs/>
                <w:sz w:val="18"/>
                <w:szCs w:val="18"/>
                <w:lang w:eastAsia="sk-SK"/>
              </w:rPr>
            </w:pPr>
            <w:r w:rsidRPr="004A5951">
              <w:rPr>
                <w:rFonts w:eastAsia="Times New Roman" w:cs="Times New Roman"/>
                <w:b/>
                <w:bCs/>
                <w:sz w:val="18"/>
                <w:szCs w:val="18"/>
                <w:lang w:eastAsia="sk-SK"/>
              </w:rPr>
              <w:t>1 472 902</w:t>
            </w:r>
          </w:p>
        </w:tc>
        <w:tc>
          <w:tcPr>
            <w:tcW w:w="666" w:type="pct"/>
            <w:tcBorders>
              <w:top w:val="nil"/>
              <w:left w:val="nil"/>
              <w:bottom w:val="single" w:sz="4" w:space="0" w:color="auto"/>
              <w:right w:val="nil"/>
            </w:tcBorders>
            <w:shd w:val="clear" w:color="auto" w:fill="auto"/>
            <w:noWrap/>
            <w:vAlign w:val="bottom"/>
            <w:hideMark/>
          </w:tcPr>
          <w:p w14:paraId="65122CCD" w14:textId="77777777" w:rsidR="00CB3C45" w:rsidRPr="004A5951" w:rsidRDefault="00CB3C45" w:rsidP="00842F2E">
            <w:pPr>
              <w:spacing w:after="0" w:line="240" w:lineRule="auto"/>
              <w:jc w:val="right"/>
              <w:rPr>
                <w:rFonts w:eastAsia="Times New Roman" w:cs="Times New Roman"/>
                <w:b/>
                <w:bCs/>
                <w:sz w:val="18"/>
                <w:szCs w:val="18"/>
                <w:lang w:eastAsia="sk-SK"/>
              </w:rPr>
            </w:pPr>
            <w:r w:rsidRPr="004A5951">
              <w:rPr>
                <w:rFonts w:eastAsia="Times New Roman" w:cs="Times New Roman"/>
                <w:b/>
                <w:bCs/>
                <w:sz w:val="18"/>
                <w:szCs w:val="18"/>
                <w:lang w:eastAsia="sk-SK"/>
              </w:rPr>
              <w:t>1 490 908</w:t>
            </w:r>
          </w:p>
        </w:tc>
        <w:tc>
          <w:tcPr>
            <w:tcW w:w="669" w:type="pct"/>
            <w:tcBorders>
              <w:top w:val="nil"/>
              <w:left w:val="nil"/>
              <w:bottom w:val="single" w:sz="4" w:space="0" w:color="auto"/>
              <w:right w:val="nil"/>
            </w:tcBorders>
            <w:shd w:val="clear" w:color="000000" w:fill="BFBFBF"/>
            <w:noWrap/>
            <w:vAlign w:val="bottom"/>
            <w:hideMark/>
          </w:tcPr>
          <w:p w14:paraId="054D96DB" w14:textId="77777777" w:rsidR="00CB3C45" w:rsidRPr="004A5951" w:rsidRDefault="00CB3C45" w:rsidP="00842F2E">
            <w:pPr>
              <w:spacing w:after="0" w:line="240" w:lineRule="auto"/>
              <w:jc w:val="right"/>
              <w:rPr>
                <w:rFonts w:eastAsia="Times New Roman" w:cs="Times New Roman"/>
                <w:b/>
                <w:bCs/>
                <w:sz w:val="18"/>
                <w:szCs w:val="18"/>
                <w:lang w:eastAsia="sk-SK"/>
              </w:rPr>
            </w:pPr>
            <w:r w:rsidRPr="004A5951">
              <w:rPr>
                <w:rFonts w:eastAsia="Times New Roman" w:cs="Times New Roman"/>
                <w:b/>
                <w:bCs/>
                <w:sz w:val="18"/>
                <w:szCs w:val="18"/>
                <w:lang w:eastAsia="sk-SK"/>
              </w:rPr>
              <w:t>1 593 710</w:t>
            </w:r>
          </w:p>
        </w:tc>
        <w:tc>
          <w:tcPr>
            <w:tcW w:w="497" w:type="pct"/>
            <w:tcBorders>
              <w:top w:val="nil"/>
              <w:left w:val="nil"/>
              <w:bottom w:val="single" w:sz="4" w:space="0" w:color="auto"/>
              <w:right w:val="nil"/>
            </w:tcBorders>
            <w:shd w:val="clear" w:color="auto" w:fill="auto"/>
            <w:noWrap/>
            <w:vAlign w:val="bottom"/>
            <w:hideMark/>
          </w:tcPr>
          <w:p w14:paraId="0CA115FF" w14:textId="77777777" w:rsidR="00CB3C45" w:rsidRPr="004A5951" w:rsidRDefault="00CB3C45" w:rsidP="00842F2E">
            <w:pPr>
              <w:spacing w:after="0" w:line="240" w:lineRule="auto"/>
              <w:jc w:val="right"/>
              <w:rPr>
                <w:rFonts w:eastAsia="Times New Roman" w:cs="Times New Roman"/>
                <w:b/>
                <w:bCs/>
                <w:sz w:val="18"/>
                <w:szCs w:val="18"/>
                <w:lang w:eastAsia="sk-SK"/>
              </w:rPr>
            </w:pPr>
            <w:r w:rsidRPr="004A5951">
              <w:rPr>
                <w:rFonts w:eastAsia="Times New Roman" w:cs="Times New Roman"/>
                <w:b/>
                <w:bCs/>
                <w:sz w:val="18"/>
                <w:szCs w:val="18"/>
                <w:lang w:eastAsia="sk-SK"/>
              </w:rPr>
              <w:t>102 802</w:t>
            </w:r>
          </w:p>
        </w:tc>
      </w:tr>
      <w:tr w:rsidR="00CB3C45" w:rsidRPr="004A5951" w14:paraId="371330B1" w14:textId="77777777" w:rsidTr="009D462F">
        <w:trPr>
          <w:trHeight w:val="525"/>
        </w:trPr>
        <w:tc>
          <w:tcPr>
            <w:tcW w:w="2501" w:type="pct"/>
            <w:tcBorders>
              <w:top w:val="single" w:sz="4" w:space="0" w:color="auto"/>
              <w:left w:val="nil"/>
              <w:bottom w:val="single" w:sz="4" w:space="0" w:color="auto"/>
              <w:right w:val="nil"/>
            </w:tcBorders>
            <w:shd w:val="clear" w:color="auto" w:fill="auto"/>
            <w:vAlign w:val="bottom"/>
            <w:hideMark/>
          </w:tcPr>
          <w:p w14:paraId="0BCB3A48" w14:textId="77777777" w:rsidR="00CB3C45" w:rsidRPr="004A5951" w:rsidRDefault="00CB3C45" w:rsidP="00842F2E">
            <w:pPr>
              <w:spacing w:after="0" w:line="240" w:lineRule="auto"/>
              <w:jc w:val="left"/>
              <w:rPr>
                <w:rFonts w:eastAsia="Times New Roman" w:cs="Times New Roman"/>
                <w:b/>
                <w:bCs/>
                <w:sz w:val="18"/>
                <w:szCs w:val="18"/>
                <w:lang w:eastAsia="sk-SK"/>
              </w:rPr>
            </w:pPr>
            <w:r w:rsidRPr="004A5951">
              <w:rPr>
                <w:rFonts w:eastAsia="Times New Roman" w:cs="Times New Roman"/>
                <w:b/>
                <w:bCs/>
                <w:sz w:val="18"/>
                <w:szCs w:val="18"/>
                <w:lang w:eastAsia="sk-SK"/>
              </w:rPr>
              <w:t>Konsolidovaný príspevok obcí do konsolidovaného dlhu verejnej správy</w:t>
            </w:r>
          </w:p>
        </w:tc>
        <w:tc>
          <w:tcPr>
            <w:tcW w:w="667" w:type="pct"/>
            <w:tcBorders>
              <w:top w:val="single" w:sz="4" w:space="0" w:color="auto"/>
              <w:left w:val="nil"/>
              <w:bottom w:val="single" w:sz="4" w:space="0" w:color="auto"/>
              <w:right w:val="nil"/>
            </w:tcBorders>
            <w:shd w:val="clear" w:color="auto" w:fill="auto"/>
            <w:noWrap/>
            <w:vAlign w:val="bottom"/>
            <w:hideMark/>
          </w:tcPr>
          <w:p w14:paraId="0E879614" w14:textId="77777777" w:rsidR="00CB3C45" w:rsidRPr="004A5951" w:rsidRDefault="00CB3C45" w:rsidP="00842F2E">
            <w:pPr>
              <w:spacing w:after="0" w:line="240" w:lineRule="auto"/>
              <w:jc w:val="right"/>
              <w:rPr>
                <w:rFonts w:eastAsia="Times New Roman" w:cs="Times New Roman"/>
                <w:b/>
                <w:bCs/>
                <w:sz w:val="18"/>
                <w:szCs w:val="18"/>
                <w:lang w:eastAsia="sk-SK"/>
              </w:rPr>
            </w:pPr>
            <w:r w:rsidRPr="004A5951">
              <w:rPr>
                <w:rFonts w:eastAsia="Times New Roman" w:cs="Times New Roman"/>
                <w:b/>
                <w:bCs/>
                <w:sz w:val="18"/>
                <w:szCs w:val="18"/>
                <w:lang w:eastAsia="sk-SK"/>
              </w:rPr>
              <w:t>697 143</w:t>
            </w:r>
          </w:p>
        </w:tc>
        <w:tc>
          <w:tcPr>
            <w:tcW w:w="666" w:type="pct"/>
            <w:tcBorders>
              <w:top w:val="single" w:sz="4" w:space="0" w:color="auto"/>
              <w:left w:val="nil"/>
              <w:bottom w:val="single" w:sz="4" w:space="0" w:color="auto"/>
              <w:right w:val="nil"/>
            </w:tcBorders>
            <w:shd w:val="clear" w:color="auto" w:fill="auto"/>
            <w:noWrap/>
            <w:vAlign w:val="bottom"/>
            <w:hideMark/>
          </w:tcPr>
          <w:p w14:paraId="02954068" w14:textId="77777777" w:rsidR="00CB3C45" w:rsidRPr="004A5951" w:rsidRDefault="00CB3C45" w:rsidP="00842F2E">
            <w:pPr>
              <w:spacing w:after="0" w:line="240" w:lineRule="auto"/>
              <w:jc w:val="right"/>
              <w:rPr>
                <w:rFonts w:eastAsia="Times New Roman" w:cs="Times New Roman"/>
                <w:b/>
                <w:bCs/>
                <w:sz w:val="18"/>
                <w:szCs w:val="18"/>
                <w:lang w:eastAsia="sk-SK"/>
              </w:rPr>
            </w:pPr>
            <w:r w:rsidRPr="004A5951">
              <w:rPr>
                <w:rFonts w:eastAsia="Times New Roman" w:cs="Times New Roman"/>
                <w:b/>
                <w:bCs/>
                <w:sz w:val="18"/>
                <w:szCs w:val="18"/>
                <w:lang w:eastAsia="sk-SK"/>
              </w:rPr>
              <w:t>721 190</w:t>
            </w:r>
          </w:p>
        </w:tc>
        <w:tc>
          <w:tcPr>
            <w:tcW w:w="669" w:type="pct"/>
            <w:tcBorders>
              <w:top w:val="single" w:sz="4" w:space="0" w:color="auto"/>
              <w:left w:val="nil"/>
              <w:bottom w:val="single" w:sz="4" w:space="0" w:color="auto"/>
              <w:right w:val="nil"/>
            </w:tcBorders>
            <w:shd w:val="clear" w:color="000000" w:fill="BFBFBF"/>
            <w:noWrap/>
            <w:vAlign w:val="bottom"/>
            <w:hideMark/>
          </w:tcPr>
          <w:p w14:paraId="32D47FAB" w14:textId="77777777" w:rsidR="00CB3C45" w:rsidRPr="004A5951" w:rsidRDefault="00CB3C45" w:rsidP="00842F2E">
            <w:pPr>
              <w:spacing w:after="0" w:line="240" w:lineRule="auto"/>
              <w:jc w:val="right"/>
              <w:rPr>
                <w:rFonts w:eastAsia="Times New Roman" w:cs="Times New Roman"/>
                <w:b/>
                <w:bCs/>
                <w:sz w:val="18"/>
                <w:szCs w:val="18"/>
                <w:lang w:eastAsia="sk-SK"/>
              </w:rPr>
            </w:pPr>
            <w:r w:rsidRPr="004A5951">
              <w:rPr>
                <w:rFonts w:eastAsia="Times New Roman" w:cs="Times New Roman"/>
                <w:b/>
                <w:bCs/>
                <w:sz w:val="18"/>
                <w:szCs w:val="18"/>
                <w:lang w:eastAsia="sk-SK"/>
              </w:rPr>
              <w:t>738 998</w:t>
            </w:r>
          </w:p>
        </w:tc>
        <w:tc>
          <w:tcPr>
            <w:tcW w:w="497" w:type="pct"/>
            <w:tcBorders>
              <w:top w:val="single" w:sz="4" w:space="0" w:color="auto"/>
              <w:left w:val="nil"/>
              <w:bottom w:val="single" w:sz="4" w:space="0" w:color="auto"/>
              <w:right w:val="nil"/>
            </w:tcBorders>
            <w:shd w:val="clear" w:color="auto" w:fill="auto"/>
            <w:noWrap/>
            <w:vAlign w:val="bottom"/>
            <w:hideMark/>
          </w:tcPr>
          <w:p w14:paraId="1D328B35" w14:textId="77777777" w:rsidR="00CB3C45" w:rsidRPr="004A5951" w:rsidRDefault="00CB3C45" w:rsidP="00842F2E">
            <w:pPr>
              <w:spacing w:after="0" w:line="240" w:lineRule="auto"/>
              <w:jc w:val="right"/>
              <w:rPr>
                <w:rFonts w:eastAsia="Times New Roman" w:cs="Times New Roman"/>
                <w:b/>
                <w:bCs/>
                <w:sz w:val="18"/>
                <w:szCs w:val="18"/>
                <w:lang w:eastAsia="sk-SK"/>
              </w:rPr>
            </w:pPr>
            <w:r w:rsidRPr="004A5951">
              <w:rPr>
                <w:rFonts w:eastAsia="Times New Roman" w:cs="Times New Roman"/>
                <w:b/>
                <w:bCs/>
                <w:sz w:val="18"/>
                <w:szCs w:val="18"/>
                <w:lang w:eastAsia="sk-SK"/>
              </w:rPr>
              <w:t>17 808</w:t>
            </w:r>
          </w:p>
        </w:tc>
      </w:tr>
    </w:tbl>
    <w:p w14:paraId="763FD83B" w14:textId="77777777" w:rsidR="00CB3C45" w:rsidRPr="009623D7" w:rsidRDefault="00CB3C45" w:rsidP="00CB3C45">
      <w:pPr>
        <w:spacing w:after="0"/>
        <w:jc w:val="right"/>
        <w:rPr>
          <w:sz w:val="18"/>
          <w:szCs w:val="18"/>
        </w:rPr>
      </w:pPr>
      <w:r w:rsidRPr="009623D7">
        <w:rPr>
          <w:sz w:val="18"/>
          <w:szCs w:val="18"/>
        </w:rPr>
        <w:t>Zdroj: MF SR</w:t>
      </w:r>
    </w:p>
    <w:p w14:paraId="0A5738C9" w14:textId="77777777" w:rsidR="00CB3C45" w:rsidRPr="004A5951" w:rsidRDefault="00CB3C45" w:rsidP="004A5951">
      <w:pPr>
        <w:spacing w:before="120" w:line="240" w:lineRule="auto"/>
        <w:rPr>
          <w:sz w:val="24"/>
          <w:szCs w:val="24"/>
        </w:rPr>
      </w:pPr>
      <w:r w:rsidRPr="004A5951">
        <w:rPr>
          <w:sz w:val="24"/>
          <w:szCs w:val="24"/>
        </w:rPr>
        <w:t>Z pohľadu nekonsolidovaného dlhu došlo k jeho zvýšeniu najmä z dôvodu prijatia návratných finančných výpomocí zo štátnych finančných aktív úhrnom o 99 845 tis. eur. O tieto prostriedky požiadalo spolu 1 719 obcí a miest, pri splnení podmienok zo strany Ministerstva financií SR</w:t>
      </w:r>
      <w:r w:rsidRPr="004A5951">
        <w:rPr>
          <w:rStyle w:val="Odkaznapoznmkupodiarou"/>
          <w:sz w:val="24"/>
          <w:szCs w:val="24"/>
        </w:rPr>
        <w:footnoteReference w:id="24"/>
      </w:r>
      <w:r w:rsidRPr="004A5951">
        <w:rPr>
          <w:sz w:val="24"/>
          <w:szCs w:val="24"/>
        </w:rPr>
        <w:t xml:space="preserve">. Prostriedky boli určené na zmiernenie negatívneho dopadu pandémie COVID-19, ktorý predpokladal aj výpadok dane z príjmov fyzických osôb. 70 % z tejto dane je príjmom obcí a miest. </w:t>
      </w:r>
    </w:p>
    <w:p w14:paraId="4F2A397B" w14:textId="77777777" w:rsidR="00CB3C45" w:rsidRPr="004A5951" w:rsidRDefault="00CB3C45" w:rsidP="004A5951">
      <w:pPr>
        <w:spacing w:before="120" w:line="240" w:lineRule="auto"/>
        <w:rPr>
          <w:sz w:val="24"/>
          <w:szCs w:val="24"/>
        </w:rPr>
      </w:pPr>
      <w:r w:rsidRPr="004A5951">
        <w:rPr>
          <w:sz w:val="24"/>
          <w:szCs w:val="24"/>
        </w:rPr>
        <w:t xml:space="preserve">Z NFV poskytnutých zo štátnych finančných aktív v minulých obdobiach, ktorých zostatok tvorí 21 250 tis. eur (napr. Mesto Košice (13 200 tis. eur), Bratislava časť Staré Mesto (2 000 tis. eur), Martin (1 750 tis. eur), Bardejov (800 tis. eur) a Kežmarok (3 500 tis. eur) bolo medziročne splatených 2 000 tis. eur Mestom Košice. </w:t>
      </w:r>
    </w:p>
    <w:p w14:paraId="21EC01F2" w14:textId="396DE3B7" w:rsidR="00CB3C45" w:rsidRPr="004A5951" w:rsidRDefault="00CB3C45" w:rsidP="004A5951">
      <w:pPr>
        <w:spacing w:before="120" w:line="240" w:lineRule="auto"/>
        <w:rPr>
          <w:sz w:val="24"/>
          <w:szCs w:val="24"/>
        </w:rPr>
      </w:pPr>
      <w:r w:rsidRPr="004A5951">
        <w:rPr>
          <w:sz w:val="24"/>
          <w:szCs w:val="24"/>
        </w:rPr>
        <w:t xml:space="preserve">Pôžičky od ŠFRB na podporu obstarania obecných nájomných bytov ich výstavbou alebo obstaraním, modernizáciu a rekonštrukciu zariadení sociálnych služieb sú predmetom vzájomnej konsolidácie. Medziročne došlo k ich poklesu úhrnom o 10 906 tis. eur. </w:t>
      </w:r>
    </w:p>
    <w:p w14:paraId="761367B8" w14:textId="77777777" w:rsidR="00CB3C45" w:rsidRPr="004A5951" w:rsidRDefault="00CB3C45" w:rsidP="004A5951">
      <w:pPr>
        <w:spacing w:before="120" w:line="240" w:lineRule="auto"/>
        <w:rPr>
          <w:sz w:val="24"/>
          <w:szCs w:val="24"/>
        </w:rPr>
      </w:pPr>
      <w:r w:rsidRPr="004A5951">
        <w:rPr>
          <w:sz w:val="24"/>
          <w:szCs w:val="24"/>
        </w:rPr>
        <w:t xml:space="preserve">Komerčné úvery od tuzemských bánk alebo zahraničných bánk sú druhým najväčším zdrojom financovania potrieb územnej samosprávy. Nárast hodnoty úverov o 18 500 tis. eur bol spôsobený novými úvermi, ktoré čerpali viaceré mestá (napr. mestská časť Bratislava Ružinov čerpala úver od Slovenskej sporiteľne vo výške 8 514 tis. eur, mestská časť Bratislava Staré mesto úver vo výške 1 461 tis. eur, mesto Považská Bystrica úver vo výške 1 149 tis. eur pričom z neho následne 377 tis. eur použila na splátku úverov z predchádzajúcich období). </w:t>
      </w:r>
    </w:p>
    <w:p w14:paraId="617EF0A2" w14:textId="77777777" w:rsidR="00CB3C45" w:rsidRPr="004A5951" w:rsidRDefault="00CB3C45" w:rsidP="004A5951">
      <w:pPr>
        <w:spacing w:line="240" w:lineRule="auto"/>
        <w:rPr>
          <w:sz w:val="24"/>
          <w:szCs w:val="24"/>
        </w:rPr>
      </w:pPr>
      <w:r w:rsidRPr="004A5951">
        <w:rPr>
          <w:sz w:val="24"/>
          <w:szCs w:val="24"/>
        </w:rPr>
        <w:t>Dlhodobé záväzky z obchodného styku a prijaté preddavky sa na dlhu obcí a ich rozpočtových organizácií podieľajú sumou 16 923 tis. eur.</w:t>
      </w:r>
    </w:p>
    <w:p w14:paraId="5DE25B2E" w14:textId="5E710C16" w:rsidR="00CB3C45" w:rsidRDefault="00CB3C45" w:rsidP="004A5951">
      <w:pPr>
        <w:spacing w:line="240" w:lineRule="auto"/>
      </w:pPr>
      <w:r w:rsidRPr="004A5951">
        <w:rPr>
          <w:b/>
          <w:sz w:val="24"/>
          <w:szCs w:val="24"/>
        </w:rPr>
        <w:t xml:space="preserve">Vyššie územné celky </w:t>
      </w:r>
      <w:r w:rsidRPr="004A5951">
        <w:rPr>
          <w:sz w:val="24"/>
          <w:szCs w:val="24"/>
        </w:rPr>
        <w:t>(vrátane ich rozpočtových organizácií)</w:t>
      </w:r>
      <w:r w:rsidRPr="004A5951">
        <w:rPr>
          <w:b/>
          <w:sz w:val="24"/>
          <w:szCs w:val="24"/>
        </w:rPr>
        <w:t xml:space="preserve"> </w:t>
      </w:r>
      <w:r w:rsidRPr="004A5951">
        <w:rPr>
          <w:sz w:val="24"/>
          <w:szCs w:val="24"/>
        </w:rPr>
        <w:t>sa podieľajú na dlhu verejnej správy hodnotou 498 712 tis. eur, čo je o 107 711 tis. eur viac ako v predchádzajúcom roku. Zvýšenie dlhu VÚC bolo do veľkej miery spôsobené poskytnutím návratných finančných výpomocí v rámci pomoci COVID-19</w:t>
      </w:r>
      <w:r w:rsidRPr="004A5951">
        <w:rPr>
          <w:rStyle w:val="Odkaznapoznmkupodiarou"/>
          <w:sz w:val="24"/>
          <w:szCs w:val="24"/>
        </w:rPr>
        <w:footnoteReference w:id="25"/>
      </w:r>
      <w:r w:rsidRPr="004A5951">
        <w:rPr>
          <w:sz w:val="24"/>
          <w:szCs w:val="24"/>
        </w:rPr>
        <w:t xml:space="preserve"> zo štátnych finančných aktív v úhrnnej výške 52 074 tis. eur a ďalších návratných finančných výpomocí poskytnutých v priebehu roka 2020 v úhrnnej výške 76 880 tis. eur (Banskobystrický 25 000 tis. eur, Košický 20 000 tis. eur, Trnavský 15 000 tis. eur, Žilinský 8 800 tis. eur, Prešovský 8 000 tis. eur, Nitriansky 80 tis. eur). Prostriedky sú určené najmä na rekonštrukcie ciest II. a III. triedy v pôsobnosti samosprávnych krajov.</w:t>
      </w:r>
    </w:p>
    <w:tbl>
      <w:tblPr>
        <w:tblW w:w="5000" w:type="pct"/>
        <w:tblCellMar>
          <w:left w:w="70" w:type="dxa"/>
          <w:right w:w="70" w:type="dxa"/>
        </w:tblCellMar>
        <w:tblLook w:val="04A0" w:firstRow="1" w:lastRow="0" w:firstColumn="1" w:lastColumn="0" w:noHBand="0" w:noVBand="1"/>
      </w:tblPr>
      <w:tblGrid>
        <w:gridCol w:w="4110"/>
        <w:gridCol w:w="1309"/>
        <w:gridCol w:w="1308"/>
        <w:gridCol w:w="1308"/>
        <w:gridCol w:w="1179"/>
      </w:tblGrid>
      <w:tr w:rsidR="00CB3C45" w:rsidRPr="004A5951" w14:paraId="1641F373" w14:textId="77777777" w:rsidTr="00842F2E">
        <w:trPr>
          <w:trHeight w:val="300"/>
          <w:tblHeader/>
        </w:trPr>
        <w:tc>
          <w:tcPr>
            <w:tcW w:w="4359" w:type="pct"/>
            <w:gridSpan w:val="4"/>
            <w:tcBorders>
              <w:top w:val="single" w:sz="4" w:space="0" w:color="auto"/>
              <w:left w:val="nil"/>
              <w:bottom w:val="single" w:sz="4" w:space="0" w:color="auto"/>
              <w:right w:val="nil"/>
            </w:tcBorders>
            <w:shd w:val="clear" w:color="000000" w:fill="000000"/>
            <w:noWrap/>
            <w:vAlign w:val="center"/>
            <w:hideMark/>
          </w:tcPr>
          <w:p w14:paraId="4FD0D5DE" w14:textId="77777777" w:rsidR="00CB3C45" w:rsidRPr="004A5951" w:rsidRDefault="00CB3C45" w:rsidP="00842F2E">
            <w:pPr>
              <w:spacing w:after="0" w:line="240" w:lineRule="auto"/>
              <w:jc w:val="left"/>
              <w:rPr>
                <w:rFonts w:eastAsia="Times New Roman" w:cs="Times New Roman"/>
                <w:b/>
                <w:bCs/>
                <w:color w:val="FFFFFF"/>
                <w:sz w:val="18"/>
                <w:szCs w:val="18"/>
                <w:lang w:eastAsia="sk-SK"/>
              </w:rPr>
            </w:pPr>
            <w:r w:rsidRPr="004A5951">
              <w:rPr>
                <w:rFonts w:eastAsia="Times New Roman" w:cs="Times New Roman"/>
                <w:b/>
                <w:bCs/>
                <w:color w:val="FFFFFF"/>
                <w:sz w:val="18"/>
                <w:szCs w:val="18"/>
                <w:lang w:eastAsia="sk-SK"/>
              </w:rPr>
              <w:t>Dlh VÚC podľa dlhového nástroja</w:t>
            </w:r>
          </w:p>
        </w:tc>
        <w:tc>
          <w:tcPr>
            <w:tcW w:w="641" w:type="pct"/>
            <w:tcBorders>
              <w:top w:val="single" w:sz="4" w:space="0" w:color="auto"/>
              <w:left w:val="nil"/>
              <w:bottom w:val="single" w:sz="4" w:space="0" w:color="auto"/>
              <w:right w:val="nil"/>
            </w:tcBorders>
            <w:shd w:val="clear" w:color="000000" w:fill="000000"/>
            <w:noWrap/>
            <w:vAlign w:val="center"/>
            <w:hideMark/>
          </w:tcPr>
          <w:p w14:paraId="19A97D8B" w14:textId="77777777" w:rsidR="00CB3C45" w:rsidRPr="004A5951" w:rsidRDefault="00CB3C45" w:rsidP="00842F2E">
            <w:pPr>
              <w:spacing w:after="0" w:line="240" w:lineRule="auto"/>
              <w:jc w:val="right"/>
              <w:rPr>
                <w:rFonts w:eastAsia="Times New Roman" w:cs="Times New Roman"/>
                <w:b/>
                <w:bCs/>
                <w:color w:val="FFFFFF"/>
                <w:sz w:val="18"/>
                <w:szCs w:val="18"/>
                <w:lang w:eastAsia="sk-SK"/>
              </w:rPr>
            </w:pPr>
            <w:r w:rsidRPr="004A5951">
              <w:rPr>
                <w:rFonts w:eastAsia="Times New Roman" w:cs="Times New Roman"/>
                <w:b/>
                <w:bCs/>
                <w:color w:val="FFFFFF"/>
                <w:sz w:val="18"/>
                <w:szCs w:val="18"/>
                <w:lang w:eastAsia="sk-SK"/>
              </w:rPr>
              <w:t>v tis. eur</w:t>
            </w:r>
          </w:p>
        </w:tc>
      </w:tr>
      <w:tr w:rsidR="00CB3C45" w:rsidRPr="004A5951" w14:paraId="6DB605CE" w14:textId="77777777" w:rsidTr="00E91A24">
        <w:trPr>
          <w:trHeight w:val="307"/>
          <w:tblHeader/>
        </w:trPr>
        <w:tc>
          <w:tcPr>
            <w:tcW w:w="2230" w:type="pct"/>
            <w:tcBorders>
              <w:top w:val="single" w:sz="4" w:space="0" w:color="auto"/>
              <w:left w:val="nil"/>
              <w:bottom w:val="nil"/>
              <w:right w:val="nil"/>
            </w:tcBorders>
            <w:shd w:val="clear" w:color="000000" w:fill="BFBFBF"/>
            <w:vAlign w:val="center"/>
            <w:hideMark/>
          </w:tcPr>
          <w:p w14:paraId="7B252DDC" w14:textId="77777777" w:rsidR="00CB3C45" w:rsidRPr="004A5951" w:rsidRDefault="00CB3C45" w:rsidP="00842F2E">
            <w:pPr>
              <w:spacing w:after="0" w:line="240" w:lineRule="auto"/>
              <w:rPr>
                <w:rFonts w:eastAsia="Times New Roman" w:cs="Times New Roman"/>
                <w:b/>
                <w:bCs/>
                <w:sz w:val="18"/>
                <w:szCs w:val="18"/>
                <w:lang w:eastAsia="sk-SK"/>
              </w:rPr>
            </w:pPr>
            <w:r w:rsidRPr="004A5951">
              <w:rPr>
                <w:rFonts w:eastAsia="Times New Roman" w:cs="Times New Roman"/>
                <w:b/>
                <w:bCs/>
                <w:sz w:val="18"/>
                <w:szCs w:val="18"/>
                <w:lang w:eastAsia="sk-SK"/>
              </w:rPr>
              <w:t> </w:t>
            </w:r>
          </w:p>
        </w:tc>
        <w:tc>
          <w:tcPr>
            <w:tcW w:w="710" w:type="pct"/>
            <w:tcBorders>
              <w:top w:val="single" w:sz="4" w:space="0" w:color="auto"/>
              <w:left w:val="nil"/>
              <w:bottom w:val="nil"/>
              <w:right w:val="nil"/>
            </w:tcBorders>
            <w:shd w:val="clear" w:color="000000" w:fill="BFBFBF"/>
            <w:vAlign w:val="center"/>
            <w:hideMark/>
          </w:tcPr>
          <w:p w14:paraId="5C5D3BC5" w14:textId="77777777" w:rsidR="00CB3C45" w:rsidRPr="004A5951" w:rsidRDefault="00CB3C45" w:rsidP="00842F2E">
            <w:pPr>
              <w:spacing w:after="0" w:line="240" w:lineRule="auto"/>
              <w:jc w:val="center"/>
              <w:rPr>
                <w:rFonts w:eastAsia="Times New Roman" w:cs="Times New Roman"/>
                <w:b/>
                <w:bCs/>
                <w:sz w:val="18"/>
                <w:szCs w:val="18"/>
                <w:lang w:eastAsia="sk-SK"/>
              </w:rPr>
            </w:pPr>
            <w:r w:rsidRPr="004A5951">
              <w:rPr>
                <w:rFonts w:eastAsia="Times New Roman" w:cs="Times New Roman"/>
                <w:b/>
                <w:bCs/>
                <w:sz w:val="18"/>
                <w:szCs w:val="18"/>
                <w:lang w:eastAsia="sk-SK"/>
              </w:rPr>
              <w:t>k 31.12.2018</w:t>
            </w:r>
          </w:p>
        </w:tc>
        <w:tc>
          <w:tcPr>
            <w:tcW w:w="710" w:type="pct"/>
            <w:tcBorders>
              <w:top w:val="single" w:sz="4" w:space="0" w:color="auto"/>
              <w:left w:val="nil"/>
              <w:bottom w:val="nil"/>
              <w:right w:val="nil"/>
            </w:tcBorders>
            <w:shd w:val="clear" w:color="000000" w:fill="BFBFBF"/>
            <w:vAlign w:val="center"/>
            <w:hideMark/>
          </w:tcPr>
          <w:p w14:paraId="7FCACF4D" w14:textId="77777777" w:rsidR="00CB3C45" w:rsidRPr="004A5951" w:rsidRDefault="00CB3C45" w:rsidP="00842F2E">
            <w:pPr>
              <w:spacing w:after="0" w:line="240" w:lineRule="auto"/>
              <w:jc w:val="center"/>
              <w:rPr>
                <w:rFonts w:eastAsia="Times New Roman" w:cs="Times New Roman"/>
                <w:b/>
                <w:bCs/>
                <w:sz w:val="18"/>
                <w:szCs w:val="18"/>
                <w:lang w:eastAsia="sk-SK"/>
              </w:rPr>
            </w:pPr>
            <w:r w:rsidRPr="004A5951">
              <w:rPr>
                <w:rFonts w:eastAsia="Times New Roman" w:cs="Times New Roman"/>
                <w:b/>
                <w:bCs/>
                <w:sz w:val="18"/>
                <w:szCs w:val="18"/>
                <w:lang w:eastAsia="sk-SK"/>
              </w:rPr>
              <w:t>k 31.12.2019</w:t>
            </w:r>
          </w:p>
        </w:tc>
        <w:tc>
          <w:tcPr>
            <w:tcW w:w="710" w:type="pct"/>
            <w:tcBorders>
              <w:top w:val="single" w:sz="4" w:space="0" w:color="auto"/>
              <w:left w:val="nil"/>
              <w:bottom w:val="nil"/>
              <w:right w:val="nil"/>
            </w:tcBorders>
            <w:shd w:val="clear" w:color="000000" w:fill="BFBFBF"/>
            <w:vAlign w:val="center"/>
            <w:hideMark/>
          </w:tcPr>
          <w:p w14:paraId="227FBBE7" w14:textId="77777777" w:rsidR="00CB3C45" w:rsidRPr="004A5951" w:rsidRDefault="00CB3C45" w:rsidP="00842F2E">
            <w:pPr>
              <w:spacing w:after="0" w:line="240" w:lineRule="auto"/>
              <w:jc w:val="center"/>
              <w:rPr>
                <w:rFonts w:eastAsia="Times New Roman" w:cs="Times New Roman"/>
                <w:b/>
                <w:bCs/>
                <w:sz w:val="18"/>
                <w:szCs w:val="18"/>
                <w:lang w:eastAsia="sk-SK"/>
              </w:rPr>
            </w:pPr>
            <w:r w:rsidRPr="004A5951">
              <w:rPr>
                <w:rFonts w:eastAsia="Times New Roman" w:cs="Times New Roman"/>
                <w:b/>
                <w:bCs/>
                <w:sz w:val="18"/>
                <w:szCs w:val="18"/>
                <w:lang w:eastAsia="sk-SK"/>
              </w:rPr>
              <w:t>k 31.12.2020</w:t>
            </w:r>
          </w:p>
        </w:tc>
        <w:tc>
          <w:tcPr>
            <w:tcW w:w="641" w:type="pct"/>
            <w:tcBorders>
              <w:top w:val="single" w:sz="4" w:space="0" w:color="auto"/>
              <w:left w:val="nil"/>
              <w:bottom w:val="nil"/>
              <w:right w:val="nil"/>
            </w:tcBorders>
            <w:shd w:val="clear" w:color="000000" w:fill="BFBFBF"/>
            <w:vAlign w:val="center"/>
            <w:hideMark/>
          </w:tcPr>
          <w:p w14:paraId="19585B5F" w14:textId="77777777" w:rsidR="00CB3C45" w:rsidRPr="004A5951" w:rsidRDefault="00CB3C45" w:rsidP="00842F2E">
            <w:pPr>
              <w:spacing w:after="0" w:line="240" w:lineRule="auto"/>
              <w:jc w:val="center"/>
              <w:rPr>
                <w:rFonts w:eastAsia="Times New Roman" w:cs="Times New Roman"/>
                <w:b/>
                <w:bCs/>
                <w:sz w:val="18"/>
                <w:szCs w:val="18"/>
                <w:lang w:eastAsia="sk-SK"/>
              </w:rPr>
            </w:pPr>
            <w:r w:rsidRPr="004A5951">
              <w:rPr>
                <w:rFonts w:eastAsia="Times New Roman" w:cs="Times New Roman"/>
                <w:b/>
                <w:bCs/>
                <w:sz w:val="18"/>
                <w:szCs w:val="18"/>
                <w:lang w:eastAsia="sk-SK"/>
              </w:rPr>
              <w:t>Zmena</w:t>
            </w:r>
          </w:p>
        </w:tc>
      </w:tr>
      <w:tr w:rsidR="00CB3C45" w:rsidRPr="004A5951" w14:paraId="2184F495" w14:textId="77777777" w:rsidTr="00E91A24">
        <w:trPr>
          <w:trHeight w:val="73"/>
          <w:tblHeader/>
        </w:trPr>
        <w:tc>
          <w:tcPr>
            <w:tcW w:w="2230" w:type="pct"/>
            <w:tcBorders>
              <w:top w:val="nil"/>
              <w:left w:val="nil"/>
              <w:bottom w:val="single" w:sz="4" w:space="0" w:color="auto"/>
              <w:right w:val="nil"/>
            </w:tcBorders>
            <w:shd w:val="clear" w:color="000000" w:fill="BFBFBF"/>
            <w:vAlign w:val="center"/>
            <w:hideMark/>
          </w:tcPr>
          <w:p w14:paraId="7B0995CF" w14:textId="77777777" w:rsidR="00CB3C45" w:rsidRPr="004A5951" w:rsidRDefault="00CB3C45" w:rsidP="00842F2E">
            <w:pPr>
              <w:spacing w:after="0" w:line="240" w:lineRule="auto"/>
              <w:rPr>
                <w:rFonts w:eastAsia="Times New Roman" w:cs="Times New Roman"/>
                <w:b/>
                <w:bCs/>
                <w:sz w:val="18"/>
                <w:szCs w:val="18"/>
                <w:lang w:eastAsia="sk-SK"/>
              </w:rPr>
            </w:pPr>
            <w:r w:rsidRPr="004A5951">
              <w:rPr>
                <w:rFonts w:eastAsia="Times New Roman" w:cs="Times New Roman"/>
                <w:b/>
                <w:bCs/>
                <w:sz w:val="18"/>
                <w:szCs w:val="18"/>
                <w:lang w:eastAsia="sk-SK"/>
              </w:rPr>
              <w:t> </w:t>
            </w:r>
          </w:p>
        </w:tc>
        <w:tc>
          <w:tcPr>
            <w:tcW w:w="710" w:type="pct"/>
            <w:tcBorders>
              <w:top w:val="nil"/>
              <w:left w:val="nil"/>
              <w:bottom w:val="single" w:sz="4" w:space="0" w:color="auto"/>
              <w:right w:val="nil"/>
            </w:tcBorders>
            <w:shd w:val="clear" w:color="000000" w:fill="BFBFBF"/>
            <w:vAlign w:val="center"/>
            <w:hideMark/>
          </w:tcPr>
          <w:p w14:paraId="39C52EA5" w14:textId="77777777" w:rsidR="00CB3C45" w:rsidRPr="004A5951" w:rsidRDefault="00CB3C45" w:rsidP="00842F2E">
            <w:pPr>
              <w:spacing w:after="0" w:line="240" w:lineRule="auto"/>
              <w:jc w:val="center"/>
              <w:rPr>
                <w:rFonts w:eastAsia="Times New Roman" w:cs="Times New Roman"/>
                <w:b/>
                <w:bCs/>
                <w:sz w:val="18"/>
                <w:szCs w:val="18"/>
                <w:lang w:eastAsia="sk-SK"/>
              </w:rPr>
            </w:pPr>
            <w:r w:rsidRPr="004A5951">
              <w:rPr>
                <w:rFonts w:eastAsia="Times New Roman" w:cs="Times New Roman"/>
                <w:b/>
                <w:bCs/>
                <w:sz w:val="18"/>
                <w:szCs w:val="18"/>
                <w:lang w:eastAsia="sk-SK"/>
              </w:rPr>
              <w:t>1</w:t>
            </w:r>
          </w:p>
        </w:tc>
        <w:tc>
          <w:tcPr>
            <w:tcW w:w="710" w:type="pct"/>
            <w:tcBorders>
              <w:top w:val="nil"/>
              <w:left w:val="nil"/>
              <w:bottom w:val="single" w:sz="4" w:space="0" w:color="auto"/>
              <w:right w:val="nil"/>
            </w:tcBorders>
            <w:shd w:val="clear" w:color="000000" w:fill="BFBFBF"/>
            <w:vAlign w:val="center"/>
            <w:hideMark/>
          </w:tcPr>
          <w:p w14:paraId="5C9B40F0" w14:textId="77777777" w:rsidR="00CB3C45" w:rsidRPr="004A5951" w:rsidRDefault="00CB3C45" w:rsidP="00842F2E">
            <w:pPr>
              <w:spacing w:after="0" w:line="240" w:lineRule="auto"/>
              <w:jc w:val="center"/>
              <w:rPr>
                <w:rFonts w:eastAsia="Times New Roman" w:cs="Times New Roman"/>
                <w:b/>
                <w:bCs/>
                <w:sz w:val="18"/>
                <w:szCs w:val="18"/>
                <w:lang w:eastAsia="sk-SK"/>
              </w:rPr>
            </w:pPr>
            <w:r w:rsidRPr="004A5951">
              <w:rPr>
                <w:rFonts w:eastAsia="Times New Roman" w:cs="Times New Roman"/>
                <w:b/>
                <w:bCs/>
                <w:sz w:val="18"/>
                <w:szCs w:val="18"/>
                <w:lang w:eastAsia="sk-SK"/>
              </w:rPr>
              <w:t>2</w:t>
            </w:r>
          </w:p>
        </w:tc>
        <w:tc>
          <w:tcPr>
            <w:tcW w:w="710" w:type="pct"/>
            <w:tcBorders>
              <w:top w:val="nil"/>
              <w:left w:val="nil"/>
              <w:bottom w:val="single" w:sz="4" w:space="0" w:color="auto"/>
              <w:right w:val="nil"/>
            </w:tcBorders>
            <w:shd w:val="clear" w:color="000000" w:fill="BFBFBF"/>
            <w:vAlign w:val="center"/>
            <w:hideMark/>
          </w:tcPr>
          <w:p w14:paraId="4B171E97" w14:textId="77777777" w:rsidR="00CB3C45" w:rsidRPr="004A5951" w:rsidRDefault="00CB3C45" w:rsidP="00842F2E">
            <w:pPr>
              <w:spacing w:after="0" w:line="240" w:lineRule="auto"/>
              <w:jc w:val="center"/>
              <w:rPr>
                <w:rFonts w:eastAsia="Times New Roman" w:cs="Times New Roman"/>
                <w:b/>
                <w:bCs/>
                <w:sz w:val="18"/>
                <w:szCs w:val="18"/>
                <w:lang w:eastAsia="sk-SK"/>
              </w:rPr>
            </w:pPr>
            <w:r w:rsidRPr="004A5951">
              <w:rPr>
                <w:rFonts w:eastAsia="Times New Roman" w:cs="Times New Roman"/>
                <w:b/>
                <w:bCs/>
                <w:sz w:val="18"/>
                <w:szCs w:val="18"/>
                <w:lang w:eastAsia="sk-SK"/>
              </w:rPr>
              <w:t>3</w:t>
            </w:r>
          </w:p>
        </w:tc>
        <w:tc>
          <w:tcPr>
            <w:tcW w:w="641" w:type="pct"/>
            <w:tcBorders>
              <w:top w:val="nil"/>
              <w:left w:val="nil"/>
              <w:bottom w:val="single" w:sz="4" w:space="0" w:color="auto"/>
              <w:right w:val="nil"/>
            </w:tcBorders>
            <w:shd w:val="clear" w:color="000000" w:fill="BFBFBF"/>
            <w:vAlign w:val="center"/>
            <w:hideMark/>
          </w:tcPr>
          <w:p w14:paraId="50FD53CE" w14:textId="77777777" w:rsidR="00CB3C45" w:rsidRPr="004A5951" w:rsidRDefault="00CB3C45" w:rsidP="00842F2E">
            <w:pPr>
              <w:spacing w:after="0" w:line="240" w:lineRule="auto"/>
              <w:jc w:val="center"/>
              <w:rPr>
                <w:rFonts w:eastAsia="Times New Roman" w:cs="Times New Roman"/>
                <w:b/>
                <w:bCs/>
                <w:sz w:val="18"/>
                <w:szCs w:val="18"/>
                <w:lang w:eastAsia="sk-SK"/>
              </w:rPr>
            </w:pPr>
            <w:r w:rsidRPr="004A5951">
              <w:rPr>
                <w:rFonts w:eastAsia="Times New Roman" w:cs="Times New Roman"/>
                <w:b/>
                <w:bCs/>
                <w:sz w:val="18"/>
                <w:szCs w:val="18"/>
                <w:lang w:eastAsia="sk-SK"/>
              </w:rPr>
              <w:t>4=(3-2)</w:t>
            </w:r>
          </w:p>
        </w:tc>
      </w:tr>
      <w:tr w:rsidR="00CB3C45" w:rsidRPr="004A5951" w14:paraId="1C07DB3C" w14:textId="77777777" w:rsidTr="00842F2E">
        <w:trPr>
          <w:trHeight w:val="300"/>
        </w:trPr>
        <w:tc>
          <w:tcPr>
            <w:tcW w:w="2230" w:type="pct"/>
            <w:tcBorders>
              <w:top w:val="nil"/>
              <w:left w:val="nil"/>
              <w:bottom w:val="nil"/>
              <w:right w:val="nil"/>
            </w:tcBorders>
            <w:shd w:val="clear" w:color="auto" w:fill="auto"/>
            <w:noWrap/>
            <w:vAlign w:val="bottom"/>
            <w:hideMark/>
          </w:tcPr>
          <w:p w14:paraId="04A7BD71" w14:textId="77777777" w:rsidR="00CB3C45" w:rsidRPr="004A5951" w:rsidRDefault="00CB3C45" w:rsidP="00842F2E">
            <w:pPr>
              <w:spacing w:after="0" w:line="240" w:lineRule="auto"/>
              <w:jc w:val="left"/>
              <w:rPr>
                <w:rFonts w:eastAsia="Times New Roman" w:cs="Times New Roman"/>
                <w:sz w:val="18"/>
                <w:szCs w:val="18"/>
                <w:lang w:eastAsia="sk-SK"/>
              </w:rPr>
            </w:pPr>
            <w:r w:rsidRPr="004A5951">
              <w:rPr>
                <w:rFonts w:eastAsia="Times New Roman" w:cs="Times New Roman"/>
                <w:sz w:val="18"/>
                <w:szCs w:val="18"/>
                <w:lang w:eastAsia="sk-SK"/>
              </w:rPr>
              <w:t>Bankové úvery</w:t>
            </w:r>
          </w:p>
        </w:tc>
        <w:tc>
          <w:tcPr>
            <w:tcW w:w="710" w:type="pct"/>
            <w:tcBorders>
              <w:top w:val="nil"/>
              <w:left w:val="nil"/>
              <w:bottom w:val="nil"/>
              <w:right w:val="nil"/>
            </w:tcBorders>
            <w:shd w:val="clear" w:color="auto" w:fill="auto"/>
            <w:noWrap/>
            <w:vAlign w:val="bottom"/>
            <w:hideMark/>
          </w:tcPr>
          <w:p w14:paraId="321B4C34"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361 325</w:t>
            </w:r>
          </w:p>
        </w:tc>
        <w:tc>
          <w:tcPr>
            <w:tcW w:w="710" w:type="pct"/>
            <w:tcBorders>
              <w:top w:val="nil"/>
              <w:left w:val="nil"/>
              <w:bottom w:val="nil"/>
              <w:right w:val="nil"/>
            </w:tcBorders>
            <w:shd w:val="clear" w:color="auto" w:fill="auto"/>
            <w:noWrap/>
            <w:vAlign w:val="bottom"/>
            <w:hideMark/>
          </w:tcPr>
          <w:p w14:paraId="5C472A8D"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374 453</w:t>
            </w:r>
          </w:p>
        </w:tc>
        <w:tc>
          <w:tcPr>
            <w:tcW w:w="710" w:type="pct"/>
            <w:tcBorders>
              <w:top w:val="nil"/>
              <w:left w:val="nil"/>
              <w:bottom w:val="nil"/>
              <w:right w:val="nil"/>
            </w:tcBorders>
            <w:shd w:val="clear" w:color="000000" w:fill="BFBFBF"/>
            <w:noWrap/>
            <w:vAlign w:val="bottom"/>
            <w:hideMark/>
          </w:tcPr>
          <w:p w14:paraId="31383DE3"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351 869</w:t>
            </w:r>
          </w:p>
        </w:tc>
        <w:tc>
          <w:tcPr>
            <w:tcW w:w="641" w:type="pct"/>
            <w:tcBorders>
              <w:top w:val="nil"/>
              <w:left w:val="nil"/>
              <w:bottom w:val="nil"/>
              <w:right w:val="nil"/>
            </w:tcBorders>
            <w:shd w:val="clear" w:color="auto" w:fill="auto"/>
            <w:noWrap/>
            <w:vAlign w:val="bottom"/>
            <w:hideMark/>
          </w:tcPr>
          <w:p w14:paraId="55AAFF10"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-22 584</w:t>
            </w:r>
          </w:p>
        </w:tc>
      </w:tr>
      <w:tr w:rsidR="00CB3C45" w:rsidRPr="004A5951" w14:paraId="13152BBF" w14:textId="77777777" w:rsidTr="00842F2E">
        <w:trPr>
          <w:trHeight w:val="525"/>
        </w:trPr>
        <w:tc>
          <w:tcPr>
            <w:tcW w:w="2230" w:type="pct"/>
            <w:tcBorders>
              <w:top w:val="nil"/>
              <w:left w:val="nil"/>
              <w:bottom w:val="nil"/>
              <w:right w:val="nil"/>
            </w:tcBorders>
            <w:shd w:val="clear" w:color="auto" w:fill="auto"/>
            <w:vAlign w:val="bottom"/>
            <w:hideMark/>
          </w:tcPr>
          <w:p w14:paraId="74725F24" w14:textId="77777777" w:rsidR="00CB3C45" w:rsidRPr="004A5951" w:rsidRDefault="00CB3C45" w:rsidP="00842F2E">
            <w:pPr>
              <w:spacing w:after="0" w:line="240" w:lineRule="auto"/>
              <w:jc w:val="left"/>
              <w:rPr>
                <w:rFonts w:eastAsia="Times New Roman" w:cs="Times New Roman"/>
                <w:sz w:val="18"/>
                <w:szCs w:val="18"/>
                <w:lang w:eastAsia="sk-SK"/>
              </w:rPr>
            </w:pPr>
            <w:r w:rsidRPr="004A5951">
              <w:rPr>
                <w:rFonts w:eastAsia="Times New Roman" w:cs="Times New Roman"/>
                <w:sz w:val="18"/>
                <w:szCs w:val="18"/>
                <w:lang w:eastAsia="sk-SK"/>
              </w:rPr>
              <w:t>Návratné finančné výpomoci zo VPS a ŠD (konsoliduje sa)</w:t>
            </w:r>
          </w:p>
        </w:tc>
        <w:tc>
          <w:tcPr>
            <w:tcW w:w="710" w:type="pct"/>
            <w:tcBorders>
              <w:top w:val="nil"/>
              <w:left w:val="nil"/>
              <w:bottom w:val="nil"/>
              <w:right w:val="nil"/>
            </w:tcBorders>
            <w:shd w:val="clear" w:color="auto" w:fill="auto"/>
            <w:noWrap/>
            <w:vAlign w:val="bottom"/>
            <w:hideMark/>
          </w:tcPr>
          <w:p w14:paraId="62B8D9D1"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0</w:t>
            </w:r>
          </w:p>
        </w:tc>
        <w:tc>
          <w:tcPr>
            <w:tcW w:w="710" w:type="pct"/>
            <w:tcBorders>
              <w:top w:val="nil"/>
              <w:left w:val="nil"/>
              <w:bottom w:val="nil"/>
              <w:right w:val="nil"/>
            </w:tcBorders>
            <w:shd w:val="clear" w:color="auto" w:fill="auto"/>
            <w:noWrap/>
            <w:vAlign w:val="bottom"/>
            <w:hideMark/>
          </w:tcPr>
          <w:p w14:paraId="68891CF0"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15 500</w:t>
            </w:r>
          </w:p>
        </w:tc>
        <w:tc>
          <w:tcPr>
            <w:tcW w:w="710" w:type="pct"/>
            <w:tcBorders>
              <w:top w:val="nil"/>
              <w:left w:val="nil"/>
              <w:bottom w:val="nil"/>
              <w:right w:val="nil"/>
            </w:tcBorders>
            <w:shd w:val="clear" w:color="000000" w:fill="BFBFBF"/>
            <w:noWrap/>
            <w:vAlign w:val="bottom"/>
            <w:hideMark/>
          </w:tcPr>
          <w:p w14:paraId="6F28003F"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144 454</w:t>
            </w:r>
          </w:p>
        </w:tc>
        <w:tc>
          <w:tcPr>
            <w:tcW w:w="641" w:type="pct"/>
            <w:tcBorders>
              <w:top w:val="nil"/>
              <w:left w:val="nil"/>
              <w:bottom w:val="nil"/>
              <w:right w:val="nil"/>
            </w:tcBorders>
            <w:shd w:val="clear" w:color="auto" w:fill="auto"/>
            <w:noWrap/>
            <w:vAlign w:val="bottom"/>
            <w:hideMark/>
          </w:tcPr>
          <w:p w14:paraId="6C9E61A7"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128 954</w:t>
            </w:r>
          </w:p>
        </w:tc>
      </w:tr>
      <w:tr w:rsidR="00CB3C45" w:rsidRPr="004A5951" w14:paraId="3F3929F0" w14:textId="77777777" w:rsidTr="00842F2E">
        <w:trPr>
          <w:trHeight w:val="300"/>
        </w:trPr>
        <w:tc>
          <w:tcPr>
            <w:tcW w:w="2230" w:type="pct"/>
            <w:tcBorders>
              <w:top w:val="nil"/>
              <w:left w:val="nil"/>
              <w:bottom w:val="nil"/>
              <w:right w:val="nil"/>
            </w:tcBorders>
            <w:shd w:val="clear" w:color="auto" w:fill="auto"/>
            <w:noWrap/>
            <w:vAlign w:val="bottom"/>
            <w:hideMark/>
          </w:tcPr>
          <w:p w14:paraId="2E3BFD67" w14:textId="77777777" w:rsidR="00CB3C45" w:rsidRPr="004A5951" w:rsidRDefault="00CB3C45" w:rsidP="00842F2E">
            <w:pPr>
              <w:spacing w:after="0" w:line="240" w:lineRule="auto"/>
              <w:jc w:val="left"/>
              <w:rPr>
                <w:rFonts w:eastAsia="Times New Roman" w:cs="Times New Roman"/>
                <w:sz w:val="18"/>
                <w:szCs w:val="18"/>
                <w:lang w:eastAsia="sk-SK"/>
              </w:rPr>
            </w:pPr>
            <w:r w:rsidRPr="004A5951">
              <w:rPr>
                <w:rFonts w:eastAsia="Times New Roman" w:cs="Times New Roman"/>
                <w:sz w:val="18"/>
                <w:szCs w:val="18"/>
                <w:lang w:eastAsia="sk-SK"/>
              </w:rPr>
              <w:t>Zábezpeky</w:t>
            </w:r>
          </w:p>
        </w:tc>
        <w:tc>
          <w:tcPr>
            <w:tcW w:w="710" w:type="pct"/>
            <w:tcBorders>
              <w:top w:val="nil"/>
              <w:left w:val="nil"/>
              <w:bottom w:val="nil"/>
              <w:right w:val="nil"/>
            </w:tcBorders>
            <w:shd w:val="clear" w:color="auto" w:fill="auto"/>
            <w:noWrap/>
            <w:vAlign w:val="bottom"/>
            <w:hideMark/>
          </w:tcPr>
          <w:p w14:paraId="4E75290A"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1 274</w:t>
            </w:r>
          </w:p>
        </w:tc>
        <w:tc>
          <w:tcPr>
            <w:tcW w:w="710" w:type="pct"/>
            <w:tcBorders>
              <w:top w:val="nil"/>
              <w:left w:val="nil"/>
              <w:bottom w:val="nil"/>
              <w:right w:val="nil"/>
            </w:tcBorders>
            <w:shd w:val="clear" w:color="auto" w:fill="auto"/>
            <w:noWrap/>
            <w:vAlign w:val="bottom"/>
            <w:hideMark/>
          </w:tcPr>
          <w:p w14:paraId="7FB44F8D"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945</w:t>
            </w:r>
          </w:p>
        </w:tc>
        <w:tc>
          <w:tcPr>
            <w:tcW w:w="710" w:type="pct"/>
            <w:tcBorders>
              <w:top w:val="nil"/>
              <w:left w:val="nil"/>
              <w:bottom w:val="nil"/>
              <w:right w:val="nil"/>
            </w:tcBorders>
            <w:shd w:val="clear" w:color="000000" w:fill="BFBFBF"/>
            <w:noWrap/>
            <w:vAlign w:val="bottom"/>
            <w:hideMark/>
          </w:tcPr>
          <w:p w14:paraId="435CDC25"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1 909</w:t>
            </w:r>
          </w:p>
        </w:tc>
        <w:tc>
          <w:tcPr>
            <w:tcW w:w="641" w:type="pct"/>
            <w:tcBorders>
              <w:top w:val="nil"/>
              <w:left w:val="nil"/>
              <w:bottom w:val="nil"/>
              <w:right w:val="nil"/>
            </w:tcBorders>
            <w:shd w:val="clear" w:color="auto" w:fill="auto"/>
            <w:noWrap/>
            <w:vAlign w:val="bottom"/>
            <w:hideMark/>
          </w:tcPr>
          <w:p w14:paraId="5C763E19"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964</w:t>
            </w:r>
          </w:p>
        </w:tc>
      </w:tr>
      <w:tr w:rsidR="00CB3C45" w:rsidRPr="004A5951" w14:paraId="0F0D2413" w14:textId="77777777" w:rsidTr="00842F2E">
        <w:trPr>
          <w:trHeight w:val="525"/>
        </w:trPr>
        <w:tc>
          <w:tcPr>
            <w:tcW w:w="2230" w:type="pct"/>
            <w:tcBorders>
              <w:top w:val="nil"/>
              <w:left w:val="nil"/>
              <w:bottom w:val="nil"/>
              <w:right w:val="nil"/>
            </w:tcBorders>
            <w:shd w:val="clear" w:color="auto" w:fill="auto"/>
            <w:vAlign w:val="bottom"/>
            <w:hideMark/>
          </w:tcPr>
          <w:p w14:paraId="0F0AA266" w14:textId="77777777" w:rsidR="00CB3C45" w:rsidRPr="004A5951" w:rsidRDefault="00CB3C45" w:rsidP="00842F2E">
            <w:pPr>
              <w:spacing w:after="0" w:line="240" w:lineRule="auto"/>
              <w:jc w:val="left"/>
              <w:rPr>
                <w:rFonts w:eastAsia="Times New Roman" w:cs="Times New Roman"/>
                <w:sz w:val="18"/>
                <w:szCs w:val="18"/>
                <w:lang w:eastAsia="sk-SK"/>
              </w:rPr>
            </w:pPr>
            <w:r w:rsidRPr="004A5951">
              <w:rPr>
                <w:rFonts w:eastAsia="Times New Roman" w:cs="Times New Roman"/>
                <w:sz w:val="18"/>
                <w:szCs w:val="18"/>
                <w:lang w:eastAsia="sk-SK"/>
              </w:rPr>
              <w:t>Dlhodobé záväzky z obchodného styku a prijaté preddavky</w:t>
            </w:r>
          </w:p>
        </w:tc>
        <w:tc>
          <w:tcPr>
            <w:tcW w:w="710" w:type="pct"/>
            <w:tcBorders>
              <w:top w:val="nil"/>
              <w:left w:val="nil"/>
              <w:bottom w:val="nil"/>
              <w:right w:val="nil"/>
            </w:tcBorders>
            <w:shd w:val="clear" w:color="auto" w:fill="auto"/>
            <w:noWrap/>
            <w:vAlign w:val="bottom"/>
            <w:hideMark/>
          </w:tcPr>
          <w:p w14:paraId="2604DE1A"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220</w:t>
            </w:r>
          </w:p>
        </w:tc>
        <w:tc>
          <w:tcPr>
            <w:tcW w:w="710" w:type="pct"/>
            <w:tcBorders>
              <w:top w:val="nil"/>
              <w:left w:val="nil"/>
              <w:bottom w:val="nil"/>
              <w:right w:val="nil"/>
            </w:tcBorders>
            <w:shd w:val="clear" w:color="auto" w:fill="auto"/>
            <w:noWrap/>
            <w:vAlign w:val="bottom"/>
            <w:hideMark/>
          </w:tcPr>
          <w:p w14:paraId="23C94405"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103</w:t>
            </w:r>
          </w:p>
        </w:tc>
        <w:tc>
          <w:tcPr>
            <w:tcW w:w="710" w:type="pct"/>
            <w:tcBorders>
              <w:top w:val="nil"/>
              <w:left w:val="nil"/>
              <w:bottom w:val="nil"/>
              <w:right w:val="nil"/>
            </w:tcBorders>
            <w:shd w:val="clear" w:color="000000" w:fill="BFBFBF"/>
            <w:noWrap/>
            <w:vAlign w:val="bottom"/>
            <w:hideMark/>
          </w:tcPr>
          <w:p w14:paraId="7B432C9C"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480</w:t>
            </w:r>
          </w:p>
        </w:tc>
        <w:tc>
          <w:tcPr>
            <w:tcW w:w="641" w:type="pct"/>
            <w:tcBorders>
              <w:top w:val="nil"/>
              <w:left w:val="nil"/>
              <w:bottom w:val="nil"/>
              <w:right w:val="nil"/>
            </w:tcBorders>
            <w:shd w:val="clear" w:color="auto" w:fill="auto"/>
            <w:noWrap/>
            <w:vAlign w:val="bottom"/>
            <w:hideMark/>
          </w:tcPr>
          <w:p w14:paraId="5B1350BC"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377</w:t>
            </w:r>
          </w:p>
        </w:tc>
      </w:tr>
      <w:tr w:rsidR="00CB3C45" w:rsidRPr="004A5951" w14:paraId="17593E65" w14:textId="77777777" w:rsidTr="00BB1D4F">
        <w:trPr>
          <w:trHeight w:val="300"/>
        </w:trPr>
        <w:tc>
          <w:tcPr>
            <w:tcW w:w="2230" w:type="pct"/>
            <w:tcBorders>
              <w:top w:val="nil"/>
              <w:left w:val="nil"/>
              <w:bottom w:val="single" w:sz="4" w:space="0" w:color="auto"/>
              <w:right w:val="nil"/>
            </w:tcBorders>
            <w:shd w:val="clear" w:color="auto" w:fill="auto"/>
            <w:noWrap/>
            <w:vAlign w:val="bottom"/>
            <w:hideMark/>
          </w:tcPr>
          <w:p w14:paraId="062DB656" w14:textId="77777777" w:rsidR="00CB3C45" w:rsidRPr="004A5951" w:rsidRDefault="00CB3C45" w:rsidP="00842F2E">
            <w:pPr>
              <w:spacing w:after="0" w:line="240" w:lineRule="auto"/>
              <w:jc w:val="left"/>
              <w:rPr>
                <w:rFonts w:eastAsia="Times New Roman" w:cs="Times New Roman"/>
                <w:b/>
                <w:bCs/>
                <w:sz w:val="18"/>
                <w:szCs w:val="18"/>
                <w:lang w:eastAsia="sk-SK"/>
              </w:rPr>
            </w:pPr>
            <w:r w:rsidRPr="004A5951">
              <w:rPr>
                <w:rFonts w:eastAsia="Times New Roman" w:cs="Times New Roman"/>
                <w:b/>
                <w:bCs/>
                <w:sz w:val="18"/>
                <w:szCs w:val="18"/>
                <w:lang w:eastAsia="sk-SK"/>
              </w:rPr>
              <w:t>Spolu nekonsolidovaný dlh VÚC</w:t>
            </w:r>
          </w:p>
        </w:tc>
        <w:tc>
          <w:tcPr>
            <w:tcW w:w="710" w:type="pct"/>
            <w:tcBorders>
              <w:top w:val="nil"/>
              <w:left w:val="nil"/>
              <w:bottom w:val="single" w:sz="4" w:space="0" w:color="auto"/>
              <w:right w:val="nil"/>
            </w:tcBorders>
            <w:shd w:val="clear" w:color="auto" w:fill="auto"/>
            <w:noWrap/>
            <w:vAlign w:val="bottom"/>
            <w:hideMark/>
          </w:tcPr>
          <w:p w14:paraId="22B8B505" w14:textId="77777777" w:rsidR="00CB3C45" w:rsidRPr="004A5951" w:rsidRDefault="00CB3C45" w:rsidP="00842F2E">
            <w:pPr>
              <w:spacing w:after="0" w:line="240" w:lineRule="auto"/>
              <w:jc w:val="right"/>
              <w:rPr>
                <w:rFonts w:eastAsia="Times New Roman" w:cs="Times New Roman"/>
                <w:b/>
                <w:bCs/>
                <w:sz w:val="18"/>
                <w:szCs w:val="18"/>
                <w:lang w:eastAsia="sk-SK"/>
              </w:rPr>
            </w:pPr>
            <w:r w:rsidRPr="004A5951">
              <w:rPr>
                <w:rFonts w:eastAsia="Times New Roman" w:cs="Times New Roman"/>
                <w:b/>
                <w:bCs/>
                <w:sz w:val="18"/>
                <w:szCs w:val="18"/>
                <w:lang w:eastAsia="sk-SK"/>
              </w:rPr>
              <w:t>362 819</w:t>
            </w:r>
          </w:p>
        </w:tc>
        <w:tc>
          <w:tcPr>
            <w:tcW w:w="710" w:type="pct"/>
            <w:tcBorders>
              <w:top w:val="nil"/>
              <w:left w:val="nil"/>
              <w:bottom w:val="single" w:sz="4" w:space="0" w:color="auto"/>
              <w:right w:val="nil"/>
            </w:tcBorders>
            <w:shd w:val="clear" w:color="auto" w:fill="auto"/>
            <w:noWrap/>
            <w:vAlign w:val="bottom"/>
            <w:hideMark/>
          </w:tcPr>
          <w:p w14:paraId="23054800" w14:textId="77777777" w:rsidR="00CB3C45" w:rsidRPr="004A5951" w:rsidRDefault="00CB3C45" w:rsidP="00842F2E">
            <w:pPr>
              <w:spacing w:after="0" w:line="240" w:lineRule="auto"/>
              <w:jc w:val="right"/>
              <w:rPr>
                <w:rFonts w:eastAsia="Times New Roman" w:cs="Times New Roman"/>
                <w:b/>
                <w:bCs/>
                <w:sz w:val="18"/>
                <w:szCs w:val="18"/>
                <w:lang w:eastAsia="sk-SK"/>
              </w:rPr>
            </w:pPr>
            <w:r w:rsidRPr="004A5951">
              <w:rPr>
                <w:rFonts w:eastAsia="Times New Roman" w:cs="Times New Roman"/>
                <w:b/>
                <w:bCs/>
                <w:sz w:val="18"/>
                <w:szCs w:val="18"/>
                <w:lang w:eastAsia="sk-SK"/>
              </w:rPr>
              <w:t>391 001</w:t>
            </w:r>
          </w:p>
        </w:tc>
        <w:tc>
          <w:tcPr>
            <w:tcW w:w="710" w:type="pct"/>
            <w:tcBorders>
              <w:top w:val="nil"/>
              <w:left w:val="nil"/>
              <w:bottom w:val="single" w:sz="4" w:space="0" w:color="auto"/>
              <w:right w:val="nil"/>
            </w:tcBorders>
            <w:shd w:val="clear" w:color="000000" w:fill="BFBFBF"/>
            <w:noWrap/>
            <w:vAlign w:val="bottom"/>
            <w:hideMark/>
          </w:tcPr>
          <w:p w14:paraId="1CA7F0E8" w14:textId="77777777" w:rsidR="00CB3C45" w:rsidRPr="004A5951" w:rsidRDefault="00CB3C45" w:rsidP="00842F2E">
            <w:pPr>
              <w:spacing w:after="0" w:line="240" w:lineRule="auto"/>
              <w:jc w:val="right"/>
              <w:rPr>
                <w:rFonts w:eastAsia="Times New Roman" w:cs="Times New Roman"/>
                <w:b/>
                <w:bCs/>
                <w:sz w:val="18"/>
                <w:szCs w:val="18"/>
                <w:lang w:eastAsia="sk-SK"/>
              </w:rPr>
            </w:pPr>
            <w:r w:rsidRPr="004A5951">
              <w:rPr>
                <w:rFonts w:eastAsia="Times New Roman" w:cs="Times New Roman"/>
                <w:b/>
                <w:bCs/>
                <w:sz w:val="18"/>
                <w:szCs w:val="18"/>
                <w:lang w:eastAsia="sk-SK"/>
              </w:rPr>
              <w:t>498 712</w:t>
            </w:r>
          </w:p>
        </w:tc>
        <w:tc>
          <w:tcPr>
            <w:tcW w:w="641" w:type="pct"/>
            <w:tcBorders>
              <w:top w:val="nil"/>
              <w:left w:val="nil"/>
              <w:bottom w:val="single" w:sz="4" w:space="0" w:color="auto"/>
              <w:right w:val="nil"/>
            </w:tcBorders>
            <w:shd w:val="clear" w:color="auto" w:fill="auto"/>
            <w:noWrap/>
            <w:vAlign w:val="bottom"/>
            <w:hideMark/>
          </w:tcPr>
          <w:p w14:paraId="71D1C401" w14:textId="77777777" w:rsidR="00CB3C45" w:rsidRPr="004A5951" w:rsidRDefault="00CB3C45" w:rsidP="00842F2E">
            <w:pPr>
              <w:spacing w:after="0" w:line="240" w:lineRule="auto"/>
              <w:jc w:val="right"/>
              <w:rPr>
                <w:rFonts w:eastAsia="Times New Roman" w:cs="Times New Roman"/>
                <w:b/>
                <w:bCs/>
                <w:sz w:val="18"/>
                <w:szCs w:val="18"/>
                <w:lang w:eastAsia="sk-SK"/>
              </w:rPr>
            </w:pPr>
            <w:r w:rsidRPr="004A5951">
              <w:rPr>
                <w:rFonts w:eastAsia="Times New Roman" w:cs="Times New Roman"/>
                <w:b/>
                <w:bCs/>
                <w:sz w:val="18"/>
                <w:szCs w:val="18"/>
                <w:lang w:eastAsia="sk-SK"/>
              </w:rPr>
              <w:t>107 711</w:t>
            </w:r>
          </w:p>
        </w:tc>
      </w:tr>
      <w:tr w:rsidR="00CB3C45" w:rsidRPr="004A5951" w14:paraId="2863B93D" w14:textId="77777777" w:rsidTr="00BB1D4F">
        <w:trPr>
          <w:trHeight w:val="525"/>
        </w:trPr>
        <w:tc>
          <w:tcPr>
            <w:tcW w:w="2230" w:type="pct"/>
            <w:tcBorders>
              <w:top w:val="single" w:sz="4" w:space="0" w:color="auto"/>
              <w:left w:val="nil"/>
              <w:bottom w:val="single" w:sz="4" w:space="0" w:color="auto"/>
              <w:right w:val="nil"/>
            </w:tcBorders>
            <w:shd w:val="clear" w:color="auto" w:fill="auto"/>
            <w:vAlign w:val="bottom"/>
            <w:hideMark/>
          </w:tcPr>
          <w:p w14:paraId="55BB6F0C" w14:textId="77777777" w:rsidR="00CB3C45" w:rsidRPr="004A5951" w:rsidRDefault="00CB3C45" w:rsidP="00842F2E">
            <w:pPr>
              <w:spacing w:after="0" w:line="240" w:lineRule="auto"/>
              <w:jc w:val="left"/>
              <w:rPr>
                <w:rFonts w:eastAsia="Times New Roman" w:cs="Times New Roman"/>
                <w:b/>
                <w:bCs/>
                <w:sz w:val="18"/>
                <w:szCs w:val="18"/>
                <w:lang w:eastAsia="sk-SK"/>
              </w:rPr>
            </w:pPr>
            <w:r w:rsidRPr="004A5951">
              <w:rPr>
                <w:rFonts w:eastAsia="Times New Roman" w:cs="Times New Roman"/>
                <w:b/>
                <w:bCs/>
                <w:sz w:val="18"/>
                <w:szCs w:val="18"/>
                <w:lang w:eastAsia="sk-SK"/>
              </w:rPr>
              <w:t>Konsolidovaný príspevok VÚC do konsolidovaného dlhu verejnej správy</w:t>
            </w:r>
          </w:p>
        </w:tc>
        <w:tc>
          <w:tcPr>
            <w:tcW w:w="710" w:type="pct"/>
            <w:tcBorders>
              <w:top w:val="single" w:sz="4" w:space="0" w:color="auto"/>
              <w:left w:val="nil"/>
              <w:bottom w:val="single" w:sz="4" w:space="0" w:color="auto"/>
              <w:right w:val="nil"/>
            </w:tcBorders>
            <w:shd w:val="clear" w:color="auto" w:fill="auto"/>
            <w:noWrap/>
            <w:vAlign w:val="bottom"/>
            <w:hideMark/>
          </w:tcPr>
          <w:p w14:paraId="12A00EB5" w14:textId="77777777" w:rsidR="00CB3C45" w:rsidRPr="004A5951" w:rsidRDefault="00CB3C45" w:rsidP="00842F2E">
            <w:pPr>
              <w:spacing w:after="0" w:line="240" w:lineRule="auto"/>
              <w:jc w:val="right"/>
              <w:rPr>
                <w:rFonts w:eastAsia="Times New Roman" w:cs="Times New Roman"/>
                <w:b/>
                <w:bCs/>
                <w:sz w:val="18"/>
                <w:szCs w:val="18"/>
                <w:lang w:eastAsia="sk-SK"/>
              </w:rPr>
            </w:pPr>
            <w:r w:rsidRPr="004A5951">
              <w:rPr>
                <w:rFonts w:eastAsia="Times New Roman" w:cs="Times New Roman"/>
                <w:b/>
                <w:bCs/>
                <w:sz w:val="18"/>
                <w:szCs w:val="18"/>
                <w:lang w:eastAsia="sk-SK"/>
              </w:rPr>
              <w:t>362 819</w:t>
            </w:r>
          </w:p>
        </w:tc>
        <w:tc>
          <w:tcPr>
            <w:tcW w:w="710" w:type="pct"/>
            <w:tcBorders>
              <w:top w:val="single" w:sz="4" w:space="0" w:color="auto"/>
              <w:left w:val="nil"/>
              <w:bottom w:val="single" w:sz="4" w:space="0" w:color="auto"/>
              <w:right w:val="nil"/>
            </w:tcBorders>
            <w:shd w:val="clear" w:color="auto" w:fill="auto"/>
            <w:noWrap/>
            <w:vAlign w:val="bottom"/>
            <w:hideMark/>
          </w:tcPr>
          <w:p w14:paraId="2160E616" w14:textId="77777777" w:rsidR="00CB3C45" w:rsidRPr="004A5951" w:rsidRDefault="00CB3C45" w:rsidP="00842F2E">
            <w:pPr>
              <w:spacing w:after="0" w:line="240" w:lineRule="auto"/>
              <w:jc w:val="right"/>
              <w:rPr>
                <w:rFonts w:eastAsia="Times New Roman" w:cs="Times New Roman"/>
                <w:b/>
                <w:bCs/>
                <w:sz w:val="18"/>
                <w:szCs w:val="18"/>
                <w:lang w:eastAsia="sk-SK"/>
              </w:rPr>
            </w:pPr>
            <w:r w:rsidRPr="004A5951">
              <w:rPr>
                <w:rFonts w:eastAsia="Times New Roman" w:cs="Times New Roman"/>
                <w:b/>
                <w:bCs/>
                <w:sz w:val="18"/>
                <w:szCs w:val="18"/>
                <w:lang w:eastAsia="sk-SK"/>
              </w:rPr>
              <w:t>375 501</w:t>
            </w:r>
          </w:p>
        </w:tc>
        <w:tc>
          <w:tcPr>
            <w:tcW w:w="710" w:type="pct"/>
            <w:tcBorders>
              <w:top w:val="single" w:sz="4" w:space="0" w:color="auto"/>
              <w:left w:val="nil"/>
              <w:bottom w:val="single" w:sz="4" w:space="0" w:color="auto"/>
              <w:right w:val="nil"/>
            </w:tcBorders>
            <w:shd w:val="clear" w:color="000000" w:fill="BFBFBF"/>
            <w:noWrap/>
            <w:vAlign w:val="bottom"/>
            <w:hideMark/>
          </w:tcPr>
          <w:p w14:paraId="1D67938A" w14:textId="77777777" w:rsidR="00CB3C45" w:rsidRPr="004A5951" w:rsidRDefault="00CB3C45" w:rsidP="00842F2E">
            <w:pPr>
              <w:spacing w:after="0" w:line="240" w:lineRule="auto"/>
              <w:jc w:val="right"/>
              <w:rPr>
                <w:rFonts w:eastAsia="Times New Roman" w:cs="Times New Roman"/>
                <w:b/>
                <w:bCs/>
                <w:sz w:val="18"/>
                <w:szCs w:val="18"/>
                <w:lang w:eastAsia="sk-SK"/>
              </w:rPr>
            </w:pPr>
            <w:r w:rsidRPr="004A5951">
              <w:rPr>
                <w:rFonts w:eastAsia="Times New Roman" w:cs="Times New Roman"/>
                <w:b/>
                <w:bCs/>
                <w:sz w:val="18"/>
                <w:szCs w:val="18"/>
                <w:lang w:eastAsia="sk-SK"/>
              </w:rPr>
              <w:t>354 258</w:t>
            </w:r>
          </w:p>
        </w:tc>
        <w:tc>
          <w:tcPr>
            <w:tcW w:w="641" w:type="pct"/>
            <w:tcBorders>
              <w:top w:val="single" w:sz="4" w:space="0" w:color="auto"/>
              <w:left w:val="nil"/>
              <w:bottom w:val="single" w:sz="4" w:space="0" w:color="auto"/>
              <w:right w:val="nil"/>
            </w:tcBorders>
            <w:shd w:val="clear" w:color="auto" w:fill="auto"/>
            <w:noWrap/>
            <w:vAlign w:val="bottom"/>
            <w:hideMark/>
          </w:tcPr>
          <w:p w14:paraId="2993DBCB" w14:textId="77777777" w:rsidR="00CB3C45" w:rsidRPr="004A5951" w:rsidRDefault="00CB3C45" w:rsidP="00842F2E">
            <w:pPr>
              <w:spacing w:after="0" w:line="240" w:lineRule="auto"/>
              <w:jc w:val="right"/>
              <w:rPr>
                <w:rFonts w:eastAsia="Times New Roman" w:cs="Times New Roman"/>
                <w:b/>
                <w:bCs/>
                <w:sz w:val="18"/>
                <w:szCs w:val="18"/>
                <w:lang w:eastAsia="sk-SK"/>
              </w:rPr>
            </w:pPr>
            <w:r w:rsidRPr="004A5951">
              <w:rPr>
                <w:rFonts w:eastAsia="Times New Roman" w:cs="Times New Roman"/>
                <w:b/>
                <w:bCs/>
                <w:sz w:val="18"/>
                <w:szCs w:val="18"/>
                <w:lang w:eastAsia="sk-SK"/>
              </w:rPr>
              <w:t>-21 243</w:t>
            </w:r>
          </w:p>
        </w:tc>
      </w:tr>
    </w:tbl>
    <w:p w14:paraId="14C61F5F" w14:textId="77777777" w:rsidR="00CB3C45" w:rsidRPr="009623D7" w:rsidRDefault="00CB3C45" w:rsidP="00CB3C45">
      <w:pPr>
        <w:jc w:val="right"/>
        <w:rPr>
          <w:sz w:val="18"/>
          <w:szCs w:val="18"/>
        </w:rPr>
      </w:pPr>
      <w:r w:rsidRPr="009623D7">
        <w:rPr>
          <w:sz w:val="18"/>
          <w:szCs w:val="18"/>
        </w:rPr>
        <w:t>Zdroj: MF SR</w:t>
      </w:r>
    </w:p>
    <w:tbl>
      <w:tblPr>
        <w:tblW w:w="5000" w:type="pct"/>
        <w:tblCellMar>
          <w:left w:w="70" w:type="dxa"/>
          <w:right w:w="70" w:type="dxa"/>
        </w:tblCellMar>
        <w:tblLook w:val="04A0" w:firstRow="1" w:lastRow="0" w:firstColumn="1" w:lastColumn="0" w:noHBand="0" w:noVBand="1"/>
      </w:tblPr>
      <w:tblGrid>
        <w:gridCol w:w="2280"/>
        <w:gridCol w:w="1848"/>
        <w:gridCol w:w="1657"/>
        <w:gridCol w:w="1627"/>
        <w:gridCol w:w="1802"/>
      </w:tblGrid>
      <w:tr w:rsidR="00CB3C45" w:rsidRPr="004A5951" w14:paraId="3ECA257A" w14:textId="77777777" w:rsidTr="00842F2E">
        <w:trPr>
          <w:trHeight w:val="300"/>
        </w:trPr>
        <w:tc>
          <w:tcPr>
            <w:tcW w:w="4022" w:type="pct"/>
            <w:gridSpan w:val="4"/>
            <w:tcBorders>
              <w:top w:val="single" w:sz="4" w:space="0" w:color="auto"/>
              <w:left w:val="nil"/>
              <w:bottom w:val="single" w:sz="4" w:space="0" w:color="auto"/>
              <w:right w:val="nil"/>
            </w:tcBorders>
            <w:shd w:val="clear" w:color="000000" w:fill="000000"/>
            <w:noWrap/>
            <w:vAlign w:val="center"/>
            <w:hideMark/>
          </w:tcPr>
          <w:p w14:paraId="0FAE3A8F" w14:textId="77777777" w:rsidR="00CB3C45" w:rsidRPr="004A5951" w:rsidRDefault="00CB3C45" w:rsidP="00842F2E">
            <w:pPr>
              <w:spacing w:after="0" w:line="240" w:lineRule="auto"/>
              <w:jc w:val="left"/>
              <w:rPr>
                <w:rFonts w:eastAsia="Times New Roman" w:cs="Times New Roman"/>
                <w:b/>
                <w:bCs/>
                <w:color w:val="FFFFFF"/>
                <w:sz w:val="18"/>
                <w:szCs w:val="18"/>
                <w:lang w:eastAsia="sk-SK"/>
              </w:rPr>
            </w:pPr>
            <w:r w:rsidRPr="004A5951">
              <w:rPr>
                <w:rFonts w:eastAsia="Times New Roman" w:cs="Times New Roman"/>
                <w:b/>
                <w:bCs/>
                <w:color w:val="FFFFFF"/>
                <w:sz w:val="18"/>
                <w:szCs w:val="18"/>
                <w:lang w:eastAsia="sk-SK"/>
              </w:rPr>
              <w:t>Dlh VÚC podľa samosprávnych krajov k 31.12.2020</w:t>
            </w:r>
          </w:p>
        </w:tc>
        <w:tc>
          <w:tcPr>
            <w:tcW w:w="978" w:type="pct"/>
            <w:tcBorders>
              <w:top w:val="single" w:sz="4" w:space="0" w:color="auto"/>
              <w:left w:val="nil"/>
              <w:bottom w:val="single" w:sz="4" w:space="0" w:color="auto"/>
              <w:right w:val="nil"/>
            </w:tcBorders>
            <w:shd w:val="clear" w:color="000000" w:fill="000000"/>
            <w:noWrap/>
            <w:vAlign w:val="center"/>
            <w:hideMark/>
          </w:tcPr>
          <w:p w14:paraId="2A093886" w14:textId="77777777" w:rsidR="00CB3C45" w:rsidRPr="004A5951" w:rsidRDefault="00CB3C45" w:rsidP="00842F2E">
            <w:pPr>
              <w:spacing w:after="0" w:line="240" w:lineRule="auto"/>
              <w:jc w:val="right"/>
              <w:rPr>
                <w:rFonts w:eastAsia="Times New Roman" w:cs="Times New Roman"/>
                <w:b/>
                <w:bCs/>
                <w:color w:val="FFFFFF"/>
                <w:sz w:val="18"/>
                <w:szCs w:val="18"/>
                <w:lang w:eastAsia="sk-SK"/>
              </w:rPr>
            </w:pPr>
            <w:r w:rsidRPr="004A5951">
              <w:rPr>
                <w:rFonts w:eastAsia="Times New Roman" w:cs="Times New Roman"/>
                <w:b/>
                <w:bCs/>
                <w:color w:val="FFFFFF"/>
                <w:sz w:val="18"/>
                <w:szCs w:val="18"/>
                <w:lang w:eastAsia="sk-SK"/>
              </w:rPr>
              <w:t>v tis. eur</w:t>
            </w:r>
          </w:p>
        </w:tc>
      </w:tr>
      <w:tr w:rsidR="00CB3C45" w:rsidRPr="004A5951" w14:paraId="3F39F71E" w14:textId="77777777" w:rsidTr="00842F2E">
        <w:trPr>
          <w:trHeight w:val="570"/>
        </w:trPr>
        <w:tc>
          <w:tcPr>
            <w:tcW w:w="1237" w:type="pct"/>
            <w:tcBorders>
              <w:top w:val="single" w:sz="4" w:space="0" w:color="auto"/>
              <w:left w:val="nil"/>
              <w:bottom w:val="nil"/>
              <w:right w:val="nil"/>
            </w:tcBorders>
            <w:shd w:val="clear" w:color="000000" w:fill="BFBFBF"/>
            <w:noWrap/>
            <w:vAlign w:val="center"/>
            <w:hideMark/>
          </w:tcPr>
          <w:p w14:paraId="6C0C8705" w14:textId="77777777" w:rsidR="00CB3C45" w:rsidRPr="004A5951" w:rsidRDefault="00CB3C45" w:rsidP="00842F2E">
            <w:pPr>
              <w:spacing w:after="0" w:line="240" w:lineRule="auto"/>
              <w:rPr>
                <w:rFonts w:eastAsia="Times New Roman" w:cs="Times New Roman"/>
                <w:b/>
                <w:bCs/>
                <w:sz w:val="18"/>
                <w:szCs w:val="18"/>
                <w:lang w:eastAsia="sk-SK"/>
              </w:rPr>
            </w:pPr>
            <w:r w:rsidRPr="004A5951">
              <w:rPr>
                <w:rFonts w:eastAsia="Times New Roman" w:cs="Times New Roman"/>
                <w:b/>
                <w:bCs/>
                <w:sz w:val="18"/>
                <w:szCs w:val="18"/>
                <w:lang w:eastAsia="sk-SK"/>
              </w:rPr>
              <w:t>Samosprávny kraj</w:t>
            </w:r>
          </w:p>
        </w:tc>
        <w:tc>
          <w:tcPr>
            <w:tcW w:w="1003" w:type="pct"/>
            <w:tcBorders>
              <w:top w:val="single" w:sz="4" w:space="0" w:color="auto"/>
              <w:left w:val="nil"/>
              <w:bottom w:val="nil"/>
              <w:right w:val="nil"/>
            </w:tcBorders>
            <w:shd w:val="clear" w:color="000000" w:fill="BFBFBF"/>
            <w:noWrap/>
            <w:vAlign w:val="center"/>
            <w:hideMark/>
          </w:tcPr>
          <w:p w14:paraId="37A4B285" w14:textId="77777777" w:rsidR="00CB3C45" w:rsidRPr="004A5951" w:rsidRDefault="00CB3C45" w:rsidP="00842F2E">
            <w:pPr>
              <w:spacing w:after="0" w:line="240" w:lineRule="auto"/>
              <w:jc w:val="center"/>
              <w:rPr>
                <w:rFonts w:eastAsia="Times New Roman" w:cs="Times New Roman"/>
                <w:b/>
                <w:bCs/>
                <w:sz w:val="18"/>
                <w:szCs w:val="18"/>
                <w:lang w:eastAsia="sk-SK"/>
              </w:rPr>
            </w:pPr>
            <w:r w:rsidRPr="004A5951">
              <w:rPr>
                <w:rFonts w:eastAsia="Times New Roman" w:cs="Times New Roman"/>
                <w:b/>
                <w:bCs/>
                <w:sz w:val="18"/>
                <w:szCs w:val="18"/>
                <w:lang w:eastAsia="sk-SK"/>
              </w:rPr>
              <w:t>Bankové úvery</w:t>
            </w:r>
          </w:p>
        </w:tc>
        <w:tc>
          <w:tcPr>
            <w:tcW w:w="899" w:type="pct"/>
            <w:tcBorders>
              <w:top w:val="single" w:sz="4" w:space="0" w:color="auto"/>
              <w:left w:val="nil"/>
              <w:bottom w:val="nil"/>
              <w:right w:val="nil"/>
            </w:tcBorders>
            <w:shd w:val="clear" w:color="000000" w:fill="BFBFBF"/>
            <w:vAlign w:val="center"/>
            <w:hideMark/>
          </w:tcPr>
          <w:p w14:paraId="44615AC7" w14:textId="77777777" w:rsidR="00CB3C45" w:rsidRPr="004A5951" w:rsidRDefault="00CB3C45" w:rsidP="00842F2E">
            <w:pPr>
              <w:spacing w:after="0" w:line="240" w:lineRule="auto"/>
              <w:jc w:val="center"/>
              <w:rPr>
                <w:rFonts w:eastAsia="Times New Roman" w:cs="Times New Roman"/>
                <w:b/>
                <w:bCs/>
                <w:sz w:val="18"/>
                <w:szCs w:val="18"/>
                <w:lang w:eastAsia="sk-SK"/>
              </w:rPr>
            </w:pPr>
            <w:r w:rsidRPr="004A5951">
              <w:rPr>
                <w:rFonts w:eastAsia="Times New Roman" w:cs="Times New Roman"/>
                <w:b/>
                <w:bCs/>
                <w:sz w:val="18"/>
                <w:szCs w:val="18"/>
                <w:lang w:eastAsia="sk-SK"/>
              </w:rPr>
              <w:t>Návratné fin. výpomoci</w:t>
            </w:r>
          </w:p>
        </w:tc>
        <w:tc>
          <w:tcPr>
            <w:tcW w:w="883" w:type="pct"/>
            <w:tcBorders>
              <w:top w:val="single" w:sz="4" w:space="0" w:color="auto"/>
              <w:left w:val="nil"/>
              <w:bottom w:val="nil"/>
              <w:right w:val="nil"/>
            </w:tcBorders>
            <w:shd w:val="clear" w:color="000000" w:fill="BFBFBF"/>
            <w:vAlign w:val="center"/>
            <w:hideMark/>
          </w:tcPr>
          <w:p w14:paraId="65E4628D" w14:textId="77777777" w:rsidR="00CB3C45" w:rsidRPr="004A5951" w:rsidRDefault="00CB3C45" w:rsidP="00842F2E">
            <w:pPr>
              <w:spacing w:after="0" w:line="240" w:lineRule="auto"/>
              <w:jc w:val="center"/>
              <w:rPr>
                <w:rFonts w:eastAsia="Times New Roman" w:cs="Times New Roman"/>
                <w:b/>
                <w:bCs/>
                <w:sz w:val="18"/>
                <w:szCs w:val="18"/>
                <w:lang w:eastAsia="sk-SK"/>
              </w:rPr>
            </w:pPr>
            <w:r w:rsidRPr="004A5951">
              <w:rPr>
                <w:rFonts w:eastAsia="Times New Roman" w:cs="Times New Roman"/>
                <w:b/>
                <w:bCs/>
                <w:sz w:val="18"/>
                <w:szCs w:val="18"/>
                <w:lang w:eastAsia="sk-SK"/>
              </w:rPr>
              <w:t>Ostatné dlhové nástroje</w:t>
            </w:r>
          </w:p>
        </w:tc>
        <w:tc>
          <w:tcPr>
            <w:tcW w:w="978" w:type="pct"/>
            <w:tcBorders>
              <w:top w:val="single" w:sz="4" w:space="0" w:color="auto"/>
              <w:left w:val="nil"/>
              <w:bottom w:val="nil"/>
              <w:right w:val="nil"/>
            </w:tcBorders>
            <w:shd w:val="clear" w:color="000000" w:fill="BFBFBF"/>
            <w:noWrap/>
            <w:vAlign w:val="center"/>
            <w:hideMark/>
          </w:tcPr>
          <w:p w14:paraId="05A5A866" w14:textId="77777777" w:rsidR="00CB3C45" w:rsidRPr="004A5951" w:rsidRDefault="00CB3C45" w:rsidP="00842F2E">
            <w:pPr>
              <w:spacing w:after="0" w:line="240" w:lineRule="auto"/>
              <w:jc w:val="right"/>
              <w:rPr>
                <w:rFonts w:eastAsia="Times New Roman" w:cs="Times New Roman"/>
                <w:b/>
                <w:bCs/>
                <w:sz w:val="18"/>
                <w:szCs w:val="18"/>
                <w:lang w:eastAsia="sk-SK"/>
              </w:rPr>
            </w:pPr>
            <w:r w:rsidRPr="004A5951">
              <w:rPr>
                <w:rFonts w:eastAsia="Times New Roman" w:cs="Times New Roman"/>
                <w:b/>
                <w:bCs/>
                <w:sz w:val="18"/>
                <w:szCs w:val="18"/>
                <w:lang w:eastAsia="sk-SK"/>
              </w:rPr>
              <w:t>Spolu</w:t>
            </w:r>
          </w:p>
        </w:tc>
      </w:tr>
      <w:tr w:rsidR="00CB3C45" w:rsidRPr="004A5951" w14:paraId="27519DE1" w14:textId="77777777" w:rsidTr="00842F2E">
        <w:trPr>
          <w:trHeight w:val="300"/>
        </w:trPr>
        <w:tc>
          <w:tcPr>
            <w:tcW w:w="1237" w:type="pct"/>
            <w:tcBorders>
              <w:top w:val="nil"/>
              <w:left w:val="nil"/>
              <w:bottom w:val="nil"/>
              <w:right w:val="nil"/>
            </w:tcBorders>
            <w:shd w:val="clear" w:color="auto" w:fill="auto"/>
            <w:noWrap/>
            <w:vAlign w:val="bottom"/>
            <w:hideMark/>
          </w:tcPr>
          <w:p w14:paraId="2DCA1E3B" w14:textId="77777777" w:rsidR="00CB3C45" w:rsidRPr="004A5951" w:rsidRDefault="00CB3C45" w:rsidP="00842F2E">
            <w:pPr>
              <w:spacing w:after="0" w:line="240" w:lineRule="auto"/>
              <w:jc w:val="left"/>
              <w:rPr>
                <w:rFonts w:eastAsia="Times New Roman" w:cs="Times New Roman"/>
                <w:sz w:val="18"/>
                <w:szCs w:val="18"/>
                <w:lang w:eastAsia="sk-SK"/>
              </w:rPr>
            </w:pPr>
            <w:r w:rsidRPr="004A5951">
              <w:rPr>
                <w:rFonts w:eastAsia="Times New Roman" w:cs="Times New Roman"/>
                <w:sz w:val="18"/>
                <w:szCs w:val="18"/>
                <w:lang w:eastAsia="sk-SK"/>
              </w:rPr>
              <w:t>Žilinský</w:t>
            </w:r>
          </w:p>
        </w:tc>
        <w:tc>
          <w:tcPr>
            <w:tcW w:w="1003" w:type="pct"/>
            <w:tcBorders>
              <w:top w:val="nil"/>
              <w:left w:val="nil"/>
              <w:bottom w:val="nil"/>
              <w:right w:val="nil"/>
            </w:tcBorders>
            <w:shd w:val="clear" w:color="auto" w:fill="auto"/>
            <w:noWrap/>
            <w:vAlign w:val="bottom"/>
            <w:hideMark/>
          </w:tcPr>
          <w:p w14:paraId="3DF6793A"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72 007</w:t>
            </w:r>
          </w:p>
        </w:tc>
        <w:tc>
          <w:tcPr>
            <w:tcW w:w="899" w:type="pct"/>
            <w:tcBorders>
              <w:top w:val="nil"/>
              <w:left w:val="nil"/>
              <w:bottom w:val="nil"/>
              <w:right w:val="nil"/>
            </w:tcBorders>
            <w:shd w:val="clear" w:color="auto" w:fill="auto"/>
            <w:noWrap/>
            <w:vAlign w:val="bottom"/>
            <w:hideMark/>
          </w:tcPr>
          <w:p w14:paraId="33957DF6"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17 809</w:t>
            </w:r>
          </w:p>
        </w:tc>
        <w:tc>
          <w:tcPr>
            <w:tcW w:w="883" w:type="pct"/>
            <w:tcBorders>
              <w:top w:val="nil"/>
              <w:left w:val="nil"/>
              <w:bottom w:val="nil"/>
              <w:right w:val="nil"/>
            </w:tcBorders>
            <w:shd w:val="clear" w:color="auto" w:fill="auto"/>
            <w:noWrap/>
            <w:vAlign w:val="bottom"/>
            <w:hideMark/>
          </w:tcPr>
          <w:p w14:paraId="090E22AF"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264</w:t>
            </w:r>
          </w:p>
        </w:tc>
        <w:tc>
          <w:tcPr>
            <w:tcW w:w="978" w:type="pct"/>
            <w:tcBorders>
              <w:top w:val="nil"/>
              <w:left w:val="nil"/>
              <w:bottom w:val="nil"/>
              <w:right w:val="nil"/>
            </w:tcBorders>
            <w:shd w:val="clear" w:color="000000" w:fill="BFBFBF"/>
            <w:noWrap/>
            <w:vAlign w:val="bottom"/>
            <w:hideMark/>
          </w:tcPr>
          <w:p w14:paraId="7E553EA8"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90 080</w:t>
            </w:r>
          </w:p>
        </w:tc>
      </w:tr>
      <w:tr w:rsidR="00CB3C45" w:rsidRPr="004A5951" w14:paraId="7C856126" w14:textId="77777777" w:rsidTr="00842F2E">
        <w:trPr>
          <w:trHeight w:val="300"/>
        </w:trPr>
        <w:tc>
          <w:tcPr>
            <w:tcW w:w="1237" w:type="pct"/>
            <w:tcBorders>
              <w:top w:val="nil"/>
              <w:left w:val="nil"/>
              <w:bottom w:val="nil"/>
              <w:right w:val="nil"/>
            </w:tcBorders>
            <w:shd w:val="clear" w:color="auto" w:fill="auto"/>
            <w:noWrap/>
            <w:vAlign w:val="bottom"/>
            <w:hideMark/>
          </w:tcPr>
          <w:p w14:paraId="01229B7B" w14:textId="77777777" w:rsidR="00CB3C45" w:rsidRPr="004A5951" w:rsidRDefault="00CB3C45" w:rsidP="00842F2E">
            <w:pPr>
              <w:spacing w:after="0" w:line="240" w:lineRule="auto"/>
              <w:jc w:val="left"/>
              <w:rPr>
                <w:rFonts w:eastAsia="Times New Roman" w:cs="Times New Roman"/>
                <w:sz w:val="18"/>
                <w:szCs w:val="18"/>
                <w:lang w:eastAsia="sk-SK"/>
              </w:rPr>
            </w:pPr>
            <w:r w:rsidRPr="004A5951">
              <w:rPr>
                <w:rFonts w:eastAsia="Times New Roman" w:cs="Times New Roman"/>
                <w:sz w:val="18"/>
                <w:szCs w:val="18"/>
                <w:lang w:eastAsia="sk-SK"/>
              </w:rPr>
              <w:t>Prešovský</w:t>
            </w:r>
          </w:p>
        </w:tc>
        <w:tc>
          <w:tcPr>
            <w:tcW w:w="1003" w:type="pct"/>
            <w:tcBorders>
              <w:top w:val="nil"/>
              <w:left w:val="nil"/>
              <w:bottom w:val="nil"/>
              <w:right w:val="nil"/>
            </w:tcBorders>
            <w:shd w:val="clear" w:color="auto" w:fill="auto"/>
            <w:noWrap/>
            <w:vAlign w:val="bottom"/>
            <w:hideMark/>
          </w:tcPr>
          <w:p w14:paraId="27B36FE3"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61 364</w:t>
            </w:r>
          </w:p>
        </w:tc>
        <w:tc>
          <w:tcPr>
            <w:tcW w:w="899" w:type="pct"/>
            <w:tcBorders>
              <w:top w:val="nil"/>
              <w:left w:val="nil"/>
              <w:bottom w:val="nil"/>
              <w:right w:val="nil"/>
            </w:tcBorders>
            <w:shd w:val="clear" w:color="auto" w:fill="auto"/>
            <w:noWrap/>
            <w:vAlign w:val="bottom"/>
            <w:hideMark/>
          </w:tcPr>
          <w:p w14:paraId="29D825C5"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20 763</w:t>
            </w:r>
          </w:p>
        </w:tc>
        <w:tc>
          <w:tcPr>
            <w:tcW w:w="883" w:type="pct"/>
            <w:tcBorders>
              <w:top w:val="nil"/>
              <w:left w:val="nil"/>
              <w:bottom w:val="nil"/>
              <w:right w:val="nil"/>
            </w:tcBorders>
            <w:shd w:val="clear" w:color="auto" w:fill="auto"/>
            <w:noWrap/>
            <w:vAlign w:val="bottom"/>
            <w:hideMark/>
          </w:tcPr>
          <w:p w14:paraId="642DAE6C"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229</w:t>
            </w:r>
          </w:p>
        </w:tc>
        <w:tc>
          <w:tcPr>
            <w:tcW w:w="978" w:type="pct"/>
            <w:tcBorders>
              <w:top w:val="nil"/>
              <w:left w:val="nil"/>
              <w:bottom w:val="nil"/>
              <w:right w:val="nil"/>
            </w:tcBorders>
            <w:shd w:val="clear" w:color="000000" w:fill="BFBFBF"/>
            <w:noWrap/>
            <w:vAlign w:val="bottom"/>
            <w:hideMark/>
          </w:tcPr>
          <w:p w14:paraId="4789621A"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82 356</w:t>
            </w:r>
          </w:p>
        </w:tc>
      </w:tr>
      <w:tr w:rsidR="00CB3C45" w:rsidRPr="004A5951" w14:paraId="3E74B7F6" w14:textId="77777777" w:rsidTr="00842F2E">
        <w:trPr>
          <w:trHeight w:val="300"/>
        </w:trPr>
        <w:tc>
          <w:tcPr>
            <w:tcW w:w="1237" w:type="pct"/>
            <w:tcBorders>
              <w:top w:val="nil"/>
              <w:left w:val="nil"/>
              <w:bottom w:val="nil"/>
              <w:right w:val="nil"/>
            </w:tcBorders>
            <w:shd w:val="clear" w:color="auto" w:fill="auto"/>
            <w:noWrap/>
            <w:vAlign w:val="bottom"/>
            <w:hideMark/>
          </w:tcPr>
          <w:p w14:paraId="23ECE99D" w14:textId="77777777" w:rsidR="00CB3C45" w:rsidRPr="004A5951" w:rsidRDefault="00CB3C45" w:rsidP="00842F2E">
            <w:pPr>
              <w:spacing w:after="0" w:line="240" w:lineRule="auto"/>
              <w:jc w:val="left"/>
              <w:rPr>
                <w:rFonts w:eastAsia="Times New Roman" w:cs="Times New Roman"/>
                <w:sz w:val="18"/>
                <w:szCs w:val="18"/>
                <w:lang w:eastAsia="sk-SK"/>
              </w:rPr>
            </w:pPr>
            <w:r w:rsidRPr="004A5951">
              <w:rPr>
                <w:rFonts w:eastAsia="Times New Roman" w:cs="Times New Roman"/>
                <w:sz w:val="18"/>
                <w:szCs w:val="18"/>
                <w:lang w:eastAsia="sk-SK"/>
              </w:rPr>
              <w:t>Trnavský</w:t>
            </w:r>
          </w:p>
        </w:tc>
        <w:tc>
          <w:tcPr>
            <w:tcW w:w="1003" w:type="pct"/>
            <w:tcBorders>
              <w:top w:val="nil"/>
              <w:left w:val="nil"/>
              <w:bottom w:val="nil"/>
              <w:right w:val="nil"/>
            </w:tcBorders>
            <w:shd w:val="clear" w:color="auto" w:fill="auto"/>
            <w:noWrap/>
            <w:vAlign w:val="bottom"/>
            <w:hideMark/>
          </w:tcPr>
          <w:p w14:paraId="52CAFAC9"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55 270</w:t>
            </w:r>
          </w:p>
        </w:tc>
        <w:tc>
          <w:tcPr>
            <w:tcW w:w="899" w:type="pct"/>
            <w:tcBorders>
              <w:top w:val="nil"/>
              <w:left w:val="nil"/>
              <w:bottom w:val="nil"/>
              <w:right w:val="nil"/>
            </w:tcBorders>
            <w:shd w:val="clear" w:color="auto" w:fill="auto"/>
            <w:noWrap/>
            <w:vAlign w:val="bottom"/>
            <w:hideMark/>
          </w:tcPr>
          <w:p w14:paraId="5003C730"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20 527</w:t>
            </w:r>
          </w:p>
        </w:tc>
        <w:tc>
          <w:tcPr>
            <w:tcW w:w="883" w:type="pct"/>
            <w:tcBorders>
              <w:top w:val="nil"/>
              <w:left w:val="nil"/>
              <w:bottom w:val="nil"/>
              <w:right w:val="nil"/>
            </w:tcBorders>
            <w:shd w:val="clear" w:color="auto" w:fill="auto"/>
            <w:noWrap/>
            <w:vAlign w:val="bottom"/>
            <w:hideMark/>
          </w:tcPr>
          <w:p w14:paraId="3BFD51EE"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84</w:t>
            </w:r>
          </w:p>
        </w:tc>
        <w:tc>
          <w:tcPr>
            <w:tcW w:w="978" w:type="pct"/>
            <w:tcBorders>
              <w:top w:val="nil"/>
              <w:left w:val="nil"/>
              <w:bottom w:val="nil"/>
              <w:right w:val="nil"/>
            </w:tcBorders>
            <w:shd w:val="clear" w:color="000000" w:fill="BFBFBF"/>
            <w:noWrap/>
            <w:vAlign w:val="bottom"/>
            <w:hideMark/>
          </w:tcPr>
          <w:p w14:paraId="003CFAF8"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75 881</w:t>
            </w:r>
          </w:p>
        </w:tc>
      </w:tr>
      <w:tr w:rsidR="00CB3C45" w:rsidRPr="004A5951" w14:paraId="746E65A6" w14:textId="77777777" w:rsidTr="00842F2E">
        <w:trPr>
          <w:trHeight w:val="300"/>
        </w:trPr>
        <w:tc>
          <w:tcPr>
            <w:tcW w:w="1237" w:type="pct"/>
            <w:tcBorders>
              <w:top w:val="nil"/>
              <w:left w:val="nil"/>
              <w:bottom w:val="nil"/>
              <w:right w:val="nil"/>
            </w:tcBorders>
            <w:shd w:val="clear" w:color="auto" w:fill="auto"/>
            <w:noWrap/>
            <w:vAlign w:val="bottom"/>
            <w:hideMark/>
          </w:tcPr>
          <w:p w14:paraId="1EC2373B" w14:textId="77777777" w:rsidR="00CB3C45" w:rsidRPr="004A5951" w:rsidRDefault="00CB3C45" w:rsidP="00842F2E">
            <w:pPr>
              <w:spacing w:after="0" w:line="240" w:lineRule="auto"/>
              <w:jc w:val="left"/>
              <w:rPr>
                <w:rFonts w:eastAsia="Times New Roman" w:cs="Times New Roman"/>
                <w:sz w:val="18"/>
                <w:szCs w:val="18"/>
                <w:lang w:eastAsia="sk-SK"/>
              </w:rPr>
            </w:pPr>
            <w:r w:rsidRPr="004A5951">
              <w:rPr>
                <w:rFonts w:eastAsia="Times New Roman" w:cs="Times New Roman"/>
                <w:sz w:val="18"/>
                <w:szCs w:val="18"/>
                <w:lang w:eastAsia="sk-SK"/>
              </w:rPr>
              <w:t>Košický</w:t>
            </w:r>
          </w:p>
        </w:tc>
        <w:tc>
          <w:tcPr>
            <w:tcW w:w="1003" w:type="pct"/>
            <w:tcBorders>
              <w:top w:val="nil"/>
              <w:left w:val="nil"/>
              <w:bottom w:val="nil"/>
              <w:right w:val="nil"/>
            </w:tcBorders>
            <w:shd w:val="clear" w:color="auto" w:fill="auto"/>
            <w:noWrap/>
            <w:vAlign w:val="bottom"/>
            <w:hideMark/>
          </w:tcPr>
          <w:p w14:paraId="1BCD92A6"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38 066</w:t>
            </w:r>
          </w:p>
        </w:tc>
        <w:tc>
          <w:tcPr>
            <w:tcW w:w="899" w:type="pct"/>
            <w:tcBorders>
              <w:top w:val="nil"/>
              <w:left w:val="nil"/>
              <w:bottom w:val="nil"/>
              <w:right w:val="nil"/>
            </w:tcBorders>
            <w:shd w:val="clear" w:color="auto" w:fill="auto"/>
            <w:noWrap/>
            <w:vAlign w:val="bottom"/>
            <w:hideMark/>
          </w:tcPr>
          <w:p w14:paraId="387FB755"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26 923</w:t>
            </w:r>
          </w:p>
        </w:tc>
        <w:tc>
          <w:tcPr>
            <w:tcW w:w="883" w:type="pct"/>
            <w:tcBorders>
              <w:top w:val="nil"/>
              <w:left w:val="nil"/>
              <w:bottom w:val="nil"/>
              <w:right w:val="nil"/>
            </w:tcBorders>
            <w:shd w:val="clear" w:color="auto" w:fill="auto"/>
            <w:noWrap/>
            <w:vAlign w:val="bottom"/>
            <w:hideMark/>
          </w:tcPr>
          <w:p w14:paraId="16A9073B"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364</w:t>
            </w:r>
          </w:p>
        </w:tc>
        <w:tc>
          <w:tcPr>
            <w:tcW w:w="978" w:type="pct"/>
            <w:tcBorders>
              <w:top w:val="nil"/>
              <w:left w:val="nil"/>
              <w:bottom w:val="nil"/>
              <w:right w:val="nil"/>
            </w:tcBorders>
            <w:shd w:val="clear" w:color="000000" w:fill="BFBFBF"/>
            <w:noWrap/>
            <w:vAlign w:val="bottom"/>
            <w:hideMark/>
          </w:tcPr>
          <w:p w14:paraId="6D87239E"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65 353</w:t>
            </w:r>
          </w:p>
        </w:tc>
      </w:tr>
      <w:tr w:rsidR="00CB3C45" w:rsidRPr="004A5951" w14:paraId="428397B9" w14:textId="77777777" w:rsidTr="00842F2E">
        <w:trPr>
          <w:trHeight w:val="300"/>
        </w:trPr>
        <w:tc>
          <w:tcPr>
            <w:tcW w:w="1237" w:type="pct"/>
            <w:tcBorders>
              <w:top w:val="nil"/>
              <w:left w:val="nil"/>
              <w:bottom w:val="nil"/>
              <w:right w:val="nil"/>
            </w:tcBorders>
            <w:shd w:val="clear" w:color="auto" w:fill="auto"/>
            <w:noWrap/>
            <w:vAlign w:val="bottom"/>
            <w:hideMark/>
          </w:tcPr>
          <w:p w14:paraId="4A3E77E2" w14:textId="77777777" w:rsidR="00CB3C45" w:rsidRPr="004A5951" w:rsidRDefault="00CB3C45" w:rsidP="00842F2E">
            <w:pPr>
              <w:spacing w:after="0" w:line="240" w:lineRule="auto"/>
              <w:jc w:val="left"/>
              <w:rPr>
                <w:rFonts w:eastAsia="Times New Roman" w:cs="Times New Roman"/>
                <w:sz w:val="18"/>
                <w:szCs w:val="18"/>
                <w:lang w:eastAsia="sk-SK"/>
              </w:rPr>
            </w:pPr>
            <w:r w:rsidRPr="004A5951">
              <w:rPr>
                <w:rFonts w:eastAsia="Times New Roman" w:cs="Times New Roman"/>
                <w:sz w:val="18"/>
                <w:szCs w:val="18"/>
                <w:lang w:eastAsia="sk-SK"/>
              </w:rPr>
              <w:t>Bratislavský</w:t>
            </w:r>
          </w:p>
        </w:tc>
        <w:tc>
          <w:tcPr>
            <w:tcW w:w="1003" w:type="pct"/>
            <w:tcBorders>
              <w:top w:val="nil"/>
              <w:left w:val="nil"/>
              <w:bottom w:val="nil"/>
              <w:right w:val="nil"/>
            </w:tcBorders>
            <w:shd w:val="clear" w:color="auto" w:fill="auto"/>
            <w:noWrap/>
            <w:vAlign w:val="bottom"/>
            <w:hideMark/>
          </w:tcPr>
          <w:p w14:paraId="5989E634"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55 677</w:t>
            </w:r>
          </w:p>
        </w:tc>
        <w:tc>
          <w:tcPr>
            <w:tcW w:w="899" w:type="pct"/>
            <w:tcBorders>
              <w:top w:val="nil"/>
              <w:left w:val="nil"/>
              <w:bottom w:val="nil"/>
              <w:right w:val="nil"/>
            </w:tcBorders>
            <w:shd w:val="clear" w:color="auto" w:fill="auto"/>
            <w:noWrap/>
            <w:vAlign w:val="bottom"/>
            <w:hideMark/>
          </w:tcPr>
          <w:p w14:paraId="1A512F36"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5 675</w:t>
            </w:r>
          </w:p>
        </w:tc>
        <w:tc>
          <w:tcPr>
            <w:tcW w:w="883" w:type="pct"/>
            <w:tcBorders>
              <w:top w:val="nil"/>
              <w:left w:val="nil"/>
              <w:bottom w:val="nil"/>
              <w:right w:val="nil"/>
            </w:tcBorders>
            <w:shd w:val="clear" w:color="auto" w:fill="auto"/>
            <w:noWrap/>
            <w:vAlign w:val="bottom"/>
            <w:hideMark/>
          </w:tcPr>
          <w:p w14:paraId="378CE7AF"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423</w:t>
            </w:r>
          </w:p>
        </w:tc>
        <w:tc>
          <w:tcPr>
            <w:tcW w:w="978" w:type="pct"/>
            <w:tcBorders>
              <w:top w:val="nil"/>
              <w:left w:val="nil"/>
              <w:bottom w:val="nil"/>
              <w:right w:val="nil"/>
            </w:tcBorders>
            <w:shd w:val="clear" w:color="000000" w:fill="BFBFBF"/>
            <w:noWrap/>
            <w:vAlign w:val="bottom"/>
            <w:hideMark/>
          </w:tcPr>
          <w:p w14:paraId="33A0FFD7"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61 775</w:t>
            </w:r>
          </w:p>
        </w:tc>
      </w:tr>
      <w:tr w:rsidR="00CB3C45" w:rsidRPr="004A5951" w14:paraId="05D47784" w14:textId="77777777" w:rsidTr="00842F2E">
        <w:trPr>
          <w:trHeight w:val="300"/>
        </w:trPr>
        <w:tc>
          <w:tcPr>
            <w:tcW w:w="1237" w:type="pct"/>
            <w:tcBorders>
              <w:top w:val="nil"/>
              <w:left w:val="nil"/>
              <w:bottom w:val="nil"/>
              <w:right w:val="nil"/>
            </w:tcBorders>
            <w:shd w:val="clear" w:color="auto" w:fill="auto"/>
            <w:noWrap/>
            <w:vAlign w:val="bottom"/>
            <w:hideMark/>
          </w:tcPr>
          <w:p w14:paraId="4D606C06" w14:textId="77777777" w:rsidR="00CB3C45" w:rsidRPr="004A5951" w:rsidRDefault="00CB3C45" w:rsidP="00842F2E">
            <w:pPr>
              <w:spacing w:after="0" w:line="240" w:lineRule="auto"/>
              <w:jc w:val="left"/>
              <w:rPr>
                <w:rFonts w:eastAsia="Times New Roman" w:cs="Times New Roman"/>
                <w:sz w:val="18"/>
                <w:szCs w:val="18"/>
                <w:lang w:eastAsia="sk-SK"/>
              </w:rPr>
            </w:pPr>
            <w:r w:rsidRPr="004A5951">
              <w:rPr>
                <w:rFonts w:eastAsia="Times New Roman" w:cs="Times New Roman"/>
                <w:sz w:val="18"/>
                <w:szCs w:val="18"/>
                <w:lang w:eastAsia="sk-SK"/>
              </w:rPr>
              <w:t>Banskobystrický</w:t>
            </w:r>
          </w:p>
        </w:tc>
        <w:tc>
          <w:tcPr>
            <w:tcW w:w="1003" w:type="pct"/>
            <w:tcBorders>
              <w:top w:val="nil"/>
              <w:left w:val="nil"/>
              <w:bottom w:val="nil"/>
              <w:right w:val="nil"/>
            </w:tcBorders>
            <w:shd w:val="clear" w:color="auto" w:fill="auto"/>
            <w:noWrap/>
            <w:vAlign w:val="bottom"/>
            <w:hideMark/>
          </w:tcPr>
          <w:p w14:paraId="071CF787"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13 082</w:t>
            </w:r>
          </w:p>
        </w:tc>
        <w:tc>
          <w:tcPr>
            <w:tcW w:w="899" w:type="pct"/>
            <w:tcBorders>
              <w:top w:val="nil"/>
              <w:left w:val="nil"/>
              <w:bottom w:val="nil"/>
              <w:right w:val="nil"/>
            </w:tcBorders>
            <w:shd w:val="clear" w:color="auto" w:fill="auto"/>
            <w:noWrap/>
            <w:vAlign w:val="bottom"/>
            <w:hideMark/>
          </w:tcPr>
          <w:p w14:paraId="7D50A53F"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40 208</w:t>
            </w:r>
          </w:p>
        </w:tc>
        <w:tc>
          <w:tcPr>
            <w:tcW w:w="883" w:type="pct"/>
            <w:tcBorders>
              <w:top w:val="nil"/>
              <w:left w:val="nil"/>
              <w:bottom w:val="nil"/>
              <w:right w:val="nil"/>
            </w:tcBorders>
            <w:shd w:val="clear" w:color="auto" w:fill="auto"/>
            <w:noWrap/>
            <w:vAlign w:val="bottom"/>
            <w:hideMark/>
          </w:tcPr>
          <w:p w14:paraId="19E04C5D"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400</w:t>
            </w:r>
          </w:p>
        </w:tc>
        <w:tc>
          <w:tcPr>
            <w:tcW w:w="978" w:type="pct"/>
            <w:tcBorders>
              <w:top w:val="nil"/>
              <w:left w:val="nil"/>
              <w:bottom w:val="nil"/>
              <w:right w:val="nil"/>
            </w:tcBorders>
            <w:shd w:val="clear" w:color="000000" w:fill="BFBFBF"/>
            <w:noWrap/>
            <w:vAlign w:val="bottom"/>
            <w:hideMark/>
          </w:tcPr>
          <w:p w14:paraId="4CDE439B"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53 690</w:t>
            </w:r>
          </w:p>
        </w:tc>
      </w:tr>
      <w:tr w:rsidR="00CB3C45" w:rsidRPr="004A5951" w14:paraId="0A04A256" w14:textId="77777777" w:rsidTr="00842F2E">
        <w:trPr>
          <w:trHeight w:val="300"/>
        </w:trPr>
        <w:tc>
          <w:tcPr>
            <w:tcW w:w="1237" w:type="pct"/>
            <w:tcBorders>
              <w:top w:val="nil"/>
              <w:left w:val="nil"/>
              <w:bottom w:val="nil"/>
              <w:right w:val="nil"/>
            </w:tcBorders>
            <w:shd w:val="clear" w:color="auto" w:fill="auto"/>
            <w:noWrap/>
            <w:vAlign w:val="bottom"/>
            <w:hideMark/>
          </w:tcPr>
          <w:p w14:paraId="42F9AD23" w14:textId="77777777" w:rsidR="00CB3C45" w:rsidRPr="004A5951" w:rsidRDefault="00CB3C45" w:rsidP="00842F2E">
            <w:pPr>
              <w:spacing w:after="0" w:line="240" w:lineRule="auto"/>
              <w:jc w:val="left"/>
              <w:rPr>
                <w:rFonts w:eastAsia="Times New Roman" w:cs="Times New Roman"/>
                <w:sz w:val="18"/>
                <w:szCs w:val="18"/>
                <w:lang w:eastAsia="sk-SK"/>
              </w:rPr>
            </w:pPr>
            <w:r w:rsidRPr="004A5951">
              <w:rPr>
                <w:rFonts w:eastAsia="Times New Roman" w:cs="Times New Roman"/>
                <w:sz w:val="18"/>
                <w:szCs w:val="18"/>
                <w:lang w:eastAsia="sk-SK"/>
              </w:rPr>
              <w:t>Trenčiansky</w:t>
            </w:r>
          </w:p>
        </w:tc>
        <w:tc>
          <w:tcPr>
            <w:tcW w:w="1003" w:type="pct"/>
            <w:tcBorders>
              <w:top w:val="nil"/>
              <w:left w:val="nil"/>
              <w:bottom w:val="nil"/>
              <w:right w:val="nil"/>
            </w:tcBorders>
            <w:shd w:val="clear" w:color="auto" w:fill="auto"/>
            <w:noWrap/>
            <w:vAlign w:val="bottom"/>
            <w:hideMark/>
          </w:tcPr>
          <w:p w14:paraId="7F73FBAA"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41 508</w:t>
            </w:r>
          </w:p>
        </w:tc>
        <w:tc>
          <w:tcPr>
            <w:tcW w:w="899" w:type="pct"/>
            <w:tcBorders>
              <w:top w:val="nil"/>
              <w:left w:val="nil"/>
              <w:bottom w:val="nil"/>
              <w:right w:val="nil"/>
            </w:tcBorders>
            <w:shd w:val="clear" w:color="auto" w:fill="auto"/>
            <w:noWrap/>
            <w:vAlign w:val="bottom"/>
            <w:hideMark/>
          </w:tcPr>
          <w:p w14:paraId="1F8AB4CD"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5 523</w:t>
            </w:r>
          </w:p>
        </w:tc>
        <w:tc>
          <w:tcPr>
            <w:tcW w:w="883" w:type="pct"/>
            <w:tcBorders>
              <w:top w:val="nil"/>
              <w:left w:val="nil"/>
              <w:bottom w:val="nil"/>
              <w:right w:val="nil"/>
            </w:tcBorders>
            <w:shd w:val="clear" w:color="auto" w:fill="auto"/>
            <w:noWrap/>
            <w:vAlign w:val="bottom"/>
            <w:hideMark/>
          </w:tcPr>
          <w:p w14:paraId="2746E2AF"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619</w:t>
            </w:r>
          </w:p>
        </w:tc>
        <w:tc>
          <w:tcPr>
            <w:tcW w:w="978" w:type="pct"/>
            <w:tcBorders>
              <w:top w:val="nil"/>
              <w:left w:val="nil"/>
              <w:bottom w:val="nil"/>
              <w:right w:val="nil"/>
            </w:tcBorders>
            <w:shd w:val="clear" w:color="000000" w:fill="BFBFBF"/>
            <w:noWrap/>
            <w:vAlign w:val="bottom"/>
            <w:hideMark/>
          </w:tcPr>
          <w:p w14:paraId="65730E9E"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47 650</w:t>
            </w:r>
          </w:p>
        </w:tc>
      </w:tr>
      <w:tr w:rsidR="00CB3C45" w:rsidRPr="004A5951" w14:paraId="67884DE8" w14:textId="77777777" w:rsidTr="00E91A24">
        <w:trPr>
          <w:trHeight w:val="300"/>
        </w:trPr>
        <w:tc>
          <w:tcPr>
            <w:tcW w:w="1237" w:type="pct"/>
            <w:tcBorders>
              <w:top w:val="nil"/>
              <w:left w:val="nil"/>
              <w:bottom w:val="single" w:sz="4" w:space="0" w:color="auto"/>
              <w:right w:val="nil"/>
            </w:tcBorders>
            <w:shd w:val="clear" w:color="auto" w:fill="auto"/>
            <w:noWrap/>
            <w:vAlign w:val="bottom"/>
            <w:hideMark/>
          </w:tcPr>
          <w:p w14:paraId="6ED47609" w14:textId="77777777" w:rsidR="00CB3C45" w:rsidRPr="004A5951" w:rsidRDefault="00CB3C45" w:rsidP="00842F2E">
            <w:pPr>
              <w:spacing w:after="0" w:line="240" w:lineRule="auto"/>
              <w:jc w:val="left"/>
              <w:rPr>
                <w:rFonts w:eastAsia="Times New Roman" w:cs="Times New Roman"/>
                <w:sz w:val="18"/>
                <w:szCs w:val="18"/>
                <w:lang w:eastAsia="sk-SK"/>
              </w:rPr>
            </w:pPr>
            <w:r w:rsidRPr="004A5951">
              <w:rPr>
                <w:rFonts w:eastAsia="Times New Roman" w:cs="Times New Roman"/>
                <w:sz w:val="18"/>
                <w:szCs w:val="18"/>
                <w:lang w:eastAsia="sk-SK"/>
              </w:rPr>
              <w:t>Nitriansky</w:t>
            </w:r>
          </w:p>
        </w:tc>
        <w:tc>
          <w:tcPr>
            <w:tcW w:w="1003" w:type="pct"/>
            <w:tcBorders>
              <w:top w:val="nil"/>
              <w:left w:val="nil"/>
              <w:bottom w:val="single" w:sz="4" w:space="0" w:color="auto"/>
              <w:right w:val="nil"/>
            </w:tcBorders>
            <w:shd w:val="clear" w:color="auto" w:fill="auto"/>
            <w:noWrap/>
            <w:vAlign w:val="bottom"/>
            <w:hideMark/>
          </w:tcPr>
          <w:p w14:paraId="67C12B55"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14 895</w:t>
            </w:r>
          </w:p>
        </w:tc>
        <w:tc>
          <w:tcPr>
            <w:tcW w:w="899" w:type="pct"/>
            <w:tcBorders>
              <w:top w:val="nil"/>
              <w:left w:val="nil"/>
              <w:bottom w:val="single" w:sz="4" w:space="0" w:color="auto"/>
              <w:right w:val="nil"/>
            </w:tcBorders>
            <w:shd w:val="clear" w:color="auto" w:fill="auto"/>
            <w:noWrap/>
            <w:vAlign w:val="bottom"/>
            <w:hideMark/>
          </w:tcPr>
          <w:p w14:paraId="78A843A7"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7 026</w:t>
            </w:r>
          </w:p>
        </w:tc>
        <w:tc>
          <w:tcPr>
            <w:tcW w:w="883" w:type="pct"/>
            <w:tcBorders>
              <w:top w:val="nil"/>
              <w:left w:val="nil"/>
              <w:bottom w:val="single" w:sz="4" w:space="0" w:color="auto"/>
              <w:right w:val="nil"/>
            </w:tcBorders>
            <w:shd w:val="clear" w:color="auto" w:fill="auto"/>
            <w:noWrap/>
            <w:vAlign w:val="bottom"/>
            <w:hideMark/>
          </w:tcPr>
          <w:p w14:paraId="6A384D75"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6</w:t>
            </w:r>
          </w:p>
        </w:tc>
        <w:tc>
          <w:tcPr>
            <w:tcW w:w="978" w:type="pct"/>
            <w:tcBorders>
              <w:top w:val="nil"/>
              <w:left w:val="nil"/>
              <w:bottom w:val="single" w:sz="4" w:space="0" w:color="auto"/>
              <w:right w:val="nil"/>
            </w:tcBorders>
            <w:shd w:val="clear" w:color="000000" w:fill="BFBFBF"/>
            <w:noWrap/>
            <w:vAlign w:val="bottom"/>
            <w:hideMark/>
          </w:tcPr>
          <w:p w14:paraId="0D008202" w14:textId="77777777" w:rsidR="00CB3C45" w:rsidRPr="004A5951" w:rsidRDefault="00CB3C45" w:rsidP="00842F2E">
            <w:pPr>
              <w:spacing w:after="0" w:line="240" w:lineRule="auto"/>
              <w:jc w:val="right"/>
              <w:rPr>
                <w:rFonts w:eastAsia="Times New Roman" w:cs="Times New Roman"/>
                <w:sz w:val="18"/>
                <w:szCs w:val="18"/>
                <w:lang w:eastAsia="sk-SK"/>
              </w:rPr>
            </w:pPr>
            <w:r w:rsidRPr="004A5951">
              <w:rPr>
                <w:rFonts w:eastAsia="Times New Roman" w:cs="Times New Roman"/>
                <w:sz w:val="18"/>
                <w:szCs w:val="18"/>
                <w:lang w:eastAsia="sk-SK"/>
              </w:rPr>
              <w:t>21 927</w:t>
            </w:r>
          </w:p>
        </w:tc>
      </w:tr>
      <w:tr w:rsidR="00CB3C45" w:rsidRPr="004A5951" w14:paraId="0506C9D7" w14:textId="77777777" w:rsidTr="00E91A24">
        <w:trPr>
          <w:trHeight w:val="300"/>
        </w:trPr>
        <w:tc>
          <w:tcPr>
            <w:tcW w:w="1237" w:type="pct"/>
            <w:tcBorders>
              <w:top w:val="single" w:sz="4" w:space="0" w:color="auto"/>
              <w:left w:val="nil"/>
              <w:bottom w:val="single" w:sz="4" w:space="0" w:color="auto"/>
              <w:right w:val="nil"/>
            </w:tcBorders>
            <w:shd w:val="clear" w:color="auto" w:fill="auto"/>
            <w:noWrap/>
            <w:vAlign w:val="bottom"/>
            <w:hideMark/>
          </w:tcPr>
          <w:p w14:paraId="7321AC8C" w14:textId="77777777" w:rsidR="00CB3C45" w:rsidRPr="004A5951" w:rsidRDefault="00CB3C45" w:rsidP="00842F2E">
            <w:pPr>
              <w:spacing w:after="0" w:line="240" w:lineRule="auto"/>
              <w:jc w:val="left"/>
              <w:rPr>
                <w:rFonts w:eastAsia="Times New Roman" w:cs="Times New Roman"/>
                <w:b/>
                <w:bCs/>
                <w:sz w:val="18"/>
                <w:szCs w:val="18"/>
                <w:lang w:eastAsia="sk-SK"/>
              </w:rPr>
            </w:pPr>
            <w:r w:rsidRPr="004A5951">
              <w:rPr>
                <w:rFonts w:eastAsia="Times New Roman" w:cs="Times New Roman"/>
                <w:b/>
                <w:bCs/>
                <w:sz w:val="18"/>
                <w:szCs w:val="18"/>
                <w:lang w:eastAsia="sk-SK"/>
              </w:rPr>
              <w:t>Spolu VÚC</w:t>
            </w:r>
          </w:p>
        </w:tc>
        <w:tc>
          <w:tcPr>
            <w:tcW w:w="1003" w:type="pct"/>
            <w:tcBorders>
              <w:top w:val="single" w:sz="4" w:space="0" w:color="auto"/>
              <w:left w:val="nil"/>
              <w:bottom w:val="single" w:sz="4" w:space="0" w:color="auto"/>
              <w:right w:val="nil"/>
            </w:tcBorders>
            <w:shd w:val="clear" w:color="auto" w:fill="auto"/>
            <w:noWrap/>
            <w:vAlign w:val="bottom"/>
            <w:hideMark/>
          </w:tcPr>
          <w:p w14:paraId="6DE56CF2" w14:textId="77777777" w:rsidR="00CB3C45" w:rsidRPr="004A5951" w:rsidRDefault="00CB3C45" w:rsidP="00842F2E">
            <w:pPr>
              <w:spacing w:after="0" w:line="240" w:lineRule="auto"/>
              <w:jc w:val="right"/>
              <w:rPr>
                <w:rFonts w:eastAsia="Times New Roman" w:cs="Times New Roman"/>
                <w:b/>
                <w:bCs/>
                <w:sz w:val="18"/>
                <w:szCs w:val="18"/>
                <w:lang w:eastAsia="sk-SK"/>
              </w:rPr>
            </w:pPr>
            <w:r w:rsidRPr="004A5951">
              <w:rPr>
                <w:rFonts w:eastAsia="Times New Roman" w:cs="Times New Roman"/>
                <w:b/>
                <w:bCs/>
                <w:sz w:val="18"/>
                <w:szCs w:val="18"/>
                <w:lang w:eastAsia="sk-SK"/>
              </w:rPr>
              <w:t>351 869</w:t>
            </w:r>
          </w:p>
        </w:tc>
        <w:tc>
          <w:tcPr>
            <w:tcW w:w="899" w:type="pct"/>
            <w:tcBorders>
              <w:top w:val="single" w:sz="4" w:space="0" w:color="auto"/>
              <w:left w:val="nil"/>
              <w:bottom w:val="single" w:sz="4" w:space="0" w:color="auto"/>
              <w:right w:val="nil"/>
            </w:tcBorders>
            <w:shd w:val="clear" w:color="auto" w:fill="auto"/>
            <w:noWrap/>
            <w:vAlign w:val="bottom"/>
            <w:hideMark/>
          </w:tcPr>
          <w:p w14:paraId="159163F2" w14:textId="77777777" w:rsidR="00CB3C45" w:rsidRPr="004A5951" w:rsidRDefault="00CB3C45" w:rsidP="00842F2E">
            <w:pPr>
              <w:spacing w:after="0" w:line="240" w:lineRule="auto"/>
              <w:jc w:val="right"/>
              <w:rPr>
                <w:rFonts w:eastAsia="Times New Roman" w:cs="Times New Roman"/>
                <w:b/>
                <w:bCs/>
                <w:sz w:val="18"/>
                <w:szCs w:val="18"/>
                <w:lang w:eastAsia="sk-SK"/>
              </w:rPr>
            </w:pPr>
            <w:r w:rsidRPr="004A5951">
              <w:rPr>
                <w:rFonts w:eastAsia="Times New Roman" w:cs="Times New Roman"/>
                <w:b/>
                <w:bCs/>
                <w:sz w:val="18"/>
                <w:szCs w:val="18"/>
                <w:lang w:eastAsia="sk-SK"/>
              </w:rPr>
              <w:t>144 454</w:t>
            </w:r>
          </w:p>
        </w:tc>
        <w:tc>
          <w:tcPr>
            <w:tcW w:w="883" w:type="pct"/>
            <w:tcBorders>
              <w:top w:val="single" w:sz="4" w:space="0" w:color="auto"/>
              <w:left w:val="nil"/>
              <w:bottom w:val="single" w:sz="4" w:space="0" w:color="auto"/>
              <w:right w:val="nil"/>
            </w:tcBorders>
            <w:shd w:val="clear" w:color="auto" w:fill="auto"/>
            <w:noWrap/>
            <w:vAlign w:val="bottom"/>
            <w:hideMark/>
          </w:tcPr>
          <w:p w14:paraId="05B40147" w14:textId="77777777" w:rsidR="00CB3C45" w:rsidRPr="004A5951" w:rsidRDefault="00CB3C45" w:rsidP="00842F2E">
            <w:pPr>
              <w:spacing w:after="0" w:line="240" w:lineRule="auto"/>
              <w:jc w:val="right"/>
              <w:rPr>
                <w:rFonts w:eastAsia="Times New Roman" w:cs="Times New Roman"/>
                <w:b/>
                <w:bCs/>
                <w:sz w:val="18"/>
                <w:szCs w:val="18"/>
                <w:lang w:eastAsia="sk-SK"/>
              </w:rPr>
            </w:pPr>
            <w:r w:rsidRPr="004A5951">
              <w:rPr>
                <w:rFonts w:eastAsia="Times New Roman" w:cs="Times New Roman"/>
                <w:b/>
                <w:bCs/>
                <w:sz w:val="18"/>
                <w:szCs w:val="18"/>
                <w:lang w:eastAsia="sk-SK"/>
              </w:rPr>
              <w:t>2 389</w:t>
            </w:r>
          </w:p>
        </w:tc>
        <w:tc>
          <w:tcPr>
            <w:tcW w:w="978" w:type="pct"/>
            <w:tcBorders>
              <w:top w:val="single" w:sz="4" w:space="0" w:color="auto"/>
              <w:left w:val="nil"/>
              <w:bottom w:val="single" w:sz="4" w:space="0" w:color="auto"/>
              <w:right w:val="nil"/>
            </w:tcBorders>
            <w:shd w:val="clear" w:color="000000" w:fill="BFBFBF"/>
            <w:noWrap/>
            <w:vAlign w:val="bottom"/>
            <w:hideMark/>
          </w:tcPr>
          <w:p w14:paraId="65A1A368" w14:textId="77777777" w:rsidR="00CB3C45" w:rsidRPr="004A5951" w:rsidRDefault="00CB3C45" w:rsidP="00842F2E">
            <w:pPr>
              <w:spacing w:after="0" w:line="240" w:lineRule="auto"/>
              <w:jc w:val="right"/>
              <w:rPr>
                <w:rFonts w:eastAsia="Times New Roman" w:cs="Times New Roman"/>
                <w:b/>
                <w:bCs/>
                <w:sz w:val="18"/>
                <w:szCs w:val="18"/>
                <w:lang w:eastAsia="sk-SK"/>
              </w:rPr>
            </w:pPr>
            <w:r w:rsidRPr="004A5951">
              <w:rPr>
                <w:rFonts w:eastAsia="Times New Roman" w:cs="Times New Roman"/>
                <w:b/>
                <w:bCs/>
                <w:sz w:val="18"/>
                <w:szCs w:val="18"/>
                <w:lang w:eastAsia="sk-SK"/>
              </w:rPr>
              <w:t>498 712</w:t>
            </w:r>
          </w:p>
        </w:tc>
      </w:tr>
    </w:tbl>
    <w:p w14:paraId="7079F6A6" w14:textId="77777777" w:rsidR="00CB3C45" w:rsidRPr="009623D7" w:rsidRDefault="00CB3C45" w:rsidP="00CB3C45">
      <w:pPr>
        <w:jc w:val="right"/>
        <w:rPr>
          <w:sz w:val="18"/>
          <w:szCs w:val="18"/>
        </w:rPr>
      </w:pPr>
      <w:r w:rsidRPr="009623D7">
        <w:rPr>
          <w:sz w:val="18"/>
          <w:szCs w:val="18"/>
        </w:rPr>
        <w:t>Zdroj: MF SR</w:t>
      </w:r>
    </w:p>
    <w:p w14:paraId="11F82B54" w14:textId="1B2966B7" w:rsidR="00CB3C45" w:rsidRPr="004A5951" w:rsidRDefault="00CB3C45" w:rsidP="004A5951">
      <w:pPr>
        <w:spacing w:line="240" w:lineRule="auto"/>
        <w:rPr>
          <w:sz w:val="24"/>
          <w:szCs w:val="24"/>
        </w:rPr>
      </w:pPr>
      <w:r w:rsidRPr="004A5951">
        <w:rPr>
          <w:sz w:val="24"/>
          <w:szCs w:val="24"/>
        </w:rPr>
        <w:t>Bankové úvery vo výške 351 869 tis. eur, návratné finančné výpomoci v celkovej sume 144 454 tis. eur, prijaté zábezpeky v hodnote 1 909 tis. eur a dlhodobé záväzky z obchodného styku a prijaté preddavky vo výške 480 tis. eur. Z celkového dlhu predstavujú záväzky voči domácim veriteľom 299 120 tis. eur (60,0 %) a voči zahraničným veriteľom 199 592 tis. eur (40,0 %). Úvermi od zahraničných veriteľov disponuje Bratislavský (37 894 tis. eur), Trnavský (24 217 tis. eur), Trenčiansky (1 863 tis. eur), Žilinský (36</w:t>
      </w:r>
      <w:r w:rsidR="00C148B1">
        <w:rPr>
          <w:sz w:val="24"/>
          <w:szCs w:val="24"/>
        </w:rPr>
        <w:t> </w:t>
      </w:r>
      <w:r w:rsidRPr="004A5951">
        <w:rPr>
          <w:sz w:val="24"/>
          <w:szCs w:val="24"/>
        </w:rPr>
        <w:t>188</w:t>
      </w:r>
      <w:r w:rsidR="00C148B1">
        <w:rPr>
          <w:sz w:val="24"/>
          <w:szCs w:val="24"/>
        </w:rPr>
        <w:t> </w:t>
      </w:r>
      <w:r w:rsidRPr="004A5951">
        <w:rPr>
          <w:sz w:val="24"/>
          <w:szCs w:val="24"/>
        </w:rPr>
        <w:t>tis. eur), Prešovský (61 364 tis. eur) a Košický samosprávny kraj (38 066 tis. eur). Z hľadiska pôvodnej splatnosti je dlh VÚC majoritne tvorený dlhodobými záväzkami (93,9 %).</w:t>
      </w:r>
    </w:p>
    <w:p w14:paraId="78A2F414" w14:textId="31E99730" w:rsidR="00CB3C45" w:rsidRPr="004A5951" w:rsidRDefault="00CB3C45" w:rsidP="004A5951">
      <w:pPr>
        <w:spacing w:line="240" w:lineRule="auto"/>
        <w:rPr>
          <w:sz w:val="24"/>
          <w:szCs w:val="24"/>
        </w:rPr>
      </w:pPr>
      <w:r w:rsidRPr="004A5951">
        <w:rPr>
          <w:sz w:val="24"/>
          <w:szCs w:val="24"/>
        </w:rPr>
        <w:t xml:space="preserve">Vyššie územné celky čerpajú bankové úvery najmä za účelom </w:t>
      </w:r>
      <w:proofErr w:type="spellStart"/>
      <w:r w:rsidRPr="004A5951">
        <w:rPr>
          <w:sz w:val="24"/>
          <w:szCs w:val="24"/>
        </w:rPr>
        <w:t>predfinancovania</w:t>
      </w:r>
      <w:proofErr w:type="spellEnd"/>
      <w:r w:rsidRPr="004A5951">
        <w:rPr>
          <w:sz w:val="24"/>
          <w:szCs w:val="24"/>
        </w:rPr>
        <w:t xml:space="preserve"> investičných projektov financovaných z európskych štrukturálnych a investičných fondov, napríklad na obnovu budov samosprávnych krajov (hlavne školských zariadení) s cieľom zníženia ich energetickej náročnosti a celkovej modernizácie, na obnovu cestnej infraštruktúry a na refundáciu už vynaložených investičných výdavkov. Medziročne klesli bankové úvery úhrnom o 22 584 tis. eur. Viaceré (najmä) dlhodobé úvery boli priebežne splácané, ale boli prijaté aj nové úvery. Bratislavský samosprávny kraj prijal ďalšie úvery od Európskej investičnej banky spolu za 6 000 tis. eur, Trenčiansky samosprávny kraj prijal ďalší dlhodobý úver od Európskej investičnej banky vo výške 1 863 tis. eur, Banskobystrický samosprávny kraj prijal úver od tuzemskej banky vo výške 30 000 tis. eur, Prešovský samosprávny kraj prijal novú </w:t>
      </w:r>
      <w:proofErr w:type="spellStart"/>
      <w:r w:rsidRPr="004A5951">
        <w:rPr>
          <w:sz w:val="24"/>
          <w:szCs w:val="24"/>
        </w:rPr>
        <w:t>tranžu</w:t>
      </w:r>
      <w:proofErr w:type="spellEnd"/>
      <w:r w:rsidRPr="004A5951">
        <w:rPr>
          <w:sz w:val="24"/>
          <w:szCs w:val="24"/>
        </w:rPr>
        <w:t xml:space="preserve"> úveru z tuzemskej banky vo výške 3 768 tis. eur a Žilinský samosprávny kraj úver z domácej banky vo výške 2 600 tis. eur. </w:t>
      </w:r>
    </w:p>
    <w:p w14:paraId="1E7A96CF" w14:textId="77777777" w:rsidR="00CB3C45" w:rsidRPr="004A5951" w:rsidRDefault="00CB3C45" w:rsidP="004A5951">
      <w:pPr>
        <w:spacing w:line="240" w:lineRule="auto"/>
        <w:rPr>
          <w:sz w:val="24"/>
          <w:szCs w:val="24"/>
        </w:rPr>
      </w:pPr>
      <w:r w:rsidRPr="004A5951">
        <w:rPr>
          <w:b/>
          <w:sz w:val="24"/>
          <w:szCs w:val="24"/>
        </w:rPr>
        <w:t>Obchodné spoločnosti štátu</w:t>
      </w:r>
      <w:r w:rsidRPr="004A5951">
        <w:rPr>
          <w:sz w:val="24"/>
          <w:szCs w:val="24"/>
        </w:rPr>
        <w:t xml:space="preserve"> (patriace do ústrednej správy) majú po štátnom dlhu a obciach najväčší podiel na konsolidovanom dlhu verejnej správy (1,4 %). </w:t>
      </w:r>
    </w:p>
    <w:p w14:paraId="5FF83A45" w14:textId="77777777" w:rsidR="00CB3C45" w:rsidRPr="004A5951" w:rsidRDefault="00CB3C45" w:rsidP="004A5951">
      <w:pPr>
        <w:spacing w:line="240" w:lineRule="auto"/>
        <w:rPr>
          <w:sz w:val="24"/>
          <w:szCs w:val="24"/>
        </w:rPr>
      </w:pPr>
      <w:r w:rsidRPr="004A5951">
        <w:rPr>
          <w:sz w:val="24"/>
          <w:szCs w:val="24"/>
        </w:rPr>
        <w:t xml:space="preserve">Dlh </w:t>
      </w:r>
      <w:r w:rsidRPr="004A5951">
        <w:rPr>
          <w:b/>
          <w:sz w:val="24"/>
          <w:szCs w:val="24"/>
        </w:rPr>
        <w:t>Železničnej spoločnosti Slovensko, a. s. (ŽSSK)</w:t>
      </w:r>
      <w:r w:rsidRPr="004A5951">
        <w:rPr>
          <w:sz w:val="24"/>
          <w:szCs w:val="24"/>
        </w:rPr>
        <w:t>, ktorý dosiahol v roku 2020 hodnotu 506 420 tis. eur, medziročne vzrástol o 51 083 tis. eur z dôvodu čerpania nových úverov. Načerpanie prostriedkov je nevyhnuté pre financovanie zámerov zrýchlenia a skvalitnenia osobnej dopravy, s čím sú spojené nároky na modernizáciu, obnovu a údržbu vozňov a rušňov. Dlh ŽSSK tvoria bankové úvery od tuzemských veriteľov vo výške 505 920 tis. eur a krátkodobé zábezpeky v hodnote 500 tis. eur. Dlhodobé finančné výpomoci od medzinárodnej spoločnosti EUROFIMA</w:t>
      </w:r>
      <w:r w:rsidRPr="004A5951">
        <w:rPr>
          <w:rStyle w:val="Odkaznapoznmkupodiarou"/>
          <w:sz w:val="24"/>
          <w:szCs w:val="24"/>
        </w:rPr>
        <w:footnoteReference w:id="26"/>
      </w:r>
      <w:r w:rsidRPr="004A5951">
        <w:rPr>
          <w:sz w:val="24"/>
          <w:szCs w:val="24"/>
        </w:rPr>
        <w:t xml:space="preserve"> boli v priebehu roka 2020 úplne splatené. </w:t>
      </w:r>
    </w:p>
    <w:p w14:paraId="50E05650" w14:textId="77777777" w:rsidR="00CB3C45" w:rsidRPr="004A5951" w:rsidRDefault="00CB3C45" w:rsidP="004A5951">
      <w:pPr>
        <w:spacing w:line="240" w:lineRule="auto"/>
        <w:rPr>
          <w:sz w:val="24"/>
          <w:szCs w:val="24"/>
        </w:rPr>
      </w:pPr>
      <w:r w:rsidRPr="004A5951">
        <w:rPr>
          <w:sz w:val="24"/>
          <w:szCs w:val="24"/>
        </w:rPr>
        <w:t xml:space="preserve">Vývoj dlhu </w:t>
      </w:r>
      <w:r w:rsidRPr="004A5951">
        <w:rPr>
          <w:b/>
          <w:sz w:val="24"/>
          <w:szCs w:val="24"/>
        </w:rPr>
        <w:t xml:space="preserve">Národnej diaľničnej spoločnosti, a. s., </w:t>
      </w:r>
      <w:r w:rsidRPr="004A5951">
        <w:rPr>
          <w:sz w:val="24"/>
          <w:szCs w:val="24"/>
        </w:rPr>
        <w:t>ktorej hlavnou činnosťou je údržba a rozvoj diaľničnej siete</w:t>
      </w:r>
      <w:r w:rsidRPr="004A5951">
        <w:rPr>
          <w:b/>
          <w:sz w:val="24"/>
          <w:szCs w:val="24"/>
        </w:rPr>
        <w:t>,</w:t>
      </w:r>
      <w:r w:rsidRPr="004A5951">
        <w:rPr>
          <w:sz w:val="24"/>
          <w:szCs w:val="24"/>
        </w:rPr>
        <w:t xml:space="preserve"> mal pozitívny vplyv na maastrichtský dlh verejnej správy. Medziročný pokles dlhu o 29 768 tis. eur na úroveň 97 602 tis. eur bol spôsobený splácaním bankových úverov z minulých rokov (dosiahli výšku 74 355 tis. eur). Tento vývoj bol umožnený prebytkovým hospodárením NDS, ktoré vyplynulo z nárastu príjmov z grantov a transferov z refundácie investičných výdavkov z prostriedkov EÚ a spolufinancovania zo štátneho rozpočtu a súčasná úspora na prevádzkových a investičných výdavkoch. Zvyšok dlhu NDS pripadá na. krátkodobé zábezpeky (2 501 tis. eur) a dlhodobé záväzky z obchodného styku a prijaté preddavky, ktorých stav sa oproti minulému roku zvýšil o 8 274 tis. eur na súčasnú hodnotu 20 746 tis. eur.</w:t>
      </w:r>
    </w:p>
    <w:p w14:paraId="495C0E75" w14:textId="77777777" w:rsidR="00CB3C45" w:rsidRPr="004A5951" w:rsidRDefault="00CB3C45" w:rsidP="004A5951">
      <w:pPr>
        <w:spacing w:line="240" w:lineRule="auto"/>
        <w:rPr>
          <w:b/>
          <w:sz w:val="24"/>
          <w:szCs w:val="24"/>
        </w:rPr>
      </w:pPr>
      <w:r w:rsidRPr="004A5951">
        <w:rPr>
          <w:sz w:val="24"/>
          <w:szCs w:val="24"/>
        </w:rPr>
        <w:t xml:space="preserve">Dlh </w:t>
      </w:r>
      <w:r w:rsidRPr="004A5951">
        <w:rPr>
          <w:b/>
          <w:sz w:val="24"/>
          <w:szCs w:val="24"/>
        </w:rPr>
        <w:t xml:space="preserve">Železníc Slovenskej republiky (ŽSR), </w:t>
      </w:r>
      <w:r w:rsidRPr="004A5951">
        <w:rPr>
          <w:sz w:val="24"/>
          <w:szCs w:val="24"/>
        </w:rPr>
        <w:t>ktoré spravujú železničnú infraštruktúru vo vlastníctve štátu a zabezpečujú prepravné a dopravné služby,</w:t>
      </w:r>
      <w:r w:rsidRPr="004A5951">
        <w:rPr>
          <w:b/>
          <w:sz w:val="24"/>
          <w:szCs w:val="24"/>
        </w:rPr>
        <w:t xml:space="preserve"> </w:t>
      </w:r>
      <w:r w:rsidRPr="004A5951">
        <w:rPr>
          <w:sz w:val="24"/>
          <w:szCs w:val="24"/>
        </w:rPr>
        <w:t xml:space="preserve">dosiahol v roku 2020 hodnotu 135 206 tis. eur, čo je o 4 675 tis. eur viac oproti stavu v roku 2019. Dlh predstavujú v prevažnej miere dlhodobé bankové úvery od tuzemských veriteľov vo výške 111 977 tis. eur, ktorých hodnota sa oproti minulému roku zvýšila o 4 236 tis. eur z dôvodu čerpania nových úverov. Zvyšnú časť dlhu tvoria krátkodobé zábezpeky vo výške 1 337 tis. eur a dlhodobé záväzky z obchodného styku a prijaté preddavky, ktorých stav oproti minulému roku vzrástol o 1 303 tis. eur na súčasných 21 892 tis. eur. ŽSR obdobne ako NDS financuje úvermi rozvoj a obnovu dopravnej infraštruktúry, v jej prípade koľajovú infraštruktúru (pri rýchlosť 160 km/h), vlakové stanice, nástupištia a ďalšie prislúchajúce objekty. </w:t>
      </w:r>
    </w:p>
    <w:p w14:paraId="6BA37EB6" w14:textId="67AF768C" w:rsidR="00CB3C45" w:rsidRPr="004A5951" w:rsidRDefault="00CB3C45" w:rsidP="004A5951">
      <w:pPr>
        <w:spacing w:line="240" w:lineRule="auto"/>
        <w:rPr>
          <w:sz w:val="24"/>
          <w:szCs w:val="24"/>
        </w:rPr>
      </w:pPr>
      <w:r w:rsidRPr="004A5951">
        <w:rPr>
          <w:sz w:val="24"/>
          <w:szCs w:val="24"/>
        </w:rPr>
        <w:t xml:space="preserve">Dlh spoločnosti </w:t>
      </w:r>
      <w:r w:rsidRPr="004A5951">
        <w:rPr>
          <w:b/>
          <w:sz w:val="24"/>
          <w:szCs w:val="24"/>
        </w:rPr>
        <w:t>MH Manažment, a. s.,</w:t>
      </w:r>
      <w:r w:rsidRPr="004A5951">
        <w:rPr>
          <w:sz w:val="24"/>
          <w:szCs w:val="24"/>
        </w:rPr>
        <w:t xml:space="preserve"> ktorý vznikol z emisie dlhopisov Fondu národného majetku v roku 1996, predstavuje 84 tis. eur. Oproti roku 2019 prišlo k poklesu dlhu o 15 130 tis. eur na úroveň 84 tis. eur z dôvodu odpisu nevyplatených dlhopisov, v prípade ktorých zanikla povinnosť splatiť menovitú hodnotu a výnos dlhopisu a</w:t>
      </w:r>
      <w:r w:rsidR="006A45BA">
        <w:rPr>
          <w:sz w:val="24"/>
          <w:szCs w:val="24"/>
        </w:rPr>
        <w:t xml:space="preserve"> </w:t>
      </w:r>
      <w:r w:rsidRPr="004A5951">
        <w:rPr>
          <w:sz w:val="24"/>
          <w:szCs w:val="24"/>
        </w:rPr>
        <w:t>cenný papier zanikol</w:t>
      </w:r>
      <w:r w:rsidRPr="004A5951">
        <w:rPr>
          <w:rStyle w:val="Odkaznapoznmkupodiarou"/>
          <w:sz w:val="24"/>
          <w:szCs w:val="24"/>
        </w:rPr>
        <w:footnoteReference w:id="27"/>
      </w:r>
      <w:r w:rsidRPr="004A5951">
        <w:rPr>
          <w:sz w:val="24"/>
          <w:szCs w:val="24"/>
        </w:rPr>
        <w:t xml:space="preserve">. </w:t>
      </w:r>
    </w:p>
    <w:p w14:paraId="7A40EEA5" w14:textId="77777777" w:rsidR="00CB3C45" w:rsidRPr="004A5951" w:rsidRDefault="00CB3C45" w:rsidP="004A5951">
      <w:pPr>
        <w:spacing w:line="240" w:lineRule="auto"/>
        <w:rPr>
          <w:sz w:val="24"/>
          <w:szCs w:val="24"/>
        </w:rPr>
      </w:pPr>
      <w:r w:rsidRPr="004A5951">
        <w:rPr>
          <w:sz w:val="24"/>
          <w:szCs w:val="24"/>
        </w:rPr>
        <w:t>Dlh spoločnosti</w:t>
      </w:r>
      <w:r w:rsidRPr="004A5951">
        <w:rPr>
          <w:b/>
          <w:sz w:val="24"/>
          <w:szCs w:val="24"/>
        </w:rPr>
        <w:t xml:space="preserve"> MH Invest II, s. r. o</w:t>
      </w:r>
      <w:r w:rsidRPr="004A5951">
        <w:rPr>
          <w:sz w:val="24"/>
          <w:szCs w:val="24"/>
        </w:rPr>
        <w:t>. tvorí v prevažnej miere návratná finančná výpomoc poskytnutá zo štátneho rozpočtu vo výške 2 720 tis. eur, ktorá bola prevedená zo spoločnosti MH Invest, s. r. o. Krátkodobé zábezpeky v hodnote 10 tis. eur predstavujú zvyšnú časť dlhu. Úroveň zadlženosti subjektu sa oproti predchádzajúcemu roku nezmenila.</w:t>
      </w:r>
    </w:p>
    <w:p w14:paraId="28102AC0" w14:textId="77777777" w:rsidR="00CB3C45" w:rsidRPr="004A5951" w:rsidRDefault="00CB3C45" w:rsidP="004A5951">
      <w:pPr>
        <w:spacing w:line="240" w:lineRule="auto"/>
        <w:rPr>
          <w:sz w:val="24"/>
          <w:szCs w:val="24"/>
        </w:rPr>
      </w:pPr>
      <w:r w:rsidRPr="004A5951">
        <w:rPr>
          <w:b/>
          <w:sz w:val="24"/>
          <w:szCs w:val="24"/>
        </w:rPr>
        <w:t xml:space="preserve">Jadrová a vyraďovacia spoločnosť, a. s., </w:t>
      </w:r>
      <w:r w:rsidRPr="004A5951">
        <w:rPr>
          <w:sz w:val="24"/>
          <w:szCs w:val="24"/>
        </w:rPr>
        <w:t>spôsobila zvýšenie maastrichtského dlhu verejnej správy o 8 807 tis. eur, z čoho podstatnú časť predstavujú dlhodobé záväzky z obchodného styku a prijaté preddavky vo výške 7 000 tis. eur, 1 807 tis. eur predstavujú zábezpeky.</w:t>
      </w:r>
    </w:p>
    <w:p w14:paraId="0F44D681" w14:textId="77777777" w:rsidR="00CB3C45" w:rsidRPr="004A5951" w:rsidRDefault="00CB3C45" w:rsidP="004A5951">
      <w:pPr>
        <w:spacing w:line="240" w:lineRule="auto"/>
        <w:rPr>
          <w:sz w:val="24"/>
          <w:szCs w:val="24"/>
        </w:rPr>
      </w:pPr>
      <w:r w:rsidRPr="004A5951">
        <w:rPr>
          <w:sz w:val="24"/>
          <w:szCs w:val="24"/>
        </w:rPr>
        <w:t xml:space="preserve"> Dlh </w:t>
      </w:r>
      <w:r w:rsidRPr="004A5951">
        <w:rPr>
          <w:b/>
          <w:sz w:val="24"/>
          <w:szCs w:val="24"/>
        </w:rPr>
        <w:t xml:space="preserve">Agentúry pre núdzové zásoby ropy a ropných výrobkov takmer celý tvorí </w:t>
      </w:r>
      <w:r w:rsidRPr="004A5951">
        <w:rPr>
          <w:sz w:val="24"/>
          <w:szCs w:val="24"/>
        </w:rPr>
        <w:t>návratná finančná výpomoc zo štátnych finančných aktív vo výške 330 000 tis. eur. Jej úroveň oproti stavu v roku 2019 klesla o 35 000 tis. eur, z dôvodu úhrady splátky. Finančná výpomoc je na úrovni celej verejnej správy predmetom konsolidácie. Zvyšnú časť dlhu subjektu predstavujú krátkodobé zábezpeky vo výške 1 485 tis. eur.</w:t>
      </w:r>
    </w:p>
    <w:p w14:paraId="5EE5C2AA" w14:textId="191C121E" w:rsidR="00CB3C45" w:rsidRPr="004A5951" w:rsidRDefault="00CB3C45" w:rsidP="004A5951">
      <w:pPr>
        <w:spacing w:line="240" w:lineRule="auto"/>
        <w:rPr>
          <w:sz w:val="24"/>
          <w:szCs w:val="24"/>
        </w:rPr>
      </w:pPr>
      <w:r w:rsidRPr="004A5951">
        <w:rPr>
          <w:sz w:val="24"/>
          <w:szCs w:val="24"/>
        </w:rPr>
        <w:t xml:space="preserve">Dlh </w:t>
      </w:r>
      <w:r w:rsidRPr="004A5951">
        <w:rPr>
          <w:b/>
          <w:sz w:val="24"/>
          <w:szCs w:val="24"/>
        </w:rPr>
        <w:t>ústredných zdravotníckych zariadení</w:t>
      </w:r>
      <w:r w:rsidRPr="004A5951">
        <w:rPr>
          <w:sz w:val="24"/>
          <w:szCs w:val="24"/>
        </w:rPr>
        <w:t xml:space="preserve"> medziročne vzrástol oproti stavu za rok 2019 o 13 826 tis. eur. Dlh vo výške 194 160 tis. eur tvoria v rozhodujúcej miere pôžičky od nebankových subjektov vo výške 132 921 tis. eur. Stav týchto pôžičiek sa oproti minulému roku zvýšil o 5 445 tis. eur. Dlh ústredných zdravotníckych zariadení ďalej tvoria bankové úvery, ktorých stav medziročne vzrástol o 1 652 tis. eur na úroveň 48 278 tis. eur, investičné dodávateľské úvery vo výške 4 332 tis. eur, zábezpeky vo výške 963 tis. eur, návratné finančné výpomoci vo hodnote 1 793 tis. eu</w:t>
      </w:r>
      <w:r w:rsidR="006A45BA">
        <w:rPr>
          <w:sz w:val="24"/>
          <w:szCs w:val="24"/>
        </w:rPr>
        <w:t xml:space="preserve">r a finančný prenájom vo výške </w:t>
      </w:r>
      <w:r w:rsidRPr="004A5951">
        <w:rPr>
          <w:sz w:val="24"/>
          <w:szCs w:val="24"/>
        </w:rPr>
        <w:t>18 tis. eur. Dlhodo</w:t>
      </w:r>
      <w:r w:rsidR="006A45BA">
        <w:rPr>
          <w:sz w:val="24"/>
          <w:szCs w:val="24"/>
        </w:rPr>
        <w:t xml:space="preserve">bé záväzky z obchodného styku a </w:t>
      </w:r>
      <w:r w:rsidRPr="004A5951">
        <w:rPr>
          <w:sz w:val="24"/>
          <w:szCs w:val="24"/>
        </w:rPr>
        <w:t>prijaté preddavky zvyšujú úroveň dlhu ústredných zdravotníckych zariadení o 5 855 tis. eur.</w:t>
      </w:r>
    </w:p>
    <w:p w14:paraId="2F69EF9E" w14:textId="0A12DC80" w:rsidR="00CB3C45" w:rsidRPr="004A5951" w:rsidRDefault="00CB3C45" w:rsidP="004A5951">
      <w:pPr>
        <w:spacing w:line="240" w:lineRule="auto"/>
        <w:rPr>
          <w:sz w:val="24"/>
          <w:szCs w:val="24"/>
        </w:rPr>
      </w:pPr>
      <w:r w:rsidRPr="004A5951">
        <w:rPr>
          <w:b/>
          <w:sz w:val="24"/>
          <w:szCs w:val="24"/>
        </w:rPr>
        <w:t xml:space="preserve">Exportno-importná banka Slovenskej republiky </w:t>
      </w:r>
      <w:r w:rsidRPr="004A5951">
        <w:rPr>
          <w:sz w:val="24"/>
          <w:szCs w:val="24"/>
        </w:rPr>
        <w:t xml:space="preserve">prispela k zvýšeniu maastrichtského dlhu v roku 2020 sumou 175 880 tis. eur. Oproti predchádzajúcemu roku dlh tohto subjektu vzrástol o 51 418 tis. eur. Nárast bol spôsobený </w:t>
      </w:r>
      <w:r w:rsidR="006A45BA">
        <w:rPr>
          <w:sz w:val="24"/>
          <w:szCs w:val="24"/>
        </w:rPr>
        <w:t>načerpaním bankových úverov od </w:t>
      </w:r>
      <w:r w:rsidRPr="004A5951">
        <w:rPr>
          <w:sz w:val="24"/>
          <w:szCs w:val="24"/>
        </w:rPr>
        <w:t>Poštovej banky vo výške 60 000 tis. eur a kontokorentného úveru od UniCredit Bank vo výške 3 022 tis. eur. Zároveň prišlo k splátke úverov voči Slovenskej záručnej a rozvojovej banke vo výške 10 000 tis. eur. Záväzky voči klientom dosiahli k 31.12</w:t>
      </w:r>
      <w:r w:rsidR="006A45BA">
        <w:rPr>
          <w:sz w:val="24"/>
          <w:szCs w:val="24"/>
        </w:rPr>
        <w:t xml:space="preserve">.2020 hodnotu 12 826 tis. eur a </w:t>
      </w:r>
      <w:r w:rsidRPr="004A5951">
        <w:rPr>
          <w:sz w:val="24"/>
          <w:szCs w:val="24"/>
        </w:rPr>
        <w:t>zábezpeky 32 tis. eur.</w:t>
      </w:r>
    </w:p>
    <w:p w14:paraId="390B27B7" w14:textId="7D0F60F2" w:rsidR="004A5951" w:rsidRDefault="00CB3C45" w:rsidP="00E91A24">
      <w:pPr>
        <w:spacing w:line="240" w:lineRule="auto"/>
      </w:pPr>
      <w:r w:rsidRPr="004A5951">
        <w:rPr>
          <w:b/>
          <w:sz w:val="24"/>
          <w:szCs w:val="24"/>
        </w:rPr>
        <w:t>K dopravným podnikom</w:t>
      </w:r>
      <w:r w:rsidRPr="004A5951">
        <w:rPr>
          <w:sz w:val="24"/>
          <w:szCs w:val="24"/>
        </w:rPr>
        <w:t xml:space="preserve"> </w:t>
      </w:r>
      <w:r w:rsidRPr="004A5951">
        <w:rPr>
          <w:b/>
          <w:sz w:val="24"/>
          <w:szCs w:val="24"/>
        </w:rPr>
        <w:t>miestnej samosprávy</w:t>
      </w:r>
      <w:r w:rsidRPr="004A5951">
        <w:rPr>
          <w:sz w:val="24"/>
          <w:szCs w:val="24"/>
        </w:rPr>
        <w:t xml:space="preserve"> pribudol v priebehu roka 2020 Dopravný podnik Považská Bystrica. Dopravné podniky dosiahli v roku 2020 dlh vo výške 71 897 tis. eur, čo znamená zvýšenie o 10 608 tis. eur oproti stavu v roku 2019. Väčšinu dlhu tvoria domáce bankové úvery v hodnote 52 637 tis. eur. Zvyšok predstavujú dlhodobé záväzky z obchodného styku a prijaté preddavky (17 357 tis. eur), dodávateľské úvery Dopravného podniku Považská Bystrica (1 477 tis. eur), krátkodobé zábezpeky (387 tis. eur) a finančný prenájom (39 tis. eur). Dlh dopravných podnikov majoritne tvoria záväzky so splatnosťou dlhšou ako jeden rok (99,5 %), voči tuzemským veriteľom (99,8 %). Bankové úvery čerpajú dopravné podniky za účelom postupnej obnovy vozového parku (autobusy, trolejbusy, električky) ako aj obnovu prislúchajúcej infraštruktúry (trakčné vedenia, depá a podobne). Väčšina z komerčných úverov má zároveň dojednanú formu zabezpečenia v podobe nakúpeného investičného majetku alebo peňažnými pohľadávkami z obchodného styku (napr. zo zmlúv o službách v mestskej hromadnej doprave).</w:t>
      </w:r>
    </w:p>
    <w:p w14:paraId="222A5A9F" w14:textId="26162759" w:rsidR="005F5B88" w:rsidRDefault="005F5B88" w:rsidP="0042635A">
      <w:pPr>
        <w:pStyle w:val="Nadpis2"/>
      </w:pPr>
      <w:bookmarkStart w:id="29" w:name="_Toc6415639"/>
      <w:bookmarkStart w:id="30" w:name="_Toc70026090"/>
      <w:r w:rsidRPr="00C24665">
        <w:t xml:space="preserve">Porovnanie salda a dlhu verejnej </w:t>
      </w:r>
      <w:r w:rsidR="008254BE" w:rsidRPr="00C24665">
        <w:t>správy v Európskej únii</w:t>
      </w:r>
      <w:bookmarkEnd w:id="29"/>
      <w:bookmarkEnd w:id="30"/>
    </w:p>
    <w:p w14:paraId="01BA616F" w14:textId="675838A6" w:rsidR="00CD134F" w:rsidRDefault="007D1D53" w:rsidP="00D04835">
      <w:pPr>
        <w:spacing w:line="240" w:lineRule="auto"/>
        <w:rPr>
          <w:b/>
          <w:sz w:val="24"/>
          <w:szCs w:val="24"/>
        </w:rPr>
      </w:pPr>
      <w:r w:rsidRPr="00CD134F">
        <w:rPr>
          <w:sz w:val="24"/>
          <w:szCs w:val="24"/>
        </w:rPr>
        <w:t xml:space="preserve">V rámci Európskej únie (27 krajín) v roku 2020 dosiahlo 13 krajín vyšší schodok a 13 krajín dosiahlo vyšší dlh verejnej správy ako Slovenská republika. </w:t>
      </w:r>
      <w:r w:rsidRPr="00CD134F">
        <w:rPr>
          <w:b/>
          <w:sz w:val="24"/>
          <w:szCs w:val="24"/>
        </w:rPr>
        <w:t xml:space="preserve">Priemerný schodok EÚ 27 bol 6,9 % HDP a priemerný dlh verejnej správy EÚ 27 bol 90,7 % HDP. </w:t>
      </w:r>
    </w:p>
    <w:p w14:paraId="1FB46050" w14:textId="27F2ED35" w:rsidR="005B14E9" w:rsidRDefault="005B14E9" w:rsidP="00D04835">
      <w:pPr>
        <w:spacing w:line="240" w:lineRule="auto"/>
        <w:rPr>
          <w:sz w:val="24"/>
          <w:szCs w:val="24"/>
        </w:rPr>
      </w:pPr>
      <w:r w:rsidRPr="00CD134F">
        <w:rPr>
          <w:sz w:val="24"/>
          <w:szCs w:val="24"/>
        </w:rPr>
        <w:t>V rámci krajín EÚ 27 došlo k prepadu HDP o 659</w:t>
      </w:r>
      <w:r>
        <w:rPr>
          <w:sz w:val="24"/>
          <w:szCs w:val="24"/>
        </w:rPr>
        <w:t> </w:t>
      </w:r>
      <w:r w:rsidRPr="00CD134F">
        <w:rPr>
          <w:sz w:val="24"/>
          <w:szCs w:val="24"/>
        </w:rPr>
        <w:t>910</w:t>
      </w:r>
      <w:r>
        <w:rPr>
          <w:sz w:val="24"/>
          <w:szCs w:val="24"/>
        </w:rPr>
        <w:t> mil. eur (o 6,4 </w:t>
      </w:r>
      <w:r w:rsidRPr="00CD134F">
        <w:rPr>
          <w:sz w:val="24"/>
          <w:szCs w:val="24"/>
        </w:rPr>
        <w:t>p.</w:t>
      </w:r>
      <w:r>
        <w:rPr>
          <w:sz w:val="24"/>
          <w:szCs w:val="24"/>
        </w:rPr>
        <w:t> </w:t>
      </w:r>
      <w:r w:rsidRPr="004D2DE1">
        <w:rPr>
          <w:sz w:val="24"/>
          <w:szCs w:val="24"/>
        </w:rPr>
        <w:t xml:space="preserve">b.) </w:t>
      </w:r>
      <w:r>
        <w:rPr>
          <w:sz w:val="24"/>
          <w:szCs w:val="24"/>
        </w:rPr>
        <w:t>a nárastu dlhu o 1 239 950 mil. eur (o 13,2 p. </w:t>
      </w:r>
      <w:r w:rsidRPr="004D2DE1">
        <w:rPr>
          <w:sz w:val="24"/>
          <w:szCs w:val="24"/>
        </w:rPr>
        <w:t xml:space="preserve">b.). </w:t>
      </w:r>
      <w:r w:rsidRPr="005B14E9">
        <w:rPr>
          <w:sz w:val="24"/>
          <w:szCs w:val="24"/>
        </w:rPr>
        <w:t>Slovenská republika dosiahla v porovnaní s priemerom krajín EÚ aj Eurozóny nižšie zvýšenie deficitu a dlhu.</w:t>
      </w:r>
    </w:p>
    <w:tbl>
      <w:tblPr>
        <w:tblW w:w="9252" w:type="dxa"/>
        <w:tblCellMar>
          <w:left w:w="70" w:type="dxa"/>
          <w:right w:w="70" w:type="dxa"/>
        </w:tblCellMar>
        <w:tblLook w:val="04A0" w:firstRow="1" w:lastRow="0" w:firstColumn="1" w:lastColumn="0" w:noHBand="0" w:noVBand="1"/>
      </w:tblPr>
      <w:tblGrid>
        <w:gridCol w:w="1758"/>
        <w:gridCol w:w="936"/>
        <w:gridCol w:w="936"/>
        <w:gridCol w:w="961"/>
        <w:gridCol w:w="1655"/>
        <w:gridCol w:w="1000"/>
        <w:gridCol w:w="1000"/>
        <w:gridCol w:w="1006"/>
      </w:tblGrid>
      <w:tr w:rsidR="002046BA" w:rsidRPr="0095607F" w14:paraId="1D707390" w14:textId="77777777" w:rsidTr="002046BA">
        <w:trPr>
          <w:trHeight w:val="326"/>
        </w:trPr>
        <w:tc>
          <w:tcPr>
            <w:tcW w:w="9252" w:type="dxa"/>
            <w:gridSpan w:val="8"/>
            <w:tcBorders>
              <w:top w:val="single" w:sz="4" w:space="0" w:color="auto"/>
              <w:left w:val="single" w:sz="4" w:space="0" w:color="auto"/>
              <w:bottom w:val="nil"/>
              <w:right w:val="single" w:sz="4" w:space="0" w:color="000000"/>
            </w:tcBorders>
            <w:shd w:val="clear" w:color="000000" w:fill="000000"/>
            <w:noWrap/>
            <w:vAlign w:val="center"/>
            <w:hideMark/>
          </w:tcPr>
          <w:p w14:paraId="7D861F6C" w14:textId="77777777" w:rsidR="002046BA" w:rsidRPr="0095607F" w:rsidRDefault="002046BA" w:rsidP="007F2028">
            <w:pPr>
              <w:spacing w:after="0" w:line="240" w:lineRule="auto"/>
              <w:rPr>
                <w:rFonts w:eastAsia="Times New Roman" w:cs="Times New Roman"/>
                <w:b/>
                <w:bCs/>
                <w:color w:val="FFFFFF"/>
                <w:sz w:val="20"/>
                <w:szCs w:val="20"/>
                <w:lang w:eastAsia="sk-SK"/>
              </w:rPr>
            </w:pPr>
            <w:r w:rsidRPr="0095607F">
              <w:rPr>
                <w:rFonts w:eastAsia="Times New Roman" w:cs="Times New Roman"/>
                <w:b/>
                <w:bCs/>
                <w:color w:val="FFFFFF"/>
                <w:sz w:val="20"/>
                <w:szCs w:val="20"/>
                <w:lang w:eastAsia="sk-SK"/>
              </w:rPr>
              <w:t>Saldo a dlh verejnej správy v EÚ 27 (% HDP)</w:t>
            </w:r>
            <w:r w:rsidRPr="0095607F">
              <w:rPr>
                <w:rFonts w:eastAsia="Times New Roman" w:cs="Times New Roman"/>
                <w:b/>
                <w:bCs/>
                <w:color w:val="FFFFFF"/>
                <w:sz w:val="20"/>
                <w:szCs w:val="20"/>
                <w:vertAlign w:val="superscript"/>
                <w:lang w:eastAsia="sk-SK"/>
              </w:rPr>
              <w:t>1)</w:t>
            </w:r>
          </w:p>
        </w:tc>
      </w:tr>
      <w:tr w:rsidR="002046BA" w:rsidRPr="0095607F" w14:paraId="631C7EC2" w14:textId="77777777" w:rsidTr="002046BA">
        <w:trPr>
          <w:trHeight w:val="275"/>
        </w:trPr>
        <w:tc>
          <w:tcPr>
            <w:tcW w:w="4591" w:type="dxa"/>
            <w:gridSpan w:val="4"/>
            <w:tcBorders>
              <w:top w:val="nil"/>
              <w:left w:val="single" w:sz="4" w:space="0" w:color="auto"/>
              <w:bottom w:val="nil"/>
              <w:right w:val="single" w:sz="4" w:space="0" w:color="000000"/>
            </w:tcBorders>
            <w:shd w:val="clear" w:color="000000" w:fill="C0C0C0"/>
            <w:vAlign w:val="center"/>
            <w:hideMark/>
          </w:tcPr>
          <w:p w14:paraId="7E0E2291" w14:textId="77777777" w:rsidR="002046BA" w:rsidRPr="0095607F" w:rsidRDefault="002046BA" w:rsidP="007F2028">
            <w:pPr>
              <w:spacing w:after="0" w:line="240" w:lineRule="auto"/>
              <w:jc w:val="center"/>
              <w:rPr>
                <w:rFonts w:eastAsia="Times New Roman" w:cs="Times New Roman"/>
                <w:b/>
                <w:bCs/>
                <w:sz w:val="20"/>
                <w:szCs w:val="20"/>
                <w:lang w:eastAsia="sk-SK"/>
              </w:rPr>
            </w:pPr>
            <w:r w:rsidRPr="0095607F">
              <w:rPr>
                <w:rFonts w:eastAsia="Times New Roman" w:cs="Times New Roman"/>
                <w:b/>
                <w:bCs/>
                <w:sz w:val="20"/>
                <w:szCs w:val="20"/>
                <w:lang w:eastAsia="sk-SK"/>
              </w:rPr>
              <w:t xml:space="preserve">Saldo verejnej správy </w:t>
            </w:r>
          </w:p>
        </w:tc>
        <w:tc>
          <w:tcPr>
            <w:tcW w:w="4660" w:type="dxa"/>
            <w:gridSpan w:val="4"/>
            <w:tcBorders>
              <w:top w:val="nil"/>
              <w:left w:val="nil"/>
              <w:bottom w:val="nil"/>
              <w:right w:val="single" w:sz="4" w:space="0" w:color="000000"/>
            </w:tcBorders>
            <w:shd w:val="clear" w:color="000000" w:fill="C0C0C0"/>
            <w:vAlign w:val="center"/>
            <w:hideMark/>
          </w:tcPr>
          <w:p w14:paraId="7F510AE9" w14:textId="77777777" w:rsidR="002046BA" w:rsidRPr="0095607F" w:rsidRDefault="002046BA" w:rsidP="007F2028">
            <w:pPr>
              <w:spacing w:after="0" w:line="240" w:lineRule="auto"/>
              <w:jc w:val="center"/>
              <w:rPr>
                <w:rFonts w:eastAsia="Times New Roman" w:cs="Times New Roman"/>
                <w:b/>
                <w:bCs/>
                <w:sz w:val="20"/>
                <w:szCs w:val="20"/>
                <w:lang w:eastAsia="sk-SK"/>
              </w:rPr>
            </w:pPr>
            <w:r w:rsidRPr="0095607F">
              <w:rPr>
                <w:rFonts w:eastAsia="Times New Roman" w:cs="Times New Roman"/>
                <w:b/>
                <w:bCs/>
                <w:sz w:val="20"/>
                <w:szCs w:val="20"/>
                <w:lang w:eastAsia="sk-SK"/>
              </w:rPr>
              <w:t xml:space="preserve">Hrubý dlh verejnej správy </w:t>
            </w:r>
          </w:p>
        </w:tc>
      </w:tr>
      <w:tr w:rsidR="002046BA" w:rsidRPr="0095607F" w14:paraId="4AB5AF0E" w14:textId="77777777" w:rsidTr="002046BA">
        <w:trPr>
          <w:trHeight w:val="326"/>
        </w:trPr>
        <w:tc>
          <w:tcPr>
            <w:tcW w:w="1758" w:type="dxa"/>
            <w:tcBorders>
              <w:top w:val="nil"/>
              <w:left w:val="single" w:sz="4" w:space="0" w:color="auto"/>
              <w:bottom w:val="nil"/>
              <w:right w:val="nil"/>
            </w:tcBorders>
            <w:shd w:val="clear" w:color="000000" w:fill="C0C0C0"/>
            <w:vAlign w:val="center"/>
            <w:hideMark/>
          </w:tcPr>
          <w:p w14:paraId="5737CAE4" w14:textId="77777777" w:rsidR="002046BA" w:rsidRPr="0095607F" w:rsidRDefault="002046BA" w:rsidP="007F2028">
            <w:pPr>
              <w:spacing w:after="0" w:line="240" w:lineRule="auto"/>
              <w:rPr>
                <w:rFonts w:eastAsia="Times New Roman" w:cs="Times New Roman"/>
                <w:b/>
                <w:bCs/>
                <w:sz w:val="20"/>
                <w:szCs w:val="20"/>
                <w:lang w:eastAsia="sk-SK"/>
              </w:rPr>
            </w:pPr>
            <w:r w:rsidRPr="0095607F">
              <w:rPr>
                <w:rFonts w:eastAsia="Times New Roman" w:cs="Times New Roman"/>
                <w:b/>
                <w:bCs/>
                <w:sz w:val="20"/>
                <w:szCs w:val="20"/>
                <w:lang w:eastAsia="sk-SK"/>
              </w:rPr>
              <w:t> </w:t>
            </w:r>
          </w:p>
        </w:tc>
        <w:tc>
          <w:tcPr>
            <w:tcW w:w="936" w:type="dxa"/>
            <w:tcBorders>
              <w:top w:val="nil"/>
              <w:left w:val="nil"/>
              <w:bottom w:val="nil"/>
              <w:right w:val="nil"/>
            </w:tcBorders>
            <w:shd w:val="clear" w:color="000000" w:fill="C0C0C0"/>
            <w:noWrap/>
            <w:vAlign w:val="center"/>
            <w:hideMark/>
          </w:tcPr>
          <w:p w14:paraId="126F74AF" w14:textId="77777777" w:rsidR="002046BA" w:rsidRPr="0095607F" w:rsidRDefault="002046BA" w:rsidP="007F2028">
            <w:pPr>
              <w:spacing w:after="0" w:line="240" w:lineRule="auto"/>
              <w:ind w:firstLineChars="100" w:firstLine="201"/>
              <w:jc w:val="right"/>
              <w:rPr>
                <w:rFonts w:eastAsia="Times New Roman" w:cs="Times New Roman"/>
                <w:b/>
                <w:bCs/>
                <w:sz w:val="20"/>
                <w:szCs w:val="20"/>
                <w:lang w:eastAsia="sk-SK"/>
              </w:rPr>
            </w:pPr>
            <w:r w:rsidRPr="0095607F">
              <w:rPr>
                <w:rFonts w:eastAsia="Times New Roman" w:cs="Times New Roman"/>
                <w:b/>
                <w:bCs/>
                <w:sz w:val="20"/>
                <w:szCs w:val="20"/>
                <w:lang w:eastAsia="sk-SK"/>
              </w:rPr>
              <w:t>2018</w:t>
            </w:r>
          </w:p>
        </w:tc>
        <w:tc>
          <w:tcPr>
            <w:tcW w:w="936" w:type="dxa"/>
            <w:tcBorders>
              <w:top w:val="nil"/>
              <w:left w:val="nil"/>
              <w:bottom w:val="nil"/>
              <w:right w:val="nil"/>
            </w:tcBorders>
            <w:shd w:val="clear" w:color="000000" w:fill="C0C0C0"/>
            <w:noWrap/>
            <w:vAlign w:val="center"/>
            <w:hideMark/>
          </w:tcPr>
          <w:p w14:paraId="58DC079C" w14:textId="77777777" w:rsidR="002046BA" w:rsidRPr="0095607F" w:rsidRDefault="002046BA" w:rsidP="007F2028">
            <w:pPr>
              <w:spacing w:after="0" w:line="240" w:lineRule="auto"/>
              <w:ind w:firstLineChars="100" w:firstLine="201"/>
              <w:jc w:val="right"/>
              <w:rPr>
                <w:rFonts w:eastAsia="Times New Roman" w:cs="Times New Roman"/>
                <w:b/>
                <w:bCs/>
                <w:sz w:val="20"/>
                <w:szCs w:val="20"/>
                <w:lang w:eastAsia="sk-SK"/>
              </w:rPr>
            </w:pPr>
            <w:r w:rsidRPr="0095607F">
              <w:rPr>
                <w:rFonts w:eastAsia="Times New Roman" w:cs="Times New Roman"/>
                <w:b/>
                <w:bCs/>
                <w:sz w:val="20"/>
                <w:szCs w:val="20"/>
                <w:lang w:eastAsia="sk-SK"/>
              </w:rPr>
              <w:t>2019</w:t>
            </w:r>
          </w:p>
        </w:tc>
        <w:tc>
          <w:tcPr>
            <w:tcW w:w="960" w:type="dxa"/>
            <w:tcBorders>
              <w:top w:val="nil"/>
              <w:left w:val="nil"/>
              <w:bottom w:val="nil"/>
              <w:right w:val="nil"/>
            </w:tcBorders>
            <w:shd w:val="clear" w:color="000000" w:fill="C0C0C0"/>
            <w:noWrap/>
            <w:vAlign w:val="center"/>
            <w:hideMark/>
          </w:tcPr>
          <w:p w14:paraId="0C1CC1B1" w14:textId="77777777" w:rsidR="002046BA" w:rsidRPr="0095607F" w:rsidRDefault="002046BA" w:rsidP="007F2028">
            <w:pPr>
              <w:spacing w:after="0" w:line="240" w:lineRule="auto"/>
              <w:ind w:firstLineChars="100" w:firstLine="201"/>
              <w:jc w:val="right"/>
              <w:rPr>
                <w:rFonts w:eastAsia="Times New Roman" w:cs="Times New Roman"/>
                <w:b/>
                <w:bCs/>
                <w:sz w:val="20"/>
                <w:szCs w:val="20"/>
                <w:lang w:eastAsia="sk-SK"/>
              </w:rPr>
            </w:pPr>
            <w:r w:rsidRPr="0095607F">
              <w:rPr>
                <w:rFonts w:eastAsia="Times New Roman" w:cs="Times New Roman"/>
                <w:b/>
                <w:bCs/>
                <w:sz w:val="20"/>
                <w:szCs w:val="20"/>
                <w:lang w:eastAsia="sk-SK"/>
              </w:rPr>
              <w:t>2020</w:t>
            </w:r>
          </w:p>
        </w:tc>
        <w:tc>
          <w:tcPr>
            <w:tcW w:w="1655" w:type="dxa"/>
            <w:tcBorders>
              <w:top w:val="nil"/>
              <w:left w:val="single" w:sz="4" w:space="0" w:color="auto"/>
              <w:bottom w:val="nil"/>
              <w:right w:val="nil"/>
            </w:tcBorders>
            <w:shd w:val="clear" w:color="000000" w:fill="C0C0C0"/>
            <w:noWrap/>
            <w:vAlign w:val="center"/>
            <w:hideMark/>
          </w:tcPr>
          <w:p w14:paraId="463F6ADB" w14:textId="77777777" w:rsidR="002046BA" w:rsidRPr="0095607F" w:rsidRDefault="002046BA" w:rsidP="007F2028">
            <w:pPr>
              <w:spacing w:after="0" w:line="240" w:lineRule="auto"/>
              <w:ind w:firstLineChars="100" w:firstLine="201"/>
              <w:jc w:val="right"/>
              <w:rPr>
                <w:rFonts w:eastAsia="Times New Roman" w:cs="Times New Roman"/>
                <w:b/>
                <w:bCs/>
                <w:sz w:val="20"/>
                <w:szCs w:val="20"/>
                <w:lang w:eastAsia="sk-SK"/>
              </w:rPr>
            </w:pPr>
            <w:r w:rsidRPr="0095607F">
              <w:rPr>
                <w:rFonts w:eastAsia="Times New Roman" w:cs="Times New Roman"/>
                <w:b/>
                <w:bCs/>
                <w:sz w:val="20"/>
                <w:szCs w:val="20"/>
                <w:lang w:eastAsia="sk-SK"/>
              </w:rPr>
              <w:t> </w:t>
            </w:r>
          </w:p>
        </w:tc>
        <w:tc>
          <w:tcPr>
            <w:tcW w:w="1000" w:type="dxa"/>
            <w:tcBorders>
              <w:top w:val="nil"/>
              <w:left w:val="nil"/>
              <w:bottom w:val="nil"/>
              <w:right w:val="nil"/>
            </w:tcBorders>
            <w:shd w:val="clear" w:color="000000" w:fill="C0C0C0"/>
            <w:noWrap/>
            <w:vAlign w:val="center"/>
            <w:hideMark/>
          </w:tcPr>
          <w:p w14:paraId="09F33F4F" w14:textId="77777777" w:rsidR="002046BA" w:rsidRPr="0095607F" w:rsidRDefault="002046BA" w:rsidP="007F2028">
            <w:pPr>
              <w:spacing w:after="0" w:line="240" w:lineRule="auto"/>
              <w:ind w:firstLineChars="100" w:firstLine="201"/>
              <w:jc w:val="right"/>
              <w:rPr>
                <w:rFonts w:eastAsia="Times New Roman" w:cs="Times New Roman"/>
                <w:b/>
                <w:bCs/>
                <w:sz w:val="20"/>
                <w:szCs w:val="20"/>
                <w:lang w:eastAsia="sk-SK"/>
              </w:rPr>
            </w:pPr>
            <w:r w:rsidRPr="0095607F">
              <w:rPr>
                <w:rFonts w:eastAsia="Times New Roman" w:cs="Times New Roman"/>
                <w:b/>
                <w:bCs/>
                <w:sz w:val="20"/>
                <w:szCs w:val="20"/>
                <w:lang w:eastAsia="sk-SK"/>
              </w:rPr>
              <w:t>2018</w:t>
            </w:r>
          </w:p>
        </w:tc>
        <w:tc>
          <w:tcPr>
            <w:tcW w:w="1000" w:type="dxa"/>
            <w:tcBorders>
              <w:top w:val="nil"/>
              <w:left w:val="nil"/>
              <w:bottom w:val="nil"/>
              <w:right w:val="nil"/>
            </w:tcBorders>
            <w:shd w:val="clear" w:color="000000" w:fill="C0C0C0"/>
            <w:noWrap/>
            <w:vAlign w:val="center"/>
            <w:hideMark/>
          </w:tcPr>
          <w:p w14:paraId="53D074D1" w14:textId="77777777" w:rsidR="002046BA" w:rsidRPr="0095607F" w:rsidRDefault="002046BA" w:rsidP="007F2028">
            <w:pPr>
              <w:spacing w:after="0" w:line="240" w:lineRule="auto"/>
              <w:ind w:firstLineChars="100" w:firstLine="201"/>
              <w:jc w:val="right"/>
              <w:rPr>
                <w:rFonts w:eastAsia="Times New Roman" w:cs="Times New Roman"/>
                <w:b/>
                <w:bCs/>
                <w:sz w:val="20"/>
                <w:szCs w:val="20"/>
                <w:lang w:eastAsia="sk-SK"/>
              </w:rPr>
            </w:pPr>
            <w:r w:rsidRPr="0095607F">
              <w:rPr>
                <w:rFonts w:eastAsia="Times New Roman" w:cs="Times New Roman"/>
                <w:b/>
                <w:bCs/>
                <w:sz w:val="20"/>
                <w:szCs w:val="20"/>
                <w:lang w:eastAsia="sk-SK"/>
              </w:rPr>
              <w:t>2019</w:t>
            </w:r>
          </w:p>
        </w:tc>
        <w:tc>
          <w:tcPr>
            <w:tcW w:w="1005" w:type="dxa"/>
            <w:tcBorders>
              <w:top w:val="nil"/>
              <w:left w:val="nil"/>
              <w:bottom w:val="nil"/>
              <w:right w:val="single" w:sz="4" w:space="0" w:color="auto"/>
            </w:tcBorders>
            <w:shd w:val="clear" w:color="000000" w:fill="C0C0C0"/>
            <w:noWrap/>
            <w:vAlign w:val="center"/>
            <w:hideMark/>
          </w:tcPr>
          <w:p w14:paraId="7F1E5BD3" w14:textId="77777777" w:rsidR="002046BA" w:rsidRPr="0095607F" w:rsidRDefault="002046BA" w:rsidP="007F2028">
            <w:pPr>
              <w:spacing w:after="0" w:line="240" w:lineRule="auto"/>
              <w:ind w:firstLineChars="100" w:firstLine="201"/>
              <w:jc w:val="right"/>
              <w:rPr>
                <w:rFonts w:eastAsia="Times New Roman" w:cs="Times New Roman"/>
                <w:b/>
                <w:bCs/>
                <w:sz w:val="20"/>
                <w:szCs w:val="20"/>
                <w:lang w:eastAsia="sk-SK"/>
              </w:rPr>
            </w:pPr>
            <w:r w:rsidRPr="0095607F">
              <w:rPr>
                <w:rFonts w:eastAsia="Times New Roman" w:cs="Times New Roman"/>
                <w:b/>
                <w:bCs/>
                <w:sz w:val="20"/>
                <w:szCs w:val="20"/>
                <w:lang w:eastAsia="sk-SK"/>
              </w:rPr>
              <w:t>2020</w:t>
            </w:r>
          </w:p>
        </w:tc>
      </w:tr>
      <w:tr w:rsidR="002046BA" w:rsidRPr="0095607F" w14:paraId="7A927CD6" w14:textId="77777777" w:rsidTr="00CF37CE">
        <w:trPr>
          <w:trHeight w:val="284"/>
        </w:trPr>
        <w:tc>
          <w:tcPr>
            <w:tcW w:w="1758" w:type="dxa"/>
            <w:tcBorders>
              <w:top w:val="nil"/>
              <w:left w:val="single" w:sz="4" w:space="0" w:color="auto"/>
              <w:bottom w:val="nil"/>
              <w:right w:val="nil"/>
            </w:tcBorders>
            <w:shd w:val="clear" w:color="auto" w:fill="auto"/>
            <w:noWrap/>
            <w:vAlign w:val="center"/>
            <w:hideMark/>
          </w:tcPr>
          <w:p w14:paraId="37097A3D" w14:textId="77777777" w:rsidR="002046BA" w:rsidRPr="0095607F" w:rsidRDefault="002046BA" w:rsidP="007F2028">
            <w:pPr>
              <w:spacing w:after="0" w:line="240" w:lineRule="auto"/>
              <w:rPr>
                <w:rFonts w:eastAsia="Times New Roman" w:cs="Times New Roman"/>
                <w:b/>
                <w:bCs/>
                <w:sz w:val="20"/>
                <w:szCs w:val="20"/>
                <w:lang w:eastAsia="sk-SK"/>
              </w:rPr>
            </w:pPr>
            <w:r w:rsidRPr="0095607F">
              <w:rPr>
                <w:rFonts w:eastAsia="Times New Roman" w:cs="Times New Roman"/>
                <w:b/>
                <w:bCs/>
                <w:sz w:val="20"/>
                <w:szCs w:val="20"/>
                <w:lang w:eastAsia="sk-SK"/>
              </w:rPr>
              <w:t>EÚ (27 krajín)</w:t>
            </w:r>
          </w:p>
        </w:tc>
        <w:tc>
          <w:tcPr>
            <w:tcW w:w="936" w:type="dxa"/>
            <w:tcBorders>
              <w:top w:val="nil"/>
              <w:left w:val="nil"/>
              <w:bottom w:val="nil"/>
              <w:right w:val="nil"/>
            </w:tcBorders>
            <w:shd w:val="clear" w:color="auto" w:fill="auto"/>
            <w:noWrap/>
            <w:vAlign w:val="center"/>
            <w:hideMark/>
          </w:tcPr>
          <w:p w14:paraId="01A33AF3" w14:textId="77777777" w:rsidR="002046BA" w:rsidRPr="0095607F" w:rsidRDefault="002046BA" w:rsidP="007F2028">
            <w:pPr>
              <w:spacing w:after="0" w:line="240" w:lineRule="auto"/>
              <w:ind w:firstLineChars="100" w:firstLine="201"/>
              <w:jc w:val="right"/>
              <w:rPr>
                <w:rFonts w:eastAsia="Times New Roman" w:cs="Times New Roman"/>
                <w:b/>
                <w:bCs/>
                <w:color w:val="000000"/>
                <w:sz w:val="20"/>
                <w:szCs w:val="20"/>
                <w:lang w:eastAsia="sk-SK"/>
              </w:rPr>
            </w:pPr>
            <w:r w:rsidRPr="0095607F">
              <w:rPr>
                <w:rFonts w:eastAsia="Times New Roman" w:cs="Times New Roman"/>
                <w:b/>
                <w:bCs/>
                <w:color w:val="000000"/>
                <w:sz w:val="20"/>
                <w:szCs w:val="20"/>
                <w:lang w:eastAsia="sk-SK"/>
              </w:rPr>
              <w:t>-0,4</w:t>
            </w:r>
          </w:p>
        </w:tc>
        <w:tc>
          <w:tcPr>
            <w:tcW w:w="936" w:type="dxa"/>
            <w:tcBorders>
              <w:top w:val="nil"/>
              <w:left w:val="nil"/>
              <w:bottom w:val="nil"/>
              <w:right w:val="nil"/>
            </w:tcBorders>
            <w:shd w:val="clear" w:color="auto" w:fill="auto"/>
            <w:noWrap/>
            <w:vAlign w:val="center"/>
            <w:hideMark/>
          </w:tcPr>
          <w:p w14:paraId="6E192603" w14:textId="77777777" w:rsidR="002046BA" w:rsidRPr="0095607F" w:rsidRDefault="002046BA" w:rsidP="007F2028">
            <w:pPr>
              <w:spacing w:after="0" w:line="240" w:lineRule="auto"/>
              <w:ind w:firstLineChars="100" w:firstLine="201"/>
              <w:jc w:val="right"/>
              <w:rPr>
                <w:rFonts w:eastAsia="Times New Roman" w:cs="Times New Roman"/>
                <w:b/>
                <w:bCs/>
                <w:color w:val="000000"/>
                <w:sz w:val="20"/>
                <w:szCs w:val="20"/>
                <w:lang w:eastAsia="sk-SK"/>
              </w:rPr>
            </w:pPr>
            <w:r w:rsidRPr="0095607F">
              <w:rPr>
                <w:rFonts w:eastAsia="Times New Roman" w:cs="Times New Roman"/>
                <w:b/>
                <w:bCs/>
                <w:color w:val="000000"/>
                <w:sz w:val="20"/>
                <w:szCs w:val="20"/>
                <w:lang w:eastAsia="sk-SK"/>
              </w:rPr>
              <w:t>-0,5</w:t>
            </w:r>
          </w:p>
        </w:tc>
        <w:tc>
          <w:tcPr>
            <w:tcW w:w="960" w:type="dxa"/>
            <w:tcBorders>
              <w:top w:val="nil"/>
              <w:left w:val="nil"/>
              <w:bottom w:val="nil"/>
              <w:right w:val="nil"/>
            </w:tcBorders>
            <w:shd w:val="clear" w:color="auto" w:fill="auto"/>
            <w:noWrap/>
            <w:vAlign w:val="center"/>
            <w:hideMark/>
          </w:tcPr>
          <w:p w14:paraId="55D42199" w14:textId="77777777" w:rsidR="002046BA" w:rsidRPr="0095607F" w:rsidRDefault="002046BA" w:rsidP="007F2028">
            <w:pPr>
              <w:spacing w:after="0" w:line="240" w:lineRule="auto"/>
              <w:ind w:firstLineChars="100" w:firstLine="201"/>
              <w:jc w:val="right"/>
              <w:rPr>
                <w:rFonts w:eastAsia="Times New Roman" w:cs="Times New Roman"/>
                <w:b/>
                <w:bCs/>
                <w:color w:val="000000"/>
                <w:sz w:val="20"/>
                <w:szCs w:val="20"/>
                <w:lang w:eastAsia="sk-SK"/>
              </w:rPr>
            </w:pPr>
            <w:r w:rsidRPr="0095607F">
              <w:rPr>
                <w:rFonts w:eastAsia="Times New Roman" w:cs="Times New Roman"/>
                <w:b/>
                <w:bCs/>
                <w:color w:val="000000"/>
                <w:sz w:val="20"/>
                <w:szCs w:val="20"/>
                <w:lang w:eastAsia="sk-SK"/>
              </w:rPr>
              <w:t>-6,9</w:t>
            </w:r>
          </w:p>
        </w:tc>
        <w:tc>
          <w:tcPr>
            <w:tcW w:w="1655" w:type="dxa"/>
            <w:tcBorders>
              <w:top w:val="nil"/>
              <w:left w:val="single" w:sz="4" w:space="0" w:color="auto"/>
              <w:bottom w:val="nil"/>
              <w:right w:val="nil"/>
            </w:tcBorders>
            <w:shd w:val="clear" w:color="auto" w:fill="auto"/>
            <w:noWrap/>
            <w:vAlign w:val="center"/>
            <w:hideMark/>
          </w:tcPr>
          <w:p w14:paraId="4619CE29" w14:textId="77777777" w:rsidR="002046BA" w:rsidRPr="0095607F" w:rsidRDefault="002046BA" w:rsidP="007F2028">
            <w:pPr>
              <w:spacing w:after="0" w:line="240" w:lineRule="auto"/>
              <w:rPr>
                <w:rFonts w:eastAsia="Times New Roman" w:cs="Times New Roman"/>
                <w:b/>
                <w:bCs/>
                <w:sz w:val="20"/>
                <w:szCs w:val="20"/>
                <w:lang w:eastAsia="sk-SK"/>
              </w:rPr>
            </w:pPr>
            <w:r w:rsidRPr="0095607F">
              <w:rPr>
                <w:rFonts w:eastAsia="Times New Roman" w:cs="Times New Roman"/>
                <w:b/>
                <w:bCs/>
                <w:sz w:val="20"/>
                <w:szCs w:val="20"/>
                <w:lang w:eastAsia="sk-SK"/>
              </w:rPr>
              <w:t>EÚ (27 krajín)</w:t>
            </w:r>
          </w:p>
        </w:tc>
        <w:tc>
          <w:tcPr>
            <w:tcW w:w="1000" w:type="dxa"/>
            <w:tcBorders>
              <w:top w:val="nil"/>
              <w:left w:val="nil"/>
              <w:bottom w:val="nil"/>
              <w:right w:val="nil"/>
            </w:tcBorders>
            <w:shd w:val="clear" w:color="auto" w:fill="auto"/>
            <w:noWrap/>
            <w:vAlign w:val="center"/>
            <w:hideMark/>
          </w:tcPr>
          <w:p w14:paraId="6706E417" w14:textId="77777777" w:rsidR="002046BA" w:rsidRPr="0095607F" w:rsidRDefault="002046BA" w:rsidP="007F2028">
            <w:pPr>
              <w:spacing w:after="0" w:line="240" w:lineRule="auto"/>
              <w:ind w:firstLineChars="100" w:firstLine="201"/>
              <w:jc w:val="right"/>
              <w:rPr>
                <w:rFonts w:eastAsia="Times New Roman" w:cs="Times New Roman"/>
                <w:b/>
                <w:bCs/>
                <w:color w:val="000000"/>
                <w:sz w:val="20"/>
                <w:szCs w:val="20"/>
                <w:lang w:eastAsia="sk-SK"/>
              </w:rPr>
            </w:pPr>
            <w:r w:rsidRPr="0095607F">
              <w:rPr>
                <w:rFonts w:eastAsia="Times New Roman" w:cs="Times New Roman"/>
                <w:b/>
                <w:bCs/>
                <w:color w:val="000000"/>
                <w:sz w:val="20"/>
                <w:szCs w:val="20"/>
                <w:lang w:eastAsia="sk-SK"/>
              </w:rPr>
              <w:t>79,5</w:t>
            </w:r>
          </w:p>
        </w:tc>
        <w:tc>
          <w:tcPr>
            <w:tcW w:w="1000" w:type="dxa"/>
            <w:tcBorders>
              <w:top w:val="nil"/>
              <w:left w:val="nil"/>
              <w:bottom w:val="nil"/>
              <w:right w:val="nil"/>
            </w:tcBorders>
            <w:shd w:val="clear" w:color="auto" w:fill="auto"/>
            <w:noWrap/>
            <w:vAlign w:val="center"/>
            <w:hideMark/>
          </w:tcPr>
          <w:p w14:paraId="0E694776" w14:textId="77777777" w:rsidR="002046BA" w:rsidRPr="0095607F" w:rsidRDefault="002046BA" w:rsidP="007F2028">
            <w:pPr>
              <w:spacing w:after="0" w:line="240" w:lineRule="auto"/>
              <w:ind w:firstLineChars="100" w:firstLine="201"/>
              <w:jc w:val="right"/>
              <w:rPr>
                <w:rFonts w:eastAsia="Times New Roman" w:cs="Times New Roman"/>
                <w:b/>
                <w:bCs/>
                <w:color w:val="000000"/>
                <w:sz w:val="20"/>
                <w:szCs w:val="20"/>
                <w:lang w:eastAsia="sk-SK"/>
              </w:rPr>
            </w:pPr>
            <w:r w:rsidRPr="0095607F">
              <w:rPr>
                <w:rFonts w:eastAsia="Times New Roman" w:cs="Times New Roman"/>
                <w:b/>
                <w:bCs/>
                <w:color w:val="000000"/>
                <w:sz w:val="20"/>
                <w:szCs w:val="20"/>
                <w:lang w:eastAsia="sk-SK"/>
              </w:rPr>
              <w:t>77,5</w:t>
            </w:r>
          </w:p>
        </w:tc>
        <w:tc>
          <w:tcPr>
            <w:tcW w:w="1005" w:type="dxa"/>
            <w:tcBorders>
              <w:top w:val="nil"/>
              <w:left w:val="nil"/>
              <w:bottom w:val="nil"/>
              <w:right w:val="single" w:sz="4" w:space="0" w:color="auto"/>
            </w:tcBorders>
            <w:shd w:val="clear" w:color="auto" w:fill="auto"/>
            <w:noWrap/>
            <w:vAlign w:val="center"/>
            <w:hideMark/>
          </w:tcPr>
          <w:p w14:paraId="77E72C11" w14:textId="77777777" w:rsidR="002046BA" w:rsidRPr="0095607F" w:rsidRDefault="002046BA" w:rsidP="007F2028">
            <w:pPr>
              <w:spacing w:after="0" w:line="240" w:lineRule="auto"/>
              <w:ind w:firstLineChars="100" w:firstLine="201"/>
              <w:jc w:val="right"/>
              <w:rPr>
                <w:rFonts w:eastAsia="Times New Roman" w:cs="Times New Roman"/>
                <w:b/>
                <w:bCs/>
                <w:color w:val="000000"/>
                <w:sz w:val="20"/>
                <w:szCs w:val="20"/>
                <w:lang w:eastAsia="sk-SK"/>
              </w:rPr>
            </w:pPr>
            <w:r w:rsidRPr="0095607F">
              <w:rPr>
                <w:rFonts w:eastAsia="Times New Roman" w:cs="Times New Roman"/>
                <w:b/>
                <w:bCs/>
                <w:color w:val="000000"/>
                <w:sz w:val="20"/>
                <w:szCs w:val="20"/>
                <w:lang w:eastAsia="sk-SK"/>
              </w:rPr>
              <w:t>90,7</w:t>
            </w:r>
          </w:p>
        </w:tc>
      </w:tr>
      <w:tr w:rsidR="002046BA" w:rsidRPr="0095607F" w14:paraId="1E5BB608" w14:textId="77777777" w:rsidTr="00CF37CE">
        <w:trPr>
          <w:trHeight w:val="284"/>
        </w:trPr>
        <w:tc>
          <w:tcPr>
            <w:tcW w:w="1758" w:type="dxa"/>
            <w:tcBorders>
              <w:top w:val="nil"/>
              <w:left w:val="single" w:sz="4" w:space="0" w:color="auto"/>
              <w:bottom w:val="nil"/>
              <w:right w:val="nil"/>
            </w:tcBorders>
            <w:shd w:val="clear" w:color="auto" w:fill="auto"/>
            <w:noWrap/>
            <w:vAlign w:val="center"/>
            <w:hideMark/>
          </w:tcPr>
          <w:p w14:paraId="60CC16E6" w14:textId="77777777" w:rsidR="002046BA" w:rsidRPr="0095607F" w:rsidRDefault="002046BA" w:rsidP="007F2028">
            <w:pPr>
              <w:spacing w:after="0" w:line="240" w:lineRule="auto"/>
              <w:rPr>
                <w:rFonts w:eastAsia="Times New Roman" w:cs="Times New Roman"/>
                <w:b/>
                <w:bCs/>
                <w:sz w:val="20"/>
                <w:szCs w:val="20"/>
                <w:lang w:eastAsia="sk-SK"/>
              </w:rPr>
            </w:pPr>
            <w:r w:rsidRPr="0095607F">
              <w:rPr>
                <w:rFonts w:eastAsia="Times New Roman" w:cs="Times New Roman"/>
                <w:b/>
                <w:bCs/>
                <w:sz w:val="20"/>
                <w:szCs w:val="20"/>
                <w:lang w:eastAsia="sk-SK"/>
              </w:rPr>
              <w:t>Euro zóna</w:t>
            </w:r>
          </w:p>
        </w:tc>
        <w:tc>
          <w:tcPr>
            <w:tcW w:w="936" w:type="dxa"/>
            <w:tcBorders>
              <w:top w:val="nil"/>
              <w:left w:val="nil"/>
              <w:bottom w:val="nil"/>
              <w:right w:val="nil"/>
            </w:tcBorders>
            <w:shd w:val="clear" w:color="auto" w:fill="auto"/>
            <w:noWrap/>
            <w:vAlign w:val="center"/>
            <w:hideMark/>
          </w:tcPr>
          <w:p w14:paraId="10976AD2" w14:textId="77777777" w:rsidR="002046BA" w:rsidRPr="0095607F" w:rsidRDefault="002046BA" w:rsidP="007F2028">
            <w:pPr>
              <w:spacing w:after="0" w:line="240" w:lineRule="auto"/>
              <w:ind w:firstLineChars="100" w:firstLine="201"/>
              <w:jc w:val="right"/>
              <w:rPr>
                <w:rFonts w:eastAsia="Times New Roman" w:cs="Times New Roman"/>
                <w:b/>
                <w:bCs/>
                <w:color w:val="000000"/>
                <w:sz w:val="20"/>
                <w:szCs w:val="20"/>
                <w:lang w:eastAsia="sk-SK"/>
              </w:rPr>
            </w:pPr>
            <w:r w:rsidRPr="0095607F">
              <w:rPr>
                <w:rFonts w:eastAsia="Times New Roman" w:cs="Times New Roman"/>
                <w:b/>
                <w:bCs/>
                <w:color w:val="000000"/>
                <w:sz w:val="20"/>
                <w:szCs w:val="20"/>
                <w:lang w:eastAsia="sk-SK"/>
              </w:rPr>
              <w:t>-0,5</w:t>
            </w:r>
          </w:p>
        </w:tc>
        <w:tc>
          <w:tcPr>
            <w:tcW w:w="936" w:type="dxa"/>
            <w:tcBorders>
              <w:top w:val="nil"/>
              <w:left w:val="nil"/>
              <w:bottom w:val="nil"/>
              <w:right w:val="nil"/>
            </w:tcBorders>
            <w:shd w:val="clear" w:color="auto" w:fill="auto"/>
            <w:noWrap/>
            <w:vAlign w:val="center"/>
            <w:hideMark/>
          </w:tcPr>
          <w:p w14:paraId="1BE9B808" w14:textId="77777777" w:rsidR="002046BA" w:rsidRPr="0095607F" w:rsidRDefault="002046BA" w:rsidP="007F2028">
            <w:pPr>
              <w:spacing w:after="0" w:line="240" w:lineRule="auto"/>
              <w:ind w:firstLineChars="100" w:firstLine="201"/>
              <w:jc w:val="right"/>
              <w:rPr>
                <w:rFonts w:eastAsia="Times New Roman" w:cs="Times New Roman"/>
                <w:b/>
                <w:bCs/>
                <w:color w:val="000000"/>
                <w:sz w:val="20"/>
                <w:szCs w:val="20"/>
                <w:lang w:eastAsia="sk-SK"/>
              </w:rPr>
            </w:pPr>
            <w:r w:rsidRPr="0095607F">
              <w:rPr>
                <w:rFonts w:eastAsia="Times New Roman" w:cs="Times New Roman"/>
                <w:b/>
                <w:bCs/>
                <w:color w:val="000000"/>
                <w:sz w:val="20"/>
                <w:szCs w:val="20"/>
                <w:lang w:eastAsia="sk-SK"/>
              </w:rPr>
              <w:t>-0,6</w:t>
            </w:r>
          </w:p>
        </w:tc>
        <w:tc>
          <w:tcPr>
            <w:tcW w:w="960" w:type="dxa"/>
            <w:tcBorders>
              <w:top w:val="nil"/>
              <w:left w:val="nil"/>
              <w:bottom w:val="nil"/>
              <w:right w:val="nil"/>
            </w:tcBorders>
            <w:shd w:val="clear" w:color="auto" w:fill="auto"/>
            <w:noWrap/>
            <w:vAlign w:val="center"/>
            <w:hideMark/>
          </w:tcPr>
          <w:p w14:paraId="7045D828" w14:textId="77777777" w:rsidR="002046BA" w:rsidRPr="0095607F" w:rsidRDefault="002046BA" w:rsidP="007F2028">
            <w:pPr>
              <w:spacing w:after="0" w:line="240" w:lineRule="auto"/>
              <w:ind w:firstLineChars="100" w:firstLine="201"/>
              <w:jc w:val="right"/>
              <w:rPr>
                <w:rFonts w:eastAsia="Times New Roman" w:cs="Times New Roman"/>
                <w:b/>
                <w:bCs/>
                <w:color w:val="000000"/>
                <w:sz w:val="20"/>
                <w:szCs w:val="20"/>
                <w:lang w:eastAsia="sk-SK"/>
              </w:rPr>
            </w:pPr>
            <w:r w:rsidRPr="0095607F">
              <w:rPr>
                <w:rFonts w:eastAsia="Times New Roman" w:cs="Times New Roman"/>
                <w:b/>
                <w:bCs/>
                <w:color w:val="000000"/>
                <w:sz w:val="20"/>
                <w:szCs w:val="20"/>
                <w:lang w:eastAsia="sk-SK"/>
              </w:rPr>
              <w:t>-7,2</w:t>
            </w:r>
          </w:p>
        </w:tc>
        <w:tc>
          <w:tcPr>
            <w:tcW w:w="1655" w:type="dxa"/>
            <w:tcBorders>
              <w:top w:val="nil"/>
              <w:left w:val="single" w:sz="4" w:space="0" w:color="auto"/>
              <w:bottom w:val="nil"/>
              <w:right w:val="nil"/>
            </w:tcBorders>
            <w:shd w:val="clear" w:color="auto" w:fill="auto"/>
            <w:noWrap/>
            <w:vAlign w:val="center"/>
            <w:hideMark/>
          </w:tcPr>
          <w:p w14:paraId="42825AC9" w14:textId="77777777" w:rsidR="002046BA" w:rsidRPr="0095607F" w:rsidRDefault="002046BA" w:rsidP="007F2028">
            <w:pPr>
              <w:spacing w:after="0" w:line="240" w:lineRule="auto"/>
              <w:rPr>
                <w:rFonts w:eastAsia="Times New Roman" w:cs="Times New Roman"/>
                <w:b/>
                <w:bCs/>
                <w:sz w:val="20"/>
                <w:szCs w:val="20"/>
                <w:lang w:eastAsia="sk-SK"/>
              </w:rPr>
            </w:pPr>
            <w:r w:rsidRPr="0095607F">
              <w:rPr>
                <w:rFonts w:eastAsia="Times New Roman" w:cs="Times New Roman"/>
                <w:b/>
                <w:bCs/>
                <w:sz w:val="20"/>
                <w:szCs w:val="20"/>
                <w:lang w:eastAsia="sk-SK"/>
              </w:rPr>
              <w:t>Euro zóna</w:t>
            </w:r>
          </w:p>
        </w:tc>
        <w:tc>
          <w:tcPr>
            <w:tcW w:w="1000" w:type="dxa"/>
            <w:tcBorders>
              <w:top w:val="nil"/>
              <w:left w:val="nil"/>
              <w:bottom w:val="nil"/>
              <w:right w:val="nil"/>
            </w:tcBorders>
            <w:shd w:val="clear" w:color="auto" w:fill="auto"/>
            <w:noWrap/>
            <w:vAlign w:val="center"/>
            <w:hideMark/>
          </w:tcPr>
          <w:p w14:paraId="1DE1AC5C" w14:textId="77777777" w:rsidR="002046BA" w:rsidRPr="0095607F" w:rsidRDefault="002046BA" w:rsidP="007F2028">
            <w:pPr>
              <w:spacing w:after="0" w:line="240" w:lineRule="auto"/>
              <w:ind w:firstLineChars="100" w:firstLine="201"/>
              <w:jc w:val="right"/>
              <w:rPr>
                <w:rFonts w:eastAsia="Times New Roman" w:cs="Times New Roman"/>
                <w:b/>
                <w:bCs/>
                <w:color w:val="000000"/>
                <w:sz w:val="20"/>
                <w:szCs w:val="20"/>
                <w:lang w:eastAsia="sk-SK"/>
              </w:rPr>
            </w:pPr>
            <w:r w:rsidRPr="0095607F">
              <w:rPr>
                <w:rFonts w:eastAsia="Times New Roman" w:cs="Times New Roman"/>
                <w:b/>
                <w:bCs/>
                <w:color w:val="000000"/>
                <w:sz w:val="20"/>
                <w:szCs w:val="20"/>
                <w:lang w:eastAsia="sk-SK"/>
              </w:rPr>
              <w:t>85,7</w:t>
            </w:r>
          </w:p>
        </w:tc>
        <w:tc>
          <w:tcPr>
            <w:tcW w:w="1000" w:type="dxa"/>
            <w:tcBorders>
              <w:top w:val="nil"/>
              <w:left w:val="nil"/>
              <w:bottom w:val="nil"/>
              <w:right w:val="nil"/>
            </w:tcBorders>
            <w:shd w:val="clear" w:color="auto" w:fill="auto"/>
            <w:noWrap/>
            <w:vAlign w:val="center"/>
            <w:hideMark/>
          </w:tcPr>
          <w:p w14:paraId="759E0901" w14:textId="77777777" w:rsidR="002046BA" w:rsidRPr="0095607F" w:rsidRDefault="002046BA" w:rsidP="007F2028">
            <w:pPr>
              <w:spacing w:after="0" w:line="240" w:lineRule="auto"/>
              <w:ind w:firstLineChars="100" w:firstLine="201"/>
              <w:jc w:val="right"/>
              <w:rPr>
                <w:rFonts w:eastAsia="Times New Roman" w:cs="Times New Roman"/>
                <w:b/>
                <w:bCs/>
                <w:color w:val="000000"/>
                <w:sz w:val="20"/>
                <w:szCs w:val="20"/>
                <w:lang w:eastAsia="sk-SK"/>
              </w:rPr>
            </w:pPr>
            <w:r w:rsidRPr="0095607F">
              <w:rPr>
                <w:rFonts w:eastAsia="Times New Roman" w:cs="Times New Roman"/>
                <w:b/>
                <w:bCs/>
                <w:color w:val="000000"/>
                <w:sz w:val="20"/>
                <w:szCs w:val="20"/>
                <w:lang w:eastAsia="sk-SK"/>
              </w:rPr>
              <w:t>83,9</w:t>
            </w:r>
          </w:p>
        </w:tc>
        <w:tc>
          <w:tcPr>
            <w:tcW w:w="1005" w:type="dxa"/>
            <w:tcBorders>
              <w:top w:val="nil"/>
              <w:left w:val="nil"/>
              <w:bottom w:val="nil"/>
              <w:right w:val="single" w:sz="4" w:space="0" w:color="auto"/>
            </w:tcBorders>
            <w:shd w:val="clear" w:color="auto" w:fill="auto"/>
            <w:noWrap/>
            <w:vAlign w:val="center"/>
            <w:hideMark/>
          </w:tcPr>
          <w:p w14:paraId="4ACC656C" w14:textId="77777777" w:rsidR="002046BA" w:rsidRPr="0095607F" w:rsidRDefault="002046BA" w:rsidP="007F2028">
            <w:pPr>
              <w:spacing w:after="0" w:line="240" w:lineRule="auto"/>
              <w:ind w:firstLineChars="100" w:firstLine="201"/>
              <w:jc w:val="right"/>
              <w:rPr>
                <w:rFonts w:eastAsia="Times New Roman" w:cs="Times New Roman"/>
                <w:b/>
                <w:bCs/>
                <w:color w:val="000000"/>
                <w:sz w:val="20"/>
                <w:szCs w:val="20"/>
                <w:lang w:eastAsia="sk-SK"/>
              </w:rPr>
            </w:pPr>
            <w:r w:rsidRPr="0095607F">
              <w:rPr>
                <w:rFonts w:eastAsia="Times New Roman" w:cs="Times New Roman"/>
                <w:b/>
                <w:bCs/>
                <w:color w:val="000000"/>
                <w:sz w:val="20"/>
                <w:szCs w:val="20"/>
                <w:lang w:eastAsia="sk-SK"/>
              </w:rPr>
              <w:t>98,0</w:t>
            </w:r>
          </w:p>
        </w:tc>
      </w:tr>
      <w:tr w:rsidR="002046BA" w:rsidRPr="0095607F" w14:paraId="2F175648" w14:textId="77777777" w:rsidTr="00CF37CE">
        <w:trPr>
          <w:trHeight w:val="284"/>
        </w:trPr>
        <w:tc>
          <w:tcPr>
            <w:tcW w:w="1758" w:type="dxa"/>
            <w:tcBorders>
              <w:top w:val="nil"/>
              <w:left w:val="single" w:sz="4" w:space="0" w:color="auto"/>
              <w:bottom w:val="nil"/>
              <w:right w:val="nil"/>
            </w:tcBorders>
            <w:shd w:val="clear" w:color="auto" w:fill="auto"/>
            <w:noWrap/>
            <w:vAlign w:val="center"/>
            <w:hideMark/>
          </w:tcPr>
          <w:p w14:paraId="3F63038F"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Španielsko</w:t>
            </w:r>
          </w:p>
        </w:tc>
        <w:tc>
          <w:tcPr>
            <w:tcW w:w="936" w:type="dxa"/>
            <w:tcBorders>
              <w:top w:val="nil"/>
              <w:left w:val="nil"/>
              <w:bottom w:val="nil"/>
              <w:right w:val="nil"/>
            </w:tcBorders>
            <w:shd w:val="clear" w:color="auto" w:fill="auto"/>
            <w:noWrap/>
            <w:vAlign w:val="center"/>
            <w:hideMark/>
          </w:tcPr>
          <w:p w14:paraId="548C56B2"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-2,5</w:t>
            </w:r>
          </w:p>
        </w:tc>
        <w:tc>
          <w:tcPr>
            <w:tcW w:w="936" w:type="dxa"/>
            <w:tcBorders>
              <w:top w:val="nil"/>
              <w:left w:val="nil"/>
              <w:bottom w:val="nil"/>
              <w:right w:val="nil"/>
            </w:tcBorders>
            <w:shd w:val="clear" w:color="auto" w:fill="auto"/>
            <w:noWrap/>
            <w:vAlign w:val="center"/>
            <w:hideMark/>
          </w:tcPr>
          <w:p w14:paraId="26E6CB06"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-2,9</w:t>
            </w:r>
          </w:p>
        </w:tc>
        <w:tc>
          <w:tcPr>
            <w:tcW w:w="960" w:type="dxa"/>
            <w:tcBorders>
              <w:top w:val="nil"/>
              <w:left w:val="nil"/>
              <w:bottom w:val="nil"/>
              <w:right w:val="nil"/>
            </w:tcBorders>
            <w:shd w:val="clear" w:color="auto" w:fill="auto"/>
            <w:noWrap/>
            <w:vAlign w:val="center"/>
            <w:hideMark/>
          </w:tcPr>
          <w:p w14:paraId="7F076F48"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-11,0</w:t>
            </w:r>
          </w:p>
        </w:tc>
        <w:tc>
          <w:tcPr>
            <w:tcW w:w="1655" w:type="dxa"/>
            <w:tcBorders>
              <w:top w:val="nil"/>
              <w:left w:val="single" w:sz="4" w:space="0" w:color="auto"/>
              <w:bottom w:val="nil"/>
              <w:right w:val="nil"/>
            </w:tcBorders>
            <w:shd w:val="clear" w:color="auto" w:fill="auto"/>
            <w:noWrap/>
            <w:vAlign w:val="center"/>
            <w:hideMark/>
          </w:tcPr>
          <w:p w14:paraId="5B450FA5"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Grécko</w:t>
            </w:r>
          </w:p>
        </w:tc>
        <w:tc>
          <w:tcPr>
            <w:tcW w:w="1000" w:type="dxa"/>
            <w:tcBorders>
              <w:top w:val="nil"/>
              <w:left w:val="nil"/>
              <w:bottom w:val="nil"/>
              <w:right w:val="nil"/>
            </w:tcBorders>
            <w:shd w:val="clear" w:color="auto" w:fill="auto"/>
            <w:noWrap/>
            <w:vAlign w:val="center"/>
            <w:hideMark/>
          </w:tcPr>
          <w:p w14:paraId="03761BC4"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186,2</w:t>
            </w:r>
          </w:p>
        </w:tc>
        <w:tc>
          <w:tcPr>
            <w:tcW w:w="1000" w:type="dxa"/>
            <w:tcBorders>
              <w:top w:val="nil"/>
              <w:left w:val="nil"/>
              <w:bottom w:val="nil"/>
              <w:right w:val="nil"/>
            </w:tcBorders>
            <w:shd w:val="clear" w:color="auto" w:fill="auto"/>
            <w:noWrap/>
            <w:vAlign w:val="center"/>
            <w:hideMark/>
          </w:tcPr>
          <w:p w14:paraId="6513D41D"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180,5</w:t>
            </w:r>
          </w:p>
        </w:tc>
        <w:tc>
          <w:tcPr>
            <w:tcW w:w="1005" w:type="dxa"/>
            <w:tcBorders>
              <w:top w:val="nil"/>
              <w:left w:val="nil"/>
              <w:bottom w:val="nil"/>
              <w:right w:val="single" w:sz="4" w:space="0" w:color="auto"/>
            </w:tcBorders>
            <w:shd w:val="clear" w:color="auto" w:fill="auto"/>
            <w:noWrap/>
            <w:vAlign w:val="center"/>
            <w:hideMark/>
          </w:tcPr>
          <w:p w14:paraId="44BD594A"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205,6</w:t>
            </w:r>
          </w:p>
        </w:tc>
      </w:tr>
      <w:tr w:rsidR="002046BA" w:rsidRPr="0095607F" w14:paraId="6D53BD12" w14:textId="77777777" w:rsidTr="00CF37CE">
        <w:trPr>
          <w:trHeight w:val="284"/>
        </w:trPr>
        <w:tc>
          <w:tcPr>
            <w:tcW w:w="1758" w:type="dxa"/>
            <w:tcBorders>
              <w:top w:val="nil"/>
              <w:left w:val="single" w:sz="4" w:space="0" w:color="auto"/>
              <w:bottom w:val="nil"/>
              <w:right w:val="nil"/>
            </w:tcBorders>
            <w:shd w:val="clear" w:color="auto" w:fill="auto"/>
            <w:noWrap/>
            <w:vAlign w:val="center"/>
            <w:hideMark/>
          </w:tcPr>
          <w:p w14:paraId="2D55DF4D"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Malta</w:t>
            </w:r>
          </w:p>
        </w:tc>
        <w:tc>
          <w:tcPr>
            <w:tcW w:w="936" w:type="dxa"/>
            <w:tcBorders>
              <w:top w:val="nil"/>
              <w:left w:val="nil"/>
              <w:bottom w:val="nil"/>
              <w:right w:val="nil"/>
            </w:tcBorders>
            <w:shd w:val="clear" w:color="auto" w:fill="auto"/>
            <w:noWrap/>
            <w:vAlign w:val="center"/>
            <w:hideMark/>
          </w:tcPr>
          <w:p w14:paraId="526449F7"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1,9</w:t>
            </w:r>
          </w:p>
        </w:tc>
        <w:tc>
          <w:tcPr>
            <w:tcW w:w="936" w:type="dxa"/>
            <w:tcBorders>
              <w:top w:val="nil"/>
              <w:left w:val="nil"/>
              <w:bottom w:val="nil"/>
              <w:right w:val="nil"/>
            </w:tcBorders>
            <w:shd w:val="clear" w:color="auto" w:fill="auto"/>
            <w:noWrap/>
            <w:vAlign w:val="center"/>
            <w:hideMark/>
          </w:tcPr>
          <w:p w14:paraId="6C765D06"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0,4</w:t>
            </w:r>
          </w:p>
        </w:tc>
        <w:tc>
          <w:tcPr>
            <w:tcW w:w="960" w:type="dxa"/>
            <w:tcBorders>
              <w:top w:val="nil"/>
              <w:left w:val="nil"/>
              <w:bottom w:val="nil"/>
              <w:right w:val="nil"/>
            </w:tcBorders>
            <w:shd w:val="clear" w:color="auto" w:fill="auto"/>
            <w:noWrap/>
            <w:vAlign w:val="center"/>
            <w:hideMark/>
          </w:tcPr>
          <w:p w14:paraId="13DB9649"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-10,1</w:t>
            </w:r>
          </w:p>
        </w:tc>
        <w:tc>
          <w:tcPr>
            <w:tcW w:w="1655" w:type="dxa"/>
            <w:tcBorders>
              <w:top w:val="nil"/>
              <w:left w:val="single" w:sz="4" w:space="0" w:color="auto"/>
              <w:bottom w:val="nil"/>
              <w:right w:val="nil"/>
            </w:tcBorders>
            <w:shd w:val="clear" w:color="auto" w:fill="auto"/>
            <w:noWrap/>
            <w:vAlign w:val="center"/>
            <w:hideMark/>
          </w:tcPr>
          <w:p w14:paraId="6A211F98"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Taliansko</w:t>
            </w:r>
          </w:p>
        </w:tc>
        <w:tc>
          <w:tcPr>
            <w:tcW w:w="1000" w:type="dxa"/>
            <w:tcBorders>
              <w:top w:val="nil"/>
              <w:left w:val="nil"/>
              <w:bottom w:val="nil"/>
              <w:right w:val="nil"/>
            </w:tcBorders>
            <w:shd w:val="clear" w:color="auto" w:fill="auto"/>
            <w:noWrap/>
            <w:vAlign w:val="center"/>
            <w:hideMark/>
          </w:tcPr>
          <w:p w14:paraId="13C60973"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134,4</w:t>
            </w:r>
          </w:p>
        </w:tc>
        <w:tc>
          <w:tcPr>
            <w:tcW w:w="1000" w:type="dxa"/>
            <w:tcBorders>
              <w:top w:val="nil"/>
              <w:left w:val="nil"/>
              <w:bottom w:val="nil"/>
              <w:right w:val="nil"/>
            </w:tcBorders>
            <w:shd w:val="clear" w:color="auto" w:fill="auto"/>
            <w:noWrap/>
            <w:vAlign w:val="center"/>
            <w:hideMark/>
          </w:tcPr>
          <w:p w14:paraId="2F654497"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134,6</w:t>
            </w:r>
          </w:p>
        </w:tc>
        <w:tc>
          <w:tcPr>
            <w:tcW w:w="1005" w:type="dxa"/>
            <w:tcBorders>
              <w:top w:val="nil"/>
              <w:left w:val="nil"/>
              <w:bottom w:val="nil"/>
              <w:right w:val="single" w:sz="4" w:space="0" w:color="auto"/>
            </w:tcBorders>
            <w:shd w:val="clear" w:color="auto" w:fill="auto"/>
            <w:noWrap/>
            <w:vAlign w:val="center"/>
            <w:hideMark/>
          </w:tcPr>
          <w:p w14:paraId="5B051717"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155,8</w:t>
            </w:r>
          </w:p>
        </w:tc>
      </w:tr>
      <w:tr w:rsidR="002046BA" w:rsidRPr="0095607F" w14:paraId="6DCA2C75" w14:textId="77777777" w:rsidTr="00CF37CE">
        <w:trPr>
          <w:trHeight w:val="284"/>
        </w:trPr>
        <w:tc>
          <w:tcPr>
            <w:tcW w:w="1758" w:type="dxa"/>
            <w:tcBorders>
              <w:top w:val="nil"/>
              <w:left w:val="single" w:sz="4" w:space="0" w:color="auto"/>
              <w:bottom w:val="nil"/>
              <w:right w:val="nil"/>
            </w:tcBorders>
            <w:shd w:val="clear" w:color="auto" w:fill="auto"/>
            <w:noWrap/>
            <w:vAlign w:val="center"/>
            <w:hideMark/>
          </w:tcPr>
          <w:p w14:paraId="40895513"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Grécko</w:t>
            </w:r>
          </w:p>
        </w:tc>
        <w:tc>
          <w:tcPr>
            <w:tcW w:w="936" w:type="dxa"/>
            <w:tcBorders>
              <w:top w:val="nil"/>
              <w:left w:val="nil"/>
              <w:bottom w:val="nil"/>
              <w:right w:val="nil"/>
            </w:tcBorders>
            <w:shd w:val="clear" w:color="auto" w:fill="auto"/>
            <w:noWrap/>
            <w:vAlign w:val="center"/>
            <w:hideMark/>
          </w:tcPr>
          <w:p w14:paraId="6F91855A"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0,9</w:t>
            </w:r>
          </w:p>
        </w:tc>
        <w:tc>
          <w:tcPr>
            <w:tcW w:w="936" w:type="dxa"/>
            <w:tcBorders>
              <w:top w:val="nil"/>
              <w:left w:val="nil"/>
              <w:bottom w:val="nil"/>
              <w:right w:val="nil"/>
            </w:tcBorders>
            <w:shd w:val="clear" w:color="auto" w:fill="auto"/>
            <w:noWrap/>
            <w:vAlign w:val="center"/>
            <w:hideMark/>
          </w:tcPr>
          <w:p w14:paraId="3CB5CA87"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1,1</w:t>
            </w:r>
          </w:p>
        </w:tc>
        <w:tc>
          <w:tcPr>
            <w:tcW w:w="960" w:type="dxa"/>
            <w:tcBorders>
              <w:top w:val="nil"/>
              <w:left w:val="nil"/>
              <w:bottom w:val="nil"/>
              <w:right w:val="nil"/>
            </w:tcBorders>
            <w:shd w:val="clear" w:color="auto" w:fill="auto"/>
            <w:noWrap/>
            <w:vAlign w:val="center"/>
            <w:hideMark/>
          </w:tcPr>
          <w:p w14:paraId="25276833"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-9,7</w:t>
            </w:r>
          </w:p>
        </w:tc>
        <w:tc>
          <w:tcPr>
            <w:tcW w:w="1655" w:type="dxa"/>
            <w:tcBorders>
              <w:top w:val="nil"/>
              <w:left w:val="single" w:sz="4" w:space="0" w:color="auto"/>
              <w:bottom w:val="nil"/>
              <w:right w:val="nil"/>
            </w:tcBorders>
            <w:shd w:val="clear" w:color="auto" w:fill="auto"/>
            <w:noWrap/>
            <w:vAlign w:val="center"/>
            <w:hideMark/>
          </w:tcPr>
          <w:p w14:paraId="73D5271E"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Portugalsko</w:t>
            </w:r>
          </w:p>
        </w:tc>
        <w:tc>
          <w:tcPr>
            <w:tcW w:w="1000" w:type="dxa"/>
            <w:tcBorders>
              <w:top w:val="nil"/>
              <w:left w:val="nil"/>
              <w:bottom w:val="nil"/>
              <w:right w:val="nil"/>
            </w:tcBorders>
            <w:shd w:val="clear" w:color="auto" w:fill="auto"/>
            <w:noWrap/>
            <w:vAlign w:val="center"/>
            <w:hideMark/>
          </w:tcPr>
          <w:p w14:paraId="534AABC0"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121,5</w:t>
            </w:r>
          </w:p>
        </w:tc>
        <w:tc>
          <w:tcPr>
            <w:tcW w:w="1000" w:type="dxa"/>
            <w:tcBorders>
              <w:top w:val="nil"/>
              <w:left w:val="nil"/>
              <w:bottom w:val="nil"/>
              <w:right w:val="nil"/>
            </w:tcBorders>
            <w:shd w:val="clear" w:color="auto" w:fill="auto"/>
            <w:noWrap/>
            <w:vAlign w:val="center"/>
            <w:hideMark/>
          </w:tcPr>
          <w:p w14:paraId="72ABB658"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116,8</w:t>
            </w:r>
          </w:p>
        </w:tc>
        <w:tc>
          <w:tcPr>
            <w:tcW w:w="1005" w:type="dxa"/>
            <w:tcBorders>
              <w:top w:val="nil"/>
              <w:left w:val="nil"/>
              <w:bottom w:val="nil"/>
              <w:right w:val="single" w:sz="4" w:space="0" w:color="auto"/>
            </w:tcBorders>
            <w:shd w:val="clear" w:color="auto" w:fill="auto"/>
            <w:noWrap/>
            <w:vAlign w:val="center"/>
            <w:hideMark/>
          </w:tcPr>
          <w:p w14:paraId="407F46C1"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133,6</w:t>
            </w:r>
          </w:p>
        </w:tc>
      </w:tr>
      <w:tr w:rsidR="002046BA" w:rsidRPr="0095607F" w14:paraId="72C95555" w14:textId="77777777" w:rsidTr="00CF37CE">
        <w:trPr>
          <w:trHeight w:val="284"/>
        </w:trPr>
        <w:tc>
          <w:tcPr>
            <w:tcW w:w="1758" w:type="dxa"/>
            <w:tcBorders>
              <w:top w:val="nil"/>
              <w:left w:val="single" w:sz="4" w:space="0" w:color="auto"/>
              <w:bottom w:val="nil"/>
              <w:right w:val="nil"/>
            </w:tcBorders>
            <w:shd w:val="clear" w:color="auto" w:fill="auto"/>
            <w:noWrap/>
            <w:vAlign w:val="center"/>
            <w:hideMark/>
          </w:tcPr>
          <w:p w14:paraId="00187640"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Taliansko</w:t>
            </w:r>
          </w:p>
        </w:tc>
        <w:tc>
          <w:tcPr>
            <w:tcW w:w="936" w:type="dxa"/>
            <w:tcBorders>
              <w:top w:val="nil"/>
              <w:left w:val="nil"/>
              <w:bottom w:val="nil"/>
              <w:right w:val="nil"/>
            </w:tcBorders>
            <w:shd w:val="clear" w:color="auto" w:fill="auto"/>
            <w:noWrap/>
            <w:vAlign w:val="center"/>
            <w:hideMark/>
          </w:tcPr>
          <w:p w14:paraId="457D1E89"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-2,2</w:t>
            </w:r>
          </w:p>
        </w:tc>
        <w:tc>
          <w:tcPr>
            <w:tcW w:w="936" w:type="dxa"/>
            <w:tcBorders>
              <w:top w:val="nil"/>
              <w:left w:val="nil"/>
              <w:bottom w:val="nil"/>
              <w:right w:val="nil"/>
            </w:tcBorders>
            <w:shd w:val="clear" w:color="auto" w:fill="auto"/>
            <w:noWrap/>
            <w:vAlign w:val="center"/>
            <w:hideMark/>
          </w:tcPr>
          <w:p w14:paraId="6C094AD4"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-1,6</w:t>
            </w:r>
          </w:p>
        </w:tc>
        <w:tc>
          <w:tcPr>
            <w:tcW w:w="960" w:type="dxa"/>
            <w:tcBorders>
              <w:top w:val="nil"/>
              <w:left w:val="nil"/>
              <w:bottom w:val="nil"/>
              <w:right w:val="nil"/>
            </w:tcBorders>
            <w:shd w:val="clear" w:color="auto" w:fill="auto"/>
            <w:noWrap/>
            <w:vAlign w:val="center"/>
            <w:hideMark/>
          </w:tcPr>
          <w:p w14:paraId="3B88A56C"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-9,5</w:t>
            </w:r>
          </w:p>
        </w:tc>
        <w:tc>
          <w:tcPr>
            <w:tcW w:w="1655" w:type="dxa"/>
            <w:tcBorders>
              <w:top w:val="nil"/>
              <w:left w:val="single" w:sz="4" w:space="0" w:color="auto"/>
              <w:bottom w:val="nil"/>
              <w:right w:val="nil"/>
            </w:tcBorders>
            <w:shd w:val="clear" w:color="auto" w:fill="auto"/>
            <w:noWrap/>
            <w:vAlign w:val="center"/>
            <w:hideMark/>
          </w:tcPr>
          <w:p w14:paraId="043EE433"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Španielsko</w:t>
            </w:r>
          </w:p>
        </w:tc>
        <w:tc>
          <w:tcPr>
            <w:tcW w:w="1000" w:type="dxa"/>
            <w:tcBorders>
              <w:top w:val="nil"/>
              <w:left w:val="nil"/>
              <w:bottom w:val="nil"/>
              <w:right w:val="nil"/>
            </w:tcBorders>
            <w:shd w:val="clear" w:color="auto" w:fill="auto"/>
            <w:noWrap/>
            <w:vAlign w:val="center"/>
            <w:hideMark/>
          </w:tcPr>
          <w:p w14:paraId="7BC52256"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97,4</w:t>
            </w:r>
          </w:p>
        </w:tc>
        <w:tc>
          <w:tcPr>
            <w:tcW w:w="1000" w:type="dxa"/>
            <w:tcBorders>
              <w:top w:val="nil"/>
              <w:left w:val="nil"/>
              <w:bottom w:val="nil"/>
              <w:right w:val="nil"/>
            </w:tcBorders>
            <w:shd w:val="clear" w:color="auto" w:fill="auto"/>
            <w:noWrap/>
            <w:vAlign w:val="center"/>
            <w:hideMark/>
          </w:tcPr>
          <w:p w14:paraId="54C324B8"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95,5</w:t>
            </w:r>
          </w:p>
        </w:tc>
        <w:tc>
          <w:tcPr>
            <w:tcW w:w="1005" w:type="dxa"/>
            <w:tcBorders>
              <w:top w:val="nil"/>
              <w:left w:val="nil"/>
              <w:bottom w:val="nil"/>
              <w:right w:val="single" w:sz="4" w:space="0" w:color="auto"/>
            </w:tcBorders>
            <w:shd w:val="clear" w:color="auto" w:fill="auto"/>
            <w:noWrap/>
            <w:vAlign w:val="center"/>
            <w:hideMark/>
          </w:tcPr>
          <w:p w14:paraId="5D647AD6"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120,0</w:t>
            </w:r>
          </w:p>
        </w:tc>
      </w:tr>
      <w:tr w:rsidR="002046BA" w:rsidRPr="0095607F" w14:paraId="7C2143DE" w14:textId="77777777" w:rsidTr="00CF37CE">
        <w:trPr>
          <w:trHeight w:val="284"/>
        </w:trPr>
        <w:tc>
          <w:tcPr>
            <w:tcW w:w="1758" w:type="dxa"/>
            <w:tcBorders>
              <w:top w:val="nil"/>
              <w:left w:val="single" w:sz="4" w:space="0" w:color="auto"/>
              <w:bottom w:val="nil"/>
              <w:right w:val="nil"/>
            </w:tcBorders>
            <w:shd w:val="clear" w:color="auto" w:fill="auto"/>
            <w:noWrap/>
            <w:vAlign w:val="center"/>
            <w:hideMark/>
          </w:tcPr>
          <w:p w14:paraId="30DB85CE"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Belgicko</w:t>
            </w:r>
          </w:p>
        </w:tc>
        <w:tc>
          <w:tcPr>
            <w:tcW w:w="936" w:type="dxa"/>
            <w:tcBorders>
              <w:top w:val="nil"/>
              <w:left w:val="nil"/>
              <w:bottom w:val="nil"/>
              <w:right w:val="nil"/>
            </w:tcBorders>
            <w:shd w:val="clear" w:color="auto" w:fill="auto"/>
            <w:noWrap/>
            <w:vAlign w:val="center"/>
            <w:hideMark/>
          </w:tcPr>
          <w:p w14:paraId="70A90746"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-0,8</w:t>
            </w:r>
          </w:p>
        </w:tc>
        <w:tc>
          <w:tcPr>
            <w:tcW w:w="936" w:type="dxa"/>
            <w:tcBorders>
              <w:top w:val="nil"/>
              <w:left w:val="nil"/>
              <w:bottom w:val="nil"/>
              <w:right w:val="nil"/>
            </w:tcBorders>
            <w:shd w:val="clear" w:color="auto" w:fill="auto"/>
            <w:noWrap/>
            <w:vAlign w:val="center"/>
            <w:hideMark/>
          </w:tcPr>
          <w:p w14:paraId="1F8907A9"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-1,9</w:t>
            </w:r>
          </w:p>
        </w:tc>
        <w:tc>
          <w:tcPr>
            <w:tcW w:w="960" w:type="dxa"/>
            <w:tcBorders>
              <w:top w:val="nil"/>
              <w:left w:val="nil"/>
              <w:bottom w:val="nil"/>
              <w:right w:val="nil"/>
            </w:tcBorders>
            <w:shd w:val="clear" w:color="auto" w:fill="auto"/>
            <w:noWrap/>
            <w:vAlign w:val="center"/>
            <w:hideMark/>
          </w:tcPr>
          <w:p w14:paraId="66F7A25A"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-9,4</w:t>
            </w:r>
          </w:p>
        </w:tc>
        <w:tc>
          <w:tcPr>
            <w:tcW w:w="1655" w:type="dxa"/>
            <w:tcBorders>
              <w:top w:val="nil"/>
              <w:left w:val="single" w:sz="4" w:space="0" w:color="auto"/>
              <w:bottom w:val="nil"/>
              <w:right w:val="nil"/>
            </w:tcBorders>
            <w:shd w:val="clear" w:color="auto" w:fill="auto"/>
            <w:noWrap/>
            <w:vAlign w:val="center"/>
            <w:hideMark/>
          </w:tcPr>
          <w:p w14:paraId="451C4D3B"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Cyprus</w:t>
            </w:r>
          </w:p>
        </w:tc>
        <w:tc>
          <w:tcPr>
            <w:tcW w:w="1000" w:type="dxa"/>
            <w:tcBorders>
              <w:top w:val="nil"/>
              <w:left w:val="nil"/>
              <w:bottom w:val="nil"/>
              <w:right w:val="nil"/>
            </w:tcBorders>
            <w:shd w:val="clear" w:color="auto" w:fill="auto"/>
            <w:noWrap/>
            <w:vAlign w:val="center"/>
            <w:hideMark/>
          </w:tcPr>
          <w:p w14:paraId="69CBB7E8"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99,2</w:t>
            </w:r>
          </w:p>
        </w:tc>
        <w:tc>
          <w:tcPr>
            <w:tcW w:w="1000" w:type="dxa"/>
            <w:tcBorders>
              <w:top w:val="nil"/>
              <w:left w:val="nil"/>
              <w:bottom w:val="nil"/>
              <w:right w:val="nil"/>
            </w:tcBorders>
            <w:shd w:val="clear" w:color="auto" w:fill="auto"/>
            <w:noWrap/>
            <w:vAlign w:val="center"/>
            <w:hideMark/>
          </w:tcPr>
          <w:p w14:paraId="475B3990"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94,0</w:t>
            </w:r>
          </w:p>
        </w:tc>
        <w:tc>
          <w:tcPr>
            <w:tcW w:w="1005" w:type="dxa"/>
            <w:tcBorders>
              <w:top w:val="nil"/>
              <w:left w:val="nil"/>
              <w:bottom w:val="nil"/>
              <w:right w:val="single" w:sz="4" w:space="0" w:color="auto"/>
            </w:tcBorders>
            <w:shd w:val="clear" w:color="auto" w:fill="auto"/>
            <w:noWrap/>
            <w:vAlign w:val="center"/>
            <w:hideMark/>
          </w:tcPr>
          <w:p w14:paraId="11BC33F0"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118,2</w:t>
            </w:r>
          </w:p>
        </w:tc>
      </w:tr>
      <w:tr w:rsidR="002046BA" w:rsidRPr="0095607F" w14:paraId="10514922" w14:textId="77777777" w:rsidTr="00CF37CE">
        <w:trPr>
          <w:trHeight w:val="284"/>
        </w:trPr>
        <w:tc>
          <w:tcPr>
            <w:tcW w:w="1758" w:type="dxa"/>
            <w:tcBorders>
              <w:top w:val="nil"/>
              <w:left w:val="single" w:sz="4" w:space="0" w:color="auto"/>
              <w:bottom w:val="nil"/>
              <w:right w:val="nil"/>
            </w:tcBorders>
            <w:shd w:val="clear" w:color="auto" w:fill="auto"/>
            <w:noWrap/>
            <w:vAlign w:val="center"/>
            <w:hideMark/>
          </w:tcPr>
          <w:p w14:paraId="23359901"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Francúzsko</w:t>
            </w:r>
          </w:p>
        </w:tc>
        <w:tc>
          <w:tcPr>
            <w:tcW w:w="936" w:type="dxa"/>
            <w:tcBorders>
              <w:top w:val="nil"/>
              <w:left w:val="nil"/>
              <w:bottom w:val="nil"/>
              <w:right w:val="nil"/>
            </w:tcBorders>
            <w:shd w:val="clear" w:color="auto" w:fill="auto"/>
            <w:noWrap/>
            <w:vAlign w:val="center"/>
            <w:hideMark/>
          </w:tcPr>
          <w:p w14:paraId="5A3B90DB"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-2,3</w:t>
            </w:r>
          </w:p>
        </w:tc>
        <w:tc>
          <w:tcPr>
            <w:tcW w:w="936" w:type="dxa"/>
            <w:tcBorders>
              <w:top w:val="nil"/>
              <w:left w:val="nil"/>
              <w:bottom w:val="nil"/>
              <w:right w:val="nil"/>
            </w:tcBorders>
            <w:shd w:val="clear" w:color="auto" w:fill="auto"/>
            <w:noWrap/>
            <w:vAlign w:val="center"/>
            <w:hideMark/>
          </w:tcPr>
          <w:p w14:paraId="3A310510"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-3,1</w:t>
            </w:r>
          </w:p>
        </w:tc>
        <w:tc>
          <w:tcPr>
            <w:tcW w:w="960" w:type="dxa"/>
            <w:tcBorders>
              <w:top w:val="nil"/>
              <w:left w:val="nil"/>
              <w:bottom w:val="nil"/>
              <w:right w:val="nil"/>
            </w:tcBorders>
            <w:shd w:val="clear" w:color="auto" w:fill="auto"/>
            <w:noWrap/>
            <w:vAlign w:val="center"/>
            <w:hideMark/>
          </w:tcPr>
          <w:p w14:paraId="059C190C"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-9,2</w:t>
            </w:r>
          </w:p>
        </w:tc>
        <w:tc>
          <w:tcPr>
            <w:tcW w:w="1655" w:type="dxa"/>
            <w:tcBorders>
              <w:top w:val="nil"/>
              <w:left w:val="single" w:sz="4" w:space="0" w:color="auto"/>
              <w:bottom w:val="nil"/>
              <w:right w:val="nil"/>
            </w:tcBorders>
            <w:shd w:val="clear" w:color="auto" w:fill="auto"/>
            <w:noWrap/>
            <w:vAlign w:val="center"/>
            <w:hideMark/>
          </w:tcPr>
          <w:p w14:paraId="507999DB"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Francúzsko</w:t>
            </w:r>
          </w:p>
        </w:tc>
        <w:tc>
          <w:tcPr>
            <w:tcW w:w="1000" w:type="dxa"/>
            <w:tcBorders>
              <w:top w:val="nil"/>
              <w:left w:val="nil"/>
              <w:bottom w:val="nil"/>
              <w:right w:val="nil"/>
            </w:tcBorders>
            <w:shd w:val="clear" w:color="auto" w:fill="auto"/>
            <w:noWrap/>
            <w:vAlign w:val="center"/>
            <w:hideMark/>
          </w:tcPr>
          <w:p w14:paraId="64103EBF"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98,0</w:t>
            </w:r>
          </w:p>
        </w:tc>
        <w:tc>
          <w:tcPr>
            <w:tcW w:w="1000" w:type="dxa"/>
            <w:tcBorders>
              <w:top w:val="nil"/>
              <w:left w:val="nil"/>
              <w:bottom w:val="nil"/>
              <w:right w:val="nil"/>
            </w:tcBorders>
            <w:shd w:val="clear" w:color="auto" w:fill="auto"/>
            <w:noWrap/>
            <w:vAlign w:val="center"/>
            <w:hideMark/>
          </w:tcPr>
          <w:p w14:paraId="5E441D92"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97,6</w:t>
            </w:r>
          </w:p>
        </w:tc>
        <w:tc>
          <w:tcPr>
            <w:tcW w:w="1005" w:type="dxa"/>
            <w:tcBorders>
              <w:top w:val="nil"/>
              <w:left w:val="nil"/>
              <w:bottom w:val="nil"/>
              <w:right w:val="single" w:sz="4" w:space="0" w:color="auto"/>
            </w:tcBorders>
            <w:shd w:val="clear" w:color="auto" w:fill="auto"/>
            <w:noWrap/>
            <w:vAlign w:val="center"/>
            <w:hideMark/>
          </w:tcPr>
          <w:p w14:paraId="762F515D"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115,7</w:t>
            </w:r>
          </w:p>
        </w:tc>
      </w:tr>
      <w:tr w:rsidR="002046BA" w:rsidRPr="0095607F" w14:paraId="18E3F5B2" w14:textId="77777777" w:rsidTr="00CF37CE">
        <w:trPr>
          <w:trHeight w:val="284"/>
        </w:trPr>
        <w:tc>
          <w:tcPr>
            <w:tcW w:w="1758" w:type="dxa"/>
            <w:tcBorders>
              <w:top w:val="nil"/>
              <w:left w:val="single" w:sz="4" w:space="0" w:color="auto"/>
              <w:bottom w:val="nil"/>
              <w:right w:val="nil"/>
            </w:tcBorders>
            <w:shd w:val="clear" w:color="auto" w:fill="auto"/>
            <w:noWrap/>
            <w:vAlign w:val="center"/>
            <w:hideMark/>
          </w:tcPr>
          <w:p w14:paraId="196F6A02"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Rumunsko</w:t>
            </w:r>
          </w:p>
        </w:tc>
        <w:tc>
          <w:tcPr>
            <w:tcW w:w="936" w:type="dxa"/>
            <w:tcBorders>
              <w:top w:val="nil"/>
              <w:left w:val="nil"/>
              <w:bottom w:val="nil"/>
              <w:right w:val="nil"/>
            </w:tcBorders>
            <w:shd w:val="clear" w:color="auto" w:fill="auto"/>
            <w:noWrap/>
            <w:vAlign w:val="center"/>
            <w:hideMark/>
          </w:tcPr>
          <w:p w14:paraId="62427B3B"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-2,9</w:t>
            </w:r>
          </w:p>
        </w:tc>
        <w:tc>
          <w:tcPr>
            <w:tcW w:w="936" w:type="dxa"/>
            <w:tcBorders>
              <w:top w:val="nil"/>
              <w:left w:val="nil"/>
              <w:bottom w:val="nil"/>
              <w:right w:val="nil"/>
            </w:tcBorders>
            <w:shd w:val="clear" w:color="auto" w:fill="auto"/>
            <w:noWrap/>
            <w:vAlign w:val="center"/>
            <w:hideMark/>
          </w:tcPr>
          <w:p w14:paraId="2B7E8297"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-4,4</w:t>
            </w:r>
          </w:p>
        </w:tc>
        <w:tc>
          <w:tcPr>
            <w:tcW w:w="960" w:type="dxa"/>
            <w:tcBorders>
              <w:top w:val="nil"/>
              <w:left w:val="nil"/>
              <w:bottom w:val="nil"/>
              <w:right w:val="nil"/>
            </w:tcBorders>
            <w:shd w:val="clear" w:color="auto" w:fill="auto"/>
            <w:noWrap/>
            <w:vAlign w:val="center"/>
            <w:hideMark/>
          </w:tcPr>
          <w:p w14:paraId="2F64B3DF"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-9,2</w:t>
            </w:r>
          </w:p>
        </w:tc>
        <w:tc>
          <w:tcPr>
            <w:tcW w:w="1655" w:type="dxa"/>
            <w:tcBorders>
              <w:top w:val="nil"/>
              <w:left w:val="single" w:sz="4" w:space="0" w:color="auto"/>
              <w:bottom w:val="nil"/>
              <w:right w:val="nil"/>
            </w:tcBorders>
            <w:shd w:val="clear" w:color="auto" w:fill="auto"/>
            <w:noWrap/>
            <w:vAlign w:val="center"/>
            <w:hideMark/>
          </w:tcPr>
          <w:p w14:paraId="455543C2"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Belgicko</w:t>
            </w:r>
          </w:p>
        </w:tc>
        <w:tc>
          <w:tcPr>
            <w:tcW w:w="1000" w:type="dxa"/>
            <w:tcBorders>
              <w:top w:val="nil"/>
              <w:left w:val="nil"/>
              <w:bottom w:val="nil"/>
              <w:right w:val="nil"/>
            </w:tcBorders>
            <w:shd w:val="clear" w:color="auto" w:fill="auto"/>
            <w:noWrap/>
            <w:vAlign w:val="center"/>
            <w:hideMark/>
          </w:tcPr>
          <w:p w14:paraId="731549D5"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99,8</w:t>
            </w:r>
          </w:p>
        </w:tc>
        <w:tc>
          <w:tcPr>
            <w:tcW w:w="1000" w:type="dxa"/>
            <w:tcBorders>
              <w:top w:val="nil"/>
              <w:left w:val="nil"/>
              <w:bottom w:val="nil"/>
              <w:right w:val="nil"/>
            </w:tcBorders>
            <w:shd w:val="clear" w:color="auto" w:fill="auto"/>
            <w:noWrap/>
            <w:vAlign w:val="center"/>
            <w:hideMark/>
          </w:tcPr>
          <w:p w14:paraId="12BE60D9"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98,1</w:t>
            </w:r>
          </w:p>
        </w:tc>
        <w:tc>
          <w:tcPr>
            <w:tcW w:w="1005" w:type="dxa"/>
            <w:tcBorders>
              <w:top w:val="nil"/>
              <w:left w:val="nil"/>
              <w:bottom w:val="nil"/>
              <w:right w:val="single" w:sz="4" w:space="0" w:color="auto"/>
            </w:tcBorders>
            <w:shd w:val="clear" w:color="auto" w:fill="auto"/>
            <w:noWrap/>
            <w:vAlign w:val="center"/>
            <w:hideMark/>
          </w:tcPr>
          <w:p w14:paraId="2C963109"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114,1</w:t>
            </w:r>
          </w:p>
        </w:tc>
      </w:tr>
      <w:tr w:rsidR="002046BA" w:rsidRPr="0095607F" w14:paraId="4DEEBF7B" w14:textId="77777777" w:rsidTr="00CF37CE">
        <w:trPr>
          <w:trHeight w:val="284"/>
        </w:trPr>
        <w:tc>
          <w:tcPr>
            <w:tcW w:w="1758" w:type="dxa"/>
            <w:tcBorders>
              <w:top w:val="nil"/>
              <w:left w:val="single" w:sz="4" w:space="0" w:color="auto"/>
              <w:bottom w:val="nil"/>
              <w:right w:val="nil"/>
            </w:tcBorders>
            <w:shd w:val="clear" w:color="auto" w:fill="auto"/>
            <w:noWrap/>
            <w:vAlign w:val="center"/>
            <w:hideMark/>
          </w:tcPr>
          <w:p w14:paraId="7C5575D1"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Rakúsko</w:t>
            </w:r>
          </w:p>
        </w:tc>
        <w:tc>
          <w:tcPr>
            <w:tcW w:w="936" w:type="dxa"/>
            <w:tcBorders>
              <w:top w:val="nil"/>
              <w:left w:val="nil"/>
              <w:bottom w:val="nil"/>
              <w:right w:val="nil"/>
            </w:tcBorders>
            <w:shd w:val="clear" w:color="auto" w:fill="auto"/>
            <w:noWrap/>
            <w:vAlign w:val="center"/>
            <w:hideMark/>
          </w:tcPr>
          <w:p w14:paraId="7595D00E"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0,2</w:t>
            </w:r>
          </w:p>
        </w:tc>
        <w:tc>
          <w:tcPr>
            <w:tcW w:w="936" w:type="dxa"/>
            <w:tcBorders>
              <w:top w:val="nil"/>
              <w:left w:val="nil"/>
              <w:bottom w:val="nil"/>
              <w:right w:val="nil"/>
            </w:tcBorders>
            <w:shd w:val="clear" w:color="auto" w:fill="auto"/>
            <w:noWrap/>
            <w:vAlign w:val="center"/>
            <w:hideMark/>
          </w:tcPr>
          <w:p w14:paraId="0F5B901E"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0,6</w:t>
            </w:r>
          </w:p>
        </w:tc>
        <w:tc>
          <w:tcPr>
            <w:tcW w:w="960" w:type="dxa"/>
            <w:tcBorders>
              <w:top w:val="nil"/>
              <w:left w:val="nil"/>
              <w:bottom w:val="nil"/>
              <w:right w:val="nil"/>
            </w:tcBorders>
            <w:shd w:val="clear" w:color="auto" w:fill="auto"/>
            <w:noWrap/>
            <w:vAlign w:val="center"/>
            <w:hideMark/>
          </w:tcPr>
          <w:p w14:paraId="46B47915"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-8,9</w:t>
            </w:r>
          </w:p>
        </w:tc>
        <w:tc>
          <w:tcPr>
            <w:tcW w:w="1655" w:type="dxa"/>
            <w:tcBorders>
              <w:top w:val="nil"/>
              <w:left w:val="single" w:sz="4" w:space="0" w:color="auto"/>
              <w:bottom w:val="nil"/>
              <w:right w:val="nil"/>
            </w:tcBorders>
            <w:shd w:val="clear" w:color="auto" w:fill="auto"/>
            <w:noWrap/>
            <w:vAlign w:val="center"/>
            <w:hideMark/>
          </w:tcPr>
          <w:p w14:paraId="1495FE96"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Chorvátsko</w:t>
            </w:r>
          </w:p>
        </w:tc>
        <w:tc>
          <w:tcPr>
            <w:tcW w:w="1000" w:type="dxa"/>
            <w:tcBorders>
              <w:top w:val="nil"/>
              <w:left w:val="nil"/>
              <w:bottom w:val="nil"/>
              <w:right w:val="nil"/>
            </w:tcBorders>
            <w:shd w:val="clear" w:color="auto" w:fill="auto"/>
            <w:noWrap/>
            <w:vAlign w:val="center"/>
            <w:hideMark/>
          </w:tcPr>
          <w:p w14:paraId="59547FCE"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74,3</w:t>
            </w:r>
          </w:p>
        </w:tc>
        <w:tc>
          <w:tcPr>
            <w:tcW w:w="1000" w:type="dxa"/>
            <w:tcBorders>
              <w:top w:val="nil"/>
              <w:left w:val="nil"/>
              <w:bottom w:val="nil"/>
              <w:right w:val="nil"/>
            </w:tcBorders>
            <w:shd w:val="clear" w:color="auto" w:fill="auto"/>
            <w:noWrap/>
            <w:vAlign w:val="center"/>
            <w:hideMark/>
          </w:tcPr>
          <w:p w14:paraId="19B7EE56"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72,8</w:t>
            </w:r>
          </w:p>
        </w:tc>
        <w:tc>
          <w:tcPr>
            <w:tcW w:w="1005" w:type="dxa"/>
            <w:tcBorders>
              <w:top w:val="nil"/>
              <w:left w:val="nil"/>
              <w:bottom w:val="nil"/>
              <w:right w:val="single" w:sz="4" w:space="0" w:color="auto"/>
            </w:tcBorders>
            <w:shd w:val="clear" w:color="auto" w:fill="auto"/>
            <w:noWrap/>
            <w:vAlign w:val="center"/>
            <w:hideMark/>
          </w:tcPr>
          <w:p w14:paraId="403F0D51"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88,7</w:t>
            </w:r>
          </w:p>
        </w:tc>
      </w:tr>
      <w:tr w:rsidR="002046BA" w:rsidRPr="0095607F" w14:paraId="5E6CF281" w14:textId="77777777" w:rsidTr="00CF37CE">
        <w:trPr>
          <w:trHeight w:val="284"/>
        </w:trPr>
        <w:tc>
          <w:tcPr>
            <w:tcW w:w="1758" w:type="dxa"/>
            <w:tcBorders>
              <w:top w:val="nil"/>
              <w:left w:val="single" w:sz="4" w:space="0" w:color="auto"/>
              <w:bottom w:val="nil"/>
              <w:right w:val="nil"/>
            </w:tcBorders>
            <w:shd w:val="clear" w:color="auto" w:fill="auto"/>
            <w:noWrap/>
            <w:vAlign w:val="center"/>
            <w:hideMark/>
          </w:tcPr>
          <w:p w14:paraId="5B34B077"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Slovinsko</w:t>
            </w:r>
          </w:p>
        </w:tc>
        <w:tc>
          <w:tcPr>
            <w:tcW w:w="936" w:type="dxa"/>
            <w:tcBorders>
              <w:top w:val="nil"/>
              <w:left w:val="nil"/>
              <w:bottom w:val="nil"/>
              <w:right w:val="nil"/>
            </w:tcBorders>
            <w:shd w:val="clear" w:color="auto" w:fill="auto"/>
            <w:noWrap/>
            <w:vAlign w:val="center"/>
            <w:hideMark/>
          </w:tcPr>
          <w:p w14:paraId="0F62BCD2"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0,7</w:t>
            </w:r>
          </w:p>
        </w:tc>
        <w:tc>
          <w:tcPr>
            <w:tcW w:w="936" w:type="dxa"/>
            <w:tcBorders>
              <w:top w:val="nil"/>
              <w:left w:val="nil"/>
              <w:bottom w:val="nil"/>
              <w:right w:val="nil"/>
            </w:tcBorders>
            <w:shd w:val="clear" w:color="auto" w:fill="auto"/>
            <w:noWrap/>
            <w:vAlign w:val="center"/>
            <w:hideMark/>
          </w:tcPr>
          <w:p w14:paraId="59F273DE"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0,4</w:t>
            </w:r>
          </w:p>
        </w:tc>
        <w:tc>
          <w:tcPr>
            <w:tcW w:w="960" w:type="dxa"/>
            <w:tcBorders>
              <w:top w:val="nil"/>
              <w:left w:val="nil"/>
              <w:bottom w:val="nil"/>
              <w:right w:val="nil"/>
            </w:tcBorders>
            <w:shd w:val="clear" w:color="auto" w:fill="auto"/>
            <w:noWrap/>
            <w:vAlign w:val="center"/>
            <w:hideMark/>
          </w:tcPr>
          <w:p w14:paraId="4553F29A"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-8,4</w:t>
            </w:r>
          </w:p>
        </w:tc>
        <w:tc>
          <w:tcPr>
            <w:tcW w:w="1655" w:type="dxa"/>
            <w:tcBorders>
              <w:top w:val="nil"/>
              <w:left w:val="single" w:sz="4" w:space="0" w:color="auto"/>
              <w:bottom w:val="nil"/>
              <w:right w:val="nil"/>
            </w:tcBorders>
            <w:shd w:val="clear" w:color="auto" w:fill="auto"/>
            <w:noWrap/>
            <w:vAlign w:val="center"/>
            <w:hideMark/>
          </w:tcPr>
          <w:p w14:paraId="408EC773"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Rakúsko</w:t>
            </w:r>
          </w:p>
        </w:tc>
        <w:tc>
          <w:tcPr>
            <w:tcW w:w="1000" w:type="dxa"/>
            <w:tcBorders>
              <w:top w:val="nil"/>
              <w:left w:val="nil"/>
              <w:bottom w:val="nil"/>
              <w:right w:val="nil"/>
            </w:tcBorders>
            <w:shd w:val="clear" w:color="auto" w:fill="auto"/>
            <w:noWrap/>
            <w:vAlign w:val="center"/>
            <w:hideMark/>
          </w:tcPr>
          <w:p w14:paraId="408667E2"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74,0</w:t>
            </w:r>
          </w:p>
        </w:tc>
        <w:tc>
          <w:tcPr>
            <w:tcW w:w="1000" w:type="dxa"/>
            <w:tcBorders>
              <w:top w:val="nil"/>
              <w:left w:val="nil"/>
              <w:bottom w:val="nil"/>
              <w:right w:val="nil"/>
            </w:tcBorders>
            <w:shd w:val="clear" w:color="auto" w:fill="auto"/>
            <w:noWrap/>
            <w:vAlign w:val="center"/>
            <w:hideMark/>
          </w:tcPr>
          <w:p w14:paraId="7F4C3286"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70,5</w:t>
            </w:r>
          </w:p>
        </w:tc>
        <w:tc>
          <w:tcPr>
            <w:tcW w:w="1005" w:type="dxa"/>
            <w:tcBorders>
              <w:top w:val="nil"/>
              <w:left w:val="nil"/>
              <w:bottom w:val="nil"/>
              <w:right w:val="single" w:sz="4" w:space="0" w:color="auto"/>
            </w:tcBorders>
            <w:shd w:val="clear" w:color="auto" w:fill="auto"/>
            <w:noWrap/>
            <w:vAlign w:val="center"/>
            <w:hideMark/>
          </w:tcPr>
          <w:p w14:paraId="293B2E53"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83,9</w:t>
            </w:r>
          </w:p>
        </w:tc>
      </w:tr>
      <w:tr w:rsidR="002046BA" w:rsidRPr="0095607F" w14:paraId="5DD5357E" w14:textId="77777777" w:rsidTr="00CF37CE">
        <w:trPr>
          <w:trHeight w:val="284"/>
        </w:trPr>
        <w:tc>
          <w:tcPr>
            <w:tcW w:w="1758" w:type="dxa"/>
            <w:tcBorders>
              <w:top w:val="nil"/>
              <w:left w:val="single" w:sz="4" w:space="0" w:color="auto"/>
              <w:bottom w:val="nil"/>
              <w:right w:val="nil"/>
            </w:tcBorders>
            <w:shd w:val="clear" w:color="auto" w:fill="auto"/>
            <w:noWrap/>
            <w:vAlign w:val="center"/>
            <w:hideMark/>
          </w:tcPr>
          <w:p w14:paraId="14A01C3A"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Maďarsko</w:t>
            </w:r>
          </w:p>
        </w:tc>
        <w:tc>
          <w:tcPr>
            <w:tcW w:w="936" w:type="dxa"/>
            <w:tcBorders>
              <w:top w:val="nil"/>
              <w:left w:val="nil"/>
              <w:bottom w:val="nil"/>
              <w:right w:val="nil"/>
            </w:tcBorders>
            <w:shd w:val="clear" w:color="auto" w:fill="auto"/>
            <w:noWrap/>
            <w:vAlign w:val="center"/>
            <w:hideMark/>
          </w:tcPr>
          <w:p w14:paraId="5D679CFC"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-2,1</w:t>
            </w:r>
          </w:p>
        </w:tc>
        <w:tc>
          <w:tcPr>
            <w:tcW w:w="936" w:type="dxa"/>
            <w:tcBorders>
              <w:top w:val="nil"/>
              <w:left w:val="nil"/>
              <w:bottom w:val="nil"/>
              <w:right w:val="nil"/>
            </w:tcBorders>
            <w:shd w:val="clear" w:color="auto" w:fill="auto"/>
            <w:noWrap/>
            <w:vAlign w:val="center"/>
            <w:hideMark/>
          </w:tcPr>
          <w:p w14:paraId="6AFE4710"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-2,1</w:t>
            </w:r>
          </w:p>
        </w:tc>
        <w:tc>
          <w:tcPr>
            <w:tcW w:w="960" w:type="dxa"/>
            <w:tcBorders>
              <w:top w:val="nil"/>
              <w:left w:val="nil"/>
              <w:bottom w:val="nil"/>
              <w:right w:val="nil"/>
            </w:tcBorders>
            <w:shd w:val="clear" w:color="auto" w:fill="auto"/>
            <w:noWrap/>
            <w:vAlign w:val="center"/>
            <w:hideMark/>
          </w:tcPr>
          <w:p w14:paraId="37F910A6"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-8,1</w:t>
            </w:r>
          </w:p>
        </w:tc>
        <w:tc>
          <w:tcPr>
            <w:tcW w:w="1655" w:type="dxa"/>
            <w:tcBorders>
              <w:top w:val="nil"/>
              <w:left w:val="single" w:sz="4" w:space="0" w:color="auto"/>
              <w:bottom w:val="nil"/>
              <w:right w:val="nil"/>
            </w:tcBorders>
            <w:shd w:val="clear" w:color="auto" w:fill="auto"/>
            <w:noWrap/>
            <w:vAlign w:val="center"/>
            <w:hideMark/>
          </w:tcPr>
          <w:p w14:paraId="69007011"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Slovinsko</w:t>
            </w:r>
          </w:p>
        </w:tc>
        <w:tc>
          <w:tcPr>
            <w:tcW w:w="1000" w:type="dxa"/>
            <w:tcBorders>
              <w:top w:val="nil"/>
              <w:left w:val="nil"/>
              <w:bottom w:val="nil"/>
              <w:right w:val="nil"/>
            </w:tcBorders>
            <w:shd w:val="clear" w:color="auto" w:fill="auto"/>
            <w:noWrap/>
            <w:vAlign w:val="center"/>
            <w:hideMark/>
          </w:tcPr>
          <w:p w14:paraId="50D82C1E"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70,3</w:t>
            </w:r>
          </w:p>
        </w:tc>
        <w:tc>
          <w:tcPr>
            <w:tcW w:w="1000" w:type="dxa"/>
            <w:tcBorders>
              <w:top w:val="nil"/>
              <w:left w:val="nil"/>
              <w:bottom w:val="nil"/>
              <w:right w:val="nil"/>
            </w:tcBorders>
            <w:shd w:val="clear" w:color="auto" w:fill="auto"/>
            <w:noWrap/>
            <w:vAlign w:val="center"/>
            <w:hideMark/>
          </w:tcPr>
          <w:p w14:paraId="102162FA"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65,6</w:t>
            </w:r>
          </w:p>
        </w:tc>
        <w:tc>
          <w:tcPr>
            <w:tcW w:w="1005" w:type="dxa"/>
            <w:tcBorders>
              <w:top w:val="nil"/>
              <w:left w:val="nil"/>
              <w:bottom w:val="nil"/>
              <w:right w:val="single" w:sz="4" w:space="0" w:color="auto"/>
            </w:tcBorders>
            <w:shd w:val="clear" w:color="auto" w:fill="auto"/>
            <w:noWrap/>
            <w:vAlign w:val="center"/>
            <w:hideMark/>
          </w:tcPr>
          <w:p w14:paraId="6BDECFC2"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80,8</w:t>
            </w:r>
          </w:p>
        </w:tc>
      </w:tr>
      <w:tr w:rsidR="002046BA" w:rsidRPr="0095607F" w14:paraId="768309BE" w14:textId="77777777" w:rsidTr="00CF37CE">
        <w:trPr>
          <w:trHeight w:val="284"/>
        </w:trPr>
        <w:tc>
          <w:tcPr>
            <w:tcW w:w="1758" w:type="dxa"/>
            <w:tcBorders>
              <w:top w:val="nil"/>
              <w:left w:val="single" w:sz="4" w:space="0" w:color="auto"/>
              <w:bottom w:val="nil"/>
              <w:right w:val="nil"/>
            </w:tcBorders>
            <w:shd w:val="clear" w:color="auto" w:fill="auto"/>
            <w:noWrap/>
            <w:vAlign w:val="center"/>
            <w:hideMark/>
          </w:tcPr>
          <w:p w14:paraId="577211E4"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Chorvátsko</w:t>
            </w:r>
          </w:p>
        </w:tc>
        <w:tc>
          <w:tcPr>
            <w:tcW w:w="936" w:type="dxa"/>
            <w:tcBorders>
              <w:top w:val="nil"/>
              <w:left w:val="nil"/>
              <w:bottom w:val="nil"/>
              <w:right w:val="nil"/>
            </w:tcBorders>
            <w:shd w:val="clear" w:color="auto" w:fill="auto"/>
            <w:noWrap/>
            <w:vAlign w:val="center"/>
            <w:hideMark/>
          </w:tcPr>
          <w:p w14:paraId="4E253FFA"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0,2</w:t>
            </w:r>
          </w:p>
        </w:tc>
        <w:tc>
          <w:tcPr>
            <w:tcW w:w="936" w:type="dxa"/>
            <w:tcBorders>
              <w:top w:val="nil"/>
              <w:left w:val="nil"/>
              <w:bottom w:val="nil"/>
              <w:right w:val="nil"/>
            </w:tcBorders>
            <w:shd w:val="clear" w:color="auto" w:fill="auto"/>
            <w:noWrap/>
            <w:vAlign w:val="center"/>
            <w:hideMark/>
          </w:tcPr>
          <w:p w14:paraId="06144618"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0,3</w:t>
            </w:r>
          </w:p>
        </w:tc>
        <w:tc>
          <w:tcPr>
            <w:tcW w:w="960" w:type="dxa"/>
            <w:tcBorders>
              <w:top w:val="nil"/>
              <w:left w:val="nil"/>
              <w:bottom w:val="nil"/>
              <w:right w:val="nil"/>
            </w:tcBorders>
            <w:shd w:val="clear" w:color="auto" w:fill="auto"/>
            <w:noWrap/>
            <w:vAlign w:val="center"/>
            <w:hideMark/>
          </w:tcPr>
          <w:p w14:paraId="52D1CC40"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-7,4</w:t>
            </w:r>
          </w:p>
        </w:tc>
        <w:tc>
          <w:tcPr>
            <w:tcW w:w="1655" w:type="dxa"/>
            <w:tcBorders>
              <w:top w:val="nil"/>
              <w:left w:val="single" w:sz="4" w:space="0" w:color="auto"/>
              <w:bottom w:val="nil"/>
              <w:right w:val="nil"/>
            </w:tcBorders>
            <w:shd w:val="clear" w:color="auto" w:fill="auto"/>
            <w:noWrap/>
            <w:vAlign w:val="center"/>
            <w:hideMark/>
          </w:tcPr>
          <w:p w14:paraId="5595A2AB"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Maďarsko</w:t>
            </w:r>
          </w:p>
        </w:tc>
        <w:tc>
          <w:tcPr>
            <w:tcW w:w="1000" w:type="dxa"/>
            <w:tcBorders>
              <w:top w:val="nil"/>
              <w:left w:val="nil"/>
              <w:bottom w:val="nil"/>
              <w:right w:val="nil"/>
            </w:tcBorders>
            <w:shd w:val="clear" w:color="auto" w:fill="auto"/>
            <w:noWrap/>
            <w:vAlign w:val="center"/>
            <w:hideMark/>
          </w:tcPr>
          <w:p w14:paraId="688E57C8"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69,1</w:t>
            </w:r>
          </w:p>
        </w:tc>
        <w:tc>
          <w:tcPr>
            <w:tcW w:w="1000" w:type="dxa"/>
            <w:tcBorders>
              <w:top w:val="nil"/>
              <w:left w:val="nil"/>
              <w:bottom w:val="nil"/>
              <w:right w:val="nil"/>
            </w:tcBorders>
            <w:shd w:val="clear" w:color="auto" w:fill="auto"/>
            <w:noWrap/>
            <w:vAlign w:val="center"/>
            <w:hideMark/>
          </w:tcPr>
          <w:p w14:paraId="37CA6F72"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65,5</w:t>
            </w:r>
          </w:p>
        </w:tc>
        <w:tc>
          <w:tcPr>
            <w:tcW w:w="1005" w:type="dxa"/>
            <w:tcBorders>
              <w:top w:val="nil"/>
              <w:left w:val="nil"/>
              <w:bottom w:val="nil"/>
              <w:right w:val="single" w:sz="4" w:space="0" w:color="auto"/>
            </w:tcBorders>
            <w:shd w:val="clear" w:color="auto" w:fill="auto"/>
            <w:noWrap/>
            <w:vAlign w:val="center"/>
            <w:hideMark/>
          </w:tcPr>
          <w:p w14:paraId="6C222F72"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80,4</w:t>
            </w:r>
          </w:p>
        </w:tc>
      </w:tr>
      <w:tr w:rsidR="002046BA" w:rsidRPr="0095607F" w14:paraId="7D4078AC" w14:textId="77777777" w:rsidTr="00CF37CE">
        <w:trPr>
          <w:trHeight w:val="284"/>
        </w:trPr>
        <w:tc>
          <w:tcPr>
            <w:tcW w:w="1758" w:type="dxa"/>
            <w:tcBorders>
              <w:top w:val="nil"/>
              <w:left w:val="single" w:sz="4" w:space="0" w:color="auto"/>
              <w:bottom w:val="nil"/>
              <w:right w:val="nil"/>
            </w:tcBorders>
            <w:shd w:val="clear" w:color="auto" w:fill="auto"/>
            <w:noWrap/>
            <w:vAlign w:val="center"/>
            <w:hideMark/>
          </w:tcPr>
          <w:p w14:paraId="1C19BC6E"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Litva</w:t>
            </w:r>
          </w:p>
        </w:tc>
        <w:tc>
          <w:tcPr>
            <w:tcW w:w="936" w:type="dxa"/>
            <w:tcBorders>
              <w:top w:val="nil"/>
              <w:left w:val="nil"/>
              <w:bottom w:val="nil"/>
              <w:right w:val="nil"/>
            </w:tcBorders>
            <w:shd w:val="clear" w:color="auto" w:fill="auto"/>
            <w:noWrap/>
            <w:vAlign w:val="center"/>
            <w:hideMark/>
          </w:tcPr>
          <w:p w14:paraId="225E8BEC"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0,6</w:t>
            </w:r>
          </w:p>
        </w:tc>
        <w:tc>
          <w:tcPr>
            <w:tcW w:w="936" w:type="dxa"/>
            <w:tcBorders>
              <w:top w:val="nil"/>
              <w:left w:val="nil"/>
              <w:bottom w:val="nil"/>
              <w:right w:val="nil"/>
            </w:tcBorders>
            <w:shd w:val="clear" w:color="auto" w:fill="auto"/>
            <w:noWrap/>
            <w:vAlign w:val="center"/>
            <w:hideMark/>
          </w:tcPr>
          <w:p w14:paraId="202AACE9"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0,5</w:t>
            </w:r>
          </w:p>
        </w:tc>
        <w:tc>
          <w:tcPr>
            <w:tcW w:w="960" w:type="dxa"/>
            <w:tcBorders>
              <w:top w:val="nil"/>
              <w:left w:val="nil"/>
              <w:bottom w:val="nil"/>
              <w:right w:val="nil"/>
            </w:tcBorders>
            <w:shd w:val="clear" w:color="auto" w:fill="auto"/>
            <w:noWrap/>
            <w:vAlign w:val="center"/>
            <w:hideMark/>
          </w:tcPr>
          <w:p w14:paraId="203827C2"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-7,4</w:t>
            </w:r>
          </w:p>
        </w:tc>
        <w:tc>
          <w:tcPr>
            <w:tcW w:w="1655" w:type="dxa"/>
            <w:tcBorders>
              <w:top w:val="nil"/>
              <w:left w:val="single" w:sz="4" w:space="0" w:color="auto"/>
              <w:bottom w:val="nil"/>
              <w:right w:val="nil"/>
            </w:tcBorders>
            <w:shd w:val="clear" w:color="auto" w:fill="auto"/>
            <w:noWrap/>
            <w:vAlign w:val="center"/>
            <w:hideMark/>
          </w:tcPr>
          <w:p w14:paraId="255A1166"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Nemecko</w:t>
            </w:r>
          </w:p>
        </w:tc>
        <w:tc>
          <w:tcPr>
            <w:tcW w:w="1000" w:type="dxa"/>
            <w:tcBorders>
              <w:top w:val="nil"/>
              <w:left w:val="nil"/>
              <w:bottom w:val="nil"/>
              <w:right w:val="nil"/>
            </w:tcBorders>
            <w:shd w:val="clear" w:color="auto" w:fill="auto"/>
            <w:noWrap/>
            <w:vAlign w:val="center"/>
            <w:hideMark/>
          </w:tcPr>
          <w:p w14:paraId="0B5A3A51"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61,8</w:t>
            </w:r>
          </w:p>
        </w:tc>
        <w:tc>
          <w:tcPr>
            <w:tcW w:w="1000" w:type="dxa"/>
            <w:tcBorders>
              <w:top w:val="nil"/>
              <w:left w:val="nil"/>
              <w:bottom w:val="nil"/>
              <w:right w:val="nil"/>
            </w:tcBorders>
            <w:shd w:val="clear" w:color="auto" w:fill="auto"/>
            <w:noWrap/>
            <w:vAlign w:val="center"/>
            <w:hideMark/>
          </w:tcPr>
          <w:p w14:paraId="1F7BFB1D"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59,7</w:t>
            </w:r>
          </w:p>
        </w:tc>
        <w:tc>
          <w:tcPr>
            <w:tcW w:w="1005" w:type="dxa"/>
            <w:tcBorders>
              <w:top w:val="nil"/>
              <w:left w:val="nil"/>
              <w:bottom w:val="nil"/>
              <w:right w:val="single" w:sz="4" w:space="0" w:color="auto"/>
            </w:tcBorders>
            <w:shd w:val="clear" w:color="auto" w:fill="auto"/>
            <w:noWrap/>
            <w:vAlign w:val="center"/>
            <w:hideMark/>
          </w:tcPr>
          <w:p w14:paraId="725D3829"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69,8</w:t>
            </w:r>
          </w:p>
        </w:tc>
      </w:tr>
      <w:tr w:rsidR="002046BA" w:rsidRPr="0095607F" w14:paraId="6C1CCEC1" w14:textId="77777777" w:rsidTr="00CF37CE">
        <w:trPr>
          <w:trHeight w:val="284"/>
        </w:trPr>
        <w:tc>
          <w:tcPr>
            <w:tcW w:w="1758" w:type="dxa"/>
            <w:tcBorders>
              <w:top w:val="nil"/>
              <w:left w:val="single" w:sz="4" w:space="0" w:color="auto"/>
              <w:bottom w:val="nil"/>
              <w:right w:val="nil"/>
            </w:tcBorders>
            <w:shd w:val="clear" w:color="auto" w:fill="auto"/>
            <w:noWrap/>
            <w:vAlign w:val="center"/>
            <w:hideMark/>
          </w:tcPr>
          <w:p w14:paraId="2D626163"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Poľsko</w:t>
            </w:r>
          </w:p>
        </w:tc>
        <w:tc>
          <w:tcPr>
            <w:tcW w:w="936" w:type="dxa"/>
            <w:tcBorders>
              <w:top w:val="nil"/>
              <w:left w:val="nil"/>
              <w:bottom w:val="nil"/>
              <w:right w:val="nil"/>
            </w:tcBorders>
            <w:shd w:val="clear" w:color="auto" w:fill="auto"/>
            <w:noWrap/>
            <w:vAlign w:val="center"/>
            <w:hideMark/>
          </w:tcPr>
          <w:p w14:paraId="323ED308"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-0,2</w:t>
            </w:r>
          </w:p>
        </w:tc>
        <w:tc>
          <w:tcPr>
            <w:tcW w:w="936" w:type="dxa"/>
            <w:tcBorders>
              <w:top w:val="nil"/>
              <w:left w:val="nil"/>
              <w:bottom w:val="nil"/>
              <w:right w:val="nil"/>
            </w:tcBorders>
            <w:shd w:val="clear" w:color="auto" w:fill="auto"/>
            <w:noWrap/>
            <w:vAlign w:val="center"/>
            <w:hideMark/>
          </w:tcPr>
          <w:p w14:paraId="2F3298FF"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-0,7</w:t>
            </w:r>
          </w:p>
        </w:tc>
        <w:tc>
          <w:tcPr>
            <w:tcW w:w="960" w:type="dxa"/>
            <w:tcBorders>
              <w:top w:val="nil"/>
              <w:left w:val="nil"/>
              <w:bottom w:val="nil"/>
              <w:right w:val="nil"/>
            </w:tcBorders>
            <w:shd w:val="clear" w:color="auto" w:fill="auto"/>
            <w:noWrap/>
            <w:vAlign w:val="center"/>
            <w:hideMark/>
          </w:tcPr>
          <w:p w14:paraId="4324463A"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-7,0</w:t>
            </w:r>
          </w:p>
        </w:tc>
        <w:tc>
          <w:tcPr>
            <w:tcW w:w="1655" w:type="dxa"/>
            <w:tcBorders>
              <w:top w:val="nil"/>
              <w:left w:val="single" w:sz="4" w:space="0" w:color="auto"/>
              <w:bottom w:val="nil"/>
              <w:right w:val="nil"/>
            </w:tcBorders>
            <w:shd w:val="clear" w:color="auto" w:fill="auto"/>
            <w:noWrap/>
            <w:vAlign w:val="center"/>
            <w:hideMark/>
          </w:tcPr>
          <w:p w14:paraId="61A705DF"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Fínsko</w:t>
            </w:r>
          </w:p>
        </w:tc>
        <w:tc>
          <w:tcPr>
            <w:tcW w:w="1000" w:type="dxa"/>
            <w:tcBorders>
              <w:top w:val="nil"/>
              <w:left w:val="nil"/>
              <w:bottom w:val="nil"/>
              <w:right w:val="nil"/>
            </w:tcBorders>
            <w:shd w:val="clear" w:color="auto" w:fill="auto"/>
            <w:noWrap/>
            <w:vAlign w:val="center"/>
            <w:hideMark/>
          </w:tcPr>
          <w:p w14:paraId="5F991DF1"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59,7</w:t>
            </w:r>
          </w:p>
        </w:tc>
        <w:tc>
          <w:tcPr>
            <w:tcW w:w="1000" w:type="dxa"/>
            <w:tcBorders>
              <w:top w:val="nil"/>
              <w:left w:val="nil"/>
              <w:bottom w:val="nil"/>
              <w:right w:val="nil"/>
            </w:tcBorders>
            <w:shd w:val="clear" w:color="auto" w:fill="auto"/>
            <w:noWrap/>
            <w:vAlign w:val="center"/>
            <w:hideMark/>
          </w:tcPr>
          <w:p w14:paraId="101E8FE7"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59,5</w:t>
            </w:r>
          </w:p>
        </w:tc>
        <w:tc>
          <w:tcPr>
            <w:tcW w:w="1005" w:type="dxa"/>
            <w:tcBorders>
              <w:top w:val="nil"/>
              <w:left w:val="nil"/>
              <w:bottom w:val="nil"/>
              <w:right w:val="single" w:sz="4" w:space="0" w:color="auto"/>
            </w:tcBorders>
            <w:shd w:val="clear" w:color="auto" w:fill="auto"/>
            <w:noWrap/>
            <w:vAlign w:val="center"/>
            <w:hideMark/>
          </w:tcPr>
          <w:p w14:paraId="7F83533A"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69,2</w:t>
            </w:r>
          </w:p>
        </w:tc>
      </w:tr>
      <w:tr w:rsidR="002046BA" w:rsidRPr="0095607F" w14:paraId="30DC879E" w14:textId="77777777" w:rsidTr="00CF37CE">
        <w:trPr>
          <w:trHeight w:val="284"/>
        </w:trPr>
        <w:tc>
          <w:tcPr>
            <w:tcW w:w="1758" w:type="dxa"/>
            <w:tcBorders>
              <w:top w:val="nil"/>
              <w:left w:val="single" w:sz="4" w:space="0" w:color="auto"/>
              <w:bottom w:val="nil"/>
              <w:right w:val="nil"/>
            </w:tcBorders>
            <w:shd w:val="clear" w:color="auto" w:fill="auto"/>
            <w:noWrap/>
            <w:vAlign w:val="center"/>
            <w:hideMark/>
          </w:tcPr>
          <w:p w14:paraId="2834B787"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Česká republika</w:t>
            </w:r>
          </w:p>
        </w:tc>
        <w:tc>
          <w:tcPr>
            <w:tcW w:w="936" w:type="dxa"/>
            <w:tcBorders>
              <w:top w:val="nil"/>
              <w:left w:val="nil"/>
              <w:bottom w:val="nil"/>
              <w:right w:val="nil"/>
            </w:tcBorders>
            <w:shd w:val="clear" w:color="auto" w:fill="auto"/>
            <w:noWrap/>
            <w:vAlign w:val="center"/>
            <w:hideMark/>
          </w:tcPr>
          <w:p w14:paraId="097181CD"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0,9</w:t>
            </w:r>
          </w:p>
        </w:tc>
        <w:tc>
          <w:tcPr>
            <w:tcW w:w="936" w:type="dxa"/>
            <w:tcBorders>
              <w:top w:val="nil"/>
              <w:left w:val="nil"/>
              <w:bottom w:val="nil"/>
              <w:right w:val="nil"/>
            </w:tcBorders>
            <w:shd w:val="clear" w:color="auto" w:fill="auto"/>
            <w:noWrap/>
            <w:vAlign w:val="center"/>
            <w:hideMark/>
          </w:tcPr>
          <w:p w14:paraId="628D3B16"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0,3</w:t>
            </w:r>
          </w:p>
        </w:tc>
        <w:tc>
          <w:tcPr>
            <w:tcW w:w="960" w:type="dxa"/>
            <w:tcBorders>
              <w:top w:val="nil"/>
              <w:left w:val="nil"/>
              <w:bottom w:val="nil"/>
              <w:right w:val="nil"/>
            </w:tcBorders>
            <w:shd w:val="clear" w:color="auto" w:fill="auto"/>
            <w:noWrap/>
            <w:vAlign w:val="center"/>
            <w:hideMark/>
          </w:tcPr>
          <w:p w14:paraId="5F209BDF"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-6,2</w:t>
            </w:r>
          </w:p>
        </w:tc>
        <w:tc>
          <w:tcPr>
            <w:tcW w:w="1655" w:type="dxa"/>
            <w:tcBorders>
              <w:top w:val="nil"/>
              <w:left w:val="single" w:sz="4" w:space="0" w:color="auto"/>
              <w:bottom w:val="nil"/>
              <w:right w:val="nil"/>
            </w:tcBorders>
            <w:shd w:val="clear" w:color="auto" w:fill="auto"/>
            <w:noWrap/>
            <w:vAlign w:val="center"/>
            <w:hideMark/>
          </w:tcPr>
          <w:p w14:paraId="0108B4E6" w14:textId="77777777" w:rsidR="002046BA" w:rsidRPr="0095607F" w:rsidRDefault="002046BA" w:rsidP="007F2028">
            <w:pPr>
              <w:spacing w:after="0" w:line="240" w:lineRule="auto"/>
              <w:rPr>
                <w:rFonts w:eastAsia="Times New Roman" w:cs="Times New Roman"/>
                <w:b/>
                <w:bCs/>
                <w:sz w:val="20"/>
                <w:szCs w:val="20"/>
                <w:lang w:eastAsia="sk-SK"/>
              </w:rPr>
            </w:pPr>
            <w:r w:rsidRPr="0095607F">
              <w:rPr>
                <w:rFonts w:eastAsia="Times New Roman" w:cs="Times New Roman"/>
                <w:b/>
                <w:bCs/>
                <w:sz w:val="20"/>
                <w:szCs w:val="20"/>
                <w:lang w:eastAsia="sk-SK"/>
              </w:rPr>
              <w:t>Slovensko</w:t>
            </w:r>
          </w:p>
        </w:tc>
        <w:tc>
          <w:tcPr>
            <w:tcW w:w="1000" w:type="dxa"/>
            <w:tcBorders>
              <w:top w:val="nil"/>
              <w:left w:val="nil"/>
              <w:bottom w:val="nil"/>
              <w:right w:val="nil"/>
            </w:tcBorders>
            <w:shd w:val="clear" w:color="auto" w:fill="auto"/>
            <w:noWrap/>
            <w:vAlign w:val="center"/>
            <w:hideMark/>
          </w:tcPr>
          <w:p w14:paraId="46108AD6" w14:textId="77777777" w:rsidR="002046BA" w:rsidRPr="0095607F" w:rsidRDefault="002046BA" w:rsidP="007F2028">
            <w:pPr>
              <w:spacing w:after="0" w:line="240" w:lineRule="auto"/>
              <w:ind w:firstLineChars="100" w:firstLine="201"/>
              <w:jc w:val="right"/>
              <w:rPr>
                <w:rFonts w:eastAsia="Times New Roman" w:cs="Times New Roman"/>
                <w:b/>
                <w:bCs/>
                <w:color w:val="000000"/>
                <w:sz w:val="20"/>
                <w:szCs w:val="20"/>
                <w:lang w:eastAsia="sk-SK"/>
              </w:rPr>
            </w:pPr>
            <w:r w:rsidRPr="0095607F">
              <w:rPr>
                <w:rFonts w:eastAsia="Times New Roman" w:cs="Times New Roman"/>
                <w:b/>
                <w:bCs/>
                <w:color w:val="000000"/>
                <w:sz w:val="20"/>
                <w:szCs w:val="20"/>
                <w:lang w:eastAsia="sk-SK"/>
              </w:rPr>
              <w:t>49,6</w:t>
            </w:r>
          </w:p>
        </w:tc>
        <w:tc>
          <w:tcPr>
            <w:tcW w:w="1000" w:type="dxa"/>
            <w:tcBorders>
              <w:top w:val="nil"/>
              <w:left w:val="nil"/>
              <w:bottom w:val="nil"/>
              <w:right w:val="nil"/>
            </w:tcBorders>
            <w:shd w:val="clear" w:color="auto" w:fill="auto"/>
            <w:noWrap/>
            <w:vAlign w:val="center"/>
            <w:hideMark/>
          </w:tcPr>
          <w:p w14:paraId="03AAFED3" w14:textId="77777777" w:rsidR="002046BA" w:rsidRPr="0095607F" w:rsidRDefault="002046BA" w:rsidP="007F2028">
            <w:pPr>
              <w:spacing w:after="0" w:line="240" w:lineRule="auto"/>
              <w:ind w:firstLineChars="100" w:firstLine="201"/>
              <w:jc w:val="right"/>
              <w:rPr>
                <w:rFonts w:eastAsia="Times New Roman" w:cs="Times New Roman"/>
                <w:b/>
                <w:bCs/>
                <w:color w:val="000000"/>
                <w:sz w:val="20"/>
                <w:szCs w:val="20"/>
                <w:lang w:eastAsia="sk-SK"/>
              </w:rPr>
            </w:pPr>
            <w:r w:rsidRPr="0095607F">
              <w:rPr>
                <w:rFonts w:eastAsia="Times New Roman" w:cs="Times New Roman"/>
                <w:b/>
                <w:bCs/>
                <w:color w:val="000000"/>
                <w:sz w:val="20"/>
                <w:szCs w:val="20"/>
                <w:lang w:eastAsia="sk-SK"/>
              </w:rPr>
              <w:t>48,2</w:t>
            </w:r>
          </w:p>
        </w:tc>
        <w:tc>
          <w:tcPr>
            <w:tcW w:w="1005" w:type="dxa"/>
            <w:tcBorders>
              <w:top w:val="nil"/>
              <w:left w:val="nil"/>
              <w:bottom w:val="nil"/>
              <w:right w:val="single" w:sz="4" w:space="0" w:color="auto"/>
            </w:tcBorders>
            <w:shd w:val="clear" w:color="auto" w:fill="auto"/>
            <w:noWrap/>
            <w:vAlign w:val="center"/>
            <w:hideMark/>
          </w:tcPr>
          <w:p w14:paraId="51FEA3BE" w14:textId="77777777" w:rsidR="002046BA" w:rsidRPr="0095607F" w:rsidRDefault="002046BA" w:rsidP="007F2028">
            <w:pPr>
              <w:spacing w:after="0" w:line="240" w:lineRule="auto"/>
              <w:ind w:firstLineChars="100" w:firstLine="201"/>
              <w:jc w:val="right"/>
              <w:rPr>
                <w:rFonts w:eastAsia="Times New Roman" w:cs="Times New Roman"/>
                <w:b/>
                <w:bCs/>
                <w:color w:val="000000"/>
                <w:sz w:val="20"/>
                <w:szCs w:val="20"/>
                <w:lang w:eastAsia="sk-SK"/>
              </w:rPr>
            </w:pPr>
            <w:r w:rsidRPr="0095607F">
              <w:rPr>
                <w:rFonts w:eastAsia="Times New Roman" w:cs="Times New Roman"/>
                <w:b/>
                <w:bCs/>
                <w:color w:val="000000"/>
                <w:sz w:val="20"/>
                <w:szCs w:val="20"/>
                <w:lang w:eastAsia="sk-SK"/>
              </w:rPr>
              <w:t>60,6</w:t>
            </w:r>
          </w:p>
        </w:tc>
      </w:tr>
      <w:tr w:rsidR="002046BA" w:rsidRPr="0095607F" w14:paraId="4F2BA724" w14:textId="77777777" w:rsidTr="00CF37CE">
        <w:trPr>
          <w:trHeight w:val="284"/>
        </w:trPr>
        <w:tc>
          <w:tcPr>
            <w:tcW w:w="1758" w:type="dxa"/>
            <w:tcBorders>
              <w:top w:val="nil"/>
              <w:left w:val="single" w:sz="4" w:space="0" w:color="auto"/>
              <w:bottom w:val="nil"/>
              <w:right w:val="nil"/>
            </w:tcBorders>
            <w:shd w:val="clear" w:color="auto" w:fill="auto"/>
            <w:noWrap/>
            <w:vAlign w:val="center"/>
            <w:hideMark/>
          </w:tcPr>
          <w:p w14:paraId="174B78D7" w14:textId="77777777" w:rsidR="002046BA" w:rsidRPr="0095607F" w:rsidRDefault="002046BA" w:rsidP="007F2028">
            <w:pPr>
              <w:spacing w:after="0" w:line="240" w:lineRule="auto"/>
              <w:rPr>
                <w:rFonts w:eastAsia="Times New Roman" w:cs="Times New Roman"/>
                <w:b/>
                <w:bCs/>
                <w:sz w:val="20"/>
                <w:szCs w:val="20"/>
                <w:lang w:eastAsia="sk-SK"/>
              </w:rPr>
            </w:pPr>
            <w:r w:rsidRPr="0095607F">
              <w:rPr>
                <w:rFonts w:eastAsia="Times New Roman" w:cs="Times New Roman"/>
                <w:b/>
                <w:bCs/>
                <w:sz w:val="20"/>
                <w:szCs w:val="20"/>
                <w:lang w:eastAsia="sk-SK"/>
              </w:rPr>
              <w:t>Slovensko</w:t>
            </w:r>
          </w:p>
        </w:tc>
        <w:tc>
          <w:tcPr>
            <w:tcW w:w="936" w:type="dxa"/>
            <w:tcBorders>
              <w:top w:val="nil"/>
              <w:left w:val="nil"/>
              <w:bottom w:val="nil"/>
              <w:right w:val="nil"/>
            </w:tcBorders>
            <w:shd w:val="clear" w:color="auto" w:fill="auto"/>
            <w:noWrap/>
            <w:vAlign w:val="center"/>
            <w:hideMark/>
          </w:tcPr>
          <w:p w14:paraId="45678BAC" w14:textId="77777777" w:rsidR="002046BA" w:rsidRPr="0095607F" w:rsidRDefault="002046BA" w:rsidP="007F2028">
            <w:pPr>
              <w:spacing w:after="0" w:line="240" w:lineRule="auto"/>
              <w:ind w:firstLineChars="100" w:firstLine="201"/>
              <w:jc w:val="right"/>
              <w:rPr>
                <w:rFonts w:eastAsia="Times New Roman" w:cs="Times New Roman"/>
                <w:b/>
                <w:bCs/>
                <w:color w:val="000000"/>
                <w:sz w:val="20"/>
                <w:szCs w:val="20"/>
                <w:lang w:eastAsia="sk-SK"/>
              </w:rPr>
            </w:pPr>
            <w:r w:rsidRPr="0095607F">
              <w:rPr>
                <w:rFonts w:eastAsia="Times New Roman" w:cs="Times New Roman"/>
                <w:b/>
                <w:bCs/>
                <w:color w:val="000000"/>
                <w:sz w:val="20"/>
                <w:szCs w:val="20"/>
                <w:lang w:eastAsia="sk-SK"/>
              </w:rPr>
              <w:t>-1,0</w:t>
            </w:r>
          </w:p>
        </w:tc>
        <w:tc>
          <w:tcPr>
            <w:tcW w:w="936" w:type="dxa"/>
            <w:tcBorders>
              <w:top w:val="nil"/>
              <w:left w:val="nil"/>
              <w:bottom w:val="nil"/>
              <w:right w:val="nil"/>
            </w:tcBorders>
            <w:shd w:val="clear" w:color="auto" w:fill="auto"/>
            <w:noWrap/>
            <w:vAlign w:val="center"/>
            <w:hideMark/>
          </w:tcPr>
          <w:p w14:paraId="30662ED6" w14:textId="77777777" w:rsidR="002046BA" w:rsidRPr="0095607F" w:rsidRDefault="002046BA" w:rsidP="007F2028">
            <w:pPr>
              <w:spacing w:after="0" w:line="240" w:lineRule="auto"/>
              <w:ind w:firstLineChars="100" w:firstLine="201"/>
              <w:jc w:val="right"/>
              <w:rPr>
                <w:rFonts w:eastAsia="Times New Roman" w:cs="Times New Roman"/>
                <w:b/>
                <w:bCs/>
                <w:color w:val="000000"/>
                <w:sz w:val="20"/>
                <w:szCs w:val="20"/>
                <w:lang w:eastAsia="sk-SK"/>
              </w:rPr>
            </w:pPr>
            <w:r w:rsidRPr="0095607F">
              <w:rPr>
                <w:rFonts w:eastAsia="Times New Roman" w:cs="Times New Roman"/>
                <w:b/>
                <w:bCs/>
                <w:color w:val="000000"/>
                <w:sz w:val="20"/>
                <w:szCs w:val="20"/>
                <w:lang w:eastAsia="sk-SK"/>
              </w:rPr>
              <w:t>-1,3</w:t>
            </w:r>
          </w:p>
        </w:tc>
        <w:tc>
          <w:tcPr>
            <w:tcW w:w="960" w:type="dxa"/>
            <w:tcBorders>
              <w:top w:val="nil"/>
              <w:left w:val="nil"/>
              <w:bottom w:val="nil"/>
              <w:right w:val="nil"/>
            </w:tcBorders>
            <w:shd w:val="clear" w:color="auto" w:fill="auto"/>
            <w:noWrap/>
            <w:vAlign w:val="center"/>
            <w:hideMark/>
          </w:tcPr>
          <w:p w14:paraId="5B1F8A0D" w14:textId="77777777" w:rsidR="002046BA" w:rsidRPr="0095607F" w:rsidRDefault="002046BA" w:rsidP="007F2028">
            <w:pPr>
              <w:spacing w:after="0" w:line="240" w:lineRule="auto"/>
              <w:ind w:firstLineChars="100" w:firstLine="201"/>
              <w:jc w:val="right"/>
              <w:rPr>
                <w:rFonts w:eastAsia="Times New Roman" w:cs="Times New Roman"/>
                <w:b/>
                <w:bCs/>
                <w:color w:val="000000"/>
                <w:sz w:val="20"/>
                <w:szCs w:val="20"/>
                <w:lang w:eastAsia="sk-SK"/>
              </w:rPr>
            </w:pPr>
            <w:r w:rsidRPr="0095607F">
              <w:rPr>
                <w:rFonts w:eastAsia="Times New Roman" w:cs="Times New Roman"/>
                <w:b/>
                <w:bCs/>
                <w:color w:val="000000"/>
                <w:sz w:val="20"/>
                <w:szCs w:val="20"/>
                <w:lang w:eastAsia="sk-SK"/>
              </w:rPr>
              <w:t>-6,2</w:t>
            </w:r>
          </w:p>
        </w:tc>
        <w:tc>
          <w:tcPr>
            <w:tcW w:w="1655" w:type="dxa"/>
            <w:tcBorders>
              <w:top w:val="nil"/>
              <w:left w:val="single" w:sz="4" w:space="0" w:color="auto"/>
              <w:bottom w:val="nil"/>
              <w:right w:val="nil"/>
            </w:tcBorders>
            <w:shd w:val="clear" w:color="auto" w:fill="auto"/>
            <w:noWrap/>
            <w:vAlign w:val="center"/>
            <w:hideMark/>
          </w:tcPr>
          <w:p w14:paraId="64000B68"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Írsko</w:t>
            </w:r>
          </w:p>
        </w:tc>
        <w:tc>
          <w:tcPr>
            <w:tcW w:w="1000" w:type="dxa"/>
            <w:tcBorders>
              <w:top w:val="nil"/>
              <w:left w:val="nil"/>
              <w:bottom w:val="nil"/>
              <w:right w:val="nil"/>
            </w:tcBorders>
            <w:shd w:val="clear" w:color="auto" w:fill="auto"/>
            <w:noWrap/>
            <w:vAlign w:val="center"/>
            <w:hideMark/>
          </w:tcPr>
          <w:p w14:paraId="70C28A31"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63,0</w:t>
            </w:r>
          </w:p>
        </w:tc>
        <w:tc>
          <w:tcPr>
            <w:tcW w:w="1000" w:type="dxa"/>
            <w:tcBorders>
              <w:top w:val="nil"/>
              <w:left w:val="nil"/>
              <w:bottom w:val="nil"/>
              <w:right w:val="nil"/>
            </w:tcBorders>
            <w:shd w:val="clear" w:color="auto" w:fill="auto"/>
            <w:noWrap/>
            <w:vAlign w:val="center"/>
            <w:hideMark/>
          </w:tcPr>
          <w:p w14:paraId="723C6BD7"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57,4</w:t>
            </w:r>
          </w:p>
        </w:tc>
        <w:tc>
          <w:tcPr>
            <w:tcW w:w="1005" w:type="dxa"/>
            <w:tcBorders>
              <w:top w:val="nil"/>
              <w:left w:val="nil"/>
              <w:bottom w:val="nil"/>
              <w:right w:val="single" w:sz="4" w:space="0" w:color="auto"/>
            </w:tcBorders>
            <w:shd w:val="clear" w:color="auto" w:fill="auto"/>
            <w:noWrap/>
            <w:vAlign w:val="center"/>
            <w:hideMark/>
          </w:tcPr>
          <w:p w14:paraId="130202A1"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59,5</w:t>
            </w:r>
          </w:p>
        </w:tc>
      </w:tr>
      <w:tr w:rsidR="002046BA" w:rsidRPr="0095607F" w14:paraId="5506AE05" w14:textId="77777777" w:rsidTr="00CF37CE">
        <w:trPr>
          <w:trHeight w:val="284"/>
        </w:trPr>
        <w:tc>
          <w:tcPr>
            <w:tcW w:w="1758" w:type="dxa"/>
            <w:tcBorders>
              <w:top w:val="nil"/>
              <w:left w:val="single" w:sz="4" w:space="0" w:color="auto"/>
              <w:bottom w:val="nil"/>
              <w:right w:val="nil"/>
            </w:tcBorders>
            <w:shd w:val="clear" w:color="auto" w:fill="auto"/>
            <w:noWrap/>
            <w:vAlign w:val="center"/>
            <w:hideMark/>
          </w:tcPr>
          <w:p w14:paraId="58B7E2F3"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Cyprus</w:t>
            </w:r>
          </w:p>
        </w:tc>
        <w:tc>
          <w:tcPr>
            <w:tcW w:w="936" w:type="dxa"/>
            <w:tcBorders>
              <w:top w:val="nil"/>
              <w:left w:val="nil"/>
              <w:bottom w:val="nil"/>
              <w:right w:val="nil"/>
            </w:tcBorders>
            <w:shd w:val="clear" w:color="auto" w:fill="auto"/>
            <w:noWrap/>
            <w:vAlign w:val="center"/>
            <w:hideMark/>
          </w:tcPr>
          <w:p w14:paraId="218A5A13"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-3,5</w:t>
            </w:r>
          </w:p>
        </w:tc>
        <w:tc>
          <w:tcPr>
            <w:tcW w:w="936" w:type="dxa"/>
            <w:tcBorders>
              <w:top w:val="nil"/>
              <w:left w:val="nil"/>
              <w:bottom w:val="nil"/>
              <w:right w:val="nil"/>
            </w:tcBorders>
            <w:shd w:val="clear" w:color="auto" w:fill="auto"/>
            <w:noWrap/>
            <w:vAlign w:val="center"/>
            <w:hideMark/>
          </w:tcPr>
          <w:p w14:paraId="53AE3D8E"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1,5</w:t>
            </w:r>
          </w:p>
        </w:tc>
        <w:tc>
          <w:tcPr>
            <w:tcW w:w="960" w:type="dxa"/>
            <w:tcBorders>
              <w:top w:val="nil"/>
              <w:left w:val="nil"/>
              <w:bottom w:val="nil"/>
              <w:right w:val="nil"/>
            </w:tcBorders>
            <w:shd w:val="clear" w:color="auto" w:fill="auto"/>
            <w:noWrap/>
            <w:vAlign w:val="center"/>
            <w:hideMark/>
          </w:tcPr>
          <w:p w14:paraId="5E7C4255"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-5,7</w:t>
            </w:r>
          </w:p>
        </w:tc>
        <w:tc>
          <w:tcPr>
            <w:tcW w:w="1655" w:type="dxa"/>
            <w:tcBorders>
              <w:top w:val="nil"/>
              <w:left w:val="single" w:sz="4" w:space="0" w:color="auto"/>
              <w:bottom w:val="nil"/>
              <w:right w:val="nil"/>
            </w:tcBorders>
            <w:shd w:val="clear" w:color="auto" w:fill="auto"/>
            <w:noWrap/>
            <w:vAlign w:val="center"/>
            <w:hideMark/>
          </w:tcPr>
          <w:p w14:paraId="6009973C"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Poľsko</w:t>
            </w:r>
          </w:p>
        </w:tc>
        <w:tc>
          <w:tcPr>
            <w:tcW w:w="1000" w:type="dxa"/>
            <w:tcBorders>
              <w:top w:val="nil"/>
              <w:left w:val="nil"/>
              <w:bottom w:val="nil"/>
              <w:right w:val="nil"/>
            </w:tcBorders>
            <w:shd w:val="clear" w:color="auto" w:fill="auto"/>
            <w:noWrap/>
            <w:vAlign w:val="center"/>
            <w:hideMark/>
          </w:tcPr>
          <w:p w14:paraId="6AFBC943"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48,8</w:t>
            </w:r>
          </w:p>
        </w:tc>
        <w:tc>
          <w:tcPr>
            <w:tcW w:w="1000" w:type="dxa"/>
            <w:tcBorders>
              <w:top w:val="nil"/>
              <w:left w:val="nil"/>
              <w:bottom w:val="nil"/>
              <w:right w:val="nil"/>
            </w:tcBorders>
            <w:shd w:val="clear" w:color="auto" w:fill="auto"/>
            <w:noWrap/>
            <w:vAlign w:val="center"/>
            <w:hideMark/>
          </w:tcPr>
          <w:p w14:paraId="586501D4"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45,6</w:t>
            </w:r>
          </w:p>
        </w:tc>
        <w:tc>
          <w:tcPr>
            <w:tcW w:w="1005" w:type="dxa"/>
            <w:tcBorders>
              <w:top w:val="nil"/>
              <w:left w:val="nil"/>
              <w:bottom w:val="nil"/>
              <w:right w:val="single" w:sz="4" w:space="0" w:color="auto"/>
            </w:tcBorders>
            <w:shd w:val="clear" w:color="auto" w:fill="auto"/>
            <w:noWrap/>
            <w:vAlign w:val="center"/>
            <w:hideMark/>
          </w:tcPr>
          <w:p w14:paraId="360410D6"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57,5</w:t>
            </w:r>
          </w:p>
        </w:tc>
      </w:tr>
      <w:tr w:rsidR="002046BA" w:rsidRPr="0095607F" w14:paraId="0BEE154B" w14:textId="77777777" w:rsidTr="00CF37CE">
        <w:trPr>
          <w:trHeight w:val="284"/>
        </w:trPr>
        <w:tc>
          <w:tcPr>
            <w:tcW w:w="1758" w:type="dxa"/>
            <w:tcBorders>
              <w:top w:val="nil"/>
              <w:left w:val="single" w:sz="4" w:space="0" w:color="auto"/>
              <w:bottom w:val="nil"/>
              <w:right w:val="nil"/>
            </w:tcBorders>
            <w:shd w:val="clear" w:color="auto" w:fill="auto"/>
            <w:noWrap/>
            <w:vAlign w:val="center"/>
            <w:hideMark/>
          </w:tcPr>
          <w:p w14:paraId="7C4ECC35"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Portugalsko</w:t>
            </w:r>
          </w:p>
        </w:tc>
        <w:tc>
          <w:tcPr>
            <w:tcW w:w="936" w:type="dxa"/>
            <w:tcBorders>
              <w:top w:val="nil"/>
              <w:left w:val="nil"/>
              <w:bottom w:val="nil"/>
              <w:right w:val="nil"/>
            </w:tcBorders>
            <w:shd w:val="clear" w:color="auto" w:fill="auto"/>
            <w:noWrap/>
            <w:vAlign w:val="center"/>
            <w:hideMark/>
          </w:tcPr>
          <w:p w14:paraId="75FCF7A6"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-0,3</w:t>
            </w:r>
          </w:p>
        </w:tc>
        <w:tc>
          <w:tcPr>
            <w:tcW w:w="936" w:type="dxa"/>
            <w:tcBorders>
              <w:top w:val="nil"/>
              <w:left w:val="nil"/>
              <w:bottom w:val="nil"/>
              <w:right w:val="nil"/>
            </w:tcBorders>
            <w:shd w:val="clear" w:color="auto" w:fill="auto"/>
            <w:noWrap/>
            <w:vAlign w:val="center"/>
            <w:hideMark/>
          </w:tcPr>
          <w:p w14:paraId="04B598D0"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0,1</w:t>
            </w:r>
          </w:p>
        </w:tc>
        <w:tc>
          <w:tcPr>
            <w:tcW w:w="960" w:type="dxa"/>
            <w:tcBorders>
              <w:top w:val="nil"/>
              <w:left w:val="nil"/>
              <w:bottom w:val="nil"/>
              <w:right w:val="nil"/>
            </w:tcBorders>
            <w:shd w:val="clear" w:color="auto" w:fill="auto"/>
            <w:noWrap/>
            <w:vAlign w:val="center"/>
            <w:hideMark/>
          </w:tcPr>
          <w:p w14:paraId="45B420A1"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-5,7</w:t>
            </w:r>
          </w:p>
        </w:tc>
        <w:tc>
          <w:tcPr>
            <w:tcW w:w="1655" w:type="dxa"/>
            <w:tcBorders>
              <w:top w:val="nil"/>
              <w:left w:val="single" w:sz="4" w:space="0" w:color="auto"/>
              <w:bottom w:val="nil"/>
              <w:right w:val="nil"/>
            </w:tcBorders>
            <w:shd w:val="clear" w:color="auto" w:fill="auto"/>
            <w:noWrap/>
            <w:vAlign w:val="center"/>
            <w:hideMark/>
          </w:tcPr>
          <w:p w14:paraId="2A549BC1"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Holandsko</w:t>
            </w:r>
          </w:p>
        </w:tc>
        <w:tc>
          <w:tcPr>
            <w:tcW w:w="1000" w:type="dxa"/>
            <w:tcBorders>
              <w:top w:val="nil"/>
              <w:left w:val="nil"/>
              <w:bottom w:val="nil"/>
              <w:right w:val="nil"/>
            </w:tcBorders>
            <w:shd w:val="clear" w:color="auto" w:fill="auto"/>
            <w:noWrap/>
            <w:vAlign w:val="center"/>
            <w:hideMark/>
          </w:tcPr>
          <w:p w14:paraId="0AE7F7BC"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52,4</w:t>
            </w:r>
          </w:p>
        </w:tc>
        <w:tc>
          <w:tcPr>
            <w:tcW w:w="1000" w:type="dxa"/>
            <w:tcBorders>
              <w:top w:val="nil"/>
              <w:left w:val="nil"/>
              <w:bottom w:val="nil"/>
              <w:right w:val="nil"/>
            </w:tcBorders>
            <w:shd w:val="clear" w:color="auto" w:fill="auto"/>
            <w:noWrap/>
            <w:vAlign w:val="center"/>
            <w:hideMark/>
          </w:tcPr>
          <w:p w14:paraId="001798C1"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48,7</w:t>
            </w:r>
          </w:p>
        </w:tc>
        <w:tc>
          <w:tcPr>
            <w:tcW w:w="1005" w:type="dxa"/>
            <w:tcBorders>
              <w:top w:val="nil"/>
              <w:left w:val="nil"/>
              <w:bottom w:val="nil"/>
              <w:right w:val="single" w:sz="4" w:space="0" w:color="auto"/>
            </w:tcBorders>
            <w:shd w:val="clear" w:color="auto" w:fill="auto"/>
            <w:noWrap/>
            <w:vAlign w:val="center"/>
            <w:hideMark/>
          </w:tcPr>
          <w:p w14:paraId="244BD318"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54,5</w:t>
            </w:r>
          </w:p>
        </w:tc>
      </w:tr>
      <w:tr w:rsidR="002046BA" w:rsidRPr="0095607F" w14:paraId="520D8F9B" w14:textId="77777777" w:rsidTr="00CF37CE">
        <w:trPr>
          <w:trHeight w:val="284"/>
        </w:trPr>
        <w:tc>
          <w:tcPr>
            <w:tcW w:w="1758" w:type="dxa"/>
            <w:tcBorders>
              <w:top w:val="nil"/>
              <w:left w:val="single" w:sz="4" w:space="0" w:color="auto"/>
              <w:bottom w:val="nil"/>
              <w:right w:val="nil"/>
            </w:tcBorders>
            <w:shd w:val="clear" w:color="auto" w:fill="auto"/>
            <w:noWrap/>
            <w:vAlign w:val="center"/>
            <w:hideMark/>
          </w:tcPr>
          <w:p w14:paraId="47B389A1"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Fínsko</w:t>
            </w:r>
          </w:p>
        </w:tc>
        <w:tc>
          <w:tcPr>
            <w:tcW w:w="936" w:type="dxa"/>
            <w:tcBorders>
              <w:top w:val="nil"/>
              <w:left w:val="nil"/>
              <w:bottom w:val="nil"/>
              <w:right w:val="nil"/>
            </w:tcBorders>
            <w:shd w:val="clear" w:color="auto" w:fill="auto"/>
            <w:noWrap/>
            <w:vAlign w:val="center"/>
            <w:hideMark/>
          </w:tcPr>
          <w:p w14:paraId="4DB3C5D8"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-0,9</w:t>
            </w:r>
          </w:p>
        </w:tc>
        <w:tc>
          <w:tcPr>
            <w:tcW w:w="936" w:type="dxa"/>
            <w:tcBorders>
              <w:top w:val="nil"/>
              <w:left w:val="nil"/>
              <w:bottom w:val="nil"/>
              <w:right w:val="nil"/>
            </w:tcBorders>
            <w:shd w:val="clear" w:color="auto" w:fill="auto"/>
            <w:noWrap/>
            <w:vAlign w:val="center"/>
            <w:hideMark/>
          </w:tcPr>
          <w:p w14:paraId="04B9DFF1"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-0,9</w:t>
            </w:r>
          </w:p>
        </w:tc>
        <w:tc>
          <w:tcPr>
            <w:tcW w:w="960" w:type="dxa"/>
            <w:tcBorders>
              <w:top w:val="nil"/>
              <w:left w:val="nil"/>
              <w:bottom w:val="nil"/>
              <w:right w:val="nil"/>
            </w:tcBorders>
            <w:shd w:val="clear" w:color="auto" w:fill="auto"/>
            <w:noWrap/>
            <w:vAlign w:val="center"/>
            <w:hideMark/>
          </w:tcPr>
          <w:p w14:paraId="69D0C650"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-5,4</w:t>
            </w:r>
          </w:p>
        </w:tc>
        <w:tc>
          <w:tcPr>
            <w:tcW w:w="1655" w:type="dxa"/>
            <w:tcBorders>
              <w:top w:val="nil"/>
              <w:left w:val="single" w:sz="4" w:space="0" w:color="auto"/>
              <w:bottom w:val="nil"/>
              <w:right w:val="nil"/>
            </w:tcBorders>
            <w:shd w:val="clear" w:color="auto" w:fill="auto"/>
            <w:noWrap/>
            <w:vAlign w:val="center"/>
            <w:hideMark/>
          </w:tcPr>
          <w:p w14:paraId="0954D9E3"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Malta</w:t>
            </w:r>
          </w:p>
        </w:tc>
        <w:tc>
          <w:tcPr>
            <w:tcW w:w="1000" w:type="dxa"/>
            <w:tcBorders>
              <w:top w:val="nil"/>
              <w:left w:val="nil"/>
              <w:bottom w:val="nil"/>
              <w:right w:val="nil"/>
            </w:tcBorders>
            <w:shd w:val="clear" w:color="auto" w:fill="auto"/>
            <w:noWrap/>
            <w:vAlign w:val="center"/>
            <w:hideMark/>
          </w:tcPr>
          <w:p w14:paraId="17377F62"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44,8</w:t>
            </w:r>
          </w:p>
        </w:tc>
        <w:tc>
          <w:tcPr>
            <w:tcW w:w="1000" w:type="dxa"/>
            <w:tcBorders>
              <w:top w:val="nil"/>
              <w:left w:val="nil"/>
              <w:bottom w:val="nil"/>
              <w:right w:val="nil"/>
            </w:tcBorders>
            <w:shd w:val="clear" w:color="auto" w:fill="auto"/>
            <w:noWrap/>
            <w:vAlign w:val="center"/>
            <w:hideMark/>
          </w:tcPr>
          <w:p w14:paraId="471E82A1"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42,0</w:t>
            </w:r>
          </w:p>
        </w:tc>
        <w:tc>
          <w:tcPr>
            <w:tcW w:w="1005" w:type="dxa"/>
            <w:tcBorders>
              <w:top w:val="nil"/>
              <w:left w:val="nil"/>
              <w:bottom w:val="nil"/>
              <w:right w:val="single" w:sz="4" w:space="0" w:color="auto"/>
            </w:tcBorders>
            <w:shd w:val="clear" w:color="auto" w:fill="auto"/>
            <w:noWrap/>
            <w:vAlign w:val="center"/>
            <w:hideMark/>
          </w:tcPr>
          <w:p w14:paraId="788644E2"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54,3</w:t>
            </w:r>
          </w:p>
        </w:tc>
      </w:tr>
      <w:tr w:rsidR="002046BA" w:rsidRPr="0095607F" w14:paraId="7B7AFCA8" w14:textId="77777777" w:rsidTr="00CF37CE">
        <w:trPr>
          <w:trHeight w:val="284"/>
        </w:trPr>
        <w:tc>
          <w:tcPr>
            <w:tcW w:w="1758" w:type="dxa"/>
            <w:tcBorders>
              <w:top w:val="nil"/>
              <w:left w:val="single" w:sz="4" w:space="0" w:color="auto"/>
              <w:bottom w:val="nil"/>
              <w:right w:val="nil"/>
            </w:tcBorders>
            <w:shd w:val="clear" w:color="auto" w:fill="auto"/>
            <w:noWrap/>
            <w:vAlign w:val="center"/>
            <w:hideMark/>
          </w:tcPr>
          <w:p w14:paraId="6D4B10BC"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Írsko</w:t>
            </w:r>
          </w:p>
        </w:tc>
        <w:tc>
          <w:tcPr>
            <w:tcW w:w="936" w:type="dxa"/>
            <w:tcBorders>
              <w:top w:val="nil"/>
              <w:left w:val="nil"/>
              <w:bottom w:val="nil"/>
              <w:right w:val="nil"/>
            </w:tcBorders>
            <w:shd w:val="clear" w:color="auto" w:fill="auto"/>
            <w:noWrap/>
            <w:vAlign w:val="center"/>
            <w:hideMark/>
          </w:tcPr>
          <w:p w14:paraId="73CDFDEC"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0,1</w:t>
            </w:r>
          </w:p>
        </w:tc>
        <w:tc>
          <w:tcPr>
            <w:tcW w:w="936" w:type="dxa"/>
            <w:tcBorders>
              <w:top w:val="nil"/>
              <w:left w:val="nil"/>
              <w:bottom w:val="nil"/>
              <w:right w:val="nil"/>
            </w:tcBorders>
            <w:shd w:val="clear" w:color="auto" w:fill="auto"/>
            <w:noWrap/>
            <w:vAlign w:val="center"/>
            <w:hideMark/>
          </w:tcPr>
          <w:p w14:paraId="409329DD"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0,5</w:t>
            </w:r>
          </w:p>
        </w:tc>
        <w:tc>
          <w:tcPr>
            <w:tcW w:w="960" w:type="dxa"/>
            <w:tcBorders>
              <w:top w:val="nil"/>
              <w:left w:val="nil"/>
              <w:bottom w:val="nil"/>
              <w:right w:val="nil"/>
            </w:tcBorders>
            <w:shd w:val="clear" w:color="auto" w:fill="auto"/>
            <w:noWrap/>
            <w:vAlign w:val="center"/>
            <w:hideMark/>
          </w:tcPr>
          <w:p w14:paraId="68B9E91C"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-5,0</w:t>
            </w:r>
          </w:p>
        </w:tc>
        <w:tc>
          <w:tcPr>
            <w:tcW w:w="1655" w:type="dxa"/>
            <w:tcBorders>
              <w:top w:val="nil"/>
              <w:left w:val="single" w:sz="4" w:space="0" w:color="auto"/>
              <w:bottom w:val="nil"/>
              <w:right w:val="nil"/>
            </w:tcBorders>
            <w:shd w:val="clear" w:color="auto" w:fill="auto"/>
            <w:noWrap/>
            <w:vAlign w:val="center"/>
            <w:hideMark/>
          </w:tcPr>
          <w:p w14:paraId="3F30D19B"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Litva</w:t>
            </w:r>
          </w:p>
        </w:tc>
        <w:tc>
          <w:tcPr>
            <w:tcW w:w="1000" w:type="dxa"/>
            <w:tcBorders>
              <w:top w:val="nil"/>
              <w:left w:val="nil"/>
              <w:bottom w:val="nil"/>
              <w:right w:val="nil"/>
            </w:tcBorders>
            <w:shd w:val="clear" w:color="auto" w:fill="auto"/>
            <w:noWrap/>
            <w:vAlign w:val="center"/>
            <w:hideMark/>
          </w:tcPr>
          <w:p w14:paraId="4EE5F981"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33,7</w:t>
            </w:r>
          </w:p>
        </w:tc>
        <w:tc>
          <w:tcPr>
            <w:tcW w:w="1000" w:type="dxa"/>
            <w:tcBorders>
              <w:top w:val="nil"/>
              <w:left w:val="nil"/>
              <w:bottom w:val="nil"/>
              <w:right w:val="nil"/>
            </w:tcBorders>
            <w:shd w:val="clear" w:color="auto" w:fill="auto"/>
            <w:noWrap/>
            <w:vAlign w:val="center"/>
            <w:hideMark/>
          </w:tcPr>
          <w:p w14:paraId="67A1ADAA"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35,9</w:t>
            </w:r>
          </w:p>
        </w:tc>
        <w:tc>
          <w:tcPr>
            <w:tcW w:w="1005" w:type="dxa"/>
            <w:tcBorders>
              <w:top w:val="nil"/>
              <w:left w:val="nil"/>
              <w:bottom w:val="nil"/>
              <w:right w:val="single" w:sz="4" w:space="0" w:color="auto"/>
            </w:tcBorders>
            <w:shd w:val="clear" w:color="auto" w:fill="auto"/>
            <w:noWrap/>
            <w:vAlign w:val="center"/>
            <w:hideMark/>
          </w:tcPr>
          <w:p w14:paraId="409050DD"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47,3</w:t>
            </w:r>
          </w:p>
        </w:tc>
      </w:tr>
      <w:tr w:rsidR="002046BA" w:rsidRPr="0095607F" w14:paraId="68F5CEC8" w14:textId="77777777" w:rsidTr="00CF37CE">
        <w:trPr>
          <w:trHeight w:val="284"/>
        </w:trPr>
        <w:tc>
          <w:tcPr>
            <w:tcW w:w="1758" w:type="dxa"/>
            <w:tcBorders>
              <w:top w:val="nil"/>
              <w:left w:val="single" w:sz="4" w:space="0" w:color="auto"/>
              <w:bottom w:val="nil"/>
              <w:right w:val="nil"/>
            </w:tcBorders>
            <w:shd w:val="clear" w:color="auto" w:fill="auto"/>
            <w:noWrap/>
            <w:vAlign w:val="center"/>
            <w:hideMark/>
          </w:tcPr>
          <w:p w14:paraId="383BB916"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Estónsko</w:t>
            </w:r>
          </w:p>
        </w:tc>
        <w:tc>
          <w:tcPr>
            <w:tcW w:w="936" w:type="dxa"/>
            <w:tcBorders>
              <w:top w:val="nil"/>
              <w:left w:val="nil"/>
              <w:bottom w:val="nil"/>
              <w:right w:val="nil"/>
            </w:tcBorders>
            <w:shd w:val="clear" w:color="auto" w:fill="auto"/>
            <w:noWrap/>
            <w:vAlign w:val="center"/>
            <w:hideMark/>
          </w:tcPr>
          <w:p w14:paraId="663844CD"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-0,6</w:t>
            </w:r>
          </w:p>
        </w:tc>
        <w:tc>
          <w:tcPr>
            <w:tcW w:w="936" w:type="dxa"/>
            <w:tcBorders>
              <w:top w:val="nil"/>
              <w:left w:val="nil"/>
              <w:bottom w:val="nil"/>
              <w:right w:val="nil"/>
            </w:tcBorders>
            <w:shd w:val="clear" w:color="auto" w:fill="auto"/>
            <w:noWrap/>
            <w:vAlign w:val="center"/>
            <w:hideMark/>
          </w:tcPr>
          <w:p w14:paraId="17B45513"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0,1</w:t>
            </w:r>
          </w:p>
        </w:tc>
        <w:tc>
          <w:tcPr>
            <w:tcW w:w="960" w:type="dxa"/>
            <w:tcBorders>
              <w:top w:val="nil"/>
              <w:left w:val="nil"/>
              <w:bottom w:val="nil"/>
              <w:right w:val="nil"/>
            </w:tcBorders>
            <w:shd w:val="clear" w:color="auto" w:fill="auto"/>
            <w:noWrap/>
            <w:vAlign w:val="center"/>
            <w:hideMark/>
          </w:tcPr>
          <w:p w14:paraId="7C308341"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-4,9</w:t>
            </w:r>
          </w:p>
        </w:tc>
        <w:tc>
          <w:tcPr>
            <w:tcW w:w="1655" w:type="dxa"/>
            <w:tcBorders>
              <w:top w:val="nil"/>
              <w:left w:val="single" w:sz="4" w:space="0" w:color="auto"/>
              <w:bottom w:val="nil"/>
              <w:right w:val="nil"/>
            </w:tcBorders>
            <w:shd w:val="clear" w:color="auto" w:fill="auto"/>
            <w:noWrap/>
            <w:vAlign w:val="center"/>
            <w:hideMark/>
          </w:tcPr>
          <w:p w14:paraId="6C284E25"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Rumunsko</w:t>
            </w:r>
          </w:p>
        </w:tc>
        <w:tc>
          <w:tcPr>
            <w:tcW w:w="1000" w:type="dxa"/>
            <w:tcBorders>
              <w:top w:val="nil"/>
              <w:left w:val="nil"/>
              <w:bottom w:val="nil"/>
              <w:right w:val="nil"/>
            </w:tcBorders>
            <w:shd w:val="clear" w:color="auto" w:fill="auto"/>
            <w:noWrap/>
            <w:vAlign w:val="center"/>
            <w:hideMark/>
          </w:tcPr>
          <w:p w14:paraId="614AD341"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34,7</w:t>
            </w:r>
          </w:p>
        </w:tc>
        <w:tc>
          <w:tcPr>
            <w:tcW w:w="1000" w:type="dxa"/>
            <w:tcBorders>
              <w:top w:val="nil"/>
              <w:left w:val="nil"/>
              <w:bottom w:val="nil"/>
              <w:right w:val="nil"/>
            </w:tcBorders>
            <w:shd w:val="clear" w:color="auto" w:fill="auto"/>
            <w:noWrap/>
            <w:vAlign w:val="center"/>
            <w:hideMark/>
          </w:tcPr>
          <w:p w14:paraId="0E976186"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35,3</w:t>
            </w:r>
          </w:p>
        </w:tc>
        <w:tc>
          <w:tcPr>
            <w:tcW w:w="1005" w:type="dxa"/>
            <w:tcBorders>
              <w:top w:val="nil"/>
              <w:left w:val="nil"/>
              <w:bottom w:val="nil"/>
              <w:right w:val="single" w:sz="4" w:space="0" w:color="auto"/>
            </w:tcBorders>
            <w:shd w:val="clear" w:color="auto" w:fill="auto"/>
            <w:noWrap/>
            <w:vAlign w:val="center"/>
            <w:hideMark/>
          </w:tcPr>
          <w:p w14:paraId="6084FD49"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47,3</w:t>
            </w:r>
          </w:p>
        </w:tc>
      </w:tr>
      <w:tr w:rsidR="002046BA" w:rsidRPr="0095607F" w14:paraId="4AC7DE9A" w14:textId="77777777" w:rsidTr="00CF37CE">
        <w:trPr>
          <w:trHeight w:val="284"/>
        </w:trPr>
        <w:tc>
          <w:tcPr>
            <w:tcW w:w="1758" w:type="dxa"/>
            <w:tcBorders>
              <w:top w:val="nil"/>
              <w:left w:val="single" w:sz="4" w:space="0" w:color="auto"/>
              <w:bottom w:val="nil"/>
              <w:right w:val="nil"/>
            </w:tcBorders>
            <w:shd w:val="clear" w:color="auto" w:fill="auto"/>
            <w:noWrap/>
            <w:vAlign w:val="center"/>
            <w:hideMark/>
          </w:tcPr>
          <w:p w14:paraId="390AB2C3"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Lotyšsko</w:t>
            </w:r>
          </w:p>
        </w:tc>
        <w:tc>
          <w:tcPr>
            <w:tcW w:w="936" w:type="dxa"/>
            <w:tcBorders>
              <w:top w:val="nil"/>
              <w:left w:val="nil"/>
              <w:bottom w:val="nil"/>
              <w:right w:val="nil"/>
            </w:tcBorders>
            <w:shd w:val="clear" w:color="auto" w:fill="auto"/>
            <w:noWrap/>
            <w:vAlign w:val="center"/>
            <w:hideMark/>
          </w:tcPr>
          <w:p w14:paraId="6A78B017"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-0,8</w:t>
            </w:r>
          </w:p>
        </w:tc>
        <w:tc>
          <w:tcPr>
            <w:tcW w:w="936" w:type="dxa"/>
            <w:tcBorders>
              <w:top w:val="nil"/>
              <w:left w:val="nil"/>
              <w:bottom w:val="nil"/>
              <w:right w:val="nil"/>
            </w:tcBorders>
            <w:shd w:val="clear" w:color="auto" w:fill="auto"/>
            <w:noWrap/>
            <w:vAlign w:val="center"/>
            <w:hideMark/>
          </w:tcPr>
          <w:p w14:paraId="3308469C"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-0,6</w:t>
            </w:r>
          </w:p>
        </w:tc>
        <w:tc>
          <w:tcPr>
            <w:tcW w:w="960" w:type="dxa"/>
            <w:tcBorders>
              <w:top w:val="nil"/>
              <w:left w:val="nil"/>
              <w:bottom w:val="nil"/>
              <w:right w:val="nil"/>
            </w:tcBorders>
            <w:shd w:val="clear" w:color="auto" w:fill="auto"/>
            <w:noWrap/>
            <w:vAlign w:val="center"/>
            <w:hideMark/>
          </w:tcPr>
          <w:p w14:paraId="5F89A9DC"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-4,5</w:t>
            </w:r>
          </w:p>
        </w:tc>
        <w:tc>
          <w:tcPr>
            <w:tcW w:w="1655" w:type="dxa"/>
            <w:tcBorders>
              <w:top w:val="nil"/>
              <w:left w:val="single" w:sz="4" w:space="0" w:color="auto"/>
              <w:bottom w:val="nil"/>
              <w:right w:val="nil"/>
            </w:tcBorders>
            <w:shd w:val="clear" w:color="auto" w:fill="auto"/>
            <w:noWrap/>
            <w:vAlign w:val="center"/>
            <w:hideMark/>
          </w:tcPr>
          <w:p w14:paraId="3F4638EF"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Lotyšsko</w:t>
            </w:r>
          </w:p>
        </w:tc>
        <w:tc>
          <w:tcPr>
            <w:tcW w:w="1000" w:type="dxa"/>
            <w:tcBorders>
              <w:top w:val="nil"/>
              <w:left w:val="nil"/>
              <w:bottom w:val="nil"/>
              <w:right w:val="nil"/>
            </w:tcBorders>
            <w:shd w:val="clear" w:color="auto" w:fill="auto"/>
            <w:noWrap/>
            <w:vAlign w:val="center"/>
            <w:hideMark/>
          </w:tcPr>
          <w:p w14:paraId="040304C4"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37,1</w:t>
            </w:r>
          </w:p>
        </w:tc>
        <w:tc>
          <w:tcPr>
            <w:tcW w:w="1000" w:type="dxa"/>
            <w:tcBorders>
              <w:top w:val="nil"/>
              <w:left w:val="nil"/>
              <w:bottom w:val="nil"/>
              <w:right w:val="nil"/>
            </w:tcBorders>
            <w:shd w:val="clear" w:color="auto" w:fill="auto"/>
            <w:noWrap/>
            <w:vAlign w:val="center"/>
            <w:hideMark/>
          </w:tcPr>
          <w:p w14:paraId="02DA81D0"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37,0</w:t>
            </w:r>
          </w:p>
        </w:tc>
        <w:tc>
          <w:tcPr>
            <w:tcW w:w="1005" w:type="dxa"/>
            <w:tcBorders>
              <w:top w:val="nil"/>
              <w:left w:val="nil"/>
              <w:bottom w:val="nil"/>
              <w:right w:val="single" w:sz="4" w:space="0" w:color="auto"/>
            </w:tcBorders>
            <w:shd w:val="clear" w:color="auto" w:fill="auto"/>
            <w:noWrap/>
            <w:vAlign w:val="center"/>
            <w:hideMark/>
          </w:tcPr>
          <w:p w14:paraId="13B2BB4B"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43,5</w:t>
            </w:r>
          </w:p>
        </w:tc>
      </w:tr>
      <w:tr w:rsidR="002046BA" w:rsidRPr="0095607F" w14:paraId="0FDAC2F8" w14:textId="77777777" w:rsidTr="00CF37CE">
        <w:trPr>
          <w:trHeight w:val="284"/>
        </w:trPr>
        <w:tc>
          <w:tcPr>
            <w:tcW w:w="1758" w:type="dxa"/>
            <w:tcBorders>
              <w:top w:val="nil"/>
              <w:left w:val="single" w:sz="4" w:space="0" w:color="auto"/>
              <w:bottom w:val="nil"/>
              <w:right w:val="nil"/>
            </w:tcBorders>
            <w:shd w:val="clear" w:color="auto" w:fill="auto"/>
            <w:noWrap/>
            <w:vAlign w:val="center"/>
            <w:hideMark/>
          </w:tcPr>
          <w:p w14:paraId="70B386D2"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Holandsko</w:t>
            </w:r>
          </w:p>
        </w:tc>
        <w:tc>
          <w:tcPr>
            <w:tcW w:w="936" w:type="dxa"/>
            <w:tcBorders>
              <w:top w:val="nil"/>
              <w:left w:val="nil"/>
              <w:bottom w:val="nil"/>
              <w:right w:val="nil"/>
            </w:tcBorders>
            <w:shd w:val="clear" w:color="auto" w:fill="auto"/>
            <w:noWrap/>
            <w:vAlign w:val="center"/>
            <w:hideMark/>
          </w:tcPr>
          <w:p w14:paraId="32480E11"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1,4</w:t>
            </w:r>
          </w:p>
        </w:tc>
        <w:tc>
          <w:tcPr>
            <w:tcW w:w="936" w:type="dxa"/>
            <w:tcBorders>
              <w:top w:val="nil"/>
              <w:left w:val="nil"/>
              <w:bottom w:val="nil"/>
              <w:right w:val="nil"/>
            </w:tcBorders>
            <w:shd w:val="clear" w:color="auto" w:fill="auto"/>
            <w:noWrap/>
            <w:vAlign w:val="center"/>
            <w:hideMark/>
          </w:tcPr>
          <w:p w14:paraId="11506BAF"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1,8</w:t>
            </w:r>
          </w:p>
        </w:tc>
        <w:tc>
          <w:tcPr>
            <w:tcW w:w="960" w:type="dxa"/>
            <w:tcBorders>
              <w:top w:val="nil"/>
              <w:left w:val="nil"/>
              <w:bottom w:val="nil"/>
              <w:right w:val="nil"/>
            </w:tcBorders>
            <w:shd w:val="clear" w:color="auto" w:fill="auto"/>
            <w:noWrap/>
            <w:vAlign w:val="center"/>
            <w:hideMark/>
          </w:tcPr>
          <w:p w14:paraId="553FD351"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-4,3</w:t>
            </w:r>
          </w:p>
        </w:tc>
        <w:tc>
          <w:tcPr>
            <w:tcW w:w="1655" w:type="dxa"/>
            <w:tcBorders>
              <w:top w:val="nil"/>
              <w:left w:val="single" w:sz="4" w:space="0" w:color="auto"/>
              <w:bottom w:val="nil"/>
              <w:right w:val="nil"/>
            </w:tcBorders>
            <w:shd w:val="clear" w:color="auto" w:fill="auto"/>
            <w:noWrap/>
            <w:vAlign w:val="center"/>
            <w:hideMark/>
          </w:tcPr>
          <w:p w14:paraId="0C9AB3DA"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Dánsko</w:t>
            </w:r>
          </w:p>
        </w:tc>
        <w:tc>
          <w:tcPr>
            <w:tcW w:w="1000" w:type="dxa"/>
            <w:tcBorders>
              <w:top w:val="nil"/>
              <w:left w:val="nil"/>
              <w:bottom w:val="nil"/>
              <w:right w:val="nil"/>
            </w:tcBorders>
            <w:shd w:val="clear" w:color="auto" w:fill="auto"/>
            <w:noWrap/>
            <w:vAlign w:val="center"/>
            <w:hideMark/>
          </w:tcPr>
          <w:p w14:paraId="25F27B7A"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34,0</w:t>
            </w:r>
          </w:p>
        </w:tc>
        <w:tc>
          <w:tcPr>
            <w:tcW w:w="1000" w:type="dxa"/>
            <w:tcBorders>
              <w:top w:val="nil"/>
              <w:left w:val="nil"/>
              <w:bottom w:val="nil"/>
              <w:right w:val="nil"/>
            </w:tcBorders>
            <w:shd w:val="clear" w:color="auto" w:fill="auto"/>
            <w:noWrap/>
            <w:vAlign w:val="center"/>
            <w:hideMark/>
          </w:tcPr>
          <w:p w14:paraId="6277C385"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33,3</w:t>
            </w:r>
          </w:p>
        </w:tc>
        <w:tc>
          <w:tcPr>
            <w:tcW w:w="1005" w:type="dxa"/>
            <w:tcBorders>
              <w:top w:val="nil"/>
              <w:left w:val="nil"/>
              <w:bottom w:val="nil"/>
              <w:right w:val="single" w:sz="4" w:space="0" w:color="auto"/>
            </w:tcBorders>
            <w:shd w:val="clear" w:color="auto" w:fill="auto"/>
            <w:noWrap/>
            <w:vAlign w:val="center"/>
            <w:hideMark/>
          </w:tcPr>
          <w:p w14:paraId="2794BB1B"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42,2</w:t>
            </w:r>
          </w:p>
        </w:tc>
      </w:tr>
      <w:tr w:rsidR="002046BA" w:rsidRPr="0095607F" w14:paraId="67D4D9F0" w14:textId="77777777" w:rsidTr="00CF37CE">
        <w:trPr>
          <w:trHeight w:val="284"/>
        </w:trPr>
        <w:tc>
          <w:tcPr>
            <w:tcW w:w="1758" w:type="dxa"/>
            <w:tcBorders>
              <w:top w:val="nil"/>
              <w:left w:val="single" w:sz="4" w:space="0" w:color="auto"/>
              <w:bottom w:val="nil"/>
              <w:right w:val="nil"/>
            </w:tcBorders>
            <w:shd w:val="clear" w:color="auto" w:fill="auto"/>
            <w:noWrap/>
            <w:vAlign w:val="center"/>
            <w:hideMark/>
          </w:tcPr>
          <w:p w14:paraId="5676547F"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Nemecko</w:t>
            </w:r>
          </w:p>
        </w:tc>
        <w:tc>
          <w:tcPr>
            <w:tcW w:w="936" w:type="dxa"/>
            <w:tcBorders>
              <w:top w:val="nil"/>
              <w:left w:val="nil"/>
              <w:bottom w:val="nil"/>
              <w:right w:val="nil"/>
            </w:tcBorders>
            <w:shd w:val="clear" w:color="auto" w:fill="auto"/>
            <w:noWrap/>
            <w:vAlign w:val="center"/>
            <w:hideMark/>
          </w:tcPr>
          <w:p w14:paraId="14947304"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1,8</w:t>
            </w:r>
          </w:p>
        </w:tc>
        <w:tc>
          <w:tcPr>
            <w:tcW w:w="936" w:type="dxa"/>
            <w:tcBorders>
              <w:top w:val="nil"/>
              <w:left w:val="nil"/>
              <w:bottom w:val="nil"/>
              <w:right w:val="nil"/>
            </w:tcBorders>
            <w:shd w:val="clear" w:color="auto" w:fill="auto"/>
            <w:noWrap/>
            <w:vAlign w:val="center"/>
            <w:hideMark/>
          </w:tcPr>
          <w:p w14:paraId="1E0D22FE"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1,5</w:t>
            </w:r>
          </w:p>
        </w:tc>
        <w:tc>
          <w:tcPr>
            <w:tcW w:w="960" w:type="dxa"/>
            <w:tcBorders>
              <w:top w:val="nil"/>
              <w:left w:val="nil"/>
              <w:bottom w:val="nil"/>
              <w:right w:val="nil"/>
            </w:tcBorders>
            <w:shd w:val="clear" w:color="auto" w:fill="auto"/>
            <w:noWrap/>
            <w:vAlign w:val="center"/>
            <w:hideMark/>
          </w:tcPr>
          <w:p w14:paraId="79042923"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-4,2</w:t>
            </w:r>
          </w:p>
        </w:tc>
        <w:tc>
          <w:tcPr>
            <w:tcW w:w="1655" w:type="dxa"/>
            <w:tcBorders>
              <w:top w:val="nil"/>
              <w:left w:val="single" w:sz="4" w:space="0" w:color="auto"/>
              <w:bottom w:val="nil"/>
              <w:right w:val="nil"/>
            </w:tcBorders>
            <w:shd w:val="clear" w:color="auto" w:fill="auto"/>
            <w:noWrap/>
            <w:vAlign w:val="center"/>
            <w:hideMark/>
          </w:tcPr>
          <w:p w14:paraId="2FAB0CC4"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Švédsko</w:t>
            </w:r>
          </w:p>
        </w:tc>
        <w:tc>
          <w:tcPr>
            <w:tcW w:w="1000" w:type="dxa"/>
            <w:tcBorders>
              <w:top w:val="nil"/>
              <w:left w:val="nil"/>
              <w:bottom w:val="nil"/>
              <w:right w:val="nil"/>
            </w:tcBorders>
            <w:shd w:val="clear" w:color="auto" w:fill="auto"/>
            <w:noWrap/>
            <w:vAlign w:val="center"/>
            <w:hideMark/>
          </w:tcPr>
          <w:p w14:paraId="50158827"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38,9</w:t>
            </w:r>
          </w:p>
        </w:tc>
        <w:tc>
          <w:tcPr>
            <w:tcW w:w="1000" w:type="dxa"/>
            <w:tcBorders>
              <w:top w:val="nil"/>
              <w:left w:val="nil"/>
              <w:bottom w:val="nil"/>
              <w:right w:val="nil"/>
            </w:tcBorders>
            <w:shd w:val="clear" w:color="auto" w:fill="auto"/>
            <w:noWrap/>
            <w:vAlign w:val="center"/>
            <w:hideMark/>
          </w:tcPr>
          <w:p w14:paraId="65152EE9"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35,0</w:t>
            </w:r>
          </w:p>
        </w:tc>
        <w:tc>
          <w:tcPr>
            <w:tcW w:w="1005" w:type="dxa"/>
            <w:tcBorders>
              <w:top w:val="nil"/>
              <w:left w:val="nil"/>
              <w:bottom w:val="nil"/>
              <w:right w:val="single" w:sz="4" w:space="0" w:color="auto"/>
            </w:tcBorders>
            <w:shd w:val="clear" w:color="auto" w:fill="auto"/>
            <w:noWrap/>
            <w:vAlign w:val="center"/>
            <w:hideMark/>
          </w:tcPr>
          <w:p w14:paraId="78B58C50"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39,9</w:t>
            </w:r>
          </w:p>
        </w:tc>
      </w:tr>
      <w:tr w:rsidR="002046BA" w:rsidRPr="0095607F" w14:paraId="6B28CBAB" w14:textId="77777777" w:rsidTr="00CF37CE">
        <w:trPr>
          <w:trHeight w:val="284"/>
        </w:trPr>
        <w:tc>
          <w:tcPr>
            <w:tcW w:w="1758" w:type="dxa"/>
            <w:tcBorders>
              <w:top w:val="nil"/>
              <w:left w:val="single" w:sz="4" w:space="0" w:color="auto"/>
              <w:bottom w:val="nil"/>
              <w:right w:val="nil"/>
            </w:tcBorders>
            <w:shd w:val="clear" w:color="auto" w:fill="auto"/>
            <w:noWrap/>
            <w:vAlign w:val="center"/>
            <w:hideMark/>
          </w:tcPr>
          <w:p w14:paraId="6BB9B635"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Luxembursko</w:t>
            </w:r>
          </w:p>
        </w:tc>
        <w:tc>
          <w:tcPr>
            <w:tcW w:w="936" w:type="dxa"/>
            <w:tcBorders>
              <w:top w:val="nil"/>
              <w:left w:val="nil"/>
              <w:bottom w:val="nil"/>
              <w:right w:val="nil"/>
            </w:tcBorders>
            <w:shd w:val="clear" w:color="auto" w:fill="auto"/>
            <w:noWrap/>
            <w:vAlign w:val="center"/>
            <w:hideMark/>
          </w:tcPr>
          <w:p w14:paraId="4E901048"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3,0</w:t>
            </w:r>
          </w:p>
        </w:tc>
        <w:tc>
          <w:tcPr>
            <w:tcW w:w="936" w:type="dxa"/>
            <w:tcBorders>
              <w:top w:val="nil"/>
              <w:left w:val="nil"/>
              <w:bottom w:val="nil"/>
              <w:right w:val="nil"/>
            </w:tcBorders>
            <w:shd w:val="clear" w:color="auto" w:fill="auto"/>
            <w:noWrap/>
            <w:vAlign w:val="center"/>
            <w:hideMark/>
          </w:tcPr>
          <w:p w14:paraId="07CD6BE8"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2,4</w:t>
            </w:r>
          </w:p>
        </w:tc>
        <w:tc>
          <w:tcPr>
            <w:tcW w:w="960" w:type="dxa"/>
            <w:tcBorders>
              <w:top w:val="nil"/>
              <w:left w:val="nil"/>
              <w:bottom w:val="nil"/>
              <w:right w:val="nil"/>
            </w:tcBorders>
            <w:shd w:val="clear" w:color="auto" w:fill="auto"/>
            <w:noWrap/>
            <w:vAlign w:val="center"/>
            <w:hideMark/>
          </w:tcPr>
          <w:p w14:paraId="6EB15D46"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-4,1</w:t>
            </w:r>
          </w:p>
        </w:tc>
        <w:tc>
          <w:tcPr>
            <w:tcW w:w="1655" w:type="dxa"/>
            <w:tcBorders>
              <w:top w:val="nil"/>
              <w:left w:val="single" w:sz="4" w:space="0" w:color="auto"/>
              <w:bottom w:val="nil"/>
              <w:right w:val="nil"/>
            </w:tcBorders>
            <w:shd w:val="clear" w:color="auto" w:fill="auto"/>
            <w:noWrap/>
            <w:vAlign w:val="center"/>
            <w:hideMark/>
          </w:tcPr>
          <w:p w14:paraId="255436E6"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Česká republika</w:t>
            </w:r>
          </w:p>
        </w:tc>
        <w:tc>
          <w:tcPr>
            <w:tcW w:w="1000" w:type="dxa"/>
            <w:tcBorders>
              <w:top w:val="nil"/>
              <w:left w:val="nil"/>
              <w:bottom w:val="nil"/>
              <w:right w:val="nil"/>
            </w:tcBorders>
            <w:shd w:val="clear" w:color="auto" w:fill="auto"/>
            <w:noWrap/>
            <w:vAlign w:val="center"/>
            <w:hideMark/>
          </w:tcPr>
          <w:p w14:paraId="2ACAE1C2"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32,1</w:t>
            </w:r>
          </w:p>
        </w:tc>
        <w:tc>
          <w:tcPr>
            <w:tcW w:w="1000" w:type="dxa"/>
            <w:tcBorders>
              <w:top w:val="nil"/>
              <w:left w:val="nil"/>
              <w:bottom w:val="nil"/>
              <w:right w:val="nil"/>
            </w:tcBorders>
            <w:shd w:val="clear" w:color="auto" w:fill="auto"/>
            <w:noWrap/>
            <w:vAlign w:val="center"/>
            <w:hideMark/>
          </w:tcPr>
          <w:p w14:paraId="44439EE7"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30,3</w:t>
            </w:r>
          </w:p>
        </w:tc>
        <w:tc>
          <w:tcPr>
            <w:tcW w:w="1005" w:type="dxa"/>
            <w:tcBorders>
              <w:top w:val="nil"/>
              <w:left w:val="nil"/>
              <w:bottom w:val="nil"/>
              <w:right w:val="single" w:sz="4" w:space="0" w:color="auto"/>
            </w:tcBorders>
            <w:shd w:val="clear" w:color="auto" w:fill="auto"/>
            <w:noWrap/>
            <w:vAlign w:val="center"/>
            <w:hideMark/>
          </w:tcPr>
          <w:p w14:paraId="7133CC12"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38,1</w:t>
            </w:r>
          </w:p>
        </w:tc>
      </w:tr>
      <w:tr w:rsidR="002046BA" w:rsidRPr="0095607F" w14:paraId="41F8F80C" w14:textId="77777777" w:rsidTr="00CF37CE">
        <w:trPr>
          <w:trHeight w:val="284"/>
        </w:trPr>
        <w:tc>
          <w:tcPr>
            <w:tcW w:w="1758" w:type="dxa"/>
            <w:tcBorders>
              <w:top w:val="nil"/>
              <w:left w:val="single" w:sz="4" w:space="0" w:color="auto"/>
              <w:bottom w:val="nil"/>
              <w:right w:val="nil"/>
            </w:tcBorders>
            <w:shd w:val="clear" w:color="auto" w:fill="auto"/>
            <w:noWrap/>
            <w:vAlign w:val="center"/>
            <w:hideMark/>
          </w:tcPr>
          <w:p w14:paraId="171A4626"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Bulharsko</w:t>
            </w:r>
          </w:p>
        </w:tc>
        <w:tc>
          <w:tcPr>
            <w:tcW w:w="936" w:type="dxa"/>
            <w:tcBorders>
              <w:top w:val="nil"/>
              <w:left w:val="nil"/>
              <w:bottom w:val="nil"/>
              <w:right w:val="nil"/>
            </w:tcBorders>
            <w:shd w:val="clear" w:color="auto" w:fill="auto"/>
            <w:noWrap/>
            <w:vAlign w:val="center"/>
            <w:hideMark/>
          </w:tcPr>
          <w:p w14:paraId="6601F05A"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2,0</w:t>
            </w:r>
          </w:p>
        </w:tc>
        <w:tc>
          <w:tcPr>
            <w:tcW w:w="936" w:type="dxa"/>
            <w:tcBorders>
              <w:top w:val="nil"/>
              <w:left w:val="nil"/>
              <w:bottom w:val="nil"/>
              <w:right w:val="nil"/>
            </w:tcBorders>
            <w:shd w:val="clear" w:color="auto" w:fill="auto"/>
            <w:noWrap/>
            <w:vAlign w:val="center"/>
            <w:hideMark/>
          </w:tcPr>
          <w:p w14:paraId="736E90A6"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2,1</w:t>
            </w:r>
          </w:p>
        </w:tc>
        <w:tc>
          <w:tcPr>
            <w:tcW w:w="960" w:type="dxa"/>
            <w:tcBorders>
              <w:top w:val="nil"/>
              <w:left w:val="nil"/>
              <w:bottom w:val="nil"/>
              <w:right w:val="nil"/>
            </w:tcBorders>
            <w:shd w:val="clear" w:color="auto" w:fill="auto"/>
            <w:noWrap/>
            <w:vAlign w:val="center"/>
            <w:hideMark/>
          </w:tcPr>
          <w:p w14:paraId="73B015FB"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-3,4</w:t>
            </w:r>
          </w:p>
        </w:tc>
        <w:tc>
          <w:tcPr>
            <w:tcW w:w="1655" w:type="dxa"/>
            <w:tcBorders>
              <w:top w:val="nil"/>
              <w:left w:val="single" w:sz="4" w:space="0" w:color="auto"/>
              <w:bottom w:val="nil"/>
              <w:right w:val="nil"/>
            </w:tcBorders>
            <w:shd w:val="clear" w:color="auto" w:fill="auto"/>
            <w:noWrap/>
            <w:vAlign w:val="center"/>
            <w:hideMark/>
          </w:tcPr>
          <w:p w14:paraId="45482AC1"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Bulharsko</w:t>
            </w:r>
          </w:p>
        </w:tc>
        <w:tc>
          <w:tcPr>
            <w:tcW w:w="1000" w:type="dxa"/>
            <w:tcBorders>
              <w:top w:val="nil"/>
              <w:left w:val="nil"/>
              <w:bottom w:val="nil"/>
              <w:right w:val="nil"/>
            </w:tcBorders>
            <w:shd w:val="clear" w:color="auto" w:fill="auto"/>
            <w:noWrap/>
            <w:vAlign w:val="center"/>
            <w:hideMark/>
          </w:tcPr>
          <w:p w14:paraId="7C9D0F97"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22,3</w:t>
            </w:r>
          </w:p>
        </w:tc>
        <w:tc>
          <w:tcPr>
            <w:tcW w:w="1000" w:type="dxa"/>
            <w:tcBorders>
              <w:top w:val="nil"/>
              <w:left w:val="nil"/>
              <w:bottom w:val="nil"/>
              <w:right w:val="nil"/>
            </w:tcBorders>
            <w:shd w:val="clear" w:color="auto" w:fill="auto"/>
            <w:noWrap/>
            <w:vAlign w:val="center"/>
            <w:hideMark/>
          </w:tcPr>
          <w:p w14:paraId="306C201F"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20,2</w:t>
            </w:r>
          </w:p>
        </w:tc>
        <w:tc>
          <w:tcPr>
            <w:tcW w:w="1005" w:type="dxa"/>
            <w:tcBorders>
              <w:top w:val="nil"/>
              <w:left w:val="nil"/>
              <w:bottom w:val="nil"/>
              <w:right w:val="single" w:sz="4" w:space="0" w:color="auto"/>
            </w:tcBorders>
            <w:shd w:val="clear" w:color="auto" w:fill="auto"/>
            <w:noWrap/>
            <w:vAlign w:val="center"/>
            <w:hideMark/>
          </w:tcPr>
          <w:p w14:paraId="3F19204D"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25,0</w:t>
            </w:r>
          </w:p>
        </w:tc>
      </w:tr>
      <w:tr w:rsidR="002046BA" w:rsidRPr="0095607F" w14:paraId="1A689ACE" w14:textId="77777777" w:rsidTr="00CF37CE">
        <w:trPr>
          <w:trHeight w:val="284"/>
        </w:trPr>
        <w:tc>
          <w:tcPr>
            <w:tcW w:w="1758" w:type="dxa"/>
            <w:tcBorders>
              <w:top w:val="nil"/>
              <w:left w:val="single" w:sz="4" w:space="0" w:color="auto"/>
              <w:bottom w:val="nil"/>
              <w:right w:val="nil"/>
            </w:tcBorders>
            <w:shd w:val="clear" w:color="auto" w:fill="auto"/>
            <w:noWrap/>
            <w:vAlign w:val="center"/>
            <w:hideMark/>
          </w:tcPr>
          <w:p w14:paraId="0750C88B"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Švédsko</w:t>
            </w:r>
          </w:p>
        </w:tc>
        <w:tc>
          <w:tcPr>
            <w:tcW w:w="936" w:type="dxa"/>
            <w:tcBorders>
              <w:top w:val="nil"/>
              <w:left w:val="nil"/>
              <w:bottom w:val="nil"/>
              <w:right w:val="nil"/>
            </w:tcBorders>
            <w:shd w:val="clear" w:color="auto" w:fill="auto"/>
            <w:noWrap/>
            <w:vAlign w:val="center"/>
            <w:hideMark/>
          </w:tcPr>
          <w:p w14:paraId="412A2A5A"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0,8</w:t>
            </w:r>
          </w:p>
        </w:tc>
        <w:tc>
          <w:tcPr>
            <w:tcW w:w="936" w:type="dxa"/>
            <w:tcBorders>
              <w:top w:val="nil"/>
              <w:left w:val="nil"/>
              <w:bottom w:val="nil"/>
              <w:right w:val="nil"/>
            </w:tcBorders>
            <w:shd w:val="clear" w:color="auto" w:fill="auto"/>
            <w:noWrap/>
            <w:vAlign w:val="center"/>
            <w:hideMark/>
          </w:tcPr>
          <w:p w14:paraId="09A79ED5"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0,6</w:t>
            </w:r>
          </w:p>
        </w:tc>
        <w:tc>
          <w:tcPr>
            <w:tcW w:w="960" w:type="dxa"/>
            <w:tcBorders>
              <w:top w:val="nil"/>
              <w:left w:val="nil"/>
              <w:bottom w:val="nil"/>
              <w:right w:val="nil"/>
            </w:tcBorders>
            <w:shd w:val="clear" w:color="auto" w:fill="auto"/>
            <w:noWrap/>
            <w:vAlign w:val="center"/>
            <w:hideMark/>
          </w:tcPr>
          <w:p w14:paraId="7E850693"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-3,1</w:t>
            </w:r>
          </w:p>
        </w:tc>
        <w:tc>
          <w:tcPr>
            <w:tcW w:w="1655" w:type="dxa"/>
            <w:tcBorders>
              <w:top w:val="nil"/>
              <w:left w:val="single" w:sz="4" w:space="0" w:color="auto"/>
              <w:bottom w:val="nil"/>
              <w:right w:val="nil"/>
            </w:tcBorders>
            <w:shd w:val="clear" w:color="auto" w:fill="auto"/>
            <w:noWrap/>
            <w:vAlign w:val="center"/>
            <w:hideMark/>
          </w:tcPr>
          <w:p w14:paraId="505A3441"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Luxembursko</w:t>
            </w:r>
          </w:p>
        </w:tc>
        <w:tc>
          <w:tcPr>
            <w:tcW w:w="1000" w:type="dxa"/>
            <w:tcBorders>
              <w:top w:val="nil"/>
              <w:left w:val="nil"/>
              <w:bottom w:val="nil"/>
              <w:right w:val="nil"/>
            </w:tcBorders>
            <w:shd w:val="clear" w:color="auto" w:fill="auto"/>
            <w:noWrap/>
            <w:vAlign w:val="center"/>
            <w:hideMark/>
          </w:tcPr>
          <w:p w14:paraId="2F938F62"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21,0</w:t>
            </w:r>
          </w:p>
        </w:tc>
        <w:tc>
          <w:tcPr>
            <w:tcW w:w="1000" w:type="dxa"/>
            <w:tcBorders>
              <w:top w:val="nil"/>
              <w:left w:val="nil"/>
              <w:bottom w:val="nil"/>
              <w:right w:val="nil"/>
            </w:tcBorders>
            <w:shd w:val="clear" w:color="auto" w:fill="auto"/>
            <w:noWrap/>
            <w:vAlign w:val="center"/>
            <w:hideMark/>
          </w:tcPr>
          <w:p w14:paraId="4AF08069"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22,0</w:t>
            </w:r>
          </w:p>
        </w:tc>
        <w:tc>
          <w:tcPr>
            <w:tcW w:w="1005" w:type="dxa"/>
            <w:tcBorders>
              <w:top w:val="nil"/>
              <w:left w:val="nil"/>
              <w:bottom w:val="nil"/>
              <w:right w:val="single" w:sz="4" w:space="0" w:color="auto"/>
            </w:tcBorders>
            <w:shd w:val="clear" w:color="auto" w:fill="auto"/>
            <w:noWrap/>
            <w:vAlign w:val="center"/>
            <w:hideMark/>
          </w:tcPr>
          <w:p w14:paraId="077B25DF"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24,9</w:t>
            </w:r>
          </w:p>
        </w:tc>
      </w:tr>
      <w:tr w:rsidR="002046BA" w:rsidRPr="0095607F" w14:paraId="6C26185E" w14:textId="77777777" w:rsidTr="00CF37CE">
        <w:trPr>
          <w:trHeight w:val="284"/>
        </w:trPr>
        <w:tc>
          <w:tcPr>
            <w:tcW w:w="1758" w:type="dxa"/>
            <w:tcBorders>
              <w:top w:val="nil"/>
              <w:left w:val="single" w:sz="4" w:space="0" w:color="auto"/>
              <w:bottom w:val="single" w:sz="4" w:space="0" w:color="auto"/>
              <w:right w:val="nil"/>
            </w:tcBorders>
            <w:shd w:val="clear" w:color="auto" w:fill="auto"/>
            <w:noWrap/>
            <w:vAlign w:val="center"/>
            <w:hideMark/>
          </w:tcPr>
          <w:p w14:paraId="3A078C8E"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Dánsko</w:t>
            </w:r>
          </w:p>
        </w:tc>
        <w:tc>
          <w:tcPr>
            <w:tcW w:w="936" w:type="dxa"/>
            <w:tcBorders>
              <w:top w:val="nil"/>
              <w:left w:val="nil"/>
              <w:bottom w:val="single" w:sz="4" w:space="0" w:color="auto"/>
              <w:right w:val="nil"/>
            </w:tcBorders>
            <w:shd w:val="clear" w:color="auto" w:fill="auto"/>
            <w:noWrap/>
            <w:vAlign w:val="center"/>
            <w:hideMark/>
          </w:tcPr>
          <w:p w14:paraId="4EA7F482"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0,7</w:t>
            </w:r>
          </w:p>
        </w:tc>
        <w:tc>
          <w:tcPr>
            <w:tcW w:w="936" w:type="dxa"/>
            <w:tcBorders>
              <w:top w:val="nil"/>
              <w:left w:val="nil"/>
              <w:bottom w:val="single" w:sz="4" w:space="0" w:color="auto"/>
              <w:right w:val="nil"/>
            </w:tcBorders>
            <w:shd w:val="clear" w:color="auto" w:fill="auto"/>
            <w:noWrap/>
            <w:vAlign w:val="center"/>
            <w:hideMark/>
          </w:tcPr>
          <w:p w14:paraId="1C5BFFA9"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3,8</w:t>
            </w:r>
          </w:p>
        </w:tc>
        <w:tc>
          <w:tcPr>
            <w:tcW w:w="960" w:type="dxa"/>
            <w:tcBorders>
              <w:top w:val="nil"/>
              <w:left w:val="nil"/>
              <w:bottom w:val="single" w:sz="4" w:space="0" w:color="auto"/>
              <w:right w:val="nil"/>
            </w:tcBorders>
            <w:shd w:val="clear" w:color="auto" w:fill="auto"/>
            <w:noWrap/>
            <w:vAlign w:val="center"/>
            <w:hideMark/>
          </w:tcPr>
          <w:p w14:paraId="106BC778"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-1,1</w:t>
            </w:r>
          </w:p>
        </w:tc>
        <w:tc>
          <w:tcPr>
            <w:tcW w:w="1655" w:type="dxa"/>
            <w:tcBorders>
              <w:top w:val="nil"/>
              <w:left w:val="single" w:sz="4" w:space="0" w:color="auto"/>
              <w:bottom w:val="single" w:sz="4" w:space="0" w:color="auto"/>
              <w:right w:val="nil"/>
            </w:tcBorders>
            <w:shd w:val="clear" w:color="auto" w:fill="auto"/>
            <w:noWrap/>
            <w:vAlign w:val="center"/>
            <w:hideMark/>
          </w:tcPr>
          <w:p w14:paraId="11D00E9A" w14:textId="77777777" w:rsidR="002046BA" w:rsidRPr="0095607F" w:rsidRDefault="002046BA" w:rsidP="007F2028">
            <w:pPr>
              <w:spacing w:after="0" w:line="240" w:lineRule="auto"/>
              <w:rPr>
                <w:rFonts w:eastAsia="Times New Roman" w:cs="Times New Roman"/>
                <w:sz w:val="20"/>
                <w:szCs w:val="20"/>
                <w:lang w:eastAsia="sk-SK"/>
              </w:rPr>
            </w:pPr>
            <w:r w:rsidRPr="0095607F">
              <w:rPr>
                <w:rFonts w:eastAsia="Times New Roman" w:cs="Times New Roman"/>
                <w:sz w:val="20"/>
                <w:szCs w:val="20"/>
                <w:lang w:eastAsia="sk-SK"/>
              </w:rPr>
              <w:t>Estónsko</w:t>
            </w:r>
          </w:p>
        </w:tc>
        <w:tc>
          <w:tcPr>
            <w:tcW w:w="1000" w:type="dxa"/>
            <w:tcBorders>
              <w:top w:val="nil"/>
              <w:left w:val="nil"/>
              <w:bottom w:val="single" w:sz="4" w:space="0" w:color="auto"/>
              <w:right w:val="nil"/>
            </w:tcBorders>
            <w:shd w:val="clear" w:color="auto" w:fill="auto"/>
            <w:noWrap/>
            <w:vAlign w:val="center"/>
            <w:hideMark/>
          </w:tcPr>
          <w:p w14:paraId="75CCF2C6"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8,2</w:t>
            </w:r>
          </w:p>
        </w:tc>
        <w:tc>
          <w:tcPr>
            <w:tcW w:w="1000" w:type="dxa"/>
            <w:tcBorders>
              <w:top w:val="nil"/>
              <w:left w:val="nil"/>
              <w:bottom w:val="single" w:sz="4" w:space="0" w:color="auto"/>
              <w:right w:val="nil"/>
            </w:tcBorders>
            <w:shd w:val="clear" w:color="auto" w:fill="auto"/>
            <w:noWrap/>
            <w:vAlign w:val="center"/>
            <w:hideMark/>
          </w:tcPr>
          <w:p w14:paraId="528A850C"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8,4</w:t>
            </w:r>
          </w:p>
        </w:tc>
        <w:tc>
          <w:tcPr>
            <w:tcW w:w="1005" w:type="dxa"/>
            <w:tcBorders>
              <w:top w:val="nil"/>
              <w:left w:val="nil"/>
              <w:bottom w:val="single" w:sz="4" w:space="0" w:color="auto"/>
              <w:right w:val="single" w:sz="4" w:space="0" w:color="auto"/>
            </w:tcBorders>
            <w:shd w:val="clear" w:color="auto" w:fill="auto"/>
            <w:noWrap/>
            <w:vAlign w:val="center"/>
            <w:hideMark/>
          </w:tcPr>
          <w:p w14:paraId="271F0596" w14:textId="77777777" w:rsidR="002046BA" w:rsidRPr="0095607F" w:rsidRDefault="002046BA" w:rsidP="007F2028">
            <w:pPr>
              <w:spacing w:after="0" w:line="240" w:lineRule="auto"/>
              <w:ind w:firstLineChars="100" w:firstLine="200"/>
              <w:jc w:val="right"/>
              <w:rPr>
                <w:rFonts w:eastAsia="Times New Roman" w:cs="Times New Roman"/>
                <w:color w:val="000000"/>
                <w:sz w:val="20"/>
                <w:szCs w:val="20"/>
                <w:lang w:eastAsia="sk-SK"/>
              </w:rPr>
            </w:pPr>
            <w:r w:rsidRPr="0095607F">
              <w:rPr>
                <w:rFonts w:eastAsia="Times New Roman" w:cs="Times New Roman"/>
                <w:color w:val="000000"/>
                <w:sz w:val="20"/>
                <w:szCs w:val="20"/>
                <w:lang w:eastAsia="sk-SK"/>
              </w:rPr>
              <w:t>18,2</w:t>
            </w:r>
          </w:p>
        </w:tc>
      </w:tr>
    </w:tbl>
    <w:p w14:paraId="682C795D" w14:textId="655E2202" w:rsidR="007A6812" w:rsidRDefault="007A6812" w:rsidP="007A6812">
      <w:pPr>
        <w:spacing w:line="240" w:lineRule="auto"/>
        <w:jc w:val="right"/>
        <w:rPr>
          <w:rFonts w:eastAsia="Times New Roman" w:cs="Times New Roman"/>
          <w:iCs/>
          <w:color w:val="000000"/>
          <w:sz w:val="16"/>
          <w:szCs w:val="16"/>
          <w:lang w:eastAsia="sk-SK"/>
        </w:rPr>
      </w:pPr>
      <w:r w:rsidRPr="00543339">
        <w:rPr>
          <w:rFonts w:eastAsia="Times New Roman" w:cs="Times New Roman"/>
          <w:iCs/>
          <w:color w:val="000000"/>
          <w:sz w:val="16"/>
          <w:szCs w:val="16"/>
          <w:lang w:eastAsia="sk-SK"/>
        </w:rPr>
        <w:t xml:space="preserve">Zdroj: </w:t>
      </w:r>
      <w:proofErr w:type="spellStart"/>
      <w:r w:rsidRPr="00543339">
        <w:rPr>
          <w:rFonts w:eastAsia="Times New Roman" w:cs="Times New Roman"/>
          <w:iCs/>
          <w:color w:val="000000"/>
          <w:sz w:val="16"/>
          <w:szCs w:val="16"/>
          <w:lang w:eastAsia="sk-SK"/>
        </w:rPr>
        <w:t>Eurostat</w:t>
      </w:r>
      <w:proofErr w:type="spellEnd"/>
    </w:p>
    <w:p w14:paraId="4125667B" w14:textId="5617BFF8" w:rsidR="007A6812" w:rsidRDefault="007A6812" w:rsidP="00D04835">
      <w:pPr>
        <w:spacing w:line="240" w:lineRule="auto"/>
        <w:rPr>
          <w:sz w:val="24"/>
          <w:szCs w:val="24"/>
        </w:rPr>
      </w:pPr>
      <w:r w:rsidRPr="00FE31D9">
        <w:rPr>
          <w:rFonts w:eastAsia="Times New Roman" w:cs="Times New Roman"/>
          <w:iCs/>
          <w:color w:val="000000"/>
          <w:sz w:val="16"/>
          <w:szCs w:val="16"/>
          <w:lang w:eastAsia="sk-SK"/>
        </w:rPr>
        <w:t xml:space="preserve">1) Predchádzajúce obdobia sú zrevidované podľa aktuálneho press </w:t>
      </w:r>
      <w:proofErr w:type="spellStart"/>
      <w:r w:rsidRPr="00FE31D9">
        <w:rPr>
          <w:rFonts w:eastAsia="Times New Roman" w:cs="Times New Roman"/>
          <w:iCs/>
          <w:color w:val="000000"/>
          <w:sz w:val="16"/>
          <w:szCs w:val="16"/>
          <w:lang w:eastAsia="sk-SK"/>
        </w:rPr>
        <w:t>release</w:t>
      </w:r>
      <w:proofErr w:type="spellEnd"/>
      <w:r w:rsidRPr="00FE31D9">
        <w:rPr>
          <w:rFonts w:eastAsia="Times New Roman" w:cs="Times New Roman"/>
          <w:iCs/>
          <w:color w:val="000000"/>
          <w:sz w:val="16"/>
          <w:szCs w:val="16"/>
          <w:lang w:eastAsia="sk-SK"/>
        </w:rPr>
        <w:t xml:space="preserve"> (22.4.2021). Údaje sú usporiadané podľa poradia deficitu/dlhu v</w:t>
      </w:r>
      <w:r>
        <w:rPr>
          <w:rFonts w:eastAsia="Times New Roman" w:cs="Times New Roman"/>
          <w:iCs/>
          <w:color w:val="000000"/>
          <w:sz w:val="16"/>
          <w:szCs w:val="16"/>
          <w:lang w:eastAsia="sk-SK"/>
        </w:rPr>
        <w:t> </w:t>
      </w:r>
      <w:r w:rsidRPr="00FE31D9">
        <w:rPr>
          <w:rFonts w:eastAsia="Times New Roman" w:cs="Times New Roman"/>
          <w:iCs/>
          <w:color w:val="000000"/>
          <w:sz w:val="16"/>
          <w:szCs w:val="16"/>
          <w:lang w:eastAsia="sk-SK"/>
        </w:rPr>
        <w:t>poslednom sledovanom období od najhoršieho (vzostupne).</w:t>
      </w:r>
    </w:p>
    <w:p w14:paraId="1E6D4BF1" w14:textId="77777777" w:rsidR="007A6812" w:rsidRDefault="007A6812" w:rsidP="00D04835">
      <w:pPr>
        <w:spacing w:line="240" w:lineRule="auto"/>
        <w:rPr>
          <w:sz w:val="24"/>
          <w:szCs w:val="24"/>
        </w:rPr>
      </w:pPr>
    </w:p>
    <w:p w14:paraId="59C4EAEB" w14:textId="77777777" w:rsidR="00940C6B" w:rsidRDefault="00940C6B" w:rsidP="00940C6B">
      <w:pPr>
        <w:spacing w:line="240" w:lineRule="auto"/>
        <w:rPr>
          <w:sz w:val="24"/>
          <w:szCs w:val="24"/>
        </w:rPr>
      </w:pPr>
      <w:r>
        <w:rPr>
          <w:sz w:val="24"/>
          <w:szCs w:val="24"/>
        </w:rPr>
        <w:t>V roku 2020</w:t>
      </w:r>
      <w:r w:rsidRPr="004D2DE1">
        <w:rPr>
          <w:sz w:val="24"/>
          <w:szCs w:val="24"/>
        </w:rPr>
        <w:t xml:space="preserve"> </w:t>
      </w:r>
      <w:r>
        <w:rPr>
          <w:sz w:val="24"/>
          <w:szCs w:val="24"/>
        </w:rPr>
        <w:t>vládny schodok aj dlh v Eurozóne aj v rámci všetkých krajín EÚ výrazne vzrástol v porovnaní s rokom 2019 najmä z dôvodu pandémie COVID-19. V Eurozóne podiel deficitu k HDP vzrástol z 0,6 % v roku 2019 na 7,2 % HDP v roku 2020 a v rámci EÚ z 0,5% HDP na 6,9% HDP. V Eurozóne podiel vládneho dlhu k HDP vzrástol z 83,9 % ku koncu roka 2019 na 98,0 % HDP ku koncu roka 2020 a v rámci EÚ z 77,5% HDP na 90,7 % HDP.</w:t>
      </w:r>
    </w:p>
    <w:p w14:paraId="7984D1F1" w14:textId="181B79FA" w:rsidR="007D1D53" w:rsidRPr="005B14E9" w:rsidRDefault="007D1D53" w:rsidP="00940C6B">
      <w:pPr>
        <w:spacing w:line="240" w:lineRule="auto"/>
        <w:rPr>
          <w:sz w:val="24"/>
          <w:szCs w:val="24"/>
        </w:rPr>
      </w:pPr>
      <w:r w:rsidRPr="005B14E9">
        <w:rPr>
          <w:sz w:val="24"/>
          <w:szCs w:val="24"/>
        </w:rPr>
        <w:t>Najvyššie schodky verejnej správy v rámci EÚ 27 v roku 2020 vykázali</w:t>
      </w:r>
      <w:r w:rsidRPr="005B14E9">
        <w:rPr>
          <w:color w:val="FF0000"/>
          <w:sz w:val="24"/>
          <w:szCs w:val="24"/>
        </w:rPr>
        <w:t xml:space="preserve"> </w:t>
      </w:r>
      <w:r w:rsidRPr="005B14E9">
        <w:rPr>
          <w:sz w:val="24"/>
          <w:szCs w:val="24"/>
        </w:rPr>
        <w:t>krajiny ako Španielsko 11,0 %</w:t>
      </w:r>
      <w:r w:rsidR="00B06430" w:rsidRPr="005B14E9">
        <w:rPr>
          <w:sz w:val="24"/>
          <w:szCs w:val="24"/>
        </w:rPr>
        <w:t>, Malta 10,1 %</w:t>
      </w:r>
      <w:r w:rsidRPr="005B14E9">
        <w:rPr>
          <w:sz w:val="24"/>
          <w:szCs w:val="24"/>
        </w:rPr>
        <w:t>, Grécko 9,7 %, Ta</w:t>
      </w:r>
      <w:r w:rsidR="00B06430" w:rsidRPr="005B14E9">
        <w:rPr>
          <w:sz w:val="24"/>
          <w:szCs w:val="24"/>
        </w:rPr>
        <w:t>liansko 9,5 %, Belgicko 9,4 %</w:t>
      </w:r>
      <w:r w:rsidRPr="005B14E9">
        <w:rPr>
          <w:sz w:val="24"/>
          <w:szCs w:val="24"/>
        </w:rPr>
        <w:t xml:space="preserve">, </w:t>
      </w:r>
      <w:r w:rsidR="006A45BA">
        <w:rPr>
          <w:sz w:val="24"/>
          <w:szCs w:val="24"/>
        </w:rPr>
        <w:t>Francúzsko 9,2 %</w:t>
      </w:r>
      <w:r w:rsidR="00B06430" w:rsidRPr="005B14E9">
        <w:rPr>
          <w:sz w:val="24"/>
          <w:szCs w:val="24"/>
        </w:rPr>
        <w:t xml:space="preserve"> a Rumunsko 9,2 %</w:t>
      </w:r>
      <w:r w:rsidRPr="005B14E9">
        <w:rPr>
          <w:sz w:val="24"/>
          <w:szCs w:val="24"/>
        </w:rPr>
        <w:t>. Najvýraznejšie medziročné zhoršenie dosiahlo Grécko </w:t>
      </w:r>
      <w:r w:rsidR="00D65C1F" w:rsidRPr="005B14E9">
        <w:rPr>
          <w:sz w:val="24"/>
          <w:szCs w:val="24"/>
        </w:rPr>
        <w:t xml:space="preserve">o </w:t>
      </w:r>
      <w:r w:rsidRPr="005B14E9">
        <w:rPr>
          <w:sz w:val="24"/>
          <w:szCs w:val="24"/>
        </w:rPr>
        <w:t>10,8</w:t>
      </w:r>
      <w:r w:rsidR="006A45BA">
        <w:rPr>
          <w:sz w:val="24"/>
          <w:szCs w:val="24"/>
        </w:rPr>
        <w:t xml:space="preserve"> p. b., Malta o 10,5 p. b. a </w:t>
      </w:r>
      <w:r w:rsidR="00B06430" w:rsidRPr="005B14E9">
        <w:rPr>
          <w:sz w:val="24"/>
          <w:szCs w:val="24"/>
        </w:rPr>
        <w:t>Rakúsko o 9,5 p. </w:t>
      </w:r>
      <w:r w:rsidRPr="005B14E9">
        <w:rPr>
          <w:sz w:val="24"/>
          <w:szCs w:val="24"/>
        </w:rPr>
        <w:t>b. K najnižšiemu medziročnému zhoršeniu hospodárenia došlo v krajinách ako Švédsko o 3,7</w:t>
      </w:r>
      <w:r w:rsidR="00B06430" w:rsidRPr="005B14E9">
        <w:rPr>
          <w:sz w:val="24"/>
          <w:szCs w:val="24"/>
        </w:rPr>
        <w:t> </w:t>
      </w:r>
      <w:r w:rsidRPr="005B14E9">
        <w:rPr>
          <w:sz w:val="24"/>
          <w:szCs w:val="24"/>
        </w:rPr>
        <w:t>p.</w:t>
      </w:r>
      <w:r w:rsidR="00B06430" w:rsidRPr="005B14E9">
        <w:rPr>
          <w:sz w:val="24"/>
          <w:szCs w:val="24"/>
        </w:rPr>
        <w:t> b.</w:t>
      </w:r>
      <w:r w:rsidRPr="005B14E9">
        <w:rPr>
          <w:sz w:val="24"/>
          <w:szCs w:val="24"/>
        </w:rPr>
        <w:t>, Lotyšsko o 3,9</w:t>
      </w:r>
      <w:r w:rsidR="00B06430" w:rsidRPr="005B14E9">
        <w:rPr>
          <w:sz w:val="24"/>
          <w:szCs w:val="24"/>
        </w:rPr>
        <w:t> </w:t>
      </w:r>
      <w:r w:rsidRPr="005B14E9">
        <w:rPr>
          <w:sz w:val="24"/>
          <w:szCs w:val="24"/>
        </w:rPr>
        <w:t>p.</w:t>
      </w:r>
      <w:r w:rsidR="00B06430" w:rsidRPr="005B14E9">
        <w:rPr>
          <w:sz w:val="24"/>
          <w:szCs w:val="24"/>
        </w:rPr>
        <w:t> b</w:t>
      </w:r>
      <w:r w:rsidR="00D65C1F" w:rsidRPr="005B14E9">
        <w:rPr>
          <w:sz w:val="24"/>
          <w:szCs w:val="24"/>
        </w:rPr>
        <w:t>.</w:t>
      </w:r>
      <w:r w:rsidR="00B06430" w:rsidRPr="005B14E9">
        <w:rPr>
          <w:sz w:val="24"/>
          <w:szCs w:val="24"/>
        </w:rPr>
        <w:t xml:space="preserve"> a Fínsko o 4,5 </w:t>
      </w:r>
      <w:r w:rsidRPr="005B14E9">
        <w:rPr>
          <w:sz w:val="24"/>
          <w:szCs w:val="24"/>
        </w:rPr>
        <w:t>p.</w:t>
      </w:r>
      <w:r w:rsidR="00B06430" w:rsidRPr="005B14E9">
        <w:rPr>
          <w:sz w:val="24"/>
          <w:szCs w:val="24"/>
        </w:rPr>
        <w:t> </w:t>
      </w:r>
      <w:r w:rsidRPr="005B14E9">
        <w:rPr>
          <w:sz w:val="24"/>
          <w:szCs w:val="24"/>
        </w:rPr>
        <w:t>b.</w:t>
      </w:r>
    </w:p>
    <w:p w14:paraId="0F2EAC17" w14:textId="7EF06DD1" w:rsidR="007D1D53" w:rsidRPr="005B14E9" w:rsidRDefault="007D1D53" w:rsidP="00D04835">
      <w:pPr>
        <w:spacing w:line="240" w:lineRule="auto"/>
        <w:rPr>
          <w:b/>
          <w:color w:val="FF0000"/>
          <w:sz w:val="24"/>
          <w:szCs w:val="24"/>
        </w:rPr>
      </w:pPr>
      <w:r w:rsidRPr="005B14E9">
        <w:rPr>
          <w:sz w:val="24"/>
          <w:szCs w:val="24"/>
        </w:rPr>
        <w:t>Medzi krajinami s najvyšším dlhom sa nachádzajú krajiny s dlhodobo vysokými dlhmi ako Grécko a Taliansko. Sedem krajín dosiahlo úroveň zadlženosti nad 100 %</w:t>
      </w:r>
      <w:r w:rsidR="00463C67">
        <w:rPr>
          <w:sz w:val="24"/>
          <w:szCs w:val="24"/>
        </w:rPr>
        <w:t xml:space="preserve"> HDP</w:t>
      </w:r>
      <w:r w:rsidRPr="005B14E9">
        <w:rPr>
          <w:sz w:val="24"/>
          <w:szCs w:val="24"/>
        </w:rPr>
        <w:t>. Najvyšší dlh verejnej správy v roku 2020 opäť vykázalo Grécko</w:t>
      </w:r>
      <w:r w:rsidR="00B06430" w:rsidRPr="005B14E9">
        <w:rPr>
          <w:sz w:val="24"/>
          <w:szCs w:val="24"/>
        </w:rPr>
        <w:t xml:space="preserve"> 205,6 % HDP, Taliansko 155,8 % </w:t>
      </w:r>
      <w:r w:rsidRPr="005B14E9">
        <w:rPr>
          <w:sz w:val="24"/>
          <w:szCs w:val="24"/>
        </w:rPr>
        <w:t>HDP, Portugalsk</w:t>
      </w:r>
      <w:r w:rsidR="00B06430" w:rsidRPr="005B14E9">
        <w:rPr>
          <w:sz w:val="24"/>
          <w:szCs w:val="24"/>
        </w:rPr>
        <w:t>o 133,6 % HDP, Španielsko 120,0 % HDP. Najvýraznejší</w:t>
      </w:r>
      <w:r w:rsidRPr="005B14E9">
        <w:rPr>
          <w:sz w:val="24"/>
          <w:szCs w:val="24"/>
        </w:rPr>
        <w:t xml:space="preserve"> medziro</w:t>
      </w:r>
      <w:r w:rsidR="00B06430" w:rsidRPr="005B14E9">
        <w:rPr>
          <w:sz w:val="24"/>
          <w:szCs w:val="24"/>
        </w:rPr>
        <w:t>čný nárast dlhu dosiahlo Grécko o 25,1 p. b., Taliansko o 24,5 p. b. a Cyprus o 24,2 p. </w:t>
      </w:r>
      <w:r w:rsidRPr="005B14E9">
        <w:rPr>
          <w:sz w:val="24"/>
          <w:szCs w:val="24"/>
        </w:rPr>
        <w:t xml:space="preserve">b. K najnižšiemu medziročnému zadlženiu došlo </w:t>
      </w:r>
      <w:r w:rsidR="00B06430" w:rsidRPr="005B14E9">
        <w:rPr>
          <w:sz w:val="24"/>
          <w:szCs w:val="24"/>
        </w:rPr>
        <w:t>v krajinách ako Írsko o 2,1 </w:t>
      </w:r>
      <w:r w:rsidRPr="005B14E9">
        <w:rPr>
          <w:sz w:val="24"/>
          <w:szCs w:val="24"/>
        </w:rPr>
        <w:t>p.</w:t>
      </w:r>
      <w:r w:rsidR="00B06430" w:rsidRPr="005B14E9">
        <w:rPr>
          <w:sz w:val="24"/>
          <w:szCs w:val="24"/>
        </w:rPr>
        <w:t> b., Luxembursko o 2,9 </w:t>
      </w:r>
      <w:r w:rsidRPr="005B14E9">
        <w:rPr>
          <w:sz w:val="24"/>
          <w:szCs w:val="24"/>
        </w:rPr>
        <w:t>p.</w:t>
      </w:r>
      <w:r w:rsidR="00B06430" w:rsidRPr="005B14E9">
        <w:rPr>
          <w:sz w:val="24"/>
          <w:szCs w:val="24"/>
        </w:rPr>
        <w:t> b</w:t>
      </w:r>
      <w:r w:rsidR="002F2778">
        <w:rPr>
          <w:sz w:val="24"/>
          <w:szCs w:val="24"/>
        </w:rPr>
        <w:t>.</w:t>
      </w:r>
      <w:r w:rsidR="00B06430" w:rsidRPr="005B14E9">
        <w:rPr>
          <w:sz w:val="24"/>
          <w:szCs w:val="24"/>
        </w:rPr>
        <w:t xml:space="preserve"> a</w:t>
      </w:r>
      <w:r w:rsidR="006A45BA">
        <w:rPr>
          <w:sz w:val="24"/>
          <w:szCs w:val="24"/>
        </w:rPr>
        <w:t xml:space="preserve"> </w:t>
      </w:r>
      <w:r w:rsidR="00B06430" w:rsidRPr="005B14E9">
        <w:rPr>
          <w:sz w:val="24"/>
          <w:szCs w:val="24"/>
        </w:rPr>
        <w:t>Bulharsko o 4,8 </w:t>
      </w:r>
      <w:r w:rsidRPr="005B14E9">
        <w:rPr>
          <w:sz w:val="24"/>
          <w:szCs w:val="24"/>
        </w:rPr>
        <w:t>p.</w:t>
      </w:r>
      <w:r w:rsidR="00B06430" w:rsidRPr="005B14E9">
        <w:rPr>
          <w:sz w:val="24"/>
          <w:szCs w:val="24"/>
        </w:rPr>
        <w:t> </w:t>
      </w:r>
      <w:r w:rsidRPr="005B14E9">
        <w:rPr>
          <w:sz w:val="24"/>
          <w:szCs w:val="24"/>
        </w:rPr>
        <w:t>b. Najnižší dlh vykázalo opäť Estónsko vo výške 18,2 % HDP, Luxembursko 24,9 % HDP a Bulharsko 25,0 % HDP.</w:t>
      </w:r>
    </w:p>
    <w:p w14:paraId="2EB9CB55" w14:textId="16CFD99E" w:rsidR="00CB3C45" w:rsidRPr="000E55F9" w:rsidRDefault="0032707C" w:rsidP="00CB3C45">
      <w:pPr>
        <w:rPr>
          <w:color w:val="FF0000"/>
          <w:highlight w:val="yellow"/>
        </w:rPr>
      </w:pPr>
      <w:bookmarkStart w:id="31" w:name="_Toc6415640"/>
      <w:r>
        <w:br w:type="page"/>
      </w:r>
    </w:p>
    <w:p w14:paraId="25C934C7" w14:textId="5C95F832" w:rsidR="008254BE" w:rsidRDefault="008254BE" w:rsidP="008D5E94">
      <w:pPr>
        <w:pStyle w:val="Nadpis1"/>
        <w:ind w:left="709"/>
      </w:pPr>
      <w:bookmarkStart w:id="32" w:name="_Toc70026091"/>
      <w:r>
        <w:t xml:space="preserve">Hospodárenie </w:t>
      </w:r>
      <w:r w:rsidRPr="00ED135D">
        <w:t>štátneho</w:t>
      </w:r>
      <w:r>
        <w:t xml:space="preserve"> rozpočtu na hotovostn</w:t>
      </w:r>
      <w:r w:rsidR="00476126">
        <w:t>om</w:t>
      </w:r>
      <w:r>
        <w:t xml:space="preserve"> </w:t>
      </w:r>
      <w:r w:rsidR="00476126">
        <w:t>princípe</w:t>
      </w:r>
      <w:bookmarkEnd w:id="31"/>
      <w:bookmarkEnd w:id="32"/>
    </w:p>
    <w:p w14:paraId="3138BF79" w14:textId="77777777" w:rsidR="003259FA" w:rsidRPr="008E6BBC" w:rsidRDefault="003259FA" w:rsidP="001665F3">
      <w:pPr>
        <w:spacing w:line="240" w:lineRule="auto"/>
        <w:rPr>
          <w:sz w:val="24"/>
          <w:szCs w:val="24"/>
        </w:rPr>
      </w:pPr>
      <w:r w:rsidRPr="008E6BBC">
        <w:rPr>
          <w:sz w:val="24"/>
          <w:szCs w:val="24"/>
        </w:rPr>
        <w:t xml:space="preserve">Štátny rozpočet je základnou súčasťou rozpočtu verejnej správy a zabezpečuje sa ním financovanie hlavných funkcií štátu v príslušnom rozpočtovom roku. Štátny rozpočet schvaľuje parlament zákonom o štátnom rozpočte, ktorým sa určuje najmä výška príjmov štátneho rozpočtu, limit výdavkov štátneho rozpočtu, maximálna výška rozpočtovaného schodku alebo minimálna výška rozpočtovaného prebytku štátneho rozpočtu, ak nie sú príjmy a výdavky vyrovnané. </w:t>
      </w:r>
    </w:p>
    <w:p w14:paraId="1621EA6A" w14:textId="77777777" w:rsidR="005645AB" w:rsidRDefault="003259FA" w:rsidP="001665F3">
      <w:pPr>
        <w:spacing w:line="240" w:lineRule="auto"/>
        <w:rPr>
          <w:sz w:val="24"/>
          <w:szCs w:val="24"/>
        </w:rPr>
      </w:pPr>
      <w:r w:rsidRPr="008E6BBC">
        <w:rPr>
          <w:sz w:val="24"/>
          <w:szCs w:val="24"/>
        </w:rPr>
        <w:t>Plnenie príjmov štátneho rozpočtu ako aj realizácia výdavkov štátneho rozpočtu v hotovostnom vyjadrení významne ovplyvňuje aj hospodárenie celej verejnej správy v metodike ESA 2010. Legislatívne zmeny</w:t>
      </w:r>
      <w:r w:rsidR="00C75B27" w:rsidRPr="008E6BBC">
        <w:rPr>
          <w:sz w:val="24"/>
          <w:szCs w:val="24"/>
        </w:rPr>
        <w:t>,</w:t>
      </w:r>
      <w:r w:rsidRPr="008E6BBC">
        <w:rPr>
          <w:sz w:val="24"/>
          <w:szCs w:val="24"/>
        </w:rPr>
        <w:t xml:space="preserve"> ako aj prijaté opatrenia a zámery vlády SR uvedené v kapitole 2</w:t>
      </w:r>
      <w:r w:rsidR="00C75B27" w:rsidRPr="008E6BBC">
        <w:rPr>
          <w:sz w:val="24"/>
          <w:szCs w:val="24"/>
        </w:rPr>
        <w:t>,</w:t>
      </w:r>
      <w:r w:rsidRPr="008E6BBC">
        <w:rPr>
          <w:sz w:val="24"/>
          <w:szCs w:val="24"/>
        </w:rPr>
        <w:t xml:space="preserve"> sa vo väčšine prípadov realizujú práve cez príjmy a výdavky štátneho rozpočtu (napr. zmeny v daňovej legislatíve, opatrenia v oblasti odmeňovania verejnej správy, podporné schémy v čase krízy a podobne). </w:t>
      </w:r>
    </w:p>
    <w:p w14:paraId="69165A39" w14:textId="40EC708D" w:rsidR="003259FA" w:rsidRPr="008E6BBC" w:rsidRDefault="005645AB" w:rsidP="001665F3">
      <w:pPr>
        <w:spacing w:line="240" w:lineRule="auto"/>
        <w:rPr>
          <w:sz w:val="24"/>
          <w:szCs w:val="24"/>
        </w:rPr>
      </w:pPr>
      <w:r w:rsidRPr="005645AB">
        <w:rPr>
          <w:b/>
          <w:sz w:val="24"/>
          <w:szCs w:val="24"/>
        </w:rPr>
        <w:t xml:space="preserve">Schválený rozpočet je uvádzaný </w:t>
      </w:r>
      <w:r w:rsidR="00C75B27" w:rsidRPr="005645AB">
        <w:rPr>
          <w:b/>
          <w:sz w:val="24"/>
          <w:szCs w:val="24"/>
        </w:rPr>
        <w:t xml:space="preserve">podľa zákona č. 468/2019 </w:t>
      </w:r>
      <w:r w:rsidR="004B6995" w:rsidRPr="005645AB">
        <w:rPr>
          <w:b/>
          <w:sz w:val="24"/>
          <w:szCs w:val="24"/>
        </w:rPr>
        <w:t>Z. z.</w:t>
      </w:r>
      <w:r w:rsidR="00C75B27" w:rsidRPr="005645AB">
        <w:rPr>
          <w:b/>
          <w:sz w:val="24"/>
          <w:szCs w:val="24"/>
        </w:rPr>
        <w:t xml:space="preserve"> </w:t>
      </w:r>
      <w:r w:rsidR="003259FA" w:rsidRPr="005645AB">
        <w:rPr>
          <w:b/>
          <w:sz w:val="24"/>
          <w:szCs w:val="24"/>
        </w:rPr>
        <w:t>o</w:t>
      </w:r>
      <w:r w:rsidR="00C75B27" w:rsidRPr="005645AB">
        <w:rPr>
          <w:b/>
          <w:sz w:val="24"/>
          <w:szCs w:val="24"/>
        </w:rPr>
        <w:t> </w:t>
      </w:r>
      <w:r w:rsidR="003259FA" w:rsidRPr="005645AB">
        <w:rPr>
          <w:b/>
          <w:sz w:val="24"/>
          <w:szCs w:val="24"/>
        </w:rPr>
        <w:t>štátnom rozpočte na rok 2020 v znení zákona č. 217/2020 Z. z. (ďalej len ,,zákon o štátnom rozpočte“</w:t>
      </w:r>
      <w:r>
        <w:rPr>
          <w:b/>
          <w:sz w:val="24"/>
          <w:szCs w:val="24"/>
        </w:rPr>
        <w:t xml:space="preserve"> alebo ,,novelizovaný rozpočet“</w:t>
      </w:r>
      <w:r w:rsidR="003259FA" w:rsidRPr="005645AB">
        <w:rPr>
          <w:b/>
          <w:sz w:val="24"/>
          <w:szCs w:val="24"/>
        </w:rPr>
        <w:t>).</w:t>
      </w:r>
      <w:r>
        <w:rPr>
          <w:b/>
          <w:sz w:val="24"/>
          <w:szCs w:val="24"/>
        </w:rPr>
        <w:t xml:space="preserve"> Skutočnosť je </w:t>
      </w:r>
      <w:r w:rsidR="00EF531F">
        <w:rPr>
          <w:b/>
          <w:sz w:val="24"/>
          <w:szCs w:val="24"/>
        </w:rPr>
        <w:t xml:space="preserve">potom </w:t>
      </w:r>
      <w:r>
        <w:rPr>
          <w:b/>
          <w:sz w:val="24"/>
          <w:szCs w:val="24"/>
        </w:rPr>
        <w:t>hodnotená voči novelizovanému štátnemu rozpočtu.</w:t>
      </w:r>
      <w:r w:rsidR="003259FA" w:rsidRPr="008E6BBC">
        <w:rPr>
          <w:sz w:val="24"/>
          <w:szCs w:val="24"/>
        </w:rPr>
        <w:t xml:space="preserve"> Prekročenie alebo nenaplnenie rozpočtovaných príjmov a výdavkov je nutné vnímať aj v kontexte faktorov uvedených v kapitole 2.  </w:t>
      </w:r>
    </w:p>
    <w:p w14:paraId="199031AC" w14:textId="4AA33211" w:rsidR="003259FA" w:rsidRPr="005A14B8" w:rsidRDefault="003259FA" w:rsidP="001665F3">
      <w:pPr>
        <w:spacing w:line="240" w:lineRule="auto"/>
        <w:rPr>
          <w:sz w:val="24"/>
          <w:szCs w:val="24"/>
          <w:u w:val="single"/>
        </w:rPr>
      </w:pPr>
      <w:r w:rsidRPr="005A14B8">
        <w:rPr>
          <w:sz w:val="24"/>
          <w:szCs w:val="24"/>
          <w:u w:val="single"/>
        </w:rPr>
        <w:t>Základné rozpočtové ukazovatele štátneho rozpočtu pre rok</w:t>
      </w:r>
      <w:r w:rsidR="00996C44" w:rsidRPr="005A14B8">
        <w:rPr>
          <w:sz w:val="24"/>
          <w:szCs w:val="24"/>
          <w:u w:val="single"/>
        </w:rPr>
        <w:t xml:space="preserve"> 2020 boli stanovené zákonom </w:t>
      </w:r>
      <w:r w:rsidR="00C75B27" w:rsidRPr="005A14B8">
        <w:rPr>
          <w:sz w:val="24"/>
          <w:szCs w:val="24"/>
          <w:u w:val="single"/>
        </w:rPr>
        <w:t>o </w:t>
      </w:r>
      <w:r w:rsidRPr="005A14B8">
        <w:rPr>
          <w:sz w:val="24"/>
          <w:szCs w:val="24"/>
          <w:u w:val="single"/>
        </w:rPr>
        <w:t>štátnom rozpočte, ktorý určil celkové príjmy štátneho rozpočtu v</w:t>
      </w:r>
      <w:r w:rsidR="00FC4BC7" w:rsidRPr="005A14B8">
        <w:rPr>
          <w:sz w:val="24"/>
          <w:szCs w:val="24"/>
          <w:u w:val="single"/>
        </w:rPr>
        <w:t xml:space="preserve"> hotovostnom vyjadrení sumou 14 366 447 </w:t>
      </w:r>
      <w:r w:rsidRPr="005A14B8">
        <w:rPr>
          <w:sz w:val="24"/>
          <w:szCs w:val="24"/>
          <w:u w:val="single"/>
        </w:rPr>
        <w:t>tis. eur a celkové výdavky sumou 26 319 081 tis. eur. Pôvod</w:t>
      </w:r>
      <w:r w:rsidR="00FC4BC7" w:rsidRPr="005A14B8">
        <w:rPr>
          <w:sz w:val="24"/>
          <w:szCs w:val="24"/>
          <w:u w:val="single"/>
        </w:rPr>
        <w:t xml:space="preserve">ne schválený schodok </w:t>
      </w:r>
      <w:r w:rsidR="00C31F3B" w:rsidRPr="005A14B8">
        <w:rPr>
          <w:sz w:val="24"/>
          <w:szCs w:val="24"/>
          <w:u w:val="single"/>
        </w:rPr>
        <w:t>v </w:t>
      </w:r>
      <w:r w:rsidR="00C94046" w:rsidRPr="005A14B8">
        <w:rPr>
          <w:sz w:val="24"/>
          <w:szCs w:val="24"/>
          <w:u w:val="single"/>
        </w:rPr>
        <w:t>decembri</w:t>
      </w:r>
      <w:r w:rsidR="00C31F3B" w:rsidRPr="005A14B8">
        <w:rPr>
          <w:sz w:val="24"/>
          <w:szCs w:val="24"/>
          <w:u w:val="single"/>
        </w:rPr>
        <w:t xml:space="preserve"> 2019 na rok 2020 </w:t>
      </w:r>
      <w:r w:rsidR="00FC4BC7" w:rsidRPr="005A14B8">
        <w:rPr>
          <w:sz w:val="24"/>
          <w:szCs w:val="24"/>
          <w:u w:val="single"/>
        </w:rPr>
        <w:t>vo výške 2 768 182 tis. eur sa tak zvýšil na 11 952 </w:t>
      </w:r>
      <w:r w:rsidRPr="005A14B8">
        <w:rPr>
          <w:sz w:val="24"/>
          <w:szCs w:val="24"/>
          <w:u w:val="single"/>
        </w:rPr>
        <w:t xml:space="preserve">634 tis. eur. </w:t>
      </w:r>
    </w:p>
    <w:p w14:paraId="4BCE5BB7" w14:textId="04D5E6D4" w:rsidR="003259FA" w:rsidRPr="008E6BBC" w:rsidRDefault="003259FA" w:rsidP="001665F3">
      <w:pPr>
        <w:spacing w:line="240" w:lineRule="auto"/>
        <w:rPr>
          <w:sz w:val="24"/>
          <w:szCs w:val="24"/>
        </w:rPr>
      </w:pPr>
      <w:r w:rsidRPr="008E6BBC">
        <w:rPr>
          <w:sz w:val="24"/>
          <w:szCs w:val="24"/>
        </w:rPr>
        <w:t>Skutočné dosiahnuté hotovostné príjm</w:t>
      </w:r>
      <w:r w:rsidR="00FC4BC7" w:rsidRPr="008E6BBC">
        <w:rPr>
          <w:sz w:val="24"/>
          <w:szCs w:val="24"/>
        </w:rPr>
        <w:t>y štátneho rozpočtu vo výške 15 750 </w:t>
      </w:r>
      <w:r w:rsidRPr="008E6BBC">
        <w:rPr>
          <w:sz w:val="24"/>
          <w:szCs w:val="24"/>
        </w:rPr>
        <w:t xml:space="preserve">634 tis. eur boli oproti </w:t>
      </w:r>
      <w:r w:rsidR="00FC4BC7" w:rsidRPr="008E6BBC">
        <w:rPr>
          <w:sz w:val="24"/>
          <w:szCs w:val="24"/>
        </w:rPr>
        <w:t xml:space="preserve">schválenému rozpočtu </w:t>
      </w:r>
      <w:r w:rsidR="00944382" w:rsidRPr="008E6BBC">
        <w:rPr>
          <w:sz w:val="24"/>
          <w:szCs w:val="24"/>
        </w:rPr>
        <w:t xml:space="preserve">v auguste 2020 </w:t>
      </w:r>
      <w:r w:rsidR="00FC4BC7" w:rsidRPr="008E6BBC">
        <w:rPr>
          <w:sz w:val="24"/>
          <w:szCs w:val="24"/>
        </w:rPr>
        <w:t>vyššie o 1 384 </w:t>
      </w:r>
      <w:r w:rsidRPr="008E6BBC">
        <w:rPr>
          <w:sz w:val="24"/>
          <w:szCs w:val="24"/>
        </w:rPr>
        <w:t>187 tis. eur a oproti skutočn</w:t>
      </w:r>
      <w:r w:rsidR="00FC4BC7" w:rsidRPr="008E6BBC">
        <w:rPr>
          <w:sz w:val="24"/>
          <w:szCs w:val="24"/>
        </w:rPr>
        <w:t>osti roku 2019 boli nižšie o 74 </w:t>
      </w:r>
      <w:r w:rsidRPr="008E6BBC">
        <w:rPr>
          <w:sz w:val="24"/>
          <w:szCs w:val="24"/>
        </w:rPr>
        <w:t>901 tis. eur. Plnenie celkových príjmov štátneho rozpočtu tak dosiah</w:t>
      </w:r>
      <w:r w:rsidR="00FC4BC7" w:rsidRPr="008E6BBC">
        <w:rPr>
          <w:sz w:val="24"/>
          <w:szCs w:val="24"/>
        </w:rPr>
        <w:t>lo 109,6 </w:t>
      </w:r>
      <w:r w:rsidRPr="008E6BBC">
        <w:rPr>
          <w:sz w:val="24"/>
          <w:szCs w:val="24"/>
        </w:rPr>
        <w:t xml:space="preserve">%. </w:t>
      </w:r>
    </w:p>
    <w:p w14:paraId="46A15937" w14:textId="7FE45AAB" w:rsidR="003259FA" w:rsidRPr="008E6BBC" w:rsidRDefault="003259FA" w:rsidP="001665F3">
      <w:pPr>
        <w:spacing w:line="240" w:lineRule="auto"/>
        <w:rPr>
          <w:sz w:val="24"/>
          <w:szCs w:val="24"/>
        </w:rPr>
      </w:pPr>
      <w:r w:rsidRPr="008E6BBC">
        <w:rPr>
          <w:sz w:val="24"/>
          <w:szCs w:val="24"/>
        </w:rPr>
        <w:t>Skutočné dosiahnuté hotovostné výdavk</w:t>
      </w:r>
      <w:r w:rsidR="00FC4BC7" w:rsidRPr="008E6BBC">
        <w:rPr>
          <w:sz w:val="24"/>
          <w:szCs w:val="24"/>
        </w:rPr>
        <w:t>y štátneho rozpočtu vo výške 23 509 </w:t>
      </w:r>
      <w:r w:rsidRPr="008E6BBC">
        <w:rPr>
          <w:sz w:val="24"/>
          <w:szCs w:val="24"/>
        </w:rPr>
        <w:t xml:space="preserve">056 tis. eur boli nižšie ako </w:t>
      </w:r>
      <w:r w:rsidR="00FC4BC7" w:rsidRPr="008E6BBC">
        <w:rPr>
          <w:sz w:val="24"/>
          <w:szCs w:val="24"/>
        </w:rPr>
        <w:t>v schválenom rozpočte, a to o 2 810 </w:t>
      </w:r>
      <w:r w:rsidRPr="008E6BBC">
        <w:rPr>
          <w:sz w:val="24"/>
          <w:szCs w:val="24"/>
        </w:rPr>
        <w:t>025 tis. eur, pričo</w:t>
      </w:r>
      <w:r w:rsidR="00BF67ED" w:rsidRPr="008E6BBC">
        <w:rPr>
          <w:sz w:val="24"/>
          <w:szCs w:val="24"/>
        </w:rPr>
        <w:t>m medziročne sa zvýšili o 5 482 </w:t>
      </w:r>
      <w:r w:rsidRPr="008E6BBC">
        <w:rPr>
          <w:sz w:val="24"/>
          <w:szCs w:val="24"/>
        </w:rPr>
        <w:t xml:space="preserve">040 tis. eur. Plnenie celkových výdavkov štátneho </w:t>
      </w:r>
      <w:r w:rsidR="00FC4BC7" w:rsidRPr="008E6BBC">
        <w:rPr>
          <w:sz w:val="24"/>
          <w:szCs w:val="24"/>
        </w:rPr>
        <w:t>rozpočtu tak dosiahlo 89,3 </w:t>
      </w:r>
      <w:r w:rsidRPr="008E6BBC">
        <w:rPr>
          <w:sz w:val="24"/>
          <w:szCs w:val="24"/>
        </w:rPr>
        <w:t>% ich rozpočtovanej hodnoty.</w:t>
      </w:r>
    </w:p>
    <w:p w14:paraId="36E875BD" w14:textId="6C26EF65" w:rsidR="003259FA" w:rsidRPr="008E6BBC" w:rsidRDefault="003259FA" w:rsidP="001665F3">
      <w:pPr>
        <w:spacing w:line="240" w:lineRule="auto"/>
        <w:rPr>
          <w:sz w:val="24"/>
          <w:szCs w:val="24"/>
        </w:rPr>
      </w:pPr>
      <w:r w:rsidRPr="00DD400F">
        <w:rPr>
          <w:b/>
          <w:sz w:val="24"/>
          <w:szCs w:val="24"/>
        </w:rPr>
        <w:t>Schodok štátneho rozpočtu</w:t>
      </w:r>
      <w:r w:rsidR="004B6995" w:rsidRPr="00DD400F">
        <w:rPr>
          <w:b/>
          <w:sz w:val="24"/>
          <w:szCs w:val="24"/>
        </w:rPr>
        <w:t xml:space="preserve"> na hotovostnej báze vo výške 7 758 </w:t>
      </w:r>
      <w:r w:rsidR="00BF67ED" w:rsidRPr="00DD400F">
        <w:rPr>
          <w:b/>
          <w:sz w:val="24"/>
          <w:szCs w:val="24"/>
        </w:rPr>
        <w:t>422 tis. eur</w:t>
      </w:r>
      <w:r w:rsidR="00BF67ED" w:rsidRPr="008E6BBC">
        <w:rPr>
          <w:sz w:val="24"/>
          <w:szCs w:val="24"/>
        </w:rPr>
        <w:t xml:space="preserve"> je vo vzťahu k </w:t>
      </w:r>
      <w:r w:rsidR="004B6995" w:rsidRPr="008E6BBC">
        <w:rPr>
          <w:sz w:val="24"/>
          <w:szCs w:val="24"/>
        </w:rPr>
        <w:t>schválenému rozpočtu nižší o 4 194 212 </w:t>
      </w:r>
      <w:r w:rsidRPr="008E6BBC">
        <w:rPr>
          <w:sz w:val="24"/>
          <w:szCs w:val="24"/>
        </w:rPr>
        <w:t>tis. eur a vo vzťahu k upravenému rozpočtu je vykázaný schodok nižší o 3</w:t>
      </w:r>
      <w:r w:rsidR="004B6995" w:rsidRPr="008E6BBC">
        <w:rPr>
          <w:sz w:val="24"/>
          <w:szCs w:val="24"/>
        </w:rPr>
        <w:t> 763 </w:t>
      </w:r>
      <w:r w:rsidRPr="008E6BBC">
        <w:rPr>
          <w:sz w:val="24"/>
          <w:szCs w:val="24"/>
        </w:rPr>
        <w:t>890 tis. eur.</w:t>
      </w:r>
    </w:p>
    <w:p w14:paraId="65C50242" w14:textId="33807871" w:rsidR="003259FA" w:rsidRPr="008E6BBC" w:rsidRDefault="003259FA" w:rsidP="001665F3">
      <w:pPr>
        <w:spacing w:line="240" w:lineRule="auto"/>
        <w:rPr>
          <w:sz w:val="24"/>
          <w:szCs w:val="24"/>
        </w:rPr>
      </w:pPr>
      <w:r w:rsidRPr="008E6BBC">
        <w:rPr>
          <w:sz w:val="24"/>
          <w:szCs w:val="24"/>
        </w:rPr>
        <w:t>Súhrnný prehľad o rozpočtovaných a skutočne dosiahnutých základných rozpočtových ukazovateľoch v roku 2020</w:t>
      </w:r>
      <w:r w:rsidR="007E199A" w:rsidRPr="00DD400F">
        <w:rPr>
          <w:sz w:val="24"/>
          <w:szCs w:val="24"/>
          <w:vertAlign w:val="superscript"/>
        </w:rPr>
        <w:footnoteReference w:id="28"/>
      </w:r>
      <w:r w:rsidRPr="008E6BBC">
        <w:rPr>
          <w:sz w:val="24"/>
          <w:szCs w:val="24"/>
        </w:rPr>
        <w:t xml:space="preserve"> a za predchádzajúce dva roky na hotovostnej báze poskytujú</w:t>
      </w:r>
      <w:r>
        <w:t xml:space="preserve"> </w:t>
      </w:r>
      <w:r w:rsidRPr="008E6BBC">
        <w:rPr>
          <w:sz w:val="24"/>
          <w:szCs w:val="24"/>
        </w:rPr>
        <w:t>nasledovné údaje:</w:t>
      </w:r>
    </w:p>
    <w:p w14:paraId="492DD8D0" w14:textId="3F506024" w:rsidR="00B170DE" w:rsidRDefault="00B170DE">
      <w:pPr>
        <w:spacing w:after="160" w:line="259" w:lineRule="auto"/>
        <w:jc w:val="left"/>
      </w:pPr>
      <w:r>
        <w:br w:type="page"/>
      </w:r>
    </w:p>
    <w:tbl>
      <w:tblPr>
        <w:tblW w:w="9346" w:type="dxa"/>
        <w:jc w:val="center"/>
        <w:tblLayout w:type="fixed"/>
        <w:tblCellMar>
          <w:left w:w="70" w:type="dxa"/>
          <w:right w:w="70" w:type="dxa"/>
        </w:tblCellMar>
        <w:tblLook w:val="04A0" w:firstRow="1" w:lastRow="0" w:firstColumn="1" w:lastColumn="0" w:noHBand="0" w:noVBand="1"/>
      </w:tblPr>
      <w:tblGrid>
        <w:gridCol w:w="1985"/>
        <w:gridCol w:w="992"/>
        <w:gridCol w:w="992"/>
        <w:gridCol w:w="993"/>
        <w:gridCol w:w="1170"/>
        <w:gridCol w:w="1064"/>
        <w:gridCol w:w="1146"/>
        <w:gridCol w:w="1004"/>
      </w:tblGrid>
      <w:tr w:rsidR="008E4025" w:rsidRPr="008E4025" w14:paraId="04DE0361" w14:textId="77777777" w:rsidTr="006B2E4F">
        <w:trPr>
          <w:trHeight w:val="340"/>
          <w:jc w:val="center"/>
        </w:trPr>
        <w:tc>
          <w:tcPr>
            <w:tcW w:w="9346" w:type="dxa"/>
            <w:gridSpan w:val="8"/>
            <w:tcBorders>
              <w:top w:val="nil"/>
              <w:left w:val="nil"/>
              <w:bottom w:val="nil"/>
              <w:right w:val="nil"/>
            </w:tcBorders>
            <w:shd w:val="clear" w:color="000000" w:fill="000000"/>
            <w:vAlign w:val="center"/>
          </w:tcPr>
          <w:p w14:paraId="4259AA10" w14:textId="75CF2E0A" w:rsidR="008E4025" w:rsidRPr="008E4025" w:rsidRDefault="008E4025" w:rsidP="003259FA">
            <w:pPr>
              <w:spacing w:after="0" w:line="240" w:lineRule="auto"/>
              <w:jc w:val="left"/>
              <w:rPr>
                <w:rFonts w:eastAsia="Times New Roman" w:cs="Times New Roman"/>
                <w:b/>
                <w:bCs/>
                <w:sz w:val="16"/>
                <w:szCs w:val="16"/>
                <w:lang w:eastAsia="sk-SK"/>
              </w:rPr>
            </w:pPr>
            <w:r w:rsidRPr="008E4025">
              <w:rPr>
                <w:rFonts w:eastAsia="Times New Roman" w:cs="Times New Roman"/>
                <w:b/>
                <w:bCs/>
                <w:sz w:val="16"/>
                <w:szCs w:val="16"/>
                <w:lang w:eastAsia="sk-SK"/>
              </w:rPr>
              <w:t xml:space="preserve">Štátny rozpočet na hotovostnej báze                                                                                                          </w:t>
            </w:r>
            <w:r w:rsidR="00E71DEF">
              <w:rPr>
                <w:rFonts w:eastAsia="Times New Roman" w:cs="Times New Roman"/>
                <w:b/>
                <w:bCs/>
                <w:sz w:val="16"/>
                <w:szCs w:val="16"/>
                <w:lang w:eastAsia="sk-SK"/>
              </w:rPr>
              <w:t xml:space="preserve">                                   </w:t>
            </w:r>
            <w:r w:rsidR="002F2778">
              <w:rPr>
                <w:rFonts w:eastAsia="Times New Roman" w:cs="Times New Roman"/>
                <w:b/>
                <w:bCs/>
                <w:sz w:val="16"/>
                <w:szCs w:val="16"/>
                <w:lang w:eastAsia="sk-SK"/>
              </w:rPr>
              <w:t xml:space="preserve">       </w:t>
            </w:r>
            <w:r w:rsidR="00E71DEF">
              <w:rPr>
                <w:rFonts w:eastAsia="Times New Roman" w:cs="Times New Roman"/>
                <w:b/>
                <w:bCs/>
                <w:sz w:val="16"/>
                <w:szCs w:val="16"/>
                <w:lang w:eastAsia="sk-SK"/>
              </w:rPr>
              <w:t xml:space="preserve">  </w:t>
            </w:r>
            <w:r w:rsidRPr="008E4025">
              <w:rPr>
                <w:rFonts w:eastAsia="Times New Roman" w:cs="Times New Roman"/>
                <w:b/>
                <w:bCs/>
                <w:sz w:val="16"/>
                <w:szCs w:val="16"/>
                <w:lang w:eastAsia="sk-SK"/>
              </w:rPr>
              <w:t>v tis. eur</w:t>
            </w:r>
          </w:p>
        </w:tc>
      </w:tr>
      <w:tr w:rsidR="008430C6" w:rsidRPr="008E4025" w14:paraId="6FCF0354" w14:textId="77777777" w:rsidTr="008430C6">
        <w:trPr>
          <w:trHeight w:val="368"/>
          <w:jc w:val="center"/>
        </w:trPr>
        <w:tc>
          <w:tcPr>
            <w:tcW w:w="3969" w:type="dxa"/>
            <w:gridSpan w:val="3"/>
            <w:tcBorders>
              <w:top w:val="nil"/>
              <w:left w:val="nil"/>
              <w:bottom w:val="nil"/>
              <w:right w:val="nil"/>
            </w:tcBorders>
            <w:shd w:val="clear" w:color="000000" w:fill="BFBFBF"/>
            <w:vAlign w:val="center"/>
            <w:hideMark/>
          </w:tcPr>
          <w:p w14:paraId="5434525D" w14:textId="77777777" w:rsidR="008430C6" w:rsidRPr="008E4025" w:rsidRDefault="008430C6" w:rsidP="003259FA">
            <w:pPr>
              <w:spacing w:after="0" w:line="240" w:lineRule="auto"/>
              <w:jc w:val="center"/>
              <w:rPr>
                <w:rFonts w:eastAsia="Times New Roman" w:cs="Times New Roman"/>
                <w:b/>
                <w:bCs/>
                <w:sz w:val="16"/>
                <w:szCs w:val="16"/>
                <w:lang w:eastAsia="sk-SK"/>
              </w:rPr>
            </w:pPr>
            <w:r w:rsidRPr="008E4025">
              <w:rPr>
                <w:rFonts w:eastAsia="Times New Roman" w:cs="Times New Roman"/>
                <w:b/>
                <w:bCs/>
                <w:sz w:val="16"/>
                <w:szCs w:val="16"/>
                <w:lang w:eastAsia="sk-SK"/>
              </w:rPr>
              <w:t xml:space="preserve">                                                Skutočnosť</w:t>
            </w:r>
          </w:p>
        </w:tc>
        <w:tc>
          <w:tcPr>
            <w:tcW w:w="3227" w:type="dxa"/>
            <w:gridSpan w:val="3"/>
            <w:tcBorders>
              <w:top w:val="nil"/>
              <w:left w:val="nil"/>
              <w:bottom w:val="nil"/>
              <w:right w:val="nil"/>
            </w:tcBorders>
            <w:shd w:val="clear" w:color="000000" w:fill="BFBFBF"/>
            <w:vAlign w:val="center"/>
          </w:tcPr>
          <w:p w14:paraId="7648A77A" w14:textId="5BFCD0FB" w:rsidR="008430C6" w:rsidRPr="008E4025" w:rsidRDefault="008430C6" w:rsidP="003259FA">
            <w:pPr>
              <w:spacing w:after="0" w:line="240" w:lineRule="auto"/>
              <w:jc w:val="center"/>
              <w:rPr>
                <w:rFonts w:eastAsia="Times New Roman" w:cs="Times New Roman"/>
                <w:b/>
                <w:bCs/>
                <w:sz w:val="16"/>
                <w:szCs w:val="16"/>
                <w:lang w:eastAsia="sk-SK"/>
              </w:rPr>
            </w:pPr>
            <w:r w:rsidRPr="008E4025">
              <w:rPr>
                <w:rFonts w:eastAsia="Times New Roman" w:cs="Times New Roman"/>
                <w:b/>
                <w:bCs/>
                <w:sz w:val="16"/>
                <w:szCs w:val="16"/>
                <w:lang w:eastAsia="sk-SK"/>
              </w:rPr>
              <w:t>Rozpočet 2020</w:t>
            </w:r>
          </w:p>
        </w:tc>
        <w:tc>
          <w:tcPr>
            <w:tcW w:w="1146" w:type="dxa"/>
            <w:tcBorders>
              <w:top w:val="nil"/>
              <w:left w:val="nil"/>
              <w:bottom w:val="nil"/>
              <w:right w:val="nil"/>
            </w:tcBorders>
            <w:shd w:val="clear" w:color="000000" w:fill="BFBFBF"/>
            <w:vAlign w:val="center"/>
            <w:hideMark/>
          </w:tcPr>
          <w:p w14:paraId="5C4DF086" w14:textId="77777777" w:rsidR="008430C6" w:rsidRPr="008E4025" w:rsidRDefault="008430C6" w:rsidP="003259FA">
            <w:pPr>
              <w:spacing w:after="0" w:line="240" w:lineRule="auto"/>
              <w:jc w:val="center"/>
              <w:rPr>
                <w:rFonts w:eastAsia="Times New Roman" w:cs="Times New Roman"/>
                <w:b/>
                <w:bCs/>
                <w:sz w:val="16"/>
                <w:szCs w:val="16"/>
                <w:lang w:eastAsia="sk-SK"/>
              </w:rPr>
            </w:pPr>
            <w:r w:rsidRPr="008E4025">
              <w:rPr>
                <w:rFonts w:eastAsia="Times New Roman" w:cs="Times New Roman"/>
                <w:b/>
                <w:bCs/>
                <w:sz w:val="16"/>
                <w:szCs w:val="16"/>
                <w:lang w:eastAsia="sk-SK"/>
              </w:rPr>
              <w:t>Skutočnosť</w:t>
            </w:r>
          </w:p>
        </w:tc>
        <w:tc>
          <w:tcPr>
            <w:tcW w:w="1004" w:type="dxa"/>
            <w:tcBorders>
              <w:top w:val="nil"/>
              <w:left w:val="nil"/>
              <w:bottom w:val="nil"/>
              <w:right w:val="nil"/>
            </w:tcBorders>
            <w:shd w:val="clear" w:color="000000" w:fill="BFBFBF"/>
            <w:vAlign w:val="center"/>
            <w:hideMark/>
          </w:tcPr>
          <w:p w14:paraId="3511329A" w14:textId="77777777" w:rsidR="008430C6" w:rsidRPr="008E4025" w:rsidRDefault="008430C6" w:rsidP="003259FA">
            <w:pPr>
              <w:spacing w:after="0" w:line="240" w:lineRule="auto"/>
              <w:jc w:val="center"/>
              <w:rPr>
                <w:rFonts w:eastAsia="Times New Roman" w:cs="Times New Roman"/>
                <w:b/>
                <w:bCs/>
                <w:sz w:val="16"/>
                <w:szCs w:val="16"/>
                <w:lang w:eastAsia="sk-SK"/>
              </w:rPr>
            </w:pPr>
            <w:r w:rsidRPr="008E4025">
              <w:rPr>
                <w:rFonts w:eastAsia="Times New Roman" w:cs="Times New Roman"/>
                <w:b/>
                <w:bCs/>
                <w:sz w:val="16"/>
                <w:szCs w:val="16"/>
                <w:lang w:eastAsia="sk-SK"/>
              </w:rPr>
              <w:t>Rozdiel</w:t>
            </w:r>
          </w:p>
        </w:tc>
      </w:tr>
      <w:tr w:rsidR="008E4025" w:rsidRPr="008E4025" w14:paraId="5FA54616" w14:textId="77777777" w:rsidTr="006B2E4F">
        <w:trPr>
          <w:trHeight w:val="65"/>
          <w:jc w:val="center"/>
        </w:trPr>
        <w:tc>
          <w:tcPr>
            <w:tcW w:w="1985" w:type="dxa"/>
            <w:tcBorders>
              <w:top w:val="nil"/>
              <w:left w:val="nil"/>
              <w:bottom w:val="nil"/>
              <w:right w:val="nil"/>
            </w:tcBorders>
            <w:shd w:val="clear" w:color="000000" w:fill="BFBFBF"/>
            <w:vAlign w:val="center"/>
            <w:hideMark/>
          </w:tcPr>
          <w:p w14:paraId="73BF8EFF" w14:textId="77777777" w:rsidR="008E4025" w:rsidRPr="008E4025" w:rsidRDefault="008E4025" w:rsidP="003259FA">
            <w:pPr>
              <w:spacing w:after="0" w:line="240" w:lineRule="auto"/>
              <w:jc w:val="left"/>
              <w:rPr>
                <w:rFonts w:eastAsia="Times New Roman" w:cs="Times New Roman"/>
                <w:b/>
                <w:bCs/>
                <w:sz w:val="16"/>
                <w:szCs w:val="16"/>
                <w:lang w:eastAsia="sk-SK"/>
              </w:rPr>
            </w:pPr>
            <w:r w:rsidRPr="008E4025">
              <w:rPr>
                <w:rFonts w:eastAsia="Times New Roman" w:cs="Times New Roman"/>
                <w:b/>
                <w:bCs/>
                <w:sz w:val="16"/>
                <w:szCs w:val="16"/>
                <w:lang w:eastAsia="sk-SK"/>
              </w:rPr>
              <w:t> </w:t>
            </w:r>
          </w:p>
        </w:tc>
        <w:tc>
          <w:tcPr>
            <w:tcW w:w="992" w:type="dxa"/>
            <w:tcBorders>
              <w:top w:val="nil"/>
              <w:left w:val="nil"/>
              <w:bottom w:val="nil"/>
              <w:right w:val="nil"/>
            </w:tcBorders>
            <w:shd w:val="clear" w:color="000000" w:fill="BFBFBF"/>
            <w:vAlign w:val="center"/>
            <w:hideMark/>
          </w:tcPr>
          <w:p w14:paraId="16DDB29E" w14:textId="77777777" w:rsidR="008E4025" w:rsidRPr="008E4025" w:rsidRDefault="008E4025" w:rsidP="003259FA">
            <w:pPr>
              <w:spacing w:after="0" w:line="240" w:lineRule="auto"/>
              <w:jc w:val="center"/>
              <w:rPr>
                <w:rFonts w:eastAsia="Times New Roman" w:cs="Times New Roman"/>
                <w:b/>
                <w:bCs/>
                <w:sz w:val="16"/>
                <w:szCs w:val="16"/>
                <w:lang w:eastAsia="sk-SK"/>
              </w:rPr>
            </w:pPr>
            <w:r w:rsidRPr="008E4025">
              <w:rPr>
                <w:rFonts w:eastAsia="Times New Roman" w:cs="Times New Roman"/>
                <w:b/>
                <w:bCs/>
                <w:sz w:val="16"/>
                <w:szCs w:val="16"/>
                <w:lang w:eastAsia="sk-SK"/>
              </w:rPr>
              <w:t>2018</w:t>
            </w:r>
          </w:p>
        </w:tc>
        <w:tc>
          <w:tcPr>
            <w:tcW w:w="992" w:type="dxa"/>
            <w:tcBorders>
              <w:top w:val="nil"/>
              <w:left w:val="nil"/>
              <w:bottom w:val="nil"/>
              <w:right w:val="nil"/>
            </w:tcBorders>
            <w:shd w:val="clear" w:color="000000" w:fill="BFBFBF"/>
            <w:vAlign w:val="center"/>
            <w:hideMark/>
          </w:tcPr>
          <w:p w14:paraId="521A131E" w14:textId="77777777" w:rsidR="008E4025" w:rsidRPr="008E4025" w:rsidRDefault="008E4025" w:rsidP="003259FA">
            <w:pPr>
              <w:spacing w:after="0" w:line="240" w:lineRule="auto"/>
              <w:jc w:val="center"/>
              <w:rPr>
                <w:rFonts w:eastAsia="Times New Roman" w:cs="Times New Roman"/>
                <w:b/>
                <w:bCs/>
                <w:sz w:val="16"/>
                <w:szCs w:val="16"/>
                <w:lang w:eastAsia="sk-SK"/>
              </w:rPr>
            </w:pPr>
            <w:r w:rsidRPr="008E4025">
              <w:rPr>
                <w:rFonts w:eastAsia="Times New Roman" w:cs="Times New Roman"/>
                <w:b/>
                <w:bCs/>
                <w:sz w:val="16"/>
                <w:szCs w:val="16"/>
                <w:lang w:eastAsia="sk-SK"/>
              </w:rPr>
              <w:t>2019</w:t>
            </w:r>
          </w:p>
        </w:tc>
        <w:tc>
          <w:tcPr>
            <w:tcW w:w="993" w:type="dxa"/>
            <w:tcBorders>
              <w:top w:val="nil"/>
              <w:left w:val="nil"/>
              <w:bottom w:val="nil"/>
              <w:right w:val="nil"/>
            </w:tcBorders>
            <w:shd w:val="clear" w:color="000000" w:fill="BFBFBF"/>
          </w:tcPr>
          <w:p w14:paraId="7E21A73C" w14:textId="2633DC19" w:rsidR="008E4025" w:rsidRPr="008E4025" w:rsidRDefault="008E4025" w:rsidP="003259FA">
            <w:pPr>
              <w:spacing w:after="0" w:line="240" w:lineRule="auto"/>
              <w:jc w:val="center"/>
              <w:rPr>
                <w:rFonts w:eastAsia="Times New Roman" w:cs="Times New Roman"/>
                <w:b/>
                <w:bCs/>
                <w:sz w:val="16"/>
                <w:szCs w:val="16"/>
                <w:lang w:eastAsia="sk-SK"/>
              </w:rPr>
            </w:pPr>
            <w:r w:rsidRPr="008E4025">
              <w:rPr>
                <w:rFonts w:eastAsia="Times New Roman" w:cs="Times New Roman"/>
                <w:b/>
                <w:bCs/>
                <w:sz w:val="16"/>
                <w:szCs w:val="16"/>
                <w:lang w:eastAsia="sk-SK"/>
              </w:rPr>
              <w:t>Pôvodne schválený</w:t>
            </w:r>
          </w:p>
        </w:tc>
        <w:tc>
          <w:tcPr>
            <w:tcW w:w="1170" w:type="dxa"/>
            <w:tcBorders>
              <w:top w:val="nil"/>
              <w:left w:val="nil"/>
              <w:bottom w:val="nil"/>
              <w:right w:val="nil"/>
            </w:tcBorders>
            <w:shd w:val="clear" w:color="000000" w:fill="BFBFBF"/>
            <w:vAlign w:val="center"/>
            <w:hideMark/>
          </w:tcPr>
          <w:p w14:paraId="4D5C36D2" w14:textId="32F96F69" w:rsidR="008E4025" w:rsidRPr="008E4025" w:rsidRDefault="008E4025" w:rsidP="003259FA">
            <w:pPr>
              <w:spacing w:after="0" w:line="240" w:lineRule="auto"/>
              <w:jc w:val="center"/>
              <w:rPr>
                <w:rFonts w:eastAsia="Times New Roman" w:cs="Times New Roman"/>
                <w:b/>
                <w:bCs/>
                <w:sz w:val="16"/>
                <w:szCs w:val="16"/>
                <w:lang w:eastAsia="sk-SK"/>
              </w:rPr>
            </w:pPr>
            <w:r w:rsidRPr="008E4025">
              <w:rPr>
                <w:rFonts w:eastAsia="Times New Roman" w:cs="Times New Roman"/>
                <w:b/>
                <w:bCs/>
                <w:sz w:val="16"/>
                <w:szCs w:val="16"/>
                <w:lang w:eastAsia="sk-SK"/>
              </w:rPr>
              <w:t>Novelizovaný</w:t>
            </w:r>
          </w:p>
        </w:tc>
        <w:tc>
          <w:tcPr>
            <w:tcW w:w="1064" w:type="dxa"/>
            <w:tcBorders>
              <w:top w:val="nil"/>
              <w:left w:val="nil"/>
              <w:bottom w:val="nil"/>
              <w:right w:val="nil"/>
            </w:tcBorders>
            <w:shd w:val="clear" w:color="000000" w:fill="BFBFBF"/>
            <w:vAlign w:val="center"/>
            <w:hideMark/>
          </w:tcPr>
          <w:p w14:paraId="65AFF6B8" w14:textId="77777777" w:rsidR="008E4025" w:rsidRPr="008E4025" w:rsidRDefault="008E4025" w:rsidP="003259FA">
            <w:pPr>
              <w:spacing w:after="0" w:line="240" w:lineRule="auto"/>
              <w:jc w:val="center"/>
              <w:rPr>
                <w:rFonts w:eastAsia="Times New Roman" w:cs="Times New Roman"/>
                <w:b/>
                <w:bCs/>
                <w:sz w:val="16"/>
                <w:szCs w:val="16"/>
                <w:lang w:eastAsia="sk-SK"/>
              </w:rPr>
            </w:pPr>
            <w:r w:rsidRPr="008E4025">
              <w:rPr>
                <w:rFonts w:eastAsia="Times New Roman" w:cs="Times New Roman"/>
                <w:b/>
                <w:bCs/>
                <w:sz w:val="16"/>
                <w:szCs w:val="16"/>
                <w:lang w:eastAsia="sk-SK"/>
              </w:rPr>
              <w:t>Upravený</w:t>
            </w:r>
          </w:p>
        </w:tc>
        <w:tc>
          <w:tcPr>
            <w:tcW w:w="1146" w:type="dxa"/>
            <w:tcBorders>
              <w:top w:val="nil"/>
              <w:left w:val="nil"/>
              <w:bottom w:val="nil"/>
              <w:right w:val="nil"/>
            </w:tcBorders>
            <w:shd w:val="clear" w:color="000000" w:fill="BFBFBF"/>
            <w:vAlign w:val="center"/>
            <w:hideMark/>
          </w:tcPr>
          <w:p w14:paraId="2A98E848" w14:textId="77777777" w:rsidR="008E4025" w:rsidRPr="008E4025" w:rsidRDefault="008E4025" w:rsidP="003259FA">
            <w:pPr>
              <w:spacing w:after="0" w:line="240" w:lineRule="auto"/>
              <w:jc w:val="center"/>
              <w:rPr>
                <w:rFonts w:eastAsia="Times New Roman" w:cs="Times New Roman"/>
                <w:b/>
                <w:bCs/>
                <w:sz w:val="16"/>
                <w:szCs w:val="16"/>
                <w:lang w:eastAsia="sk-SK"/>
              </w:rPr>
            </w:pPr>
            <w:r w:rsidRPr="008E4025">
              <w:rPr>
                <w:rFonts w:eastAsia="Times New Roman" w:cs="Times New Roman"/>
                <w:b/>
                <w:bCs/>
                <w:sz w:val="16"/>
                <w:szCs w:val="16"/>
                <w:lang w:eastAsia="sk-SK"/>
              </w:rPr>
              <w:t>2020</w:t>
            </w:r>
          </w:p>
        </w:tc>
        <w:tc>
          <w:tcPr>
            <w:tcW w:w="1004" w:type="dxa"/>
            <w:tcBorders>
              <w:top w:val="nil"/>
              <w:left w:val="nil"/>
              <w:bottom w:val="nil"/>
              <w:right w:val="nil"/>
            </w:tcBorders>
            <w:shd w:val="clear" w:color="000000" w:fill="BFBFBF"/>
            <w:vAlign w:val="center"/>
            <w:hideMark/>
          </w:tcPr>
          <w:p w14:paraId="4713DA2A" w14:textId="77777777" w:rsidR="008E4025" w:rsidRPr="008E4025" w:rsidRDefault="008E4025" w:rsidP="003259FA">
            <w:pPr>
              <w:spacing w:after="0" w:line="240" w:lineRule="auto"/>
              <w:jc w:val="center"/>
              <w:rPr>
                <w:rFonts w:eastAsia="Times New Roman" w:cs="Times New Roman"/>
                <w:b/>
                <w:bCs/>
                <w:sz w:val="16"/>
                <w:szCs w:val="16"/>
                <w:lang w:eastAsia="sk-SK"/>
              </w:rPr>
            </w:pPr>
            <w:r w:rsidRPr="008E4025">
              <w:rPr>
                <w:rFonts w:eastAsia="Times New Roman" w:cs="Times New Roman"/>
                <w:b/>
                <w:bCs/>
                <w:sz w:val="16"/>
                <w:szCs w:val="16"/>
                <w:lang w:eastAsia="sk-SK"/>
              </w:rPr>
              <w:t> </w:t>
            </w:r>
          </w:p>
        </w:tc>
      </w:tr>
      <w:tr w:rsidR="008E4025" w:rsidRPr="008E4025" w14:paraId="4AD4DF0A" w14:textId="77777777" w:rsidTr="006B2E4F">
        <w:trPr>
          <w:trHeight w:val="138"/>
          <w:jc w:val="center"/>
        </w:trPr>
        <w:tc>
          <w:tcPr>
            <w:tcW w:w="1985" w:type="dxa"/>
            <w:tcBorders>
              <w:top w:val="nil"/>
              <w:left w:val="nil"/>
              <w:bottom w:val="single" w:sz="8" w:space="0" w:color="auto"/>
              <w:right w:val="nil"/>
            </w:tcBorders>
            <w:shd w:val="clear" w:color="000000" w:fill="BFBFBF"/>
            <w:vAlign w:val="center"/>
            <w:hideMark/>
          </w:tcPr>
          <w:p w14:paraId="627EA91C" w14:textId="77777777" w:rsidR="008E4025" w:rsidRPr="008E4025" w:rsidRDefault="008E4025" w:rsidP="003259FA">
            <w:pPr>
              <w:spacing w:after="0" w:line="240" w:lineRule="auto"/>
              <w:jc w:val="left"/>
              <w:rPr>
                <w:rFonts w:eastAsia="Times New Roman" w:cs="Times New Roman"/>
                <w:b/>
                <w:bCs/>
                <w:sz w:val="16"/>
                <w:szCs w:val="16"/>
                <w:lang w:eastAsia="sk-SK"/>
              </w:rPr>
            </w:pPr>
            <w:r w:rsidRPr="008E4025">
              <w:rPr>
                <w:rFonts w:eastAsia="Times New Roman" w:cs="Times New Roman"/>
                <w:b/>
                <w:bCs/>
                <w:sz w:val="16"/>
                <w:szCs w:val="16"/>
                <w:lang w:eastAsia="sk-SK"/>
              </w:rPr>
              <w:t> </w:t>
            </w:r>
          </w:p>
        </w:tc>
        <w:tc>
          <w:tcPr>
            <w:tcW w:w="992" w:type="dxa"/>
            <w:tcBorders>
              <w:top w:val="nil"/>
              <w:left w:val="nil"/>
              <w:bottom w:val="single" w:sz="8" w:space="0" w:color="auto"/>
              <w:right w:val="nil"/>
            </w:tcBorders>
            <w:shd w:val="clear" w:color="000000" w:fill="BFBFBF"/>
            <w:vAlign w:val="center"/>
            <w:hideMark/>
          </w:tcPr>
          <w:p w14:paraId="302A7F53" w14:textId="77777777" w:rsidR="008E4025" w:rsidRPr="008E4025" w:rsidRDefault="008E4025" w:rsidP="003259FA">
            <w:pPr>
              <w:spacing w:after="0" w:line="240" w:lineRule="auto"/>
              <w:jc w:val="center"/>
              <w:rPr>
                <w:rFonts w:eastAsia="Times New Roman" w:cs="Times New Roman"/>
                <w:b/>
                <w:bCs/>
                <w:sz w:val="16"/>
                <w:szCs w:val="16"/>
                <w:lang w:eastAsia="sk-SK"/>
              </w:rPr>
            </w:pPr>
            <w:r w:rsidRPr="008E4025">
              <w:rPr>
                <w:rFonts w:eastAsia="Times New Roman" w:cs="Times New Roman"/>
                <w:b/>
                <w:bCs/>
                <w:sz w:val="16"/>
                <w:szCs w:val="16"/>
                <w:lang w:eastAsia="sk-SK"/>
              </w:rPr>
              <w:t>1</w:t>
            </w:r>
          </w:p>
        </w:tc>
        <w:tc>
          <w:tcPr>
            <w:tcW w:w="992" w:type="dxa"/>
            <w:tcBorders>
              <w:top w:val="nil"/>
              <w:left w:val="nil"/>
              <w:bottom w:val="single" w:sz="8" w:space="0" w:color="auto"/>
              <w:right w:val="nil"/>
            </w:tcBorders>
            <w:shd w:val="clear" w:color="000000" w:fill="BFBFBF"/>
            <w:vAlign w:val="center"/>
            <w:hideMark/>
          </w:tcPr>
          <w:p w14:paraId="6963590F" w14:textId="77777777" w:rsidR="008E4025" w:rsidRPr="008E4025" w:rsidRDefault="008E4025" w:rsidP="003259FA">
            <w:pPr>
              <w:spacing w:after="0" w:line="240" w:lineRule="auto"/>
              <w:jc w:val="center"/>
              <w:rPr>
                <w:rFonts w:eastAsia="Times New Roman" w:cs="Times New Roman"/>
                <w:b/>
                <w:bCs/>
                <w:sz w:val="16"/>
                <w:szCs w:val="16"/>
                <w:lang w:eastAsia="sk-SK"/>
              </w:rPr>
            </w:pPr>
            <w:r w:rsidRPr="008E4025">
              <w:rPr>
                <w:rFonts w:eastAsia="Times New Roman" w:cs="Times New Roman"/>
                <w:b/>
                <w:bCs/>
                <w:sz w:val="16"/>
                <w:szCs w:val="16"/>
                <w:lang w:eastAsia="sk-SK"/>
              </w:rPr>
              <w:t>2</w:t>
            </w:r>
          </w:p>
        </w:tc>
        <w:tc>
          <w:tcPr>
            <w:tcW w:w="993" w:type="dxa"/>
            <w:tcBorders>
              <w:top w:val="nil"/>
              <w:left w:val="nil"/>
              <w:bottom w:val="single" w:sz="8" w:space="0" w:color="auto"/>
              <w:right w:val="nil"/>
            </w:tcBorders>
            <w:shd w:val="clear" w:color="000000" w:fill="BFBFBF"/>
          </w:tcPr>
          <w:p w14:paraId="2D980C37" w14:textId="77777777" w:rsidR="008E4025" w:rsidRPr="008E4025" w:rsidRDefault="008E4025" w:rsidP="003259FA">
            <w:pPr>
              <w:spacing w:after="0" w:line="240" w:lineRule="auto"/>
              <w:jc w:val="center"/>
              <w:rPr>
                <w:rFonts w:eastAsia="Times New Roman" w:cs="Times New Roman"/>
                <w:b/>
                <w:bCs/>
                <w:sz w:val="16"/>
                <w:szCs w:val="16"/>
                <w:lang w:eastAsia="sk-SK"/>
              </w:rPr>
            </w:pPr>
          </w:p>
        </w:tc>
        <w:tc>
          <w:tcPr>
            <w:tcW w:w="1170" w:type="dxa"/>
            <w:tcBorders>
              <w:top w:val="nil"/>
              <w:left w:val="nil"/>
              <w:bottom w:val="single" w:sz="8" w:space="0" w:color="auto"/>
              <w:right w:val="nil"/>
            </w:tcBorders>
            <w:shd w:val="clear" w:color="000000" w:fill="BFBFBF"/>
            <w:vAlign w:val="center"/>
            <w:hideMark/>
          </w:tcPr>
          <w:p w14:paraId="235C8059" w14:textId="6C199C8F" w:rsidR="008E4025" w:rsidRPr="008E4025" w:rsidRDefault="008E4025" w:rsidP="003259FA">
            <w:pPr>
              <w:spacing w:after="0" w:line="240" w:lineRule="auto"/>
              <w:jc w:val="center"/>
              <w:rPr>
                <w:rFonts w:eastAsia="Times New Roman" w:cs="Times New Roman"/>
                <w:b/>
                <w:bCs/>
                <w:sz w:val="16"/>
                <w:szCs w:val="16"/>
                <w:lang w:eastAsia="sk-SK"/>
              </w:rPr>
            </w:pPr>
            <w:r w:rsidRPr="008E4025">
              <w:rPr>
                <w:rFonts w:eastAsia="Times New Roman" w:cs="Times New Roman"/>
                <w:b/>
                <w:bCs/>
                <w:sz w:val="16"/>
                <w:szCs w:val="16"/>
                <w:lang w:eastAsia="sk-SK"/>
              </w:rPr>
              <w:t>3</w:t>
            </w:r>
          </w:p>
        </w:tc>
        <w:tc>
          <w:tcPr>
            <w:tcW w:w="1064" w:type="dxa"/>
            <w:tcBorders>
              <w:top w:val="nil"/>
              <w:left w:val="nil"/>
              <w:bottom w:val="single" w:sz="8" w:space="0" w:color="auto"/>
              <w:right w:val="nil"/>
            </w:tcBorders>
            <w:shd w:val="clear" w:color="000000" w:fill="BFBFBF"/>
            <w:vAlign w:val="center"/>
            <w:hideMark/>
          </w:tcPr>
          <w:p w14:paraId="2EB49F63" w14:textId="77777777" w:rsidR="008E4025" w:rsidRPr="008E4025" w:rsidRDefault="008E4025" w:rsidP="003259FA">
            <w:pPr>
              <w:spacing w:after="0" w:line="240" w:lineRule="auto"/>
              <w:jc w:val="center"/>
              <w:rPr>
                <w:rFonts w:eastAsia="Times New Roman" w:cs="Times New Roman"/>
                <w:b/>
                <w:bCs/>
                <w:sz w:val="16"/>
                <w:szCs w:val="16"/>
                <w:lang w:eastAsia="sk-SK"/>
              </w:rPr>
            </w:pPr>
            <w:r w:rsidRPr="008E4025">
              <w:rPr>
                <w:rFonts w:eastAsia="Times New Roman" w:cs="Times New Roman"/>
                <w:b/>
                <w:bCs/>
                <w:sz w:val="16"/>
                <w:szCs w:val="16"/>
                <w:lang w:eastAsia="sk-SK"/>
              </w:rPr>
              <w:t>4</w:t>
            </w:r>
          </w:p>
        </w:tc>
        <w:tc>
          <w:tcPr>
            <w:tcW w:w="1146" w:type="dxa"/>
            <w:tcBorders>
              <w:top w:val="nil"/>
              <w:left w:val="nil"/>
              <w:bottom w:val="single" w:sz="8" w:space="0" w:color="auto"/>
              <w:right w:val="nil"/>
            </w:tcBorders>
            <w:shd w:val="clear" w:color="000000" w:fill="BFBFBF"/>
            <w:vAlign w:val="center"/>
            <w:hideMark/>
          </w:tcPr>
          <w:p w14:paraId="625376A0" w14:textId="77777777" w:rsidR="008E4025" w:rsidRPr="008E4025" w:rsidRDefault="008E4025" w:rsidP="003259FA">
            <w:pPr>
              <w:spacing w:after="0" w:line="240" w:lineRule="auto"/>
              <w:jc w:val="center"/>
              <w:rPr>
                <w:rFonts w:eastAsia="Times New Roman" w:cs="Times New Roman"/>
                <w:b/>
                <w:bCs/>
                <w:sz w:val="16"/>
                <w:szCs w:val="16"/>
                <w:lang w:eastAsia="sk-SK"/>
              </w:rPr>
            </w:pPr>
            <w:r w:rsidRPr="008E4025">
              <w:rPr>
                <w:rFonts w:eastAsia="Times New Roman" w:cs="Times New Roman"/>
                <w:b/>
                <w:bCs/>
                <w:sz w:val="16"/>
                <w:szCs w:val="16"/>
                <w:lang w:eastAsia="sk-SK"/>
              </w:rPr>
              <w:t>5</w:t>
            </w:r>
          </w:p>
        </w:tc>
        <w:tc>
          <w:tcPr>
            <w:tcW w:w="1004" w:type="dxa"/>
            <w:tcBorders>
              <w:top w:val="nil"/>
              <w:left w:val="nil"/>
              <w:bottom w:val="single" w:sz="8" w:space="0" w:color="auto"/>
              <w:right w:val="nil"/>
            </w:tcBorders>
            <w:shd w:val="clear" w:color="000000" w:fill="BFBFBF"/>
            <w:vAlign w:val="center"/>
            <w:hideMark/>
          </w:tcPr>
          <w:p w14:paraId="36FAB3EA" w14:textId="77777777" w:rsidR="008E4025" w:rsidRPr="008E4025" w:rsidRDefault="008E4025" w:rsidP="003259FA">
            <w:pPr>
              <w:spacing w:after="0" w:line="240" w:lineRule="auto"/>
              <w:jc w:val="center"/>
              <w:rPr>
                <w:rFonts w:eastAsia="Times New Roman" w:cs="Times New Roman"/>
                <w:b/>
                <w:bCs/>
                <w:sz w:val="16"/>
                <w:szCs w:val="16"/>
                <w:lang w:eastAsia="sk-SK"/>
              </w:rPr>
            </w:pPr>
            <w:r w:rsidRPr="008E4025">
              <w:rPr>
                <w:rFonts w:eastAsia="Times New Roman" w:cs="Times New Roman"/>
                <w:b/>
                <w:bCs/>
                <w:sz w:val="16"/>
                <w:szCs w:val="16"/>
                <w:lang w:eastAsia="sk-SK"/>
              </w:rPr>
              <w:t>6=5-3</w:t>
            </w:r>
          </w:p>
        </w:tc>
      </w:tr>
      <w:tr w:rsidR="008E4025" w:rsidRPr="008E4025" w14:paraId="2261A6A5" w14:textId="77777777" w:rsidTr="006B2E4F">
        <w:trPr>
          <w:trHeight w:val="368"/>
          <w:jc w:val="center"/>
        </w:trPr>
        <w:tc>
          <w:tcPr>
            <w:tcW w:w="1985" w:type="dxa"/>
            <w:tcBorders>
              <w:top w:val="nil"/>
              <w:left w:val="nil"/>
              <w:bottom w:val="nil"/>
              <w:right w:val="nil"/>
            </w:tcBorders>
            <w:shd w:val="clear" w:color="auto" w:fill="auto"/>
            <w:noWrap/>
            <w:vAlign w:val="center"/>
            <w:hideMark/>
          </w:tcPr>
          <w:p w14:paraId="637D63F6" w14:textId="77777777" w:rsidR="008E4025" w:rsidRPr="008E4025" w:rsidRDefault="008E4025" w:rsidP="003259FA">
            <w:pPr>
              <w:spacing w:after="0" w:line="240" w:lineRule="auto"/>
              <w:rPr>
                <w:rFonts w:eastAsia="Times New Roman" w:cs="Times New Roman"/>
                <w:b/>
                <w:bCs/>
                <w:sz w:val="16"/>
                <w:szCs w:val="16"/>
                <w:lang w:eastAsia="sk-SK"/>
              </w:rPr>
            </w:pPr>
            <w:r w:rsidRPr="008E4025">
              <w:rPr>
                <w:rFonts w:eastAsia="Times New Roman" w:cs="Times New Roman"/>
                <w:b/>
                <w:bCs/>
                <w:sz w:val="16"/>
                <w:szCs w:val="16"/>
                <w:lang w:eastAsia="sk-SK"/>
              </w:rPr>
              <w:t>Príjmy spolu</w:t>
            </w:r>
          </w:p>
        </w:tc>
        <w:tc>
          <w:tcPr>
            <w:tcW w:w="992" w:type="dxa"/>
            <w:tcBorders>
              <w:top w:val="nil"/>
              <w:left w:val="nil"/>
              <w:bottom w:val="nil"/>
              <w:right w:val="nil"/>
            </w:tcBorders>
            <w:shd w:val="clear" w:color="auto" w:fill="auto"/>
            <w:vAlign w:val="center"/>
          </w:tcPr>
          <w:p w14:paraId="5C70D2B2" w14:textId="77777777" w:rsidR="008E4025" w:rsidRPr="008E4025" w:rsidRDefault="008E4025" w:rsidP="003259FA">
            <w:pPr>
              <w:spacing w:after="0" w:line="240" w:lineRule="auto"/>
              <w:jc w:val="right"/>
              <w:rPr>
                <w:rFonts w:eastAsia="Times New Roman" w:cs="Times New Roman"/>
                <w:b/>
                <w:bCs/>
                <w:sz w:val="16"/>
                <w:szCs w:val="16"/>
                <w:lang w:eastAsia="sk-SK"/>
              </w:rPr>
            </w:pPr>
            <w:r w:rsidRPr="008E4025">
              <w:rPr>
                <w:rFonts w:eastAsia="Times New Roman" w:cs="Times New Roman"/>
                <w:b/>
                <w:bCs/>
                <w:sz w:val="16"/>
                <w:szCs w:val="16"/>
                <w:lang w:eastAsia="sk-SK"/>
              </w:rPr>
              <w:t>15 381 013</w:t>
            </w:r>
          </w:p>
        </w:tc>
        <w:tc>
          <w:tcPr>
            <w:tcW w:w="992" w:type="dxa"/>
            <w:tcBorders>
              <w:top w:val="nil"/>
              <w:left w:val="nil"/>
              <w:bottom w:val="nil"/>
              <w:right w:val="nil"/>
            </w:tcBorders>
            <w:shd w:val="clear" w:color="auto" w:fill="auto"/>
            <w:noWrap/>
            <w:vAlign w:val="center"/>
          </w:tcPr>
          <w:p w14:paraId="6F4FD9F1" w14:textId="77777777" w:rsidR="008E4025" w:rsidRPr="008E4025" w:rsidRDefault="008E4025" w:rsidP="003259FA">
            <w:pPr>
              <w:spacing w:after="0" w:line="240" w:lineRule="auto"/>
              <w:jc w:val="right"/>
              <w:rPr>
                <w:rFonts w:eastAsia="Times New Roman" w:cs="Times New Roman"/>
                <w:b/>
                <w:bCs/>
                <w:sz w:val="16"/>
                <w:szCs w:val="16"/>
                <w:lang w:eastAsia="sk-SK"/>
              </w:rPr>
            </w:pPr>
            <w:r w:rsidRPr="008E4025">
              <w:rPr>
                <w:rFonts w:eastAsia="Times New Roman" w:cs="Times New Roman"/>
                <w:b/>
                <w:bCs/>
                <w:sz w:val="16"/>
                <w:szCs w:val="16"/>
                <w:lang w:eastAsia="sk-SK"/>
              </w:rPr>
              <w:t>15 825 535</w:t>
            </w:r>
          </w:p>
        </w:tc>
        <w:tc>
          <w:tcPr>
            <w:tcW w:w="993" w:type="dxa"/>
            <w:tcBorders>
              <w:top w:val="nil"/>
              <w:left w:val="nil"/>
              <w:bottom w:val="nil"/>
              <w:right w:val="nil"/>
            </w:tcBorders>
            <w:vAlign w:val="center"/>
          </w:tcPr>
          <w:p w14:paraId="1482D0B5" w14:textId="6B73B98D" w:rsidR="008E4025" w:rsidRPr="008E4025" w:rsidRDefault="006B2E4F" w:rsidP="003259FA">
            <w:pPr>
              <w:spacing w:after="0" w:line="240" w:lineRule="auto"/>
              <w:jc w:val="right"/>
              <w:rPr>
                <w:rFonts w:eastAsia="Times New Roman" w:cs="Times New Roman"/>
                <w:b/>
                <w:bCs/>
                <w:sz w:val="16"/>
                <w:szCs w:val="16"/>
                <w:lang w:eastAsia="sk-SK"/>
              </w:rPr>
            </w:pPr>
            <w:r>
              <w:rPr>
                <w:rFonts w:eastAsia="Times New Roman" w:cs="Times New Roman"/>
                <w:b/>
                <w:bCs/>
                <w:sz w:val="16"/>
                <w:szCs w:val="16"/>
                <w:lang w:eastAsia="sk-SK"/>
              </w:rPr>
              <w:t>15 792 695</w:t>
            </w:r>
          </w:p>
        </w:tc>
        <w:tc>
          <w:tcPr>
            <w:tcW w:w="1170" w:type="dxa"/>
            <w:tcBorders>
              <w:top w:val="nil"/>
              <w:left w:val="nil"/>
              <w:bottom w:val="nil"/>
              <w:right w:val="nil"/>
            </w:tcBorders>
            <w:shd w:val="clear" w:color="auto" w:fill="auto"/>
            <w:noWrap/>
            <w:vAlign w:val="center"/>
          </w:tcPr>
          <w:p w14:paraId="6568E63D" w14:textId="3D1973F8" w:rsidR="008E4025" w:rsidRPr="008E4025" w:rsidRDefault="008E4025" w:rsidP="003259FA">
            <w:pPr>
              <w:spacing w:after="0" w:line="240" w:lineRule="auto"/>
              <w:jc w:val="right"/>
              <w:rPr>
                <w:rFonts w:eastAsia="Times New Roman" w:cs="Times New Roman"/>
                <w:b/>
                <w:bCs/>
                <w:sz w:val="16"/>
                <w:szCs w:val="16"/>
                <w:lang w:eastAsia="sk-SK"/>
              </w:rPr>
            </w:pPr>
            <w:r w:rsidRPr="008E4025">
              <w:rPr>
                <w:rFonts w:eastAsia="Times New Roman" w:cs="Times New Roman"/>
                <w:b/>
                <w:bCs/>
                <w:sz w:val="16"/>
                <w:szCs w:val="16"/>
                <w:lang w:eastAsia="sk-SK"/>
              </w:rPr>
              <w:t>14 366 447</w:t>
            </w:r>
          </w:p>
        </w:tc>
        <w:tc>
          <w:tcPr>
            <w:tcW w:w="1064" w:type="dxa"/>
            <w:tcBorders>
              <w:top w:val="nil"/>
              <w:left w:val="nil"/>
              <w:bottom w:val="nil"/>
              <w:right w:val="nil"/>
            </w:tcBorders>
            <w:shd w:val="clear" w:color="auto" w:fill="auto"/>
            <w:noWrap/>
            <w:vAlign w:val="center"/>
          </w:tcPr>
          <w:p w14:paraId="04559D63" w14:textId="77777777" w:rsidR="008E4025" w:rsidRPr="008E4025" w:rsidRDefault="008E4025" w:rsidP="003259FA">
            <w:pPr>
              <w:spacing w:after="0" w:line="240" w:lineRule="auto"/>
              <w:jc w:val="right"/>
              <w:rPr>
                <w:rFonts w:eastAsia="Times New Roman" w:cs="Times New Roman"/>
                <w:b/>
                <w:bCs/>
                <w:sz w:val="16"/>
                <w:szCs w:val="16"/>
                <w:lang w:eastAsia="sk-SK"/>
              </w:rPr>
            </w:pPr>
            <w:r w:rsidRPr="008E4025">
              <w:rPr>
                <w:rFonts w:eastAsia="Times New Roman" w:cs="Times New Roman"/>
                <w:b/>
                <w:bCs/>
                <w:sz w:val="16"/>
                <w:szCs w:val="16"/>
                <w:lang w:eastAsia="sk-SK"/>
              </w:rPr>
              <w:t>15 133 507</w:t>
            </w:r>
          </w:p>
        </w:tc>
        <w:tc>
          <w:tcPr>
            <w:tcW w:w="1146" w:type="dxa"/>
            <w:tcBorders>
              <w:top w:val="nil"/>
              <w:left w:val="nil"/>
              <w:bottom w:val="nil"/>
              <w:right w:val="nil"/>
            </w:tcBorders>
            <w:shd w:val="clear" w:color="auto" w:fill="D9D9D9" w:themeFill="background1" w:themeFillShade="D9"/>
            <w:vAlign w:val="center"/>
          </w:tcPr>
          <w:p w14:paraId="63838FAB" w14:textId="77777777" w:rsidR="008E4025" w:rsidRPr="008E4025" w:rsidRDefault="008E4025" w:rsidP="003259FA">
            <w:pPr>
              <w:spacing w:after="0" w:line="240" w:lineRule="auto"/>
              <w:jc w:val="right"/>
              <w:rPr>
                <w:rFonts w:eastAsia="Times New Roman" w:cs="Times New Roman"/>
                <w:b/>
                <w:bCs/>
                <w:sz w:val="16"/>
                <w:szCs w:val="16"/>
                <w:lang w:eastAsia="sk-SK"/>
              </w:rPr>
            </w:pPr>
            <w:r w:rsidRPr="008E4025">
              <w:rPr>
                <w:rFonts w:eastAsia="Times New Roman" w:cs="Times New Roman"/>
                <w:b/>
                <w:bCs/>
                <w:sz w:val="16"/>
                <w:szCs w:val="16"/>
                <w:lang w:eastAsia="sk-SK"/>
              </w:rPr>
              <w:t>15 750 634</w:t>
            </w:r>
          </w:p>
        </w:tc>
        <w:tc>
          <w:tcPr>
            <w:tcW w:w="1004" w:type="dxa"/>
            <w:tcBorders>
              <w:top w:val="nil"/>
              <w:left w:val="nil"/>
              <w:bottom w:val="nil"/>
              <w:right w:val="nil"/>
            </w:tcBorders>
            <w:shd w:val="clear" w:color="auto" w:fill="auto"/>
            <w:noWrap/>
            <w:vAlign w:val="center"/>
          </w:tcPr>
          <w:p w14:paraId="492B6F82" w14:textId="77777777" w:rsidR="008E4025" w:rsidRPr="008E4025" w:rsidRDefault="008E4025" w:rsidP="003259FA">
            <w:pPr>
              <w:spacing w:after="0" w:line="240" w:lineRule="auto"/>
              <w:jc w:val="right"/>
              <w:rPr>
                <w:rFonts w:eastAsia="Times New Roman" w:cs="Times New Roman"/>
                <w:b/>
                <w:bCs/>
                <w:sz w:val="16"/>
                <w:szCs w:val="16"/>
                <w:lang w:eastAsia="sk-SK"/>
              </w:rPr>
            </w:pPr>
            <w:r w:rsidRPr="008E4025">
              <w:rPr>
                <w:rFonts w:eastAsia="Times New Roman" w:cs="Times New Roman"/>
                <w:b/>
                <w:bCs/>
                <w:sz w:val="16"/>
                <w:szCs w:val="16"/>
                <w:lang w:eastAsia="sk-SK"/>
              </w:rPr>
              <w:t>1 384 187</w:t>
            </w:r>
          </w:p>
        </w:tc>
      </w:tr>
      <w:tr w:rsidR="008E4025" w:rsidRPr="008E4025" w14:paraId="27E89854" w14:textId="77777777" w:rsidTr="006B2E4F">
        <w:trPr>
          <w:trHeight w:val="368"/>
          <w:jc w:val="center"/>
        </w:trPr>
        <w:tc>
          <w:tcPr>
            <w:tcW w:w="1985" w:type="dxa"/>
            <w:tcBorders>
              <w:top w:val="nil"/>
              <w:left w:val="nil"/>
              <w:bottom w:val="nil"/>
              <w:right w:val="nil"/>
            </w:tcBorders>
            <w:shd w:val="clear" w:color="auto" w:fill="auto"/>
            <w:noWrap/>
            <w:vAlign w:val="center"/>
            <w:hideMark/>
          </w:tcPr>
          <w:p w14:paraId="1742C84F" w14:textId="77777777" w:rsidR="008E4025" w:rsidRPr="008E4025" w:rsidRDefault="008E4025" w:rsidP="003259FA">
            <w:pPr>
              <w:spacing w:after="0" w:line="240" w:lineRule="auto"/>
              <w:rPr>
                <w:rFonts w:eastAsia="Times New Roman" w:cs="Times New Roman"/>
                <w:sz w:val="16"/>
                <w:szCs w:val="16"/>
                <w:lang w:eastAsia="sk-SK"/>
              </w:rPr>
            </w:pPr>
            <w:r w:rsidRPr="008E4025">
              <w:rPr>
                <w:rFonts w:eastAsia="Times New Roman" w:cs="Times New Roman"/>
                <w:sz w:val="16"/>
                <w:szCs w:val="16"/>
                <w:lang w:eastAsia="sk-SK"/>
              </w:rPr>
              <w:t>v tom: daňové príjmy</w:t>
            </w:r>
          </w:p>
        </w:tc>
        <w:tc>
          <w:tcPr>
            <w:tcW w:w="992" w:type="dxa"/>
            <w:tcBorders>
              <w:top w:val="nil"/>
              <w:left w:val="nil"/>
              <w:bottom w:val="nil"/>
              <w:right w:val="nil"/>
            </w:tcBorders>
            <w:shd w:val="clear" w:color="auto" w:fill="auto"/>
            <w:vAlign w:val="center"/>
          </w:tcPr>
          <w:p w14:paraId="780B334C" w14:textId="77777777" w:rsidR="008E4025" w:rsidRPr="008E4025" w:rsidRDefault="008E4025" w:rsidP="003259FA">
            <w:pPr>
              <w:spacing w:after="0" w:line="240" w:lineRule="auto"/>
              <w:jc w:val="right"/>
              <w:rPr>
                <w:rFonts w:eastAsia="Times New Roman" w:cs="Times New Roman"/>
                <w:sz w:val="16"/>
                <w:szCs w:val="16"/>
                <w:lang w:eastAsia="sk-SK"/>
              </w:rPr>
            </w:pPr>
            <w:r w:rsidRPr="008E4025">
              <w:rPr>
                <w:rFonts w:eastAsia="Times New Roman" w:cs="Times New Roman"/>
                <w:sz w:val="16"/>
                <w:szCs w:val="16"/>
                <w:lang w:eastAsia="sk-SK"/>
              </w:rPr>
              <w:t>11 965 782</w:t>
            </w:r>
          </w:p>
        </w:tc>
        <w:tc>
          <w:tcPr>
            <w:tcW w:w="992" w:type="dxa"/>
            <w:tcBorders>
              <w:top w:val="nil"/>
              <w:left w:val="nil"/>
              <w:bottom w:val="nil"/>
              <w:right w:val="nil"/>
            </w:tcBorders>
            <w:shd w:val="clear" w:color="auto" w:fill="auto"/>
            <w:noWrap/>
            <w:vAlign w:val="center"/>
          </w:tcPr>
          <w:p w14:paraId="60BBD814" w14:textId="77777777" w:rsidR="008E4025" w:rsidRPr="008E4025" w:rsidRDefault="008E4025" w:rsidP="003259FA">
            <w:pPr>
              <w:spacing w:after="0" w:line="240" w:lineRule="auto"/>
              <w:jc w:val="right"/>
              <w:rPr>
                <w:rFonts w:eastAsia="Times New Roman" w:cs="Times New Roman"/>
                <w:sz w:val="16"/>
                <w:szCs w:val="16"/>
                <w:lang w:eastAsia="sk-SK"/>
              </w:rPr>
            </w:pPr>
            <w:r w:rsidRPr="008E4025">
              <w:rPr>
                <w:rFonts w:eastAsia="Times New Roman" w:cs="Times New Roman"/>
                <w:bCs/>
                <w:sz w:val="16"/>
                <w:szCs w:val="16"/>
                <w:lang w:eastAsia="sk-SK"/>
              </w:rPr>
              <w:t>12 336 444</w:t>
            </w:r>
          </w:p>
        </w:tc>
        <w:tc>
          <w:tcPr>
            <w:tcW w:w="993" w:type="dxa"/>
            <w:tcBorders>
              <w:top w:val="nil"/>
              <w:left w:val="nil"/>
              <w:bottom w:val="nil"/>
              <w:right w:val="nil"/>
            </w:tcBorders>
            <w:vAlign w:val="center"/>
          </w:tcPr>
          <w:p w14:paraId="3ED72F1C" w14:textId="3585094E" w:rsidR="008E4025" w:rsidRPr="008E4025" w:rsidRDefault="006B2E4F" w:rsidP="003259FA">
            <w:pPr>
              <w:spacing w:after="0" w:line="240" w:lineRule="auto"/>
              <w:jc w:val="right"/>
              <w:rPr>
                <w:rFonts w:eastAsia="Times New Roman" w:cs="Times New Roman"/>
                <w:bCs/>
                <w:sz w:val="16"/>
                <w:szCs w:val="16"/>
                <w:lang w:eastAsia="sk-SK"/>
              </w:rPr>
            </w:pPr>
            <w:r>
              <w:rPr>
                <w:rFonts w:eastAsia="Times New Roman" w:cs="Times New Roman"/>
                <w:bCs/>
                <w:sz w:val="16"/>
                <w:szCs w:val="16"/>
                <w:lang w:eastAsia="sk-SK"/>
              </w:rPr>
              <w:t>12 817 470</w:t>
            </w:r>
          </w:p>
        </w:tc>
        <w:tc>
          <w:tcPr>
            <w:tcW w:w="1170" w:type="dxa"/>
            <w:tcBorders>
              <w:top w:val="nil"/>
              <w:left w:val="nil"/>
              <w:bottom w:val="nil"/>
              <w:right w:val="nil"/>
            </w:tcBorders>
            <w:shd w:val="clear" w:color="auto" w:fill="auto"/>
            <w:noWrap/>
            <w:vAlign w:val="center"/>
          </w:tcPr>
          <w:p w14:paraId="215D5FA5" w14:textId="798D5A89" w:rsidR="008E4025" w:rsidRPr="008E4025" w:rsidRDefault="008E4025" w:rsidP="003259FA">
            <w:pPr>
              <w:spacing w:after="0" w:line="240" w:lineRule="auto"/>
              <w:jc w:val="right"/>
              <w:rPr>
                <w:rFonts w:eastAsia="Times New Roman" w:cs="Times New Roman"/>
                <w:bCs/>
                <w:sz w:val="16"/>
                <w:szCs w:val="16"/>
                <w:lang w:eastAsia="sk-SK"/>
              </w:rPr>
            </w:pPr>
            <w:r w:rsidRPr="008E4025">
              <w:rPr>
                <w:rFonts w:eastAsia="Times New Roman" w:cs="Times New Roman"/>
                <w:bCs/>
                <w:sz w:val="16"/>
                <w:szCs w:val="16"/>
                <w:lang w:eastAsia="sk-SK"/>
              </w:rPr>
              <w:t>11 546 644</w:t>
            </w:r>
          </w:p>
        </w:tc>
        <w:tc>
          <w:tcPr>
            <w:tcW w:w="1064" w:type="dxa"/>
            <w:tcBorders>
              <w:top w:val="nil"/>
              <w:left w:val="nil"/>
              <w:bottom w:val="nil"/>
              <w:right w:val="nil"/>
            </w:tcBorders>
            <w:shd w:val="clear" w:color="auto" w:fill="auto"/>
            <w:noWrap/>
            <w:vAlign w:val="center"/>
          </w:tcPr>
          <w:p w14:paraId="162AF165" w14:textId="77777777" w:rsidR="008E4025" w:rsidRPr="008E4025" w:rsidRDefault="008E4025" w:rsidP="003259FA">
            <w:pPr>
              <w:spacing w:after="0" w:line="240" w:lineRule="auto"/>
              <w:jc w:val="right"/>
              <w:rPr>
                <w:rFonts w:eastAsia="Times New Roman" w:cs="Times New Roman"/>
                <w:bCs/>
                <w:sz w:val="16"/>
                <w:szCs w:val="16"/>
                <w:lang w:eastAsia="sk-SK"/>
              </w:rPr>
            </w:pPr>
            <w:r w:rsidRPr="008E4025">
              <w:rPr>
                <w:rFonts w:eastAsia="Times New Roman" w:cs="Times New Roman"/>
                <w:bCs/>
                <w:sz w:val="16"/>
                <w:szCs w:val="16"/>
                <w:lang w:eastAsia="sk-SK"/>
              </w:rPr>
              <w:t>11 546 644</w:t>
            </w:r>
          </w:p>
        </w:tc>
        <w:tc>
          <w:tcPr>
            <w:tcW w:w="1146" w:type="dxa"/>
            <w:tcBorders>
              <w:top w:val="nil"/>
              <w:left w:val="nil"/>
              <w:bottom w:val="nil"/>
              <w:right w:val="nil"/>
            </w:tcBorders>
            <w:shd w:val="clear" w:color="auto" w:fill="D9D9D9" w:themeFill="background1" w:themeFillShade="D9"/>
            <w:noWrap/>
            <w:vAlign w:val="center"/>
          </w:tcPr>
          <w:p w14:paraId="087B68DE" w14:textId="77777777" w:rsidR="008E4025" w:rsidRPr="008E4025" w:rsidRDefault="008E4025" w:rsidP="003259FA">
            <w:pPr>
              <w:spacing w:after="0" w:line="240" w:lineRule="auto"/>
              <w:jc w:val="right"/>
              <w:rPr>
                <w:rFonts w:eastAsia="Times New Roman" w:cs="Times New Roman"/>
                <w:bCs/>
                <w:sz w:val="16"/>
                <w:szCs w:val="16"/>
                <w:lang w:eastAsia="sk-SK"/>
              </w:rPr>
            </w:pPr>
            <w:r w:rsidRPr="008E4025">
              <w:rPr>
                <w:rFonts w:eastAsia="Times New Roman" w:cs="Times New Roman"/>
                <w:bCs/>
                <w:sz w:val="16"/>
                <w:szCs w:val="16"/>
                <w:lang w:eastAsia="sk-SK"/>
              </w:rPr>
              <w:t>11 865 422</w:t>
            </w:r>
          </w:p>
        </w:tc>
        <w:tc>
          <w:tcPr>
            <w:tcW w:w="1004" w:type="dxa"/>
            <w:tcBorders>
              <w:top w:val="nil"/>
              <w:left w:val="nil"/>
              <w:bottom w:val="nil"/>
              <w:right w:val="nil"/>
            </w:tcBorders>
            <w:shd w:val="clear" w:color="auto" w:fill="auto"/>
            <w:noWrap/>
            <w:vAlign w:val="center"/>
          </w:tcPr>
          <w:p w14:paraId="0172B078" w14:textId="77777777" w:rsidR="008E4025" w:rsidRPr="008E4025" w:rsidRDefault="008E4025" w:rsidP="003259FA">
            <w:pPr>
              <w:spacing w:after="0" w:line="240" w:lineRule="auto"/>
              <w:jc w:val="right"/>
              <w:rPr>
                <w:rFonts w:eastAsia="Times New Roman" w:cs="Times New Roman"/>
                <w:bCs/>
                <w:sz w:val="16"/>
                <w:szCs w:val="16"/>
                <w:lang w:eastAsia="sk-SK"/>
              </w:rPr>
            </w:pPr>
            <w:r w:rsidRPr="008E4025">
              <w:rPr>
                <w:rFonts w:eastAsia="Times New Roman" w:cs="Times New Roman"/>
                <w:bCs/>
                <w:sz w:val="16"/>
                <w:szCs w:val="16"/>
                <w:lang w:eastAsia="sk-SK"/>
              </w:rPr>
              <w:t>318 778</w:t>
            </w:r>
          </w:p>
        </w:tc>
      </w:tr>
      <w:tr w:rsidR="008E4025" w:rsidRPr="008E4025" w14:paraId="05186C9E" w14:textId="77777777" w:rsidTr="006B2E4F">
        <w:trPr>
          <w:trHeight w:val="368"/>
          <w:jc w:val="center"/>
        </w:trPr>
        <w:tc>
          <w:tcPr>
            <w:tcW w:w="1985" w:type="dxa"/>
            <w:tcBorders>
              <w:top w:val="nil"/>
              <w:left w:val="nil"/>
              <w:bottom w:val="nil"/>
              <w:right w:val="nil"/>
            </w:tcBorders>
            <w:shd w:val="clear" w:color="auto" w:fill="auto"/>
            <w:noWrap/>
            <w:vAlign w:val="center"/>
            <w:hideMark/>
          </w:tcPr>
          <w:p w14:paraId="212892DB" w14:textId="77777777" w:rsidR="008E4025" w:rsidRPr="008E4025" w:rsidRDefault="008E4025" w:rsidP="003259FA">
            <w:pPr>
              <w:spacing w:after="0" w:line="240" w:lineRule="auto"/>
              <w:rPr>
                <w:rFonts w:eastAsia="Times New Roman" w:cs="Times New Roman"/>
                <w:sz w:val="16"/>
                <w:szCs w:val="16"/>
                <w:lang w:eastAsia="sk-SK"/>
              </w:rPr>
            </w:pPr>
            <w:r w:rsidRPr="008E4025">
              <w:rPr>
                <w:rFonts w:eastAsia="Times New Roman" w:cs="Times New Roman"/>
                <w:sz w:val="16"/>
                <w:szCs w:val="16"/>
                <w:lang w:eastAsia="sk-SK"/>
              </w:rPr>
              <w:t xml:space="preserve">            nedaňové príjmy</w:t>
            </w:r>
          </w:p>
        </w:tc>
        <w:tc>
          <w:tcPr>
            <w:tcW w:w="992" w:type="dxa"/>
            <w:tcBorders>
              <w:top w:val="nil"/>
              <w:left w:val="nil"/>
              <w:bottom w:val="nil"/>
              <w:right w:val="nil"/>
            </w:tcBorders>
            <w:shd w:val="clear" w:color="auto" w:fill="auto"/>
            <w:vAlign w:val="center"/>
          </w:tcPr>
          <w:p w14:paraId="2C968D5A" w14:textId="77777777" w:rsidR="008E4025" w:rsidRPr="008E4025" w:rsidRDefault="008E4025" w:rsidP="003259FA">
            <w:pPr>
              <w:spacing w:after="0" w:line="240" w:lineRule="auto"/>
              <w:jc w:val="right"/>
              <w:rPr>
                <w:rFonts w:eastAsia="Times New Roman" w:cs="Times New Roman"/>
                <w:sz w:val="16"/>
                <w:szCs w:val="16"/>
                <w:lang w:eastAsia="sk-SK"/>
              </w:rPr>
            </w:pPr>
            <w:r w:rsidRPr="008E4025">
              <w:rPr>
                <w:rFonts w:eastAsia="Times New Roman" w:cs="Times New Roman"/>
                <w:sz w:val="16"/>
                <w:szCs w:val="16"/>
                <w:lang w:eastAsia="sk-SK"/>
              </w:rPr>
              <w:t>1 211 597</w:t>
            </w:r>
          </w:p>
        </w:tc>
        <w:tc>
          <w:tcPr>
            <w:tcW w:w="992" w:type="dxa"/>
            <w:tcBorders>
              <w:top w:val="nil"/>
              <w:left w:val="nil"/>
              <w:bottom w:val="nil"/>
              <w:right w:val="nil"/>
            </w:tcBorders>
            <w:shd w:val="clear" w:color="auto" w:fill="auto"/>
            <w:noWrap/>
            <w:vAlign w:val="center"/>
          </w:tcPr>
          <w:p w14:paraId="26B970DA" w14:textId="77777777" w:rsidR="008E4025" w:rsidRPr="008E4025" w:rsidRDefault="008E4025" w:rsidP="003259FA">
            <w:pPr>
              <w:spacing w:after="0" w:line="240" w:lineRule="auto"/>
              <w:jc w:val="right"/>
              <w:rPr>
                <w:rFonts w:eastAsia="Times New Roman" w:cs="Times New Roman"/>
                <w:sz w:val="16"/>
                <w:szCs w:val="16"/>
                <w:lang w:eastAsia="sk-SK"/>
              </w:rPr>
            </w:pPr>
            <w:r w:rsidRPr="008E4025">
              <w:rPr>
                <w:rFonts w:eastAsia="Times New Roman" w:cs="Times New Roman"/>
                <w:bCs/>
                <w:sz w:val="16"/>
                <w:szCs w:val="16"/>
                <w:lang w:eastAsia="sk-SK"/>
              </w:rPr>
              <w:t>1 327 516</w:t>
            </w:r>
          </w:p>
        </w:tc>
        <w:tc>
          <w:tcPr>
            <w:tcW w:w="993" w:type="dxa"/>
            <w:tcBorders>
              <w:top w:val="nil"/>
              <w:left w:val="nil"/>
              <w:bottom w:val="nil"/>
              <w:right w:val="nil"/>
            </w:tcBorders>
            <w:vAlign w:val="center"/>
          </w:tcPr>
          <w:p w14:paraId="3A88ABF9" w14:textId="5DE270D5" w:rsidR="008E4025" w:rsidRPr="008E4025" w:rsidRDefault="006B2E4F" w:rsidP="003259FA">
            <w:pPr>
              <w:spacing w:after="0" w:line="240" w:lineRule="auto"/>
              <w:jc w:val="right"/>
              <w:rPr>
                <w:rFonts w:eastAsia="Times New Roman" w:cs="Times New Roman"/>
                <w:bCs/>
                <w:sz w:val="16"/>
                <w:szCs w:val="16"/>
                <w:lang w:eastAsia="sk-SK"/>
              </w:rPr>
            </w:pPr>
            <w:r>
              <w:rPr>
                <w:rFonts w:eastAsia="Times New Roman" w:cs="Times New Roman"/>
                <w:bCs/>
                <w:sz w:val="16"/>
                <w:szCs w:val="16"/>
                <w:lang w:eastAsia="sk-SK"/>
              </w:rPr>
              <w:t>1 258 764</w:t>
            </w:r>
          </w:p>
        </w:tc>
        <w:tc>
          <w:tcPr>
            <w:tcW w:w="1170" w:type="dxa"/>
            <w:tcBorders>
              <w:top w:val="nil"/>
              <w:left w:val="nil"/>
              <w:bottom w:val="nil"/>
              <w:right w:val="nil"/>
            </w:tcBorders>
            <w:shd w:val="clear" w:color="auto" w:fill="auto"/>
            <w:noWrap/>
            <w:vAlign w:val="center"/>
          </w:tcPr>
          <w:p w14:paraId="332B3167" w14:textId="60370A08" w:rsidR="008E4025" w:rsidRPr="008E4025" w:rsidRDefault="008E4025" w:rsidP="003259FA">
            <w:pPr>
              <w:spacing w:after="0" w:line="240" w:lineRule="auto"/>
              <w:jc w:val="right"/>
              <w:rPr>
                <w:rFonts w:eastAsia="Times New Roman" w:cs="Times New Roman"/>
                <w:bCs/>
                <w:sz w:val="16"/>
                <w:szCs w:val="16"/>
                <w:lang w:eastAsia="sk-SK"/>
              </w:rPr>
            </w:pPr>
            <w:r w:rsidRPr="008E4025">
              <w:rPr>
                <w:rFonts w:eastAsia="Times New Roman" w:cs="Times New Roman"/>
                <w:bCs/>
                <w:sz w:val="16"/>
                <w:szCs w:val="16"/>
                <w:lang w:eastAsia="sk-SK"/>
              </w:rPr>
              <w:t>1 103 342</w:t>
            </w:r>
          </w:p>
        </w:tc>
        <w:tc>
          <w:tcPr>
            <w:tcW w:w="1064" w:type="dxa"/>
            <w:tcBorders>
              <w:top w:val="nil"/>
              <w:left w:val="nil"/>
              <w:bottom w:val="nil"/>
              <w:right w:val="nil"/>
            </w:tcBorders>
            <w:shd w:val="clear" w:color="auto" w:fill="auto"/>
            <w:noWrap/>
            <w:vAlign w:val="center"/>
          </w:tcPr>
          <w:p w14:paraId="1B130237" w14:textId="77777777" w:rsidR="008E4025" w:rsidRPr="008E4025" w:rsidRDefault="008E4025" w:rsidP="003259FA">
            <w:pPr>
              <w:spacing w:after="0" w:line="240" w:lineRule="auto"/>
              <w:jc w:val="right"/>
              <w:rPr>
                <w:rFonts w:eastAsia="Times New Roman" w:cs="Times New Roman"/>
                <w:bCs/>
                <w:sz w:val="16"/>
                <w:szCs w:val="16"/>
                <w:lang w:eastAsia="sk-SK"/>
              </w:rPr>
            </w:pPr>
            <w:r w:rsidRPr="008E4025">
              <w:rPr>
                <w:rFonts w:eastAsia="Times New Roman" w:cs="Times New Roman"/>
                <w:bCs/>
                <w:sz w:val="16"/>
                <w:szCs w:val="16"/>
                <w:lang w:eastAsia="sk-SK"/>
              </w:rPr>
              <w:t>1 085 001</w:t>
            </w:r>
          </w:p>
        </w:tc>
        <w:tc>
          <w:tcPr>
            <w:tcW w:w="1146" w:type="dxa"/>
            <w:tcBorders>
              <w:top w:val="nil"/>
              <w:left w:val="nil"/>
              <w:bottom w:val="nil"/>
              <w:right w:val="nil"/>
            </w:tcBorders>
            <w:shd w:val="clear" w:color="auto" w:fill="D9D9D9" w:themeFill="background1" w:themeFillShade="D9"/>
            <w:noWrap/>
            <w:vAlign w:val="center"/>
          </w:tcPr>
          <w:p w14:paraId="4348C63E" w14:textId="77777777" w:rsidR="008E4025" w:rsidRPr="008E4025" w:rsidRDefault="008E4025" w:rsidP="003259FA">
            <w:pPr>
              <w:spacing w:after="0" w:line="240" w:lineRule="auto"/>
              <w:jc w:val="right"/>
              <w:rPr>
                <w:rFonts w:eastAsia="Times New Roman" w:cs="Times New Roman"/>
                <w:bCs/>
                <w:sz w:val="16"/>
                <w:szCs w:val="16"/>
                <w:lang w:eastAsia="sk-SK"/>
              </w:rPr>
            </w:pPr>
            <w:r w:rsidRPr="008E4025">
              <w:rPr>
                <w:rFonts w:eastAsia="Times New Roman" w:cs="Times New Roman"/>
                <w:bCs/>
                <w:sz w:val="16"/>
                <w:szCs w:val="16"/>
                <w:lang w:eastAsia="sk-SK"/>
              </w:rPr>
              <w:t>1 296 626</w:t>
            </w:r>
          </w:p>
        </w:tc>
        <w:tc>
          <w:tcPr>
            <w:tcW w:w="1004" w:type="dxa"/>
            <w:tcBorders>
              <w:top w:val="nil"/>
              <w:left w:val="nil"/>
              <w:bottom w:val="nil"/>
              <w:right w:val="nil"/>
            </w:tcBorders>
            <w:shd w:val="clear" w:color="auto" w:fill="auto"/>
            <w:noWrap/>
            <w:vAlign w:val="center"/>
          </w:tcPr>
          <w:p w14:paraId="59EA1AF1" w14:textId="77777777" w:rsidR="008E4025" w:rsidRPr="008E4025" w:rsidRDefault="008E4025" w:rsidP="003259FA">
            <w:pPr>
              <w:spacing w:after="0" w:line="240" w:lineRule="auto"/>
              <w:jc w:val="right"/>
              <w:rPr>
                <w:rFonts w:eastAsia="Times New Roman" w:cs="Times New Roman"/>
                <w:bCs/>
                <w:sz w:val="16"/>
                <w:szCs w:val="16"/>
                <w:lang w:eastAsia="sk-SK"/>
              </w:rPr>
            </w:pPr>
            <w:r w:rsidRPr="008E4025">
              <w:rPr>
                <w:rFonts w:eastAsia="Times New Roman" w:cs="Times New Roman"/>
                <w:bCs/>
                <w:sz w:val="16"/>
                <w:szCs w:val="16"/>
                <w:lang w:eastAsia="sk-SK"/>
              </w:rPr>
              <w:t>193 284</w:t>
            </w:r>
          </w:p>
        </w:tc>
      </w:tr>
      <w:tr w:rsidR="008E4025" w:rsidRPr="008E4025" w14:paraId="75DDB0C5" w14:textId="77777777" w:rsidTr="006B2E4F">
        <w:trPr>
          <w:trHeight w:val="368"/>
          <w:jc w:val="center"/>
        </w:trPr>
        <w:tc>
          <w:tcPr>
            <w:tcW w:w="1985" w:type="dxa"/>
            <w:tcBorders>
              <w:top w:val="nil"/>
              <w:left w:val="nil"/>
              <w:bottom w:val="nil"/>
              <w:right w:val="nil"/>
            </w:tcBorders>
            <w:shd w:val="clear" w:color="auto" w:fill="auto"/>
            <w:noWrap/>
            <w:vAlign w:val="center"/>
            <w:hideMark/>
          </w:tcPr>
          <w:p w14:paraId="150B8D71" w14:textId="77777777" w:rsidR="008E4025" w:rsidRPr="008E4025" w:rsidRDefault="008E4025" w:rsidP="003259FA">
            <w:pPr>
              <w:spacing w:after="0" w:line="240" w:lineRule="auto"/>
              <w:rPr>
                <w:rFonts w:eastAsia="Times New Roman" w:cs="Times New Roman"/>
                <w:sz w:val="16"/>
                <w:szCs w:val="16"/>
                <w:lang w:eastAsia="sk-SK"/>
              </w:rPr>
            </w:pPr>
            <w:r w:rsidRPr="008E4025">
              <w:rPr>
                <w:rFonts w:eastAsia="Times New Roman" w:cs="Times New Roman"/>
                <w:sz w:val="16"/>
                <w:szCs w:val="16"/>
                <w:lang w:eastAsia="sk-SK"/>
              </w:rPr>
              <w:t xml:space="preserve">            granty a transfery</w:t>
            </w:r>
          </w:p>
        </w:tc>
        <w:tc>
          <w:tcPr>
            <w:tcW w:w="992" w:type="dxa"/>
            <w:tcBorders>
              <w:top w:val="nil"/>
              <w:left w:val="nil"/>
              <w:bottom w:val="nil"/>
              <w:right w:val="nil"/>
            </w:tcBorders>
            <w:shd w:val="clear" w:color="auto" w:fill="auto"/>
            <w:vAlign w:val="center"/>
          </w:tcPr>
          <w:p w14:paraId="773DE9AF" w14:textId="77777777" w:rsidR="008E4025" w:rsidRPr="008E4025" w:rsidRDefault="008E4025" w:rsidP="003259FA">
            <w:pPr>
              <w:spacing w:after="0" w:line="240" w:lineRule="auto"/>
              <w:jc w:val="right"/>
              <w:rPr>
                <w:rFonts w:eastAsia="Times New Roman" w:cs="Times New Roman"/>
                <w:sz w:val="16"/>
                <w:szCs w:val="16"/>
                <w:lang w:eastAsia="sk-SK"/>
              </w:rPr>
            </w:pPr>
            <w:r w:rsidRPr="008E4025">
              <w:rPr>
                <w:rFonts w:eastAsia="Times New Roman" w:cs="Times New Roman"/>
                <w:sz w:val="16"/>
                <w:szCs w:val="16"/>
                <w:lang w:eastAsia="sk-SK"/>
              </w:rPr>
              <w:t>2 203 634</w:t>
            </w:r>
          </w:p>
        </w:tc>
        <w:tc>
          <w:tcPr>
            <w:tcW w:w="992" w:type="dxa"/>
            <w:tcBorders>
              <w:top w:val="nil"/>
              <w:left w:val="nil"/>
              <w:bottom w:val="nil"/>
              <w:right w:val="nil"/>
            </w:tcBorders>
            <w:shd w:val="clear" w:color="auto" w:fill="auto"/>
            <w:noWrap/>
            <w:vAlign w:val="center"/>
          </w:tcPr>
          <w:p w14:paraId="1D3AE346" w14:textId="77777777" w:rsidR="008E4025" w:rsidRPr="008E4025" w:rsidRDefault="008E4025" w:rsidP="003259FA">
            <w:pPr>
              <w:spacing w:after="0" w:line="240" w:lineRule="auto"/>
              <w:jc w:val="right"/>
              <w:rPr>
                <w:rFonts w:eastAsia="Times New Roman" w:cs="Times New Roman"/>
                <w:sz w:val="16"/>
                <w:szCs w:val="16"/>
                <w:lang w:eastAsia="sk-SK"/>
              </w:rPr>
            </w:pPr>
            <w:r w:rsidRPr="008E4025">
              <w:rPr>
                <w:rFonts w:eastAsia="Times New Roman" w:cs="Times New Roman"/>
                <w:bCs/>
                <w:sz w:val="16"/>
                <w:szCs w:val="16"/>
                <w:lang w:eastAsia="sk-SK"/>
              </w:rPr>
              <w:t>2 161 575</w:t>
            </w:r>
          </w:p>
        </w:tc>
        <w:tc>
          <w:tcPr>
            <w:tcW w:w="993" w:type="dxa"/>
            <w:tcBorders>
              <w:top w:val="nil"/>
              <w:left w:val="nil"/>
              <w:bottom w:val="nil"/>
              <w:right w:val="nil"/>
            </w:tcBorders>
            <w:vAlign w:val="center"/>
          </w:tcPr>
          <w:p w14:paraId="5F7C75E2" w14:textId="380E5BA6" w:rsidR="008E4025" w:rsidRPr="008E4025" w:rsidRDefault="006B2E4F" w:rsidP="003259FA">
            <w:pPr>
              <w:spacing w:after="0" w:line="240" w:lineRule="auto"/>
              <w:jc w:val="right"/>
              <w:rPr>
                <w:rFonts w:eastAsia="Times New Roman" w:cs="Times New Roman"/>
                <w:bCs/>
                <w:sz w:val="16"/>
                <w:szCs w:val="16"/>
                <w:lang w:eastAsia="sk-SK"/>
              </w:rPr>
            </w:pPr>
            <w:r>
              <w:rPr>
                <w:rFonts w:eastAsia="Times New Roman" w:cs="Times New Roman"/>
                <w:bCs/>
                <w:sz w:val="16"/>
                <w:szCs w:val="16"/>
                <w:lang w:eastAsia="sk-SK"/>
              </w:rPr>
              <w:t>1 716 461</w:t>
            </w:r>
          </w:p>
        </w:tc>
        <w:tc>
          <w:tcPr>
            <w:tcW w:w="1170" w:type="dxa"/>
            <w:tcBorders>
              <w:top w:val="nil"/>
              <w:left w:val="nil"/>
              <w:bottom w:val="nil"/>
              <w:right w:val="nil"/>
            </w:tcBorders>
            <w:shd w:val="clear" w:color="auto" w:fill="auto"/>
            <w:noWrap/>
            <w:vAlign w:val="center"/>
          </w:tcPr>
          <w:p w14:paraId="772DC247" w14:textId="283A4BD8" w:rsidR="008E4025" w:rsidRPr="008E4025" w:rsidRDefault="008E4025" w:rsidP="003259FA">
            <w:pPr>
              <w:spacing w:after="0" w:line="240" w:lineRule="auto"/>
              <w:jc w:val="right"/>
              <w:rPr>
                <w:rFonts w:eastAsia="Times New Roman" w:cs="Times New Roman"/>
                <w:bCs/>
                <w:sz w:val="16"/>
                <w:szCs w:val="16"/>
                <w:lang w:eastAsia="sk-SK"/>
              </w:rPr>
            </w:pPr>
            <w:r w:rsidRPr="008E4025">
              <w:rPr>
                <w:rFonts w:eastAsia="Times New Roman" w:cs="Times New Roman"/>
                <w:bCs/>
                <w:sz w:val="16"/>
                <w:szCs w:val="16"/>
                <w:lang w:eastAsia="sk-SK"/>
              </w:rPr>
              <w:t>1 716 461</w:t>
            </w:r>
          </w:p>
        </w:tc>
        <w:tc>
          <w:tcPr>
            <w:tcW w:w="1064" w:type="dxa"/>
            <w:tcBorders>
              <w:top w:val="nil"/>
              <w:left w:val="nil"/>
              <w:bottom w:val="nil"/>
              <w:right w:val="nil"/>
            </w:tcBorders>
            <w:shd w:val="clear" w:color="auto" w:fill="auto"/>
            <w:noWrap/>
            <w:vAlign w:val="center"/>
          </w:tcPr>
          <w:p w14:paraId="3183136E" w14:textId="77777777" w:rsidR="008E4025" w:rsidRPr="008E4025" w:rsidRDefault="008E4025" w:rsidP="003259FA">
            <w:pPr>
              <w:spacing w:after="0" w:line="240" w:lineRule="auto"/>
              <w:jc w:val="right"/>
              <w:rPr>
                <w:rFonts w:eastAsia="Times New Roman" w:cs="Times New Roman"/>
                <w:bCs/>
                <w:sz w:val="16"/>
                <w:szCs w:val="16"/>
                <w:lang w:eastAsia="sk-SK"/>
              </w:rPr>
            </w:pPr>
            <w:r w:rsidRPr="008E4025">
              <w:rPr>
                <w:rFonts w:eastAsia="Times New Roman" w:cs="Times New Roman"/>
                <w:bCs/>
                <w:sz w:val="16"/>
                <w:szCs w:val="16"/>
                <w:lang w:eastAsia="sk-SK"/>
              </w:rPr>
              <w:t>2 501 862</w:t>
            </w:r>
          </w:p>
        </w:tc>
        <w:tc>
          <w:tcPr>
            <w:tcW w:w="1146" w:type="dxa"/>
            <w:tcBorders>
              <w:top w:val="nil"/>
              <w:left w:val="nil"/>
              <w:bottom w:val="nil"/>
              <w:right w:val="nil"/>
            </w:tcBorders>
            <w:shd w:val="clear" w:color="auto" w:fill="D9D9D9" w:themeFill="background1" w:themeFillShade="D9"/>
            <w:noWrap/>
            <w:vAlign w:val="center"/>
          </w:tcPr>
          <w:p w14:paraId="0C8D43B2" w14:textId="77777777" w:rsidR="008E4025" w:rsidRPr="008E4025" w:rsidRDefault="008E4025" w:rsidP="003259FA">
            <w:pPr>
              <w:spacing w:after="0" w:line="240" w:lineRule="auto"/>
              <w:jc w:val="right"/>
              <w:rPr>
                <w:rFonts w:eastAsia="Times New Roman" w:cs="Times New Roman"/>
                <w:bCs/>
                <w:sz w:val="16"/>
                <w:szCs w:val="16"/>
                <w:lang w:eastAsia="sk-SK"/>
              </w:rPr>
            </w:pPr>
            <w:r w:rsidRPr="008E4025">
              <w:rPr>
                <w:rFonts w:eastAsia="Times New Roman" w:cs="Times New Roman"/>
                <w:bCs/>
                <w:sz w:val="16"/>
                <w:szCs w:val="16"/>
                <w:lang w:eastAsia="sk-SK"/>
              </w:rPr>
              <w:t>2 588 586</w:t>
            </w:r>
          </w:p>
        </w:tc>
        <w:tc>
          <w:tcPr>
            <w:tcW w:w="1004" w:type="dxa"/>
            <w:tcBorders>
              <w:top w:val="nil"/>
              <w:left w:val="nil"/>
              <w:bottom w:val="nil"/>
              <w:right w:val="nil"/>
            </w:tcBorders>
            <w:shd w:val="clear" w:color="auto" w:fill="auto"/>
            <w:noWrap/>
            <w:vAlign w:val="center"/>
          </w:tcPr>
          <w:p w14:paraId="226ACA40" w14:textId="77777777" w:rsidR="008E4025" w:rsidRPr="008E4025" w:rsidRDefault="008E4025" w:rsidP="003259FA">
            <w:pPr>
              <w:spacing w:after="0" w:line="240" w:lineRule="auto"/>
              <w:jc w:val="right"/>
              <w:rPr>
                <w:rFonts w:eastAsia="Times New Roman" w:cs="Times New Roman"/>
                <w:bCs/>
                <w:sz w:val="16"/>
                <w:szCs w:val="16"/>
                <w:lang w:eastAsia="sk-SK"/>
              </w:rPr>
            </w:pPr>
            <w:r w:rsidRPr="008E4025">
              <w:rPr>
                <w:rFonts w:eastAsia="Times New Roman" w:cs="Times New Roman"/>
                <w:bCs/>
                <w:sz w:val="16"/>
                <w:szCs w:val="16"/>
                <w:lang w:eastAsia="sk-SK"/>
              </w:rPr>
              <w:t>872 125</w:t>
            </w:r>
          </w:p>
        </w:tc>
      </w:tr>
      <w:tr w:rsidR="008E4025" w:rsidRPr="008E4025" w14:paraId="4E73CE7C" w14:textId="77777777" w:rsidTr="006B2E4F">
        <w:trPr>
          <w:trHeight w:val="368"/>
          <w:jc w:val="center"/>
        </w:trPr>
        <w:tc>
          <w:tcPr>
            <w:tcW w:w="1985" w:type="dxa"/>
            <w:tcBorders>
              <w:top w:val="nil"/>
              <w:left w:val="nil"/>
              <w:bottom w:val="nil"/>
              <w:right w:val="nil"/>
            </w:tcBorders>
            <w:shd w:val="clear" w:color="auto" w:fill="auto"/>
            <w:noWrap/>
            <w:vAlign w:val="center"/>
            <w:hideMark/>
          </w:tcPr>
          <w:p w14:paraId="54D36642" w14:textId="77777777" w:rsidR="008E4025" w:rsidRPr="008E4025" w:rsidRDefault="008E4025" w:rsidP="003259FA">
            <w:pPr>
              <w:spacing w:after="0" w:line="240" w:lineRule="auto"/>
              <w:rPr>
                <w:rFonts w:eastAsia="Times New Roman" w:cs="Times New Roman"/>
                <w:b/>
                <w:bCs/>
                <w:sz w:val="16"/>
                <w:szCs w:val="16"/>
                <w:lang w:eastAsia="sk-SK"/>
              </w:rPr>
            </w:pPr>
            <w:r w:rsidRPr="008E4025">
              <w:rPr>
                <w:rFonts w:eastAsia="Times New Roman" w:cs="Times New Roman"/>
                <w:b/>
                <w:bCs/>
                <w:sz w:val="16"/>
                <w:szCs w:val="16"/>
                <w:lang w:eastAsia="sk-SK"/>
              </w:rPr>
              <w:t>Výdavky spolu</w:t>
            </w:r>
          </w:p>
        </w:tc>
        <w:tc>
          <w:tcPr>
            <w:tcW w:w="992" w:type="dxa"/>
            <w:tcBorders>
              <w:top w:val="nil"/>
              <w:left w:val="nil"/>
              <w:bottom w:val="nil"/>
              <w:right w:val="nil"/>
            </w:tcBorders>
            <w:shd w:val="clear" w:color="auto" w:fill="auto"/>
            <w:vAlign w:val="center"/>
          </w:tcPr>
          <w:p w14:paraId="4D06D302" w14:textId="77777777" w:rsidR="008E4025" w:rsidRPr="008E4025" w:rsidRDefault="008E4025" w:rsidP="003259FA">
            <w:pPr>
              <w:spacing w:after="0" w:line="240" w:lineRule="auto"/>
              <w:jc w:val="right"/>
              <w:rPr>
                <w:rFonts w:eastAsia="Times New Roman" w:cs="Times New Roman"/>
                <w:b/>
                <w:bCs/>
                <w:sz w:val="16"/>
                <w:szCs w:val="16"/>
                <w:lang w:eastAsia="sk-SK"/>
              </w:rPr>
            </w:pPr>
            <w:r w:rsidRPr="008E4025">
              <w:rPr>
                <w:rFonts w:eastAsia="Times New Roman" w:cs="Times New Roman"/>
                <w:b/>
                <w:bCs/>
                <w:sz w:val="16"/>
                <w:szCs w:val="16"/>
                <w:lang w:eastAsia="sk-SK"/>
              </w:rPr>
              <w:t>16 563 255</w:t>
            </w:r>
          </w:p>
        </w:tc>
        <w:tc>
          <w:tcPr>
            <w:tcW w:w="992" w:type="dxa"/>
            <w:tcBorders>
              <w:top w:val="nil"/>
              <w:left w:val="nil"/>
              <w:bottom w:val="nil"/>
              <w:right w:val="nil"/>
            </w:tcBorders>
            <w:shd w:val="clear" w:color="auto" w:fill="auto"/>
            <w:noWrap/>
            <w:vAlign w:val="center"/>
          </w:tcPr>
          <w:p w14:paraId="19D9D62F" w14:textId="77777777" w:rsidR="008E4025" w:rsidRPr="008E4025" w:rsidRDefault="008E4025" w:rsidP="003259FA">
            <w:pPr>
              <w:spacing w:after="0" w:line="240" w:lineRule="auto"/>
              <w:jc w:val="right"/>
              <w:rPr>
                <w:rFonts w:eastAsia="Times New Roman" w:cs="Times New Roman"/>
                <w:b/>
                <w:bCs/>
                <w:sz w:val="16"/>
                <w:szCs w:val="16"/>
                <w:lang w:eastAsia="sk-SK"/>
              </w:rPr>
            </w:pPr>
            <w:r w:rsidRPr="008E4025">
              <w:rPr>
                <w:rFonts w:eastAsia="Times New Roman" w:cs="Times New Roman"/>
                <w:b/>
                <w:bCs/>
                <w:sz w:val="16"/>
                <w:szCs w:val="16"/>
                <w:lang w:eastAsia="sk-SK"/>
              </w:rPr>
              <w:t>18 027 016</w:t>
            </w:r>
          </w:p>
        </w:tc>
        <w:tc>
          <w:tcPr>
            <w:tcW w:w="993" w:type="dxa"/>
            <w:tcBorders>
              <w:top w:val="nil"/>
              <w:left w:val="nil"/>
              <w:bottom w:val="nil"/>
              <w:right w:val="nil"/>
            </w:tcBorders>
            <w:vAlign w:val="center"/>
          </w:tcPr>
          <w:p w14:paraId="125AB0FB" w14:textId="63F04E31" w:rsidR="008E4025" w:rsidRPr="008E4025" w:rsidRDefault="005376D3" w:rsidP="003259FA">
            <w:pPr>
              <w:spacing w:after="0" w:line="240" w:lineRule="auto"/>
              <w:jc w:val="right"/>
              <w:rPr>
                <w:rFonts w:eastAsia="Times New Roman" w:cs="Times New Roman"/>
                <w:b/>
                <w:bCs/>
                <w:sz w:val="16"/>
                <w:szCs w:val="16"/>
                <w:lang w:eastAsia="sk-SK"/>
              </w:rPr>
            </w:pPr>
            <w:r>
              <w:rPr>
                <w:rFonts w:eastAsia="Times New Roman" w:cs="Times New Roman"/>
                <w:b/>
                <w:bCs/>
                <w:sz w:val="16"/>
                <w:szCs w:val="16"/>
                <w:lang w:eastAsia="sk-SK"/>
              </w:rPr>
              <w:t>18 560 878</w:t>
            </w:r>
          </w:p>
        </w:tc>
        <w:tc>
          <w:tcPr>
            <w:tcW w:w="1170" w:type="dxa"/>
            <w:tcBorders>
              <w:top w:val="nil"/>
              <w:left w:val="nil"/>
              <w:bottom w:val="nil"/>
              <w:right w:val="nil"/>
            </w:tcBorders>
            <w:shd w:val="clear" w:color="auto" w:fill="auto"/>
            <w:noWrap/>
            <w:vAlign w:val="center"/>
          </w:tcPr>
          <w:p w14:paraId="54FA9679" w14:textId="44C345D4" w:rsidR="008E4025" w:rsidRPr="008E4025" w:rsidRDefault="008E4025" w:rsidP="003259FA">
            <w:pPr>
              <w:spacing w:after="0" w:line="240" w:lineRule="auto"/>
              <w:jc w:val="right"/>
              <w:rPr>
                <w:rFonts w:eastAsia="Times New Roman" w:cs="Times New Roman"/>
                <w:b/>
                <w:bCs/>
                <w:sz w:val="16"/>
                <w:szCs w:val="16"/>
                <w:lang w:eastAsia="sk-SK"/>
              </w:rPr>
            </w:pPr>
            <w:r w:rsidRPr="008E4025">
              <w:rPr>
                <w:rFonts w:eastAsia="Times New Roman" w:cs="Times New Roman"/>
                <w:b/>
                <w:bCs/>
                <w:sz w:val="16"/>
                <w:szCs w:val="16"/>
                <w:lang w:eastAsia="sk-SK"/>
              </w:rPr>
              <w:t>26 319 081</w:t>
            </w:r>
          </w:p>
        </w:tc>
        <w:tc>
          <w:tcPr>
            <w:tcW w:w="1064" w:type="dxa"/>
            <w:tcBorders>
              <w:top w:val="nil"/>
              <w:left w:val="nil"/>
              <w:bottom w:val="nil"/>
              <w:right w:val="nil"/>
            </w:tcBorders>
            <w:shd w:val="clear" w:color="auto" w:fill="auto"/>
            <w:noWrap/>
            <w:vAlign w:val="center"/>
          </w:tcPr>
          <w:p w14:paraId="2C6B9226" w14:textId="77777777" w:rsidR="008E4025" w:rsidRPr="008E4025" w:rsidRDefault="008E4025" w:rsidP="003259FA">
            <w:pPr>
              <w:spacing w:after="0" w:line="240" w:lineRule="auto"/>
              <w:jc w:val="right"/>
              <w:rPr>
                <w:rFonts w:eastAsia="Times New Roman" w:cs="Times New Roman"/>
                <w:b/>
                <w:bCs/>
                <w:sz w:val="16"/>
                <w:szCs w:val="16"/>
                <w:lang w:eastAsia="sk-SK"/>
              </w:rPr>
            </w:pPr>
            <w:r w:rsidRPr="008E4025">
              <w:rPr>
                <w:rFonts w:eastAsia="Times New Roman" w:cs="Times New Roman"/>
                <w:b/>
                <w:bCs/>
                <w:sz w:val="16"/>
                <w:szCs w:val="16"/>
                <w:lang w:eastAsia="sk-SK"/>
              </w:rPr>
              <w:t>26 655 819</w:t>
            </w:r>
          </w:p>
        </w:tc>
        <w:tc>
          <w:tcPr>
            <w:tcW w:w="1146" w:type="dxa"/>
            <w:tcBorders>
              <w:top w:val="nil"/>
              <w:left w:val="nil"/>
              <w:bottom w:val="nil"/>
              <w:right w:val="nil"/>
            </w:tcBorders>
            <w:shd w:val="clear" w:color="auto" w:fill="D9D9D9" w:themeFill="background1" w:themeFillShade="D9"/>
            <w:noWrap/>
            <w:vAlign w:val="center"/>
          </w:tcPr>
          <w:p w14:paraId="35D28EC0" w14:textId="77777777" w:rsidR="008E4025" w:rsidRPr="008E4025" w:rsidRDefault="008E4025" w:rsidP="003259FA">
            <w:pPr>
              <w:spacing w:after="0" w:line="240" w:lineRule="auto"/>
              <w:jc w:val="right"/>
              <w:rPr>
                <w:rFonts w:eastAsia="Times New Roman" w:cs="Times New Roman"/>
                <w:b/>
                <w:bCs/>
                <w:sz w:val="16"/>
                <w:szCs w:val="16"/>
                <w:lang w:eastAsia="sk-SK"/>
              </w:rPr>
            </w:pPr>
            <w:r w:rsidRPr="008E4025">
              <w:rPr>
                <w:rFonts w:eastAsia="Times New Roman" w:cs="Times New Roman"/>
                <w:b/>
                <w:bCs/>
                <w:sz w:val="16"/>
                <w:szCs w:val="16"/>
                <w:lang w:eastAsia="sk-SK"/>
              </w:rPr>
              <w:t>23 509 056</w:t>
            </w:r>
          </w:p>
        </w:tc>
        <w:tc>
          <w:tcPr>
            <w:tcW w:w="1004" w:type="dxa"/>
            <w:tcBorders>
              <w:top w:val="nil"/>
              <w:left w:val="nil"/>
              <w:bottom w:val="nil"/>
              <w:right w:val="nil"/>
            </w:tcBorders>
            <w:shd w:val="clear" w:color="auto" w:fill="auto"/>
            <w:noWrap/>
            <w:vAlign w:val="center"/>
          </w:tcPr>
          <w:p w14:paraId="69BB3882" w14:textId="77777777" w:rsidR="008E4025" w:rsidRPr="008E4025" w:rsidRDefault="008E4025" w:rsidP="003259FA">
            <w:pPr>
              <w:spacing w:after="0" w:line="240" w:lineRule="auto"/>
              <w:jc w:val="right"/>
              <w:rPr>
                <w:rFonts w:eastAsia="Times New Roman" w:cs="Times New Roman"/>
                <w:b/>
                <w:bCs/>
                <w:sz w:val="16"/>
                <w:szCs w:val="16"/>
                <w:lang w:eastAsia="sk-SK"/>
              </w:rPr>
            </w:pPr>
            <w:r w:rsidRPr="008E4025">
              <w:rPr>
                <w:rFonts w:eastAsia="Times New Roman" w:cs="Times New Roman"/>
                <w:b/>
                <w:bCs/>
                <w:sz w:val="16"/>
                <w:szCs w:val="16"/>
                <w:lang w:eastAsia="sk-SK"/>
              </w:rPr>
              <w:t>-2 810 025</w:t>
            </w:r>
          </w:p>
        </w:tc>
      </w:tr>
      <w:tr w:rsidR="008E4025" w:rsidRPr="008E4025" w14:paraId="0DDE9E27" w14:textId="77777777" w:rsidTr="006B2E4F">
        <w:trPr>
          <w:trHeight w:val="368"/>
          <w:jc w:val="center"/>
        </w:trPr>
        <w:tc>
          <w:tcPr>
            <w:tcW w:w="1985" w:type="dxa"/>
            <w:tcBorders>
              <w:top w:val="nil"/>
              <w:left w:val="nil"/>
              <w:bottom w:val="nil"/>
              <w:right w:val="nil"/>
            </w:tcBorders>
            <w:shd w:val="clear" w:color="auto" w:fill="auto"/>
            <w:noWrap/>
            <w:vAlign w:val="center"/>
            <w:hideMark/>
          </w:tcPr>
          <w:p w14:paraId="4BC53D2B" w14:textId="77777777" w:rsidR="008E4025" w:rsidRPr="008E4025" w:rsidRDefault="008E4025" w:rsidP="003259FA">
            <w:pPr>
              <w:spacing w:after="0" w:line="240" w:lineRule="auto"/>
              <w:rPr>
                <w:rFonts w:eastAsia="Times New Roman" w:cs="Times New Roman"/>
                <w:sz w:val="16"/>
                <w:szCs w:val="16"/>
                <w:lang w:eastAsia="sk-SK"/>
              </w:rPr>
            </w:pPr>
            <w:r w:rsidRPr="008E4025">
              <w:rPr>
                <w:rFonts w:eastAsia="Times New Roman" w:cs="Times New Roman"/>
                <w:sz w:val="16"/>
                <w:szCs w:val="16"/>
                <w:lang w:eastAsia="sk-SK"/>
              </w:rPr>
              <w:t>v tom: bežné výdavky</w:t>
            </w:r>
          </w:p>
        </w:tc>
        <w:tc>
          <w:tcPr>
            <w:tcW w:w="992" w:type="dxa"/>
            <w:tcBorders>
              <w:top w:val="nil"/>
              <w:left w:val="nil"/>
              <w:bottom w:val="nil"/>
              <w:right w:val="nil"/>
            </w:tcBorders>
            <w:shd w:val="clear" w:color="auto" w:fill="auto"/>
            <w:vAlign w:val="center"/>
          </w:tcPr>
          <w:p w14:paraId="68C87775" w14:textId="77777777" w:rsidR="008E4025" w:rsidRPr="008E4025" w:rsidRDefault="008E4025" w:rsidP="003259FA">
            <w:pPr>
              <w:spacing w:after="0" w:line="240" w:lineRule="auto"/>
              <w:jc w:val="right"/>
              <w:rPr>
                <w:rFonts w:eastAsia="Times New Roman" w:cs="Times New Roman"/>
                <w:sz w:val="16"/>
                <w:szCs w:val="16"/>
                <w:lang w:eastAsia="sk-SK"/>
              </w:rPr>
            </w:pPr>
            <w:r w:rsidRPr="008E4025">
              <w:rPr>
                <w:rFonts w:eastAsia="Times New Roman" w:cs="Times New Roman"/>
                <w:sz w:val="16"/>
                <w:szCs w:val="16"/>
                <w:lang w:eastAsia="sk-SK"/>
              </w:rPr>
              <w:t>14 160 931</w:t>
            </w:r>
          </w:p>
        </w:tc>
        <w:tc>
          <w:tcPr>
            <w:tcW w:w="992" w:type="dxa"/>
            <w:tcBorders>
              <w:top w:val="nil"/>
              <w:left w:val="nil"/>
              <w:bottom w:val="nil"/>
              <w:right w:val="nil"/>
            </w:tcBorders>
            <w:shd w:val="clear" w:color="auto" w:fill="auto"/>
            <w:noWrap/>
            <w:vAlign w:val="center"/>
          </w:tcPr>
          <w:p w14:paraId="6D9B9F5D" w14:textId="77777777" w:rsidR="008E4025" w:rsidRPr="008E4025" w:rsidRDefault="008E4025" w:rsidP="003259FA">
            <w:pPr>
              <w:spacing w:after="0" w:line="240" w:lineRule="auto"/>
              <w:jc w:val="right"/>
              <w:rPr>
                <w:rFonts w:eastAsia="Times New Roman" w:cs="Times New Roman"/>
                <w:sz w:val="16"/>
                <w:szCs w:val="16"/>
                <w:lang w:eastAsia="sk-SK"/>
              </w:rPr>
            </w:pPr>
            <w:r w:rsidRPr="008E4025">
              <w:rPr>
                <w:rFonts w:eastAsia="Times New Roman" w:cs="Times New Roman"/>
                <w:bCs/>
                <w:sz w:val="16"/>
                <w:szCs w:val="16"/>
                <w:lang w:eastAsia="sk-SK"/>
              </w:rPr>
              <w:t>15 168 067</w:t>
            </w:r>
          </w:p>
        </w:tc>
        <w:tc>
          <w:tcPr>
            <w:tcW w:w="993" w:type="dxa"/>
            <w:tcBorders>
              <w:top w:val="nil"/>
              <w:left w:val="nil"/>
              <w:bottom w:val="nil"/>
              <w:right w:val="nil"/>
            </w:tcBorders>
            <w:vAlign w:val="center"/>
          </w:tcPr>
          <w:p w14:paraId="2462832F" w14:textId="517DD20B" w:rsidR="008E4025" w:rsidRPr="008E4025" w:rsidRDefault="005376D3" w:rsidP="003259FA">
            <w:pPr>
              <w:spacing w:after="0" w:line="240" w:lineRule="auto"/>
              <w:jc w:val="right"/>
              <w:rPr>
                <w:rFonts w:eastAsia="Times New Roman" w:cs="Times New Roman"/>
                <w:bCs/>
                <w:sz w:val="16"/>
                <w:szCs w:val="16"/>
                <w:lang w:eastAsia="sk-SK"/>
              </w:rPr>
            </w:pPr>
            <w:r>
              <w:rPr>
                <w:rFonts w:eastAsia="Times New Roman" w:cs="Times New Roman"/>
                <w:bCs/>
                <w:sz w:val="16"/>
                <w:szCs w:val="16"/>
                <w:lang w:eastAsia="sk-SK"/>
              </w:rPr>
              <w:t>16 932 740</w:t>
            </w:r>
          </w:p>
        </w:tc>
        <w:tc>
          <w:tcPr>
            <w:tcW w:w="1170" w:type="dxa"/>
            <w:tcBorders>
              <w:top w:val="nil"/>
              <w:left w:val="nil"/>
              <w:bottom w:val="nil"/>
              <w:right w:val="nil"/>
            </w:tcBorders>
            <w:shd w:val="clear" w:color="auto" w:fill="auto"/>
            <w:noWrap/>
            <w:vAlign w:val="center"/>
          </w:tcPr>
          <w:p w14:paraId="063DA727" w14:textId="3C44544B" w:rsidR="008E4025" w:rsidRPr="008E4025" w:rsidRDefault="008E4025" w:rsidP="003259FA">
            <w:pPr>
              <w:spacing w:after="0" w:line="240" w:lineRule="auto"/>
              <w:jc w:val="right"/>
              <w:rPr>
                <w:rFonts w:eastAsia="Times New Roman" w:cs="Times New Roman"/>
                <w:bCs/>
                <w:sz w:val="16"/>
                <w:szCs w:val="16"/>
                <w:lang w:eastAsia="sk-SK"/>
              </w:rPr>
            </w:pPr>
            <w:r w:rsidRPr="008E4025">
              <w:rPr>
                <w:rFonts w:eastAsia="Times New Roman" w:cs="Times New Roman"/>
                <w:bCs/>
                <w:sz w:val="16"/>
                <w:szCs w:val="16"/>
                <w:lang w:eastAsia="sk-SK"/>
              </w:rPr>
              <w:t>24 690 943</w:t>
            </w:r>
          </w:p>
        </w:tc>
        <w:tc>
          <w:tcPr>
            <w:tcW w:w="1064" w:type="dxa"/>
            <w:tcBorders>
              <w:top w:val="nil"/>
              <w:left w:val="nil"/>
              <w:bottom w:val="nil"/>
              <w:right w:val="nil"/>
            </w:tcBorders>
            <w:shd w:val="clear" w:color="auto" w:fill="auto"/>
            <w:noWrap/>
            <w:vAlign w:val="center"/>
          </w:tcPr>
          <w:p w14:paraId="06423A18" w14:textId="77777777" w:rsidR="008E4025" w:rsidRPr="008E4025" w:rsidRDefault="008E4025" w:rsidP="003259FA">
            <w:pPr>
              <w:spacing w:after="0" w:line="240" w:lineRule="auto"/>
              <w:jc w:val="right"/>
              <w:rPr>
                <w:rFonts w:eastAsia="Times New Roman" w:cs="Times New Roman"/>
                <w:bCs/>
                <w:sz w:val="16"/>
                <w:szCs w:val="16"/>
                <w:lang w:eastAsia="sk-SK"/>
              </w:rPr>
            </w:pPr>
            <w:r w:rsidRPr="008E4025">
              <w:rPr>
                <w:rFonts w:eastAsia="Times New Roman" w:cs="Times New Roman"/>
                <w:bCs/>
                <w:sz w:val="16"/>
                <w:szCs w:val="16"/>
                <w:lang w:eastAsia="sk-SK"/>
              </w:rPr>
              <w:t>23 969 457</w:t>
            </w:r>
          </w:p>
        </w:tc>
        <w:tc>
          <w:tcPr>
            <w:tcW w:w="1146" w:type="dxa"/>
            <w:tcBorders>
              <w:top w:val="nil"/>
              <w:left w:val="nil"/>
              <w:bottom w:val="nil"/>
              <w:right w:val="nil"/>
            </w:tcBorders>
            <w:shd w:val="clear" w:color="auto" w:fill="D9D9D9" w:themeFill="background1" w:themeFillShade="D9"/>
            <w:noWrap/>
            <w:vAlign w:val="center"/>
          </w:tcPr>
          <w:p w14:paraId="35BB63AA" w14:textId="77777777" w:rsidR="008E4025" w:rsidRPr="008E4025" w:rsidRDefault="008E4025" w:rsidP="003259FA">
            <w:pPr>
              <w:spacing w:after="0" w:line="240" w:lineRule="auto"/>
              <w:jc w:val="right"/>
              <w:rPr>
                <w:rFonts w:eastAsia="Times New Roman" w:cs="Times New Roman"/>
                <w:bCs/>
                <w:sz w:val="16"/>
                <w:szCs w:val="16"/>
                <w:lang w:eastAsia="sk-SK"/>
              </w:rPr>
            </w:pPr>
            <w:r w:rsidRPr="008E4025">
              <w:rPr>
                <w:rFonts w:eastAsia="Times New Roman" w:cs="Times New Roman"/>
                <w:bCs/>
                <w:sz w:val="16"/>
                <w:szCs w:val="16"/>
                <w:lang w:eastAsia="sk-SK"/>
              </w:rPr>
              <w:t>20 846 610</w:t>
            </w:r>
          </w:p>
        </w:tc>
        <w:tc>
          <w:tcPr>
            <w:tcW w:w="1004" w:type="dxa"/>
            <w:tcBorders>
              <w:top w:val="nil"/>
              <w:left w:val="nil"/>
              <w:bottom w:val="nil"/>
              <w:right w:val="nil"/>
            </w:tcBorders>
            <w:shd w:val="clear" w:color="auto" w:fill="auto"/>
            <w:noWrap/>
            <w:vAlign w:val="center"/>
          </w:tcPr>
          <w:p w14:paraId="70EB4C64" w14:textId="77777777" w:rsidR="008E4025" w:rsidRPr="008E4025" w:rsidRDefault="008E4025" w:rsidP="003259FA">
            <w:pPr>
              <w:spacing w:after="0" w:line="240" w:lineRule="auto"/>
              <w:jc w:val="right"/>
              <w:rPr>
                <w:rFonts w:eastAsia="Times New Roman" w:cs="Times New Roman"/>
                <w:bCs/>
                <w:sz w:val="16"/>
                <w:szCs w:val="16"/>
                <w:lang w:eastAsia="sk-SK"/>
              </w:rPr>
            </w:pPr>
            <w:r w:rsidRPr="008E4025">
              <w:rPr>
                <w:rFonts w:eastAsia="Times New Roman" w:cs="Times New Roman"/>
                <w:bCs/>
                <w:sz w:val="16"/>
                <w:szCs w:val="16"/>
                <w:lang w:eastAsia="sk-SK"/>
              </w:rPr>
              <w:t>-3 844 333</w:t>
            </w:r>
          </w:p>
        </w:tc>
      </w:tr>
      <w:tr w:rsidR="008E4025" w:rsidRPr="008E4025" w14:paraId="305A1EA4" w14:textId="77777777" w:rsidTr="006B2E4F">
        <w:trPr>
          <w:trHeight w:val="387"/>
          <w:jc w:val="center"/>
        </w:trPr>
        <w:tc>
          <w:tcPr>
            <w:tcW w:w="1985" w:type="dxa"/>
            <w:tcBorders>
              <w:top w:val="nil"/>
              <w:left w:val="nil"/>
              <w:bottom w:val="single" w:sz="8" w:space="0" w:color="auto"/>
              <w:right w:val="nil"/>
            </w:tcBorders>
            <w:shd w:val="clear" w:color="auto" w:fill="auto"/>
            <w:noWrap/>
            <w:vAlign w:val="center"/>
            <w:hideMark/>
          </w:tcPr>
          <w:p w14:paraId="30660188" w14:textId="77777777" w:rsidR="008E4025" w:rsidRPr="008E4025" w:rsidRDefault="008E4025" w:rsidP="003259FA">
            <w:pPr>
              <w:spacing w:after="0" w:line="240" w:lineRule="auto"/>
              <w:rPr>
                <w:rFonts w:eastAsia="Times New Roman" w:cs="Times New Roman"/>
                <w:sz w:val="16"/>
                <w:szCs w:val="16"/>
                <w:lang w:eastAsia="sk-SK"/>
              </w:rPr>
            </w:pPr>
            <w:r w:rsidRPr="008E4025">
              <w:rPr>
                <w:rFonts w:eastAsia="Times New Roman" w:cs="Times New Roman"/>
                <w:sz w:val="16"/>
                <w:szCs w:val="16"/>
                <w:lang w:eastAsia="sk-SK"/>
              </w:rPr>
              <w:t xml:space="preserve">            kapitálové výdavky</w:t>
            </w:r>
          </w:p>
        </w:tc>
        <w:tc>
          <w:tcPr>
            <w:tcW w:w="992" w:type="dxa"/>
            <w:tcBorders>
              <w:top w:val="nil"/>
              <w:left w:val="nil"/>
              <w:bottom w:val="single" w:sz="8" w:space="0" w:color="auto"/>
              <w:right w:val="nil"/>
            </w:tcBorders>
            <w:shd w:val="clear" w:color="auto" w:fill="auto"/>
            <w:vAlign w:val="center"/>
          </w:tcPr>
          <w:p w14:paraId="54557D32" w14:textId="77777777" w:rsidR="008E4025" w:rsidRPr="008E4025" w:rsidRDefault="008E4025" w:rsidP="003259FA">
            <w:pPr>
              <w:spacing w:after="0" w:line="240" w:lineRule="auto"/>
              <w:jc w:val="right"/>
              <w:rPr>
                <w:rFonts w:eastAsia="Times New Roman" w:cs="Times New Roman"/>
                <w:sz w:val="16"/>
                <w:szCs w:val="16"/>
                <w:lang w:eastAsia="sk-SK"/>
              </w:rPr>
            </w:pPr>
            <w:r w:rsidRPr="008E4025">
              <w:rPr>
                <w:rFonts w:eastAsia="Times New Roman" w:cs="Times New Roman"/>
                <w:sz w:val="16"/>
                <w:szCs w:val="16"/>
                <w:lang w:eastAsia="sk-SK"/>
              </w:rPr>
              <w:t>2 402 324</w:t>
            </w:r>
          </w:p>
        </w:tc>
        <w:tc>
          <w:tcPr>
            <w:tcW w:w="992" w:type="dxa"/>
            <w:tcBorders>
              <w:top w:val="nil"/>
              <w:left w:val="nil"/>
              <w:bottom w:val="single" w:sz="8" w:space="0" w:color="auto"/>
              <w:right w:val="nil"/>
            </w:tcBorders>
            <w:shd w:val="clear" w:color="auto" w:fill="auto"/>
            <w:noWrap/>
            <w:vAlign w:val="center"/>
          </w:tcPr>
          <w:p w14:paraId="6EB0C93E" w14:textId="77777777" w:rsidR="008E4025" w:rsidRPr="008E4025" w:rsidRDefault="008E4025" w:rsidP="003259FA">
            <w:pPr>
              <w:spacing w:after="0" w:line="240" w:lineRule="auto"/>
              <w:jc w:val="right"/>
              <w:rPr>
                <w:rFonts w:eastAsia="Times New Roman" w:cs="Times New Roman"/>
                <w:sz w:val="16"/>
                <w:szCs w:val="16"/>
                <w:lang w:eastAsia="sk-SK"/>
              </w:rPr>
            </w:pPr>
            <w:r w:rsidRPr="008E4025">
              <w:rPr>
                <w:rFonts w:eastAsia="Times New Roman" w:cs="Times New Roman"/>
                <w:bCs/>
                <w:sz w:val="16"/>
                <w:szCs w:val="16"/>
                <w:lang w:eastAsia="sk-SK"/>
              </w:rPr>
              <w:t>2 858 949</w:t>
            </w:r>
          </w:p>
        </w:tc>
        <w:tc>
          <w:tcPr>
            <w:tcW w:w="993" w:type="dxa"/>
            <w:tcBorders>
              <w:top w:val="nil"/>
              <w:left w:val="nil"/>
              <w:bottom w:val="single" w:sz="8" w:space="0" w:color="auto"/>
              <w:right w:val="nil"/>
            </w:tcBorders>
            <w:vAlign w:val="center"/>
          </w:tcPr>
          <w:p w14:paraId="6D6B9C06" w14:textId="13FD2C6D" w:rsidR="008E4025" w:rsidRPr="008E4025" w:rsidRDefault="005376D3" w:rsidP="003259FA">
            <w:pPr>
              <w:spacing w:after="0" w:line="240" w:lineRule="auto"/>
              <w:jc w:val="right"/>
              <w:rPr>
                <w:rFonts w:eastAsia="Times New Roman" w:cs="Times New Roman"/>
                <w:bCs/>
                <w:sz w:val="16"/>
                <w:szCs w:val="16"/>
                <w:lang w:eastAsia="sk-SK"/>
              </w:rPr>
            </w:pPr>
            <w:r>
              <w:rPr>
                <w:rFonts w:eastAsia="Times New Roman" w:cs="Times New Roman"/>
                <w:bCs/>
                <w:sz w:val="16"/>
                <w:szCs w:val="16"/>
                <w:lang w:eastAsia="sk-SK"/>
              </w:rPr>
              <w:t>1 628 138</w:t>
            </w:r>
          </w:p>
        </w:tc>
        <w:tc>
          <w:tcPr>
            <w:tcW w:w="1170" w:type="dxa"/>
            <w:tcBorders>
              <w:top w:val="nil"/>
              <w:left w:val="nil"/>
              <w:bottom w:val="single" w:sz="8" w:space="0" w:color="auto"/>
              <w:right w:val="nil"/>
            </w:tcBorders>
            <w:shd w:val="clear" w:color="auto" w:fill="auto"/>
            <w:noWrap/>
            <w:vAlign w:val="center"/>
          </w:tcPr>
          <w:p w14:paraId="0F2546D0" w14:textId="724F75EB" w:rsidR="008E4025" w:rsidRPr="008E4025" w:rsidRDefault="008E4025" w:rsidP="003259FA">
            <w:pPr>
              <w:spacing w:after="0" w:line="240" w:lineRule="auto"/>
              <w:jc w:val="right"/>
              <w:rPr>
                <w:rFonts w:eastAsia="Times New Roman" w:cs="Times New Roman"/>
                <w:bCs/>
                <w:sz w:val="16"/>
                <w:szCs w:val="16"/>
                <w:lang w:eastAsia="sk-SK"/>
              </w:rPr>
            </w:pPr>
            <w:r w:rsidRPr="008E4025">
              <w:rPr>
                <w:rFonts w:eastAsia="Times New Roman" w:cs="Times New Roman"/>
                <w:bCs/>
                <w:sz w:val="16"/>
                <w:szCs w:val="16"/>
                <w:lang w:eastAsia="sk-SK"/>
              </w:rPr>
              <w:t>1 628 138</w:t>
            </w:r>
          </w:p>
        </w:tc>
        <w:tc>
          <w:tcPr>
            <w:tcW w:w="1064" w:type="dxa"/>
            <w:tcBorders>
              <w:top w:val="nil"/>
              <w:left w:val="nil"/>
              <w:bottom w:val="single" w:sz="8" w:space="0" w:color="auto"/>
              <w:right w:val="nil"/>
            </w:tcBorders>
            <w:shd w:val="clear" w:color="auto" w:fill="auto"/>
            <w:noWrap/>
            <w:vAlign w:val="center"/>
          </w:tcPr>
          <w:p w14:paraId="241A53A2" w14:textId="77777777" w:rsidR="008E4025" w:rsidRPr="008E4025" w:rsidRDefault="008E4025" w:rsidP="003259FA">
            <w:pPr>
              <w:spacing w:after="0" w:line="240" w:lineRule="auto"/>
              <w:jc w:val="right"/>
              <w:rPr>
                <w:rFonts w:eastAsia="Times New Roman" w:cs="Times New Roman"/>
                <w:bCs/>
                <w:sz w:val="16"/>
                <w:szCs w:val="16"/>
                <w:lang w:eastAsia="sk-SK"/>
              </w:rPr>
            </w:pPr>
            <w:r w:rsidRPr="008E4025">
              <w:rPr>
                <w:rFonts w:eastAsia="Times New Roman" w:cs="Times New Roman"/>
                <w:bCs/>
                <w:sz w:val="16"/>
                <w:szCs w:val="16"/>
                <w:lang w:eastAsia="sk-SK"/>
              </w:rPr>
              <w:t>2 686 362</w:t>
            </w:r>
          </w:p>
        </w:tc>
        <w:tc>
          <w:tcPr>
            <w:tcW w:w="1146" w:type="dxa"/>
            <w:tcBorders>
              <w:top w:val="nil"/>
              <w:left w:val="nil"/>
              <w:bottom w:val="single" w:sz="8" w:space="0" w:color="auto"/>
              <w:right w:val="nil"/>
            </w:tcBorders>
            <w:shd w:val="clear" w:color="auto" w:fill="D9D9D9" w:themeFill="background1" w:themeFillShade="D9"/>
            <w:noWrap/>
            <w:vAlign w:val="center"/>
          </w:tcPr>
          <w:p w14:paraId="21073EED" w14:textId="77777777" w:rsidR="008E4025" w:rsidRPr="008E4025" w:rsidRDefault="008E4025" w:rsidP="003259FA">
            <w:pPr>
              <w:spacing w:after="0" w:line="240" w:lineRule="auto"/>
              <w:jc w:val="right"/>
              <w:rPr>
                <w:rFonts w:eastAsia="Times New Roman" w:cs="Times New Roman"/>
                <w:bCs/>
                <w:sz w:val="16"/>
                <w:szCs w:val="16"/>
                <w:lang w:eastAsia="sk-SK"/>
              </w:rPr>
            </w:pPr>
            <w:r w:rsidRPr="008E4025">
              <w:rPr>
                <w:rFonts w:eastAsia="Times New Roman" w:cs="Times New Roman"/>
                <w:bCs/>
                <w:sz w:val="16"/>
                <w:szCs w:val="16"/>
                <w:lang w:eastAsia="sk-SK"/>
              </w:rPr>
              <w:t>2 662 446</w:t>
            </w:r>
          </w:p>
        </w:tc>
        <w:tc>
          <w:tcPr>
            <w:tcW w:w="1004" w:type="dxa"/>
            <w:tcBorders>
              <w:top w:val="nil"/>
              <w:left w:val="nil"/>
              <w:bottom w:val="single" w:sz="8" w:space="0" w:color="auto"/>
              <w:right w:val="nil"/>
            </w:tcBorders>
            <w:shd w:val="clear" w:color="auto" w:fill="auto"/>
            <w:noWrap/>
            <w:vAlign w:val="center"/>
          </w:tcPr>
          <w:p w14:paraId="2E05D21B" w14:textId="77777777" w:rsidR="008E4025" w:rsidRPr="008E4025" w:rsidRDefault="008E4025" w:rsidP="003259FA">
            <w:pPr>
              <w:spacing w:after="0" w:line="240" w:lineRule="auto"/>
              <w:jc w:val="right"/>
              <w:rPr>
                <w:rFonts w:eastAsia="Times New Roman" w:cs="Times New Roman"/>
                <w:bCs/>
                <w:sz w:val="16"/>
                <w:szCs w:val="16"/>
                <w:lang w:eastAsia="sk-SK"/>
              </w:rPr>
            </w:pPr>
            <w:r w:rsidRPr="008E4025">
              <w:rPr>
                <w:rFonts w:eastAsia="Times New Roman" w:cs="Times New Roman"/>
                <w:bCs/>
                <w:sz w:val="16"/>
                <w:szCs w:val="16"/>
                <w:lang w:eastAsia="sk-SK"/>
              </w:rPr>
              <w:t>1 034 308</w:t>
            </w:r>
          </w:p>
        </w:tc>
      </w:tr>
      <w:tr w:rsidR="008E4025" w:rsidRPr="008E4025" w14:paraId="7F4D07B6" w14:textId="77777777" w:rsidTr="006B2E4F">
        <w:trPr>
          <w:trHeight w:val="387"/>
          <w:jc w:val="center"/>
        </w:trPr>
        <w:tc>
          <w:tcPr>
            <w:tcW w:w="1985" w:type="dxa"/>
            <w:tcBorders>
              <w:top w:val="nil"/>
              <w:left w:val="nil"/>
              <w:bottom w:val="single" w:sz="8" w:space="0" w:color="auto"/>
              <w:right w:val="nil"/>
            </w:tcBorders>
            <w:shd w:val="clear" w:color="auto" w:fill="auto"/>
            <w:noWrap/>
            <w:vAlign w:val="center"/>
            <w:hideMark/>
          </w:tcPr>
          <w:p w14:paraId="0C564256" w14:textId="77777777" w:rsidR="008E4025" w:rsidRPr="008E4025" w:rsidRDefault="008E4025" w:rsidP="003259FA">
            <w:pPr>
              <w:spacing w:after="0" w:line="240" w:lineRule="auto"/>
              <w:rPr>
                <w:rFonts w:eastAsia="Times New Roman" w:cs="Times New Roman"/>
                <w:b/>
                <w:bCs/>
                <w:sz w:val="16"/>
                <w:szCs w:val="16"/>
                <w:lang w:eastAsia="sk-SK"/>
              </w:rPr>
            </w:pPr>
            <w:r w:rsidRPr="008E4025">
              <w:rPr>
                <w:rFonts w:eastAsia="Times New Roman" w:cs="Times New Roman"/>
                <w:b/>
                <w:bCs/>
                <w:sz w:val="16"/>
                <w:szCs w:val="16"/>
                <w:lang w:eastAsia="sk-SK"/>
              </w:rPr>
              <w:t>Schodok (-)</w:t>
            </w:r>
          </w:p>
        </w:tc>
        <w:tc>
          <w:tcPr>
            <w:tcW w:w="992" w:type="dxa"/>
            <w:tcBorders>
              <w:top w:val="nil"/>
              <w:left w:val="nil"/>
              <w:bottom w:val="single" w:sz="8" w:space="0" w:color="auto"/>
              <w:right w:val="nil"/>
            </w:tcBorders>
            <w:shd w:val="clear" w:color="auto" w:fill="auto"/>
            <w:vAlign w:val="center"/>
          </w:tcPr>
          <w:p w14:paraId="643B9F07" w14:textId="77777777" w:rsidR="008E4025" w:rsidRPr="008E4025" w:rsidRDefault="008E4025" w:rsidP="003259FA">
            <w:pPr>
              <w:spacing w:after="0" w:line="240" w:lineRule="auto"/>
              <w:jc w:val="right"/>
              <w:rPr>
                <w:rFonts w:eastAsia="Times New Roman" w:cs="Times New Roman"/>
                <w:b/>
                <w:bCs/>
                <w:sz w:val="16"/>
                <w:szCs w:val="16"/>
                <w:lang w:eastAsia="sk-SK"/>
              </w:rPr>
            </w:pPr>
            <w:r w:rsidRPr="008E4025">
              <w:rPr>
                <w:rFonts w:cs="Times New Roman"/>
                <w:b/>
                <w:bCs/>
                <w:sz w:val="16"/>
                <w:szCs w:val="16"/>
              </w:rPr>
              <w:t>-1 182 242</w:t>
            </w:r>
          </w:p>
        </w:tc>
        <w:tc>
          <w:tcPr>
            <w:tcW w:w="992" w:type="dxa"/>
            <w:tcBorders>
              <w:top w:val="nil"/>
              <w:left w:val="nil"/>
              <w:bottom w:val="single" w:sz="8" w:space="0" w:color="auto"/>
              <w:right w:val="nil"/>
            </w:tcBorders>
            <w:shd w:val="clear" w:color="auto" w:fill="auto"/>
            <w:noWrap/>
            <w:vAlign w:val="center"/>
          </w:tcPr>
          <w:p w14:paraId="5E50BBD0" w14:textId="77777777" w:rsidR="008E4025" w:rsidRPr="008E4025" w:rsidRDefault="008E4025" w:rsidP="003259FA">
            <w:pPr>
              <w:spacing w:after="0" w:line="240" w:lineRule="auto"/>
              <w:jc w:val="right"/>
              <w:rPr>
                <w:rFonts w:eastAsia="Times New Roman" w:cs="Times New Roman"/>
                <w:b/>
                <w:bCs/>
                <w:sz w:val="16"/>
                <w:szCs w:val="16"/>
                <w:lang w:eastAsia="sk-SK"/>
              </w:rPr>
            </w:pPr>
            <w:r w:rsidRPr="008E4025">
              <w:rPr>
                <w:rFonts w:eastAsia="Times New Roman" w:cs="Times New Roman"/>
                <w:b/>
                <w:bCs/>
                <w:sz w:val="16"/>
                <w:szCs w:val="16"/>
                <w:lang w:eastAsia="sk-SK"/>
              </w:rPr>
              <w:t>-2 201 481</w:t>
            </w:r>
          </w:p>
        </w:tc>
        <w:tc>
          <w:tcPr>
            <w:tcW w:w="993" w:type="dxa"/>
            <w:tcBorders>
              <w:top w:val="nil"/>
              <w:left w:val="nil"/>
              <w:bottom w:val="single" w:sz="8" w:space="0" w:color="auto"/>
              <w:right w:val="nil"/>
            </w:tcBorders>
            <w:vAlign w:val="center"/>
          </w:tcPr>
          <w:p w14:paraId="3C9426C4" w14:textId="7CA7EB3E" w:rsidR="008E4025" w:rsidRPr="008E4025" w:rsidRDefault="005376D3" w:rsidP="003259FA">
            <w:pPr>
              <w:spacing w:after="0" w:line="240" w:lineRule="auto"/>
              <w:jc w:val="right"/>
              <w:rPr>
                <w:rFonts w:eastAsia="Times New Roman" w:cs="Times New Roman"/>
                <w:b/>
                <w:bCs/>
                <w:sz w:val="16"/>
                <w:szCs w:val="16"/>
                <w:lang w:eastAsia="sk-SK"/>
              </w:rPr>
            </w:pPr>
            <w:r>
              <w:rPr>
                <w:rFonts w:eastAsia="Times New Roman" w:cs="Times New Roman"/>
                <w:b/>
                <w:bCs/>
                <w:sz w:val="16"/>
                <w:szCs w:val="16"/>
                <w:lang w:eastAsia="sk-SK"/>
              </w:rPr>
              <w:t>-2 768 183</w:t>
            </w:r>
          </w:p>
        </w:tc>
        <w:tc>
          <w:tcPr>
            <w:tcW w:w="1170" w:type="dxa"/>
            <w:tcBorders>
              <w:top w:val="nil"/>
              <w:left w:val="nil"/>
              <w:bottom w:val="single" w:sz="8" w:space="0" w:color="auto"/>
              <w:right w:val="nil"/>
            </w:tcBorders>
            <w:shd w:val="clear" w:color="auto" w:fill="auto"/>
            <w:noWrap/>
            <w:vAlign w:val="center"/>
          </w:tcPr>
          <w:p w14:paraId="5A420675" w14:textId="544D827F" w:rsidR="008E4025" w:rsidRPr="008E4025" w:rsidRDefault="008E4025" w:rsidP="003259FA">
            <w:pPr>
              <w:spacing w:after="0" w:line="240" w:lineRule="auto"/>
              <w:jc w:val="right"/>
              <w:rPr>
                <w:rFonts w:eastAsia="Times New Roman" w:cs="Times New Roman"/>
                <w:b/>
                <w:bCs/>
                <w:sz w:val="16"/>
                <w:szCs w:val="16"/>
                <w:lang w:eastAsia="sk-SK"/>
              </w:rPr>
            </w:pPr>
            <w:r w:rsidRPr="008E4025">
              <w:rPr>
                <w:rFonts w:eastAsia="Times New Roman" w:cs="Times New Roman"/>
                <w:b/>
                <w:bCs/>
                <w:sz w:val="16"/>
                <w:szCs w:val="16"/>
                <w:lang w:eastAsia="sk-SK"/>
              </w:rPr>
              <w:t>-11 952 634</w:t>
            </w:r>
          </w:p>
        </w:tc>
        <w:tc>
          <w:tcPr>
            <w:tcW w:w="1064" w:type="dxa"/>
            <w:tcBorders>
              <w:top w:val="nil"/>
              <w:left w:val="nil"/>
              <w:bottom w:val="single" w:sz="8" w:space="0" w:color="auto"/>
              <w:right w:val="nil"/>
            </w:tcBorders>
            <w:shd w:val="clear" w:color="auto" w:fill="auto"/>
            <w:noWrap/>
            <w:vAlign w:val="center"/>
          </w:tcPr>
          <w:p w14:paraId="31FEA5EC" w14:textId="77777777" w:rsidR="008E4025" w:rsidRPr="008E4025" w:rsidRDefault="008E4025" w:rsidP="003259FA">
            <w:pPr>
              <w:spacing w:after="0" w:line="240" w:lineRule="auto"/>
              <w:jc w:val="right"/>
              <w:rPr>
                <w:rFonts w:eastAsia="Times New Roman" w:cs="Times New Roman"/>
                <w:b/>
                <w:bCs/>
                <w:sz w:val="16"/>
                <w:szCs w:val="16"/>
                <w:lang w:eastAsia="sk-SK"/>
              </w:rPr>
            </w:pPr>
            <w:r w:rsidRPr="008E4025">
              <w:rPr>
                <w:rFonts w:eastAsia="Times New Roman" w:cs="Times New Roman"/>
                <w:b/>
                <w:bCs/>
                <w:sz w:val="16"/>
                <w:szCs w:val="16"/>
                <w:lang w:eastAsia="sk-SK"/>
              </w:rPr>
              <w:t>-11 522 312</w:t>
            </w:r>
          </w:p>
        </w:tc>
        <w:tc>
          <w:tcPr>
            <w:tcW w:w="1146" w:type="dxa"/>
            <w:tcBorders>
              <w:top w:val="nil"/>
              <w:left w:val="nil"/>
              <w:bottom w:val="single" w:sz="8" w:space="0" w:color="auto"/>
              <w:right w:val="nil"/>
            </w:tcBorders>
            <w:shd w:val="clear" w:color="auto" w:fill="D9D9D9" w:themeFill="background1" w:themeFillShade="D9"/>
            <w:noWrap/>
            <w:vAlign w:val="center"/>
          </w:tcPr>
          <w:p w14:paraId="11302C66" w14:textId="77777777" w:rsidR="008E4025" w:rsidRPr="008E4025" w:rsidRDefault="008E4025" w:rsidP="003259FA">
            <w:pPr>
              <w:spacing w:after="0" w:line="240" w:lineRule="auto"/>
              <w:jc w:val="right"/>
              <w:rPr>
                <w:rFonts w:eastAsia="Times New Roman" w:cs="Times New Roman"/>
                <w:b/>
                <w:bCs/>
                <w:sz w:val="16"/>
                <w:szCs w:val="16"/>
                <w:lang w:eastAsia="sk-SK"/>
              </w:rPr>
            </w:pPr>
            <w:r w:rsidRPr="008E4025">
              <w:rPr>
                <w:rFonts w:eastAsia="Times New Roman" w:cs="Times New Roman"/>
                <w:b/>
                <w:bCs/>
                <w:sz w:val="16"/>
                <w:szCs w:val="16"/>
                <w:lang w:eastAsia="sk-SK"/>
              </w:rPr>
              <w:t>-7 758 422</w:t>
            </w:r>
          </w:p>
        </w:tc>
        <w:tc>
          <w:tcPr>
            <w:tcW w:w="1004" w:type="dxa"/>
            <w:tcBorders>
              <w:top w:val="nil"/>
              <w:left w:val="nil"/>
              <w:bottom w:val="single" w:sz="8" w:space="0" w:color="auto"/>
              <w:right w:val="nil"/>
            </w:tcBorders>
            <w:shd w:val="clear" w:color="auto" w:fill="auto"/>
            <w:noWrap/>
            <w:vAlign w:val="center"/>
          </w:tcPr>
          <w:p w14:paraId="0023FA7C" w14:textId="77777777" w:rsidR="008E4025" w:rsidRPr="008E4025" w:rsidRDefault="008E4025" w:rsidP="003259FA">
            <w:pPr>
              <w:spacing w:after="0" w:line="240" w:lineRule="auto"/>
              <w:jc w:val="right"/>
              <w:rPr>
                <w:rFonts w:eastAsia="Times New Roman" w:cs="Times New Roman"/>
                <w:b/>
                <w:bCs/>
                <w:sz w:val="16"/>
                <w:szCs w:val="16"/>
                <w:lang w:eastAsia="sk-SK"/>
              </w:rPr>
            </w:pPr>
            <w:r w:rsidRPr="008E4025">
              <w:rPr>
                <w:rFonts w:eastAsia="Times New Roman" w:cs="Times New Roman"/>
                <w:b/>
                <w:bCs/>
                <w:sz w:val="16"/>
                <w:szCs w:val="16"/>
                <w:lang w:eastAsia="sk-SK"/>
              </w:rPr>
              <w:t>4 194 212</w:t>
            </w:r>
          </w:p>
        </w:tc>
      </w:tr>
    </w:tbl>
    <w:p w14:paraId="298B4D48" w14:textId="2E52F6AE" w:rsidR="003259FA" w:rsidRPr="008E6BBC" w:rsidRDefault="003259FA" w:rsidP="0012087C">
      <w:pPr>
        <w:spacing w:before="120" w:line="240" w:lineRule="auto"/>
        <w:rPr>
          <w:sz w:val="24"/>
          <w:szCs w:val="24"/>
        </w:rPr>
      </w:pPr>
      <w:r w:rsidRPr="008E6BBC">
        <w:rPr>
          <w:b/>
          <w:sz w:val="24"/>
          <w:szCs w:val="24"/>
        </w:rPr>
        <w:t>Schválené príjmy štátneho rozpočtu na rok 2020 boli oproti schváleným príjmom na rok 2019 nižšie úhrnom o 1 131 207 tis. eur</w:t>
      </w:r>
      <w:r w:rsidRPr="008E6BBC">
        <w:rPr>
          <w:sz w:val="24"/>
          <w:szCs w:val="24"/>
        </w:rPr>
        <w:t>, pričom sa predpokladali nižšie daňové príjmy o 917 913 tis. eur a nižšie nedaňové príjmy o 228 003 tis. eur. Naopak, vyššie príjmy sa očakávali z grantov a transferov i keď iba mierne o 14 709 tis. eur</w:t>
      </w:r>
      <w:r w:rsidR="00276E75">
        <w:rPr>
          <w:sz w:val="24"/>
          <w:szCs w:val="24"/>
        </w:rPr>
        <w:t>.</w:t>
      </w:r>
    </w:p>
    <w:p w14:paraId="60208A43" w14:textId="2092DAAA" w:rsidR="003259FA" w:rsidRPr="008E6BBC" w:rsidRDefault="003259FA" w:rsidP="001665F3">
      <w:pPr>
        <w:spacing w:line="240" w:lineRule="auto"/>
        <w:rPr>
          <w:sz w:val="24"/>
          <w:szCs w:val="24"/>
        </w:rPr>
      </w:pPr>
      <w:r w:rsidRPr="008E6BBC">
        <w:rPr>
          <w:sz w:val="24"/>
          <w:szCs w:val="24"/>
        </w:rPr>
        <w:t>Z daňových príjmov bola medziročne nižšie rozpočtovaná d</w:t>
      </w:r>
      <w:r w:rsidR="00312CA1" w:rsidRPr="008E6BBC">
        <w:rPr>
          <w:sz w:val="24"/>
          <w:szCs w:val="24"/>
        </w:rPr>
        <w:t>aň z pridanej hodnoty o 268</w:t>
      </w:r>
      <w:r w:rsidR="00C75B27" w:rsidRPr="008E6BBC">
        <w:rPr>
          <w:sz w:val="24"/>
          <w:szCs w:val="24"/>
        </w:rPr>
        <w:t> </w:t>
      </w:r>
      <w:r w:rsidR="00312CA1" w:rsidRPr="008E6BBC">
        <w:rPr>
          <w:sz w:val="24"/>
          <w:szCs w:val="24"/>
        </w:rPr>
        <w:t>001</w:t>
      </w:r>
      <w:r w:rsidR="00C75B27" w:rsidRPr="008E6BBC">
        <w:rPr>
          <w:sz w:val="24"/>
          <w:szCs w:val="24"/>
        </w:rPr>
        <w:t> tis. </w:t>
      </w:r>
      <w:r w:rsidRPr="008E6BBC">
        <w:rPr>
          <w:sz w:val="24"/>
          <w:szCs w:val="24"/>
        </w:rPr>
        <w:t>eur, spotrebné dane nižšie o 213 133 tis. eur, daň z príjmov právnickej osoby nižšie o 186 370 tis. eur a iné dane 202 504 tis. eur, v rámci ktorých neboli rozpočtované príjmy z </w:t>
      </w:r>
      <w:proofErr w:type="spellStart"/>
      <w:r w:rsidRPr="008E6BBC">
        <w:rPr>
          <w:sz w:val="24"/>
          <w:szCs w:val="24"/>
        </w:rPr>
        <w:t>nanomarkerov</w:t>
      </w:r>
      <w:proofErr w:type="spellEnd"/>
      <w:r w:rsidRPr="008E6BBC">
        <w:rPr>
          <w:sz w:val="24"/>
          <w:szCs w:val="24"/>
        </w:rPr>
        <w:t xml:space="preserve"> a odvod z obchodných reťazcov. Tieto dve dane sa nenaplnili ani v roku 2019. Pokles rozpočtovaných príjmov z daní súvisí s odhadovaným rastom ekonomiky pre rok 2020 z dôvodu negatívneho vplyvu pandémie na hospodársku aktivitu. V roku 2</w:t>
      </w:r>
      <w:r w:rsidR="004B6995" w:rsidRPr="008E6BBC">
        <w:rPr>
          <w:sz w:val="24"/>
          <w:szCs w:val="24"/>
        </w:rPr>
        <w:t>019 dosiahol rast ekonomiky 2,3 </w:t>
      </w:r>
      <w:r w:rsidRPr="008E6BBC">
        <w:rPr>
          <w:sz w:val="24"/>
          <w:szCs w:val="24"/>
        </w:rPr>
        <w:t>%, pre rok 2020 sa predpokladal rast ešte pred p</w:t>
      </w:r>
      <w:r w:rsidR="00BF67ED" w:rsidRPr="008E6BBC">
        <w:rPr>
          <w:sz w:val="24"/>
          <w:szCs w:val="24"/>
        </w:rPr>
        <w:t>andémiou na rovnakej úrovni 2,3 </w:t>
      </w:r>
      <w:r w:rsidRPr="008E6BBC">
        <w:rPr>
          <w:sz w:val="24"/>
          <w:szCs w:val="24"/>
        </w:rPr>
        <w:t xml:space="preserve">%. </w:t>
      </w:r>
    </w:p>
    <w:p w14:paraId="2F614CC1" w14:textId="33C0B58B" w:rsidR="00DB5323" w:rsidRPr="008E6BBC" w:rsidRDefault="00DB5323" w:rsidP="001665F3">
      <w:pPr>
        <w:spacing w:line="240" w:lineRule="auto"/>
        <w:rPr>
          <w:sz w:val="24"/>
          <w:szCs w:val="24"/>
        </w:rPr>
      </w:pPr>
      <w:r w:rsidRPr="008E6BBC">
        <w:rPr>
          <w:sz w:val="24"/>
          <w:szCs w:val="24"/>
        </w:rPr>
        <w:t>Z nedaňových príjmov sa medziročne nižšie rozpočtovali od</w:t>
      </w:r>
      <w:r w:rsidR="00276E75">
        <w:rPr>
          <w:sz w:val="24"/>
          <w:szCs w:val="24"/>
        </w:rPr>
        <w:t>vody z hazardných hier o 85 110 </w:t>
      </w:r>
      <w:r w:rsidRPr="008E6BBC">
        <w:rPr>
          <w:sz w:val="24"/>
          <w:szCs w:val="24"/>
        </w:rPr>
        <w:t>tis.</w:t>
      </w:r>
      <w:r w:rsidR="00276E75">
        <w:rPr>
          <w:sz w:val="24"/>
          <w:szCs w:val="24"/>
        </w:rPr>
        <w:t> </w:t>
      </w:r>
      <w:r w:rsidRPr="008E6BBC">
        <w:rPr>
          <w:sz w:val="24"/>
          <w:szCs w:val="24"/>
        </w:rPr>
        <w:t>eur, administratívne poplatky o 79 012 tis. eur, pokuty, penále a iné sankcie o 21 874 tis. eur, príjem z predaja kapitálových aktív nižšie o 39 532 tis. eur. Naopak, vyšší príjem sa rozpočtoval napr. z </w:t>
      </w:r>
      <w:proofErr w:type="spellStart"/>
      <w:r w:rsidRPr="008E6BBC">
        <w:rPr>
          <w:sz w:val="24"/>
          <w:szCs w:val="24"/>
        </w:rPr>
        <w:t>vratiek</w:t>
      </w:r>
      <w:proofErr w:type="spellEnd"/>
      <w:r w:rsidRPr="008E6BBC">
        <w:rPr>
          <w:sz w:val="24"/>
          <w:szCs w:val="24"/>
        </w:rPr>
        <w:t xml:space="preserve"> o 34 244 tis. eur.  </w:t>
      </w:r>
    </w:p>
    <w:p w14:paraId="5B6514A4" w14:textId="42362F3D" w:rsidR="003259FA" w:rsidRPr="008E6BBC" w:rsidRDefault="003259FA" w:rsidP="001665F3">
      <w:pPr>
        <w:spacing w:line="240" w:lineRule="auto"/>
        <w:rPr>
          <w:sz w:val="24"/>
          <w:szCs w:val="24"/>
        </w:rPr>
      </w:pPr>
      <w:r w:rsidRPr="008E6BBC">
        <w:rPr>
          <w:sz w:val="24"/>
          <w:szCs w:val="24"/>
        </w:rPr>
        <w:t xml:space="preserve">Príjmy z grantov a transferov sú takmer zo 100 % tvorené transfermi z rozpočtu Európskej únie. V porovnaní s rokom 2019 </w:t>
      </w:r>
      <w:r w:rsidR="004B6995" w:rsidRPr="008E6BBC">
        <w:rPr>
          <w:sz w:val="24"/>
          <w:szCs w:val="24"/>
        </w:rPr>
        <w:t>sa rozpočtovali vyššie len o 12 </w:t>
      </w:r>
      <w:r w:rsidRPr="008E6BBC">
        <w:rPr>
          <w:sz w:val="24"/>
          <w:szCs w:val="24"/>
        </w:rPr>
        <w:t xml:space="preserve">648 tis. eur. </w:t>
      </w:r>
    </w:p>
    <w:p w14:paraId="531E31E3" w14:textId="636BA61D" w:rsidR="003259FA" w:rsidRPr="008E6BBC" w:rsidRDefault="003259FA" w:rsidP="001665F3">
      <w:pPr>
        <w:spacing w:line="240" w:lineRule="auto"/>
        <w:rPr>
          <w:sz w:val="24"/>
          <w:szCs w:val="24"/>
        </w:rPr>
      </w:pPr>
      <w:r w:rsidRPr="008E6BBC">
        <w:rPr>
          <w:b/>
          <w:sz w:val="24"/>
          <w:szCs w:val="24"/>
        </w:rPr>
        <w:t>Výdavky sa v novelizovanom rozpočte zvýšili na 26 319 080 tis. eur</w:t>
      </w:r>
      <w:r w:rsidRPr="008E6BBC">
        <w:rPr>
          <w:sz w:val="24"/>
          <w:szCs w:val="24"/>
        </w:rPr>
        <w:t xml:space="preserve"> (oproti rozpočtu schválenom v decembri 2019 je to viac o 7 758 202 tis. eur). V medziročnom porovnaní schválených výdavkov štátneho rozpočtu na roky 2020 a 2019 sa predpokladalo ich zvýšenie o 8 780 179 tis. eur. Bežné výdavky sa rozpočtovali medziročne vyššie o 9 440 620 tis. eur, a to najmä na položke ostatných sl</w:t>
      </w:r>
      <w:r w:rsidR="000B2434" w:rsidRPr="008E6BBC">
        <w:rPr>
          <w:sz w:val="24"/>
          <w:szCs w:val="24"/>
        </w:rPr>
        <w:t>užieb</w:t>
      </w:r>
      <w:r w:rsidRPr="008E6BBC">
        <w:rPr>
          <w:sz w:val="24"/>
          <w:szCs w:val="24"/>
        </w:rPr>
        <w:t xml:space="preserve"> a kapitálové výdavky nižšie o 660 441 tis. eur.</w:t>
      </w:r>
    </w:p>
    <w:p w14:paraId="11F33F57" w14:textId="4651E3C6" w:rsidR="003259FA" w:rsidRPr="008E6BBC" w:rsidRDefault="003259FA" w:rsidP="001665F3">
      <w:pPr>
        <w:suppressAutoHyphens/>
        <w:spacing w:line="240" w:lineRule="auto"/>
        <w:rPr>
          <w:sz w:val="24"/>
          <w:szCs w:val="24"/>
        </w:rPr>
      </w:pPr>
      <w:r w:rsidRPr="008E6BBC">
        <w:rPr>
          <w:b/>
          <w:sz w:val="24"/>
          <w:szCs w:val="24"/>
        </w:rPr>
        <w:t>Na tejto skupine bežných výdavkov sa odzrkadlila novela štátneho rozpočtu v nadväznosti na mimoriadnu situáciu spôsobenú pandémiou COVID-19.</w:t>
      </w:r>
      <w:r w:rsidRPr="008E6BBC">
        <w:rPr>
          <w:sz w:val="24"/>
          <w:szCs w:val="24"/>
        </w:rPr>
        <w:t xml:space="preserve"> V rámci úpravy rozpočtu kapitoly Všeobecná pokladničná správa sa zapracoval odhad výdavkov priamo súvisiacich s</w:t>
      </w:r>
      <w:r w:rsidR="004B6995" w:rsidRPr="008E6BBC">
        <w:rPr>
          <w:sz w:val="24"/>
          <w:szCs w:val="24"/>
        </w:rPr>
        <w:t> pandémiou v sume približne 4,9 </w:t>
      </w:r>
      <w:r w:rsidRPr="008E6BBC">
        <w:rPr>
          <w:sz w:val="24"/>
          <w:szCs w:val="24"/>
        </w:rPr>
        <w:t>mld. eur a výdavkov na zabezpečenie v rozpočte nekrytých titulov v sume približne 2,9 mld. eur. Uvedené bolo z dôvodu, že v čase novely rozpočtu nebola známa detailná štruktúra a použitie výdavkov v jednotlivých kapitolách ŠR a niektoré výdavky mohli byť refundované z </w:t>
      </w:r>
      <w:proofErr w:type="spellStart"/>
      <w:r w:rsidRPr="008E6BBC">
        <w:rPr>
          <w:sz w:val="24"/>
          <w:szCs w:val="24"/>
        </w:rPr>
        <w:t>realokovaných</w:t>
      </w:r>
      <w:proofErr w:type="spellEnd"/>
      <w:r w:rsidRPr="008E6BBC">
        <w:rPr>
          <w:sz w:val="24"/>
          <w:szCs w:val="24"/>
        </w:rPr>
        <w:t xml:space="preserve"> prostriedkov EÚ. </w:t>
      </w:r>
    </w:p>
    <w:p w14:paraId="2DE9C683" w14:textId="77777777" w:rsidR="0049359B" w:rsidRDefault="0049359B">
      <w:pPr>
        <w:spacing w:after="160" w:line="259" w:lineRule="auto"/>
        <w:jc w:val="left"/>
        <w:rPr>
          <w:sz w:val="24"/>
          <w:szCs w:val="24"/>
        </w:rPr>
      </w:pPr>
      <w:r>
        <w:rPr>
          <w:sz w:val="24"/>
          <w:szCs w:val="24"/>
        </w:rPr>
        <w:br w:type="page"/>
      </w:r>
    </w:p>
    <w:p w14:paraId="0DF14894" w14:textId="03CF8B4B" w:rsidR="003259FA" w:rsidRPr="008E6BBC" w:rsidRDefault="003259FA" w:rsidP="001665F3">
      <w:pPr>
        <w:suppressAutoHyphens/>
        <w:spacing w:line="240" w:lineRule="auto"/>
        <w:rPr>
          <w:color w:val="FF0000"/>
          <w:sz w:val="24"/>
          <w:szCs w:val="24"/>
        </w:rPr>
      </w:pPr>
      <w:r w:rsidRPr="008E6BBC">
        <w:rPr>
          <w:sz w:val="24"/>
          <w:szCs w:val="24"/>
        </w:rPr>
        <w:t>Z rozpočtovaných výdavkov (pod položkou Služby) priamo súvisiacich s pandémiou COVID-19 boli rozpočtované napr. zvýšený transfer Sociálnej poisťovni o </w:t>
      </w:r>
      <w:r w:rsidR="002C51C0" w:rsidRPr="00F8692C">
        <w:rPr>
          <w:sz w:val="24"/>
          <w:szCs w:val="24"/>
        </w:rPr>
        <w:t>1 121 963 </w:t>
      </w:r>
      <w:r w:rsidRPr="008E6BBC">
        <w:rPr>
          <w:sz w:val="24"/>
          <w:szCs w:val="24"/>
        </w:rPr>
        <w:t>tis.</w:t>
      </w:r>
      <w:r w:rsidR="00FA0757">
        <w:rPr>
          <w:sz w:val="24"/>
          <w:szCs w:val="24"/>
        </w:rPr>
        <w:t> </w:t>
      </w:r>
      <w:r w:rsidRPr="008E6BBC">
        <w:rPr>
          <w:sz w:val="24"/>
          <w:szCs w:val="24"/>
        </w:rPr>
        <w:t xml:space="preserve">eur na zabezpečenie jej platobnej schopnosti (výpadok príjmov za ekonomicky aktívne obyvateľstvo postihnuté pandémiou resp. krytie výdavkov na poskytovanie ošetrovného a nemocenského), výdavky pre kapitolu Ministerstva práce, sociálnych vecí a rodiny SR v objeme </w:t>
      </w:r>
      <w:r w:rsidR="002C51C0" w:rsidRPr="00F8692C">
        <w:rPr>
          <w:sz w:val="24"/>
          <w:szCs w:val="24"/>
        </w:rPr>
        <w:t>1 067 371 </w:t>
      </w:r>
      <w:r w:rsidRPr="008E6BBC">
        <w:rPr>
          <w:sz w:val="24"/>
          <w:szCs w:val="24"/>
        </w:rPr>
        <w:t>tis.</w:t>
      </w:r>
      <w:r w:rsidR="00AD75B8">
        <w:rPr>
          <w:sz w:val="24"/>
          <w:szCs w:val="24"/>
        </w:rPr>
        <w:t> </w:t>
      </w:r>
      <w:r w:rsidRPr="008E6BBC">
        <w:rPr>
          <w:sz w:val="24"/>
          <w:szCs w:val="24"/>
        </w:rPr>
        <w:t xml:space="preserve">eur </w:t>
      </w:r>
      <w:r w:rsidR="008407FD">
        <w:rPr>
          <w:sz w:val="24"/>
          <w:szCs w:val="24"/>
        </w:rPr>
        <w:t xml:space="preserve">najmä </w:t>
      </w:r>
      <w:r w:rsidRPr="008E6BBC">
        <w:rPr>
          <w:sz w:val="24"/>
          <w:szCs w:val="24"/>
        </w:rPr>
        <w:t xml:space="preserve">na opatrenia schválené vládou v rámci ,,prvej pomoci“ na udržanie zamestnanosti a na podporu udržania zamestnanosti v predškolských zariadeniach, ďalej výdavky na verejné zdravotné poistenie v objeme </w:t>
      </w:r>
      <w:r w:rsidR="002C51C0" w:rsidRPr="00F8692C">
        <w:rPr>
          <w:sz w:val="24"/>
          <w:szCs w:val="24"/>
        </w:rPr>
        <w:t>358 445 </w:t>
      </w:r>
      <w:r w:rsidRPr="008E6BBC">
        <w:rPr>
          <w:sz w:val="24"/>
          <w:szCs w:val="24"/>
        </w:rPr>
        <w:t xml:space="preserve">tis. eur, výdavky na kompenzáciu nákladov na nájomné v objeme 200 000 tis. eur, výdavky na kompenzáciu výpadku príjmov z tržieb dopravných spoločností v sume </w:t>
      </w:r>
      <w:r w:rsidR="002C51C0" w:rsidRPr="00F8692C">
        <w:rPr>
          <w:sz w:val="24"/>
          <w:szCs w:val="24"/>
        </w:rPr>
        <w:t>195 210 </w:t>
      </w:r>
      <w:r w:rsidRPr="008E6BBC">
        <w:rPr>
          <w:sz w:val="24"/>
          <w:szCs w:val="24"/>
        </w:rPr>
        <w:t>tis. eur, nákup ochranných pomôcok a zdravotníckeho materiálu pre kapitolu Správa štátnych h</w:t>
      </w:r>
      <w:r w:rsidR="00671F51" w:rsidRPr="008E6BBC">
        <w:rPr>
          <w:sz w:val="24"/>
          <w:szCs w:val="24"/>
        </w:rPr>
        <w:t>motných rezerv</w:t>
      </w:r>
      <w:r w:rsidR="00AE5247" w:rsidRPr="008E6BBC">
        <w:rPr>
          <w:sz w:val="24"/>
          <w:szCs w:val="24"/>
        </w:rPr>
        <w:t xml:space="preserve"> SR</w:t>
      </w:r>
      <w:r w:rsidR="00671F51" w:rsidRPr="008E6BBC">
        <w:rPr>
          <w:sz w:val="24"/>
          <w:szCs w:val="24"/>
        </w:rPr>
        <w:t xml:space="preserve"> v sume </w:t>
      </w:r>
      <w:r w:rsidR="002C51C0" w:rsidRPr="00F8692C">
        <w:rPr>
          <w:sz w:val="24"/>
          <w:szCs w:val="24"/>
        </w:rPr>
        <w:t>122 841 </w:t>
      </w:r>
      <w:r w:rsidR="00671F51" w:rsidRPr="008E6BBC">
        <w:rPr>
          <w:sz w:val="24"/>
          <w:szCs w:val="24"/>
        </w:rPr>
        <w:t>tis</w:t>
      </w:r>
      <w:r w:rsidRPr="008E6BBC">
        <w:rPr>
          <w:sz w:val="24"/>
          <w:szCs w:val="24"/>
        </w:rPr>
        <w:t>. eur a zvýšené výdavky v kapitole Ministerstva vnútra SR o </w:t>
      </w:r>
      <w:r w:rsidR="002C51C0" w:rsidRPr="00F8692C">
        <w:rPr>
          <w:sz w:val="24"/>
          <w:szCs w:val="24"/>
        </w:rPr>
        <w:t>83 627 </w:t>
      </w:r>
      <w:r w:rsidR="00FA0757">
        <w:rPr>
          <w:sz w:val="24"/>
          <w:szCs w:val="24"/>
        </w:rPr>
        <w:t>tis. </w:t>
      </w:r>
      <w:r w:rsidRPr="008E6BBC">
        <w:rPr>
          <w:sz w:val="24"/>
          <w:szCs w:val="24"/>
        </w:rPr>
        <w:t xml:space="preserve">eur napr. na zabezpečenie karanténnych centier, </w:t>
      </w:r>
      <w:r w:rsidR="00671F51" w:rsidRPr="008E6BBC">
        <w:rPr>
          <w:sz w:val="24"/>
          <w:szCs w:val="24"/>
        </w:rPr>
        <w:t xml:space="preserve">nákup </w:t>
      </w:r>
      <w:r w:rsidRPr="008E6BBC">
        <w:rPr>
          <w:sz w:val="24"/>
          <w:szCs w:val="24"/>
        </w:rPr>
        <w:t>ochranných a zdravotníckych pomôcok.</w:t>
      </w:r>
    </w:p>
    <w:p w14:paraId="7C7A1706" w14:textId="4BA35C0C" w:rsidR="003259FA" w:rsidRPr="008E6BBC" w:rsidRDefault="003259FA" w:rsidP="001665F3">
      <w:pPr>
        <w:spacing w:line="240" w:lineRule="auto"/>
        <w:rPr>
          <w:sz w:val="24"/>
          <w:szCs w:val="24"/>
        </w:rPr>
      </w:pPr>
      <w:r w:rsidRPr="008E6BBC">
        <w:rPr>
          <w:sz w:val="24"/>
          <w:szCs w:val="24"/>
        </w:rPr>
        <w:t xml:space="preserve">Okrem rozpočtovaných výdavkov na zmiernenie dopadov </w:t>
      </w:r>
      <w:r w:rsidR="00BF67ED" w:rsidRPr="008E6BBC">
        <w:rPr>
          <w:sz w:val="24"/>
          <w:szCs w:val="24"/>
        </w:rPr>
        <w:t>pandémie v bežných výdavkoch (v </w:t>
      </w:r>
      <w:r w:rsidRPr="008E6BBC">
        <w:rPr>
          <w:sz w:val="24"/>
          <w:szCs w:val="24"/>
        </w:rPr>
        <w:t>skutočnosti čerpaných v riadnych druhových výdavkoch, najmä v bežných transferoch) sa medziročne vyššie rozpočtovali mzdy, platy, služobné príjmy a OOV</w:t>
      </w:r>
      <w:r w:rsidR="0049359B">
        <w:rPr>
          <w:rStyle w:val="Odkaznapoznmkupodiarou"/>
          <w:sz w:val="24"/>
          <w:szCs w:val="24"/>
        </w:rPr>
        <w:footnoteReference w:id="29"/>
      </w:r>
      <w:r w:rsidRPr="008E6BBC">
        <w:rPr>
          <w:sz w:val="24"/>
          <w:szCs w:val="24"/>
        </w:rPr>
        <w:t xml:space="preserve"> spolu s</w:t>
      </w:r>
      <w:r w:rsidR="00FA0757">
        <w:rPr>
          <w:sz w:val="24"/>
          <w:szCs w:val="24"/>
        </w:rPr>
        <w:t> </w:t>
      </w:r>
      <w:r w:rsidRPr="008E6BBC">
        <w:rPr>
          <w:sz w:val="24"/>
          <w:szCs w:val="24"/>
        </w:rPr>
        <w:t xml:space="preserve">poistnými odvodmi o 277 438 tis. eur a bežné transfery úhrnom o 1 157 350 tis. eur. Z bežných transferov sa medziročne vyššie rozpočtovali v rámci verejnej správy o 687 539 tis. eur, transfery na platené poistné za skupiny osôb ustanovené zákonom o 169 170 tis. eur, na rodičovský príspevok o 169 208 tis. eur. </w:t>
      </w:r>
    </w:p>
    <w:p w14:paraId="72D24966" w14:textId="77777777" w:rsidR="003259FA" w:rsidRPr="008E6BBC" w:rsidRDefault="003259FA" w:rsidP="001665F3">
      <w:pPr>
        <w:spacing w:line="240" w:lineRule="auto"/>
        <w:rPr>
          <w:sz w:val="24"/>
          <w:szCs w:val="24"/>
        </w:rPr>
      </w:pPr>
      <w:r w:rsidRPr="0049359B">
        <w:rPr>
          <w:b/>
          <w:sz w:val="24"/>
          <w:szCs w:val="24"/>
        </w:rPr>
        <w:t>Kapitálové výdavky</w:t>
      </w:r>
      <w:r w:rsidRPr="008E6BBC">
        <w:rPr>
          <w:sz w:val="24"/>
          <w:szCs w:val="24"/>
        </w:rPr>
        <w:t xml:space="preserve"> sa medziročne rozpočtovali nižšie o 660 441 tis. eur, a to najmä na obstarávanie kapitálových aktív o 496 500 tis. eur, napr. nákup strojov, prístrojov, zariadení, techniky o 211 905 tis. eur (z toho v rezorte obrany o 183 466 tis. eur), nákup dopravných prostriedkov o 118 315 tis. eur, na realizáciu či modernizáciu stavieb menej o 65 322 tis. eur. Kapitálové transfery boli medziročne rozpočtované nižšie, úhrnnom o 163 941 tis. eur, avšak transfery v rámci verejnej správy boli vyššie o 34 638 tis. eur a transfery iným subjektom nižšie o 198 579 tis. eur.</w:t>
      </w:r>
    </w:p>
    <w:p w14:paraId="0856B097" w14:textId="77777777" w:rsidR="003259FA" w:rsidRPr="008E6BBC" w:rsidRDefault="003259FA" w:rsidP="001665F3">
      <w:pPr>
        <w:spacing w:line="240" w:lineRule="auto"/>
        <w:rPr>
          <w:b/>
          <w:sz w:val="24"/>
          <w:szCs w:val="24"/>
        </w:rPr>
      </w:pPr>
      <w:r w:rsidRPr="008E6BBC">
        <w:rPr>
          <w:b/>
          <w:sz w:val="24"/>
          <w:szCs w:val="24"/>
        </w:rPr>
        <w:t>V priebehu rozpočtového roka 2020 sa vykonali v súlade s rozpočtovými pravidlami rozpočtové opatrenia, ktoré zvýšili celkovo schválené príjmy na rok 2020 o 767 061 tis. eur na 15 133 507 tis. eur a celkové schválené výdavky o 336 738 tis. eur na 26 655 819 tis. eur. Plánovaný schodok štátneho rozpočtu po úpravách počas roka 2020 mal byť k </w:t>
      </w:r>
      <w:proofErr w:type="spellStart"/>
      <w:r w:rsidRPr="008E6BBC">
        <w:rPr>
          <w:b/>
          <w:sz w:val="24"/>
          <w:szCs w:val="24"/>
        </w:rPr>
        <w:t>ultimu</w:t>
      </w:r>
      <w:proofErr w:type="spellEnd"/>
      <w:r w:rsidRPr="008E6BBC">
        <w:rPr>
          <w:b/>
          <w:sz w:val="24"/>
          <w:szCs w:val="24"/>
        </w:rPr>
        <w:t xml:space="preserve"> roka nižší oproti schválenému (novelizovanému) o 430 322 tis. eur, vo výške 11 522 312 tis. eur. </w:t>
      </w:r>
    </w:p>
    <w:p w14:paraId="00C13EF1" w14:textId="77777777" w:rsidR="003259FA" w:rsidRPr="008E6BBC" w:rsidRDefault="003259FA" w:rsidP="001665F3">
      <w:pPr>
        <w:spacing w:line="240" w:lineRule="auto"/>
        <w:rPr>
          <w:sz w:val="24"/>
          <w:szCs w:val="24"/>
        </w:rPr>
      </w:pPr>
      <w:r w:rsidRPr="008E6BBC">
        <w:rPr>
          <w:sz w:val="24"/>
          <w:szCs w:val="24"/>
        </w:rPr>
        <w:t xml:space="preserve">Úpravy rozpočtu sa realizovali na základe aktualizovaných informácií o plnení úloh a požiadaviek jednotlivých kapitol ŠR počas rozpočtového roku, legislatívnych zmien, ktoré môžu priniesť zmenu v príjmoch alebo výdavkoch, ako aj na základe aktuálneho vývoja ekonomiky a verejných financií. </w:t>
      </w:r>
    </w:p>
    <w:p w14:paraId="70C35BF4" w14:textId="62F7D9AD" w:rsidR="003259FA" w:rsidRPr="008E6BBC" w:rsidRDefault="003259FA" w:rsidP="001665F3">
      <w:pPr>
        <w:spacing w:line="240" w:lineRule="auto"/>
        <w:rPr>
          <w:sz w:val="24"/>
          <w:szCs w:val="24"/>
        </w:rPr>
      </w:pPr>
      <w:r w:rsidRPr="008E6BBC">
        <w:rPr>
          <w:sz w:val="24"/>
          <w:szCs w:val="24"/>
        </w:rPr>
        <w:t>V rámci úprav schváleného rozpočtu príjmov sa predpokladali príjmy vyššie o 767 061</w:t>
      </w:r>
      <w:r w:rsidRPr="008E6BBC">
        <w:rPr>
          <w:b/>
          <w:sz w:val="24"/>
          <w:szCs w:val="24"/>
        </w:rPr>
        <w:t> </w:t>
      </w:r>
      <w:r w:rsidRPr="008E6BBC">
        <w:rPr>
          <w:sz w:val="24"/>
          <w:szCs w:val="24"/>
        </w:rPr>
        <w:t xml:space="preserve">tis. eur a v rámci nich bolo zohľadnené najmä vyššie plnenie transferov z rozpočtu Európskej únie o 786 878 tis. eur. Daňové príjmy zostali bez zmeny a v rámci nedaňových príjmov </w:t>
      </w:r>
      <w:r w:rsidR="00DF406F" w:rsidRPr="008E6BBC">
        <w:rPr>
          <w:sz w:val="24"/>
          <w:szCs w:val="24"/>
        </w:rPr>
        <w:t>nenastali výrazné zmeny</w:t>
      </w:r>
      <w:r w:rsidRPr="008E6BBC">
        <w:rPr>
          <w:sz w:val="24"/>
          <w:szCs w:val="24"/>
        </w:rPr>
        <w:t>. Naopak, nižšie ako rozpočtované príjmy sa očakávali najmä príjmy z predaja kapitálových aktív o 5 569 tis. eur.</w:t>
      </w:r>
    </w:p>
    <w:p w14:paraId="11AB86E5" w14:textId="670DFFAB" w:rsidR="003259FA" w:rsidRPr="008E6BBC" w:rsidRDefault="003259FA" w:rsidP="001665F3">
      <w:pPr>
        <w:spacing w:line="240" w:lineRule="auto"/>
        <w:rPr>
          <w:sz w:val="24"/>
          <w:szCs w:val="24"/>
        </w:rPr>
      </w:pPr>
      <w:r w:rsidRPr="008E6BBC">
        <w:rPr>
          <w:sz w:val="24"/>
          <w:szCs w:val="24"/>
        </w:rPr>
        <w:t>Celková úprava rozpočtu výdavkov predstavovala zníženie bežných výdavkov o 721 486 tis. eur a navýšenie kap</w:t>
      </w:r>
      <w:r w:rsidR="0078085C" w:rsidRPr="008E6BBC">
        <w:rPr>
          <w:sz w:val="24"/>
          <w:szCs w:val="24"/>
        </w:rPr>
        <w:t xml:space="preserve">itálových </w:t>
      </w:r>
      <w:r w:rsidRPr="008E6BBC">
        <w:rPr>
          <w:sz w:val="24"/>
          <w:szCs w:val="24"/>
        </w:rPr>
        <w:t xml:space="preserve">výdavkov o 1 058 224 tis. eur. </w:t>
      </w:r>
    </w:p>
    <w:p w14:paraId="7C62BE5A" w14:textId="1B39A1EA" w:rsidR="003259FA" w:rsidRPr="008E6BBC" w:rsidRDefault="003259FA" w:rsidP="001665F3">
      <w:pPr>
        <w:spacing w:line="240" w:lineRule="auto"/>
        <w:rPr>
          <w:b/>
          <w:sz w:val="24"/>
          <w:szCs w:val="24"/>
        </w:rPr>
      </w:pPr>
      <w:r w:rsidRPr="008E6BBC">
        <w:rPr>
          <w:b/>
          <w:sz w:val="24"/>
          <w:szCs w:val="24"/>
        </w:rPr>
        <w:t>Schodok štátneho rozpočtu vykázaný</w:t>
      </w:r>
      <w:r w:rsidR="00B9052A">
        <w:rPr>
          <w:b/>
          <w:sz w:val="24"/>
          <w:szCs w:val="24"/>
        </w:rPr>
        <w:t xml:space="preserve"> k 31. 12. 2020 v sume 7 758 422</w:t>
      </w:r>
      <w:r w:rsidRPr="008E6BBC">
        <w:rPr>
          <w:b/>
          <w:sz w:val="24"/>
          <w:szCs w:val="24"/>
        </w:rPr>
        <w:t> tis. eur bol krytý finančnými prostriedkami získanými</w:t>
      </w:r>
      <w:r w:rsidR="002F2778">
        <w:rPr>
          <w:b/>
          <w:sz w:val="24"/>
          <w:szCs w:val="24"/>
        </w:rPr>
        <w:t xml:space="preserve"> z predaja štátnych dlhopisov v </w:t>
      </w:r>
      <w:r w:rsidRPr="008E6BBC">
        <w:rPr>
          <w:b/>
          <w:sz w:val="24"/>
          <w:szCs w:val="24"/>
        </w:rPr>
        <w:t xml:space="preserve">hodnote 6 630 451 tis. eur a prijatými bankovými úvermi v hodnote 1 127 970 tis. eur. </w:t>
      </w:r>
    </w:p>
    <w:p w14:paraId="732D879E" w14:textId="05533F5F" w:rsidR="003259FA" w:rsidRPr="008E6BBC" w:rsidRDefault="003259FA" w:rsidP="001665F3">
      <w:pPr>
        <w:spacing w:line="240" w:lineRule="auto"/>
        <w:rPr>
          <w:sz w:val="24"/>
          <w:szCs w:val="24"/>
        </w:rPr>
      </w:pPr>
      <w:r w:rsidRPr="008E6BBC">
        <w:rPr>
          <w:sz w:val="24"/>
          <w:szCs w:val="24"/>
        </w:rPr>
        <w:t xml:space="preserve">Nasledujúce informácie o príjmoch a výdavkoch štátneho rozpočtu popisujú ich hotovostné plnenie tak, ako sa prejavili na príjmových a výdavkových účtoch štátnych rozpočtových organizácií v priebehu roka 2020. </w:t>
      </w:r>
      <w:r w:rsidRPr="008E6BBC">
        <w:rPr>
          <w:b/>
          <w:sz w:val="24"/>
          <w:szCs w:val="24"/>
        </w:rPr>
        <w:t>Komentár k jednotlivým položkám príjmov a výdavkov sa sústredí na opis faktorov majúcich vplyv na ich hotovostné plnenie, pričom por</w:t>
      </w:r>
      <w:r w:rsidR="0078040B" w:rsidRPr="008E6BBC">
        <w:rPr>
          <w:b/>
          <w:sz w:val="24"/>
          <w:szCs w:val="24"/>
        </w:rPr>
        <w:t xml:space="preserve">ovnanie dosiahnutej skutočnosti, jej medziročného vývoja ako aj rozpočtovaných hodnôt </w:t>
      </w:r>
      <w:r w:rsidRPr="008E6BBC">
        <w:rPr>
          <w:b/>
          <w:sz w:val="24"/>
          <w:szCs w:val="24"/>
        </w:rPr>
        <w:t>sa realizuje voči rozpočtu schváleného novelou zákona o štátnom rozpočte na rok 2020</w:t>
      </w:r>
      <w:r w:rsidRPr="008E6BBC">
        <w:rPr>
          <w:sz w:val="24"/>
          <w:szCs w:val="24"/>
        </w:rPr>
        <w:t>.</w:t>
      </w:r>
    </w:p>
    <w:p w14:paraId="34B89B3B" w14:textId="77777777" w:rsidR="003259FA" w:rsidRPr="008E6BBC" w:rsidRDefault="003259FA" w:rsidP="001665F3">
      <w:pPr>
        <w:spacing w:line="240" w:lineRule="auto"/>
        <w:rPr>
          <w:sz w:val="24"/>
          <w:szCs w:val="24"/>
        </w:rPr>
      </w:pPr>
      <w:r w:rsidRPr="008E6BBC">
        <w:rPr>
          <w:sz w:val="24"/>
          <w:szCs w:val="24"/>
        </w:rPr>
        <w:t>Súčasťou Štátneho záverečného účtu SR je aj tabuľková príloha, ktorá dopĺňa opisnú časť hotovostných príjmov a výdavkov, v členení podľa ekonomickej a organizačnej klasifikácie. Podrobnejšie informácie o príjmoch a výdavkoch jednotlivých kapitol ŠR sú uvedené aj v záverečných účtoch kapitol, ktoré sa zverejňujú na ich webovom sídle.</w:t>
      </w:r>
    </w:p>
    <w:p w14:paraId="2927F064" w14:textId="77777777" w:rsidR="003259FA" w:rsidRDefault="003259FA" w:rsidP="001665F3">
      <w:pPr>
        <w:spacing w:line="240" w:lineRule="auto"/>
        <w:rPr>
          <w:sz w:val="24"/>
          <w:szCs w:val="24"/>
        </w:rPr>
      </w:pPr>
      <w:r w:rsidRPr="008E6BBC">
        <w:rPr>
          <w:sz w:val="24"/>
          <w:szCs w:val="24"/>
        </w:rPr>
        <w:t>Prípadné číselné rozdiely medzi tabuľkovou prílohou a údajmi v textovej časti záverečného účtu sú spôsobené automatickým zaokrúhľovaním.</w:t>
      </w:r>
    </w:p>
    <w:p w14:paraId="04AA3204" w14:textId="77777777" w:rsidR="008C75DA" w:rsidRPr="008E6BBC" w:rsidRDefault="008C75DA" w:rsidP="001665F3">
      <w:pPr>
        <w:spacing w:line="240" w:lineRule="auto"/>
        <w:rPr>
          <w:sz w:val="24"/>
          <w:szCs w:val="24"/>
        </w:rPr>
      </w:pPr>
    </w:p>
    <w:p w14:paraId="32FA6D11" w14:textId="572E0939" w:rsidR="008254BE" w:rsidRDefault="008254BE" w:rsidP="00752862">
      <w:pPr>
        <w:pStyle w:val="Nadpis2"/>
      </w:pPr>
      <w:bookmarkStart w:id="33" w:name="_Toc6415641"/>
      <w:bookmarkStart w:id="34" w:name="_Toc70026092"/>
      <w:r>
        <w:t>Príjmy štátneho rozpočtu</w:t>
      </w:r>
      <w:bookmarkEnd w:id="33"/>
      <w:bookmarkEnd w:id="34"/>
    </w:p>
    <w:p w14:paraId="4C36F68C" w14:textId="3436369C" w:rsidR="008254BE" w:rsidRPr="00E87CB0" w:rsidRDefault="008254BE" w:rsidP="00752862">
      <w:pPr>
        <w:pStyle w:val="Nadpis3"/>
        <w:rPr>
          <w:sz w:val="24"/>
        </w:rPr>
      </w:pPr>
      <w:bookmarkStart w:id="35" w:name="_Toc6415642"/>
      <w:bookmarkStart w:id="36" w:name="_Toc70026093"/>
      <w:r w:rsidRPr="00E87CB0">
        <w:rPr>
          <w:sz w:val="24"/>
        </w:rPr>
        <w:t>Daňové príjmy</w:t>
      </w:r>
      <w:bookmarkEnd w:id="35"/>
      <w:bookmarkEnd w:id="36"/>
    </w:p>
    <w:p w14:paraId="721F7A82" w14:textId="26545D74" w:rsidR="004967E3" w:rsidRPr="008E6BBC" w:rsidRDefault="004967E3" w:rsidP="001665F3">
      <w:pPr>
        <w:spacing w:line="240" w:lineRule="auto"/>
        <w:rPr>
          <w:sz w:val="24"/>
          <w:szCs w:val="24"/>
        </w:rPr>
      </w:pPr>
      <w:r w:rsidRPr="008E6BBC">
        <w:rPr>
          <w:sz w:val="24"/>
          <w:szCs w:val="24"/>
        </w:rPr>
        <w:t>Pre rok 2020 boli daňové prí</w:t>
      </w:r>
      <w:r w:rsidR="00FC4BC7" w:rsidRPr="008E6BBC">
        <w:rPr>
          <w:sz w:val="24"/>
          <w:szCs w:val="24"/>
        </w:rPr>
        <w:t>jmy rozpočtované vo výške 11 546 644 </w:t>
      </w:r>
      <w:r w:rsidRPr="008E6BBC">
        <w:rPr>
          <w:sz w:val="24"/>
          <w:szCs w:val="24"/>
        </w:rPr>
        <w:t>tis. eur, čo bolo o</w:t>
      </w:r>
      <w:r w:rsidR="00FC4BC7" w:rsidRPr="008E6BBC">
        <w:rPr>
          <w:sz w:val="24"/>
          <w:szCs w:val="24"/>
        </w:rPr>
        <w:t>proti rozpočtu 2019 menej o 917 913 </w:t>
      </w:r>
      <w:r w:rsidRPr="008E6BBC">
        <w:rPr>
          <w:sz w:val="24"/>
          <w:szCs w:val="24"/>
        </w:rPr>
        <w:t>tis. eur. Podľa pôvodne schváleného rozpočtu z decembra 20</w:t>
      </w:r>
      <w:r w:rsidR="0078040B" w:rsidRPr="008E6BBC">
        <w:rPr>
          <w:sz w:val="24"/>
          <w:szCs w:val="24"/>
        </w:rPr>
        <w:t>19</w:t>
      </w:r>
      <w:r w:rsidRPr="008E6BBC">
        <w:rPr>
          <w:sz w:val="24"/>
          <w:szCs w:val="24"/>
        </w:rPr>
        <w:t xml:space="preserve"> sa očakávali hotovostné daňové príjmy štátneho r</w:t>
      </w:r>
      <w:r w:rsidR="00FC4BC7" w:rsidRPr="008E6BBC">
        <w:rPr>
          <w:sz w:val="24"/>
          <w:szCs w:val="24"/>
        </w:rPr>
        <w:t>ozpočtu na rok 2020 v objeme 12 800</w:t>
      </w:r>
      <w:r w:rsidR="00276E75">
        <w:rPr>
          <w:sz w:val="24"/>
          <w:szCs w:val="24"/>
        </w:rPr>
        <w:t> 281 </w:t>
      </w:r>
      <w:r w:rsidRPr="008E6BBC">
        <w:rPr>
          <w:sz w:val="24"/>
          <w:szCs w:val="24"/>
        </w:rPr>
        <w:t>tis.</w:t>
      </w:r>
      <w:r w:rsidR="00276E75">
        <w:rPr>
          <w:sz w:val="24"/>
          <w:szCs w:val="24"/>
        </w:rPr>
        <w:t> </w:t>
      </w:r>
      <w:r w:rsidRPr="008E6BBC">
        <w:rPr>
          <w:sz w:val="24"/>
          <w:szCs w:val="24"/>
        </w:rPr>
        <w:t xml:space="preserve">eur. </w:t>
      </w:r>
    </w:p>
    <w:p w14:paraId="3CABBCCC" w14:textId="0D66567D" w:rsidR="004967E3" w:rsidRPr="008E6BBC" w:rsidRDefault="004967E3" w:rsidP="001665F3">
      <w:pPr>
        <w:spacing w:line="240" w:lineRule="auto"/>
        <w:rPr>
          <w:sz w:val="24"/>
          <w:szCs w:val="24"/>
        </w:rPr>
      </w:pPr>
      <w:r w:rsidRPr="008E6BBC">
        <w:rPr>
          <w:sz w:val="24"/>
          <w:szCs w:val="24"/>
        </w:rPr>
        <w:t>Skutočné daňové príjmy bo</w:t>
      </w:r>
      <w:r w:rsidR="00FC4BC7" w:rsidRPr="008E6BBC">
        <w:rPr>
          <w:sz w:val="24"/>
          <w:szCs w:val="24"/>
        </w:rPr>
        <w:t>li oproti rozpočtu vyššie o 318 778 </w:t>
      </w:r>
      <w:r w:rsidRPr="008E6BBC">
        <w:rPr>
          <w:sz w:val="24"/>
          <w:szCs w:val="24"/>
        </w:rPr>
        <w:t>tis. eur a dosiahli výšku 11</w:t>
      </w:r>
      <w:r w:rsidR="00FC4BC7" w:rsidRPr="008E6BBC">
        <w:rPr>
          <w:sz w:val="24"/>
          <w:szCs w:val="24"/>
        </w:rPr>
        <w:t> 865 422 </w:t>
      </w:r>
      <w:r w:rsidRPr="008E6BBC">
        <w:rPr>
          <w:sz w:val="24"/>
          <w:szCs w:val="24"/>
        </w:rPr>
        <w:t>tis. eur. Za vyšším výnosom je najmä vyšší výnos z dane z pridanej hodnoty a spotrebných daní. Naopak, pri dani z príjmu právnických osôb boli očakávania vyššie ako skutočnosť.</w:t>
      </w:r>
    </w:p>
    <w:p w14:paraId="1B4CFB96" w14:textId="0F4BDF9B" w:rsidR="004967E3" w:rsidRPr="008E6BBC" w:rsidRDefault="004967E3" w:rsidP="001665F3">
      <w:pPr>
        <w:spacing w:line="240" w:lineRule="auto"/>
        <w:rPr>
          <w:sz w:val="24"/>
          <w:szCs w:val="24"/>
        </w:rPr>
      </w:pPr>
      <w:r w:rsidRPr="00195857">
        <w:rPr>
          <w:b/>
          <w:sz w:val="24"/>
          <w:szCs w:val="24"/>
        </w:rPr>
        <w:t>Celkové daňové príjmy štátneho rozpočtu na hotovostn</w:t>
      </w:r>
      <w:r w:rsidR="00BF67ED" w:rsidRPr="00195857">
        <w:rPr>
          <w:b/>
          <w:sz w:val="24"/>
          <w:szCs w:val="24"/>
        </w:rPr>
        <w:t>om princípe boli v porovnaní so </w:t>
      </w:r>
      <w:r w:rsidRPr="00195857">
        <w:rPr>
          <w:b/>
          <w:sz w:val="24"/>
          <w:szCs w:val="24"/>
        </w:rPr>
        <w:t>skutoč</w:t>
      </w:r>
      <w:r w:rsidR="00FC4BC7" w:rsidRPr="00195857">
        <w:rPr>
          <w:b/>
          <w:sz w:val="24"/>
          <w:szCs w:val="24"/>
        </w:rPr>
        <w:t>nosťou v roku 2019 nižšie o 471 </w:t>
      </w:r>
      <w:r w:rsidRPr="00195857">
        <w:rPr>
          <w:b/>
          <w:sz w:val="24"/>
          <w:szCs w:val="24"/>
        </w:rPr>
        <w:t>022 tis. eur</w:t>
      </w:r>
      <w:r w:rsidRPr="008E6BBC">
        <w:rPr>
          <w:sz w:val="24"/>
          <w:szCs w:val="24"/>
        </w:rPr>
        <w:t>, čo zodpovedá med</w:t>
      </w:r>
      <w:r w:rsidR="004B6995" w:rsidRPr="008E6BBC">
        <w:rPr>
          <w:sz w:val="24"/>
          <w:szCs w:val="24"/>
        </w:rPr>
        <w:t>ziročnému poklesu na úrovni 3,8 </w:t>
      </w:r>
      <w:r w:rsidRPr="008E6BBC">
        <w:rPr>
          <w:sz w:val="24"/>
          <w:szCs w:val="24"/>
        </w:rPr>
        <w:t xml:space="preserve">%. </w:t>
      </w:r>
      <w:r w:rsidR="0055280A" w:rsidRPr="008E6BBC">
        <w:rPr>
          <w:sz w:val="24"/>
          <w:szCs w:val="24"/>
        </w:rPr>
        <w:t xml:space="preserve">Pokles ekonomickej </w:t>
      </w:r>
      <w:r w:rsidR="00AE5247" w:rsidRPr="008E6BBC">
        <w:rPr>
          <w:sz w:val="24"/>
          <w:szCs w:val="24"/>
        </w:rPr>
        <w:t>aktivity z dôvodu pandémie COVID</w:t>
      </w:r>
      <w:r w:rsidR="0055280A" w:rsidRPr="008E6BBC">
        <w:rPr>
          <w:sz w:val="24"/>
          <w:szCs w:val="24"/>
        </w:rPr>
        <w:t>-19 sa odzrkadlil na medziročne nižšom výbere dan</w:t>
      </w:r>
      <w:r w:rsidR="00AE5247" w:rsidRPr="008E6BBC">
        <w:rPr>
          <w:sz w:val="24"/>
          <w:szCs w:val="24"/>
        </w:rPr>
        <w:t>e</w:t>
      </w:r>
      <w:r w:rsidR="0055280A" w:rsidRPr="008E6BBC">
        <w:rPr>
          <w:sz w:val="24"/>
          <w:szCs w:val="24"/>
        </w:rPr>
        <w:t xml:space="preserve"> z príjmov právnických osôb o</w:t>
      </w:r>
      <w:r w:rsidR="00D627BA" w:rsidRPr="008E6BBC">
        <w:rPr>
          <w:sz w:val="24"/>
          <w:szCs w:val="24"/>
        </w:rPr>
        <w:t> 401 414 tis. eur a spotrebných daní o 100 009 tis. eur.</w:t>
      </w:r>
      <w:r w:rsidR="0055280A" w:rsidRPr="008E6BBC">
        <w:rPr>
          <w:sz w:val="24"/>
          <w:szCs w:val="24"/>
        </w:rPr>
        <w:t xml:space="preserve"> </w:t>
      </w:r>
      <w:r w:rsidRPr="008E6BBC">
        <w:rPr>
          <w:sz w:val="24"/>
          <w:szCs w:val="24"/>
        </w:rPr>
        <w:t>Najvyšš</w:t>
      </w:r>
      <w:r w:rsidR="00FC4BC7" w:rsidRPr="008E6BBC">
        <w:rPr>
          <w:sz w:val="24"/>
          <w:szCs w:val="24"/>
        </w:rPr>
        <w:t>í nárast zaznamenali DPH (63 </w:t>
      </w:r>
      <w:r w:rsidRPr="008E6BBC">
        <w:rPr>
          <w:sz w:val="24"/>
          <w:szCs w:val="24"/>
        </w:rPr>
        <w:t xml:space="preserve">876 tis. eur) a </w:t>
      </w:r>
      <w:r w:rsidR="00FC4BC7" w:rsidRPr="008E6BBC">
        <w:rPr>
          <w:sz w:val="24"/>
          <w:szCs w:val="24"/>
        </w:rPr>
        <w:t>Iné dane za tovary a služby (18 340 </w:t>
      </w:r>
      <w:r w:rsidRPr="008E6BBC">
        <w:rPr>
          <w:sz w:val="24"/>
          <w:szCs w:val="24"/>
        </w:rPr>
        <w:t>tis. eur).</w:t>
      </w:r>
    </w:p>
    <w:p w14:paraId="16C9B030" w14:textId="77777777" w:rsidR="004C05E1" w:rsidRDefault="004C05E1">
      <w:pPr>
        <w:spacing w:after="160" w:line="259" w:lineRule="auto"/>
        <w:jc w:val="left"/>
        <w:rPr>
          <w:sz w:val="24"/>
          <w:szCs w:val="24"/>
        </w:rPr>
      </w:pPr>
      <w:r>
        <w:rPr>
          <w:sz w:val="24"/>
          <w:szCs w:val="24"/>
        </w:rPr>
        <w:br w:type="page"/>
      </w:r>
    </w:p>
    <w:p w14:paraId="1D229B03" w14:textId="458191F8" w:rsidR="004967E3" w:rsidRPr="008E6BBC" w:rsidRDefault="004967E3" w:rsidP="004967E3">
      <w:pPr>
        <w:spacing w:after="160" w:line="259" w:lineRule="auto"/>
        <w:jc w:val="left"/>
        <w:rPr>
          <w:sz w:val="24"/>
          <w:szCs w:val="24"/>
        </w:rPr>
      </w:pPr>
      <w:r w:rsidRPr="008E6BBC">
        <w:rPr>
          <w:sz w:val="24"/>
          <w:szCs w:val="24"/>
        </w:rPr>
        <w:t>Prehľad o plnení daňových príjmov štátneho rozpočtu poskytujú nasledovné údaje:</w:t>
      </w:r>
    </w:p>
    <w:tbl>
      <w:tblPr>
        <w:tblW w:w="9007" w:type="dxa"/>
        <w:tblInd w:w="55" w:type="dxa"/>
        <w:tblCellMar>
          <w:left w:w="70" w:type="dxa"/>
          <w:right w:w="70" w:type="dxa"/>
        </w:tblCellMar>
        <w:tblLook w:val="04A0" w:firstRow="1" w:lastRow="0" w:firstColumn="1" w:lastColumn="0" w:noHBand="0" w:noVBand="1"/>
      </w:tblPr>
      <w:tblGrid>
        <w:gridCol w:w="3054"/>
        <w:gridCol w:w="1134"/>
        <w:gridCol w:w="1134"/>
        <w:gridCol w:w="960"/>
        <w:gridCol w:w="1025"/>
        <w:gridCol w:w="850"/>
        <w:gridCol w:w="850"/>
      </w:tblGrid>
      <w:tr w:rsidR="004967E3" w:rsidRPr="00E20480" w14:paraId="087FBE95" w14:textId="77777777" w:rsidTr="00E20480">
        <w:trPr>
          <w:trHeight w:val="330"/>
        </w:trPr>
        <w:tc>
          <w:tcPr>
            <w:tcW w:w="9007" w:type="dxa"/>
            <w:gridSpan w:val="7"/>
            <w:tcBorders>
              <w:top w:val="nil"/>
              <w:left w:val="single" w:sz="8" w:space="0" w:color="auto"/>
              <w:right w:val="nil"/>
            </w:tcBorders>
            <w:shd w:val="clear" w:color="000000" w:fill="000000"/>
            <w:vAlign w:val="center"/>
            <w:hideMark/>
          </w:tcPr>
          <w:p w14:paraId="5498E46B" w14:textId="6DCB0D52" w:rsidR="004967E3" w:rsidRPr="00E20480" w:rsidRDefault="004967E3" w:rsidP="004967E3">
            <w:pPr>
              <w:spacing w:after="0" w:line="240" w:lineRule="auto"/>
              <w:contextualSpacing/>
              <w:jc w:val="left"/>
              <w:rPr>
                <w:rFonts w:eastAsia="Times New Roman" w:cs="Times New Roman"/>
                <w:b/>
                <w:bCs/>
                <w:color w:val="FFFFFF"/>
                <w:sz w:val="18"/>
                <w:szCs w:val="18"/>
                <w:lang w:eastAsia="sk-SK"/>
              </w:rPr>
            </w:pPr>
            <w:r w:rsidRPr="00E20480">
              <w:rPr>
                <w:rFonts w:eastAsia="Times New Roman" w:cs="Times New Roman"/>
                <w:b/>
                <w:bCs/>
                <w:color w:val="FFFFFF"/>
                <w:sz w:val="18"/>
                <w:szCs w:val="18"/>
                <w:lang w:eastAsia="sk-SK"/>
              </w:rPr>
              <w:t xml:space="preserve">Daňové príjmy štátneho rozpočtu </w:t>
            </w:r>
            <w:r w:rsidR="00F038DB" w:rsidRPr="00E20480">
              <w:rPr>
                <w:rFonts w:eastAsia="Times New Roman" w:cs="Times New Roman"/>
                <w:b/>
                <w:bCs/>
                <w:color w:val="FFFFFF"/>
                <w:sz w:val="18"/>
                <w:szCs w:val="18"/>
                <w:lang w:eastAsia="sk-SK"/>
              </w:rPr>
              <w:t xml:space="preserve">                                                                                                          </w:t>
            </w:r>
            <w:r w:rsidR="00D2271A">
              <w:rPr>
                <w:rFonts w:eastAsia="Times New Roman" w:cs="Times New Roman"/>
                <w:b/>
                <w:bCs/>
                <w:color w:val="FFFFFF"/>
                <w:sz w:val="18"/>
                <w:szCs w:val="18"/>
                <w:lang w:eastAsia="sk-SK"/>
              </w:rPr>
              <w:t xml:space="preserve">             </w:t>
            </w:r>
            <w:r w:rsidR="00F038DB" w:rsidRPr="00E20480">
              <w:rPr>
                <w:rFonts w:eastAsia="Times New Roman" w:cs="Times New Roman"/>
                <w:b/>
                <w:bCs/>
                <w:color w:val="FFFFFF"/>
                <w:sz w:val="18"/>
                <w:szCs w:val="18"/>
                <w:lang w:eastAsia="sk-SK"/>
              </w:rPr>
              <w:t xml:space="preserve"> </w:t>
            </w:r>
            <w:r w:rsidRPr="00E20480">
              <w:rPr>
                <w:rFonts w:eastAsia="Times New Roman" w:cs="Times New Roman"/>
                <w:b/>
                <w:bCs/>
                <w:color w:val="FFFFFF"/>
                <w:sz w:val="18"/>
                <w:szCs w:val="18"/>
                <w:lang w:eastAsia="sk-SK"/>
              </w:rPr>
              <w:t>(v tis. eur)</w:t>
            </w:r>
          </w:p>
        </w:tc>
      </w:tr>
      <w:tr w:rsidR="004967E3" w:rsidRPr="00E20480" w14:paraId="34D09050" w14:textId="77777777" w:rsidTr="00E20480">
        <w:trPr>
          <w:trHeight w:val="330"/>
        </w:trPr>
        <w:tc>
          <w:tcPr>
            <w:tcW w:w="3054" w:type="dxa"/>
            <w:tcBorders>
              <w:top w:val="nil"/>
              <w:left w:val="nil"/>
              <w:bottom w:val="nil"/>
              <w:right w:val="nil"/>
            </w:tcBorders>
            <w:shd w:val="pct25" w:color="auto" w:fill="auto"/>
            <w:vAlign w:val="center"/>
            <w:hideMark/>
          </w:tcPr>
          <w:p w14:paraId="27BF0836" w14:textId="77777777" w:rsidR="004967E3" w:rsidRPr="00E20480" w:rsidRDefault="004967E3" w:rsidP="004967E3">
            <w:pPr>
              <w:spacing w:after="0" w:line="240" w:lineRule="auto"/>
              <w:contextualSpacing/>
              <w:jc w:val="center"/>
              <w:rPr>
                <w:rFonts w:eastAsia="Times New Roman" w:cs="Times New Roman"/>
                <w:b/>
                <w:sz w:val="18"/>
                <w:szCs w:val="18"/>
                <w:lang w:eastAsia="sk-SK"/>
              </w:rPr>
            </w:pPr>
          </w:p>
        </w:tc>
        <w:tc>
          <w:tcPr>
            <w:tcW w:w="2268" w:type="dxa"/>
            <w:gridSpan w:val="2"/>
            <w:tcBorders>
              <w:top w:val="nil"/>
              <w:left w:val="nil"/>
              <w:bottom w:val="nil"/>
              <w:right w:val="nil"/>
            </w:tcBorders>
            <w:shd w:val="pct25" w:color="auto" w:fill="auto"/>
            <w:vAlign w:val="center"/>
            <w:hideMark/>
          </w:tcPr>
          <w:p w14:paraId="66AACE4A" w14:textId="77777777" w:rsidR="004967E3" w:rsidRPr="00E20480" w:rsidRDefault="004967E3" w:rsidP="004967E3">
            <w:pPr>
              <w:spacing w:after="0" w:line="240" w:lineRule="auto"/>
              <w:contextualSpacing/>
              <w:jc w:val="center"/>
              <w:rPr>
                <w:rFonts w:eastAsia="Times New Roman" w:cs="Times New Roman"/>
                <w:b/>
                <w:sz w:val="18"/>
                <w:szCs w:val="18"/>
                <w:lang w:eastAsia="sk-SK"/>
              </w:rPr>
            </w:pPr>
            <w:r w:rsidRPr="00E20480">
              <w:rPr>
                <w:rFonts w:eastAsia="Times New Roman" w:cs="Times New Roman"/>
                <w:b/>
                <w:sz w:val="18"/>
                <w:szCs w:val="18"/>
                <w:lang w:eastAsia="sk-SK"/>
              </w:rPr>
              <w:t>Skutočnosť</w:t>
            </w:r>
          </w:p>
        </w:tc>
        <w:tc>
          <w:tcPr>
            <w:tcW w:w="960" w:type="dxa"/>
            <w:tcBorders>
              <w:top w:val="nil"/>
              <w:left w:val="nil"/>
              <w:bottom w:val="nil"/>
              <w:right w:val="nil"/>
            </w:tcBorders>
            <w:shd w:val="pct25" w:color="auto" w:fill="auto"/>
            <w:vAlign w:val="center"/>
            <w:hideMark/>
          </w:tcPr>
          <w:p w14:paraId="41B8E272" w14:textId="77777777" w:rsidR="004967E3" w:rsidRPr="00E20480" w:rsidRDefault="004967E3" w:rsidP="004967E3">
            <w:pPr>
              <w:spacing w:after="0" w:line="240" w:lineRule="auto"/>
              <w:contextualSpacing/>
              <w:jc w:val="center"/>
              <w:rPr>
                <w:rFonts w:eastAsia="Times New Roman" w:cs="Times New Roman"/>
                <w:b/>
                <w:sz w:val="18"/>
                <w:szCs w:val="18"/>
                <w:lang w:eastAsia="sk-SK"/>
              </w:rPr>
            </w:pPr>
            <w:r w:rsidRPr="00E20480">
              <w:rPr>
                <w:rFonts w:eastAsia="Times New Roman" w:cs="Times New Roman"/>
                <w:b/>
                <w:sz w:val="18"/>
                <w:szCs w:val="18"/>
                <w:lang w:eastAsia="sk-SK"/>
              </w:rPr>
              <w:t>Rozpočet</w:t>
            </w:r>
          </w:p>
        </w:tc>
        <w:tc>
          <w:tcPr>
            <w:tcW w:w="1025" w:type="dxa"/>
            <w:tcBorders>
              <w:top w:val="nil"/>
              <w:left w:val="nil"/>
              <w:bottom w:val="nil"/>
              <w:right w:val="nil"/>
            </w:tcBorders>
            <w:shd w:val="pct25" w:color="auto" w:fill="auto"/>
            <w:vAlign w:val="center"/>
            <w:hideMark/>
          </w:tcPr>
          <w:p w14:paraId="6CD40907" w14:textId="77777777" w:rsidR="004967E3" w:rsidRPr="00E20480" w:rsidRDefault="004967E3" w:rsidP="004967E3">
            <w:pPr>
              <w:spacing w:after="0" w:line="240" w:lineRule="auto"/>
              <w:contextualSpacing/>
              <w:jc w:val="center"/>
              <w:rPr>
                <w:rFonts w:eastAsia="Times New Roman" w:cs="Times New Roman"/>
                <w:b/>
                <w:sz w:val="18"/>
                <w:szCs w:val="18"/>
                <w:lang w:eastAsia="sk-SK"/>
              </w:rPr>
            </w:pPr>
            <w:r w:rsidRPr="00E20480">
              <w:rPr>
                <w:rFonts w:eastAsia="Times New Roman" w:cs="Times New Roman"/>
                <w:b/>
                <w:sz w:val="18"/>
                <w:szCs w:val="18"/>
                <w:lang w:eastAsia="sk-SK"/>
              </w:rPr>
              <w:t>Skutočnosť</w:t>
            </w:r>
          </w:p>
        </w:tc>
        <w:tc>
          <w:tcPr>
            <w:tcW w:w="1700" w:type="dxa"/>
            <w:gridSpan w:val="2"/>
            <w:tcBorders>
              <w:top w:val="nil"/>
              <w:left w:val="nil"/>
              <w:bottom w:val="nil"/>
              <w:right w:val="nil"/>
            </w:tcBorders>
            <w:shd w:val="pct25" w:color="auto" w:fill="auto"/>
            <w:vAlign w:val="center"/>
            <w:hideMark/>
          </w:tcPr>
          <w:p w14:paraId="1D6B34AD" w14:textId="77777777" w:rsidR="004967E3" w:rsidRPr="00E20480" w:rsidRDefault="004967E3" w:rsidP="004967E3">
            <w:pPr>
              <w:spacing w:after="0" w:line="240" w:lineRule="auto"/>
              <w:contextualSpacing/>
              <w:jc w:val="center"/>
              <w:rPr>
                <w:rFonts w:eastAsia="Times New Roman" w:cs="Times New Roman"/>
                <w:b/>
                <w:sz w:val="18"/>
                <w:szCs w:val="18"/>
                <w:lang w:eastAsia="sk-SK"/>
              </w:rPr>
            </w:pPr>
            <w:r w:rsidRPr="00E20480">
              <w:rPr>
                <w:rFonts w:eastAsia="Times New Roman" w:cs="Times New Roman"/>
                <w:b/>
                <w:sz w:val="18"/>
                <w:szCs w:val="18"/>
                <w:lang w:eastAsia="sk-SK"/>
              </w:rPr>
              <w:t>Rozdiel oproti rozpočtu</w:t>
            </w:r>
          </w:p>
        </w:tc>
      </w:tr>
      <w:tr w:rsidR="004967E3" w:rsidRPr="00E20480" w14:paraId="5CBEA446" w14:textId="77777777" w:rsidTr="00E20480">
        <w:trPr>
          <w:trHeight w:val="262"/>
        </w:trPr>
        <w:tc>
          <w:tcPr>
            <w:tcW w:w="3054" w:type="dxa"/>
            <w:tcBorders>
              <w:top w:val="nil"/>
              <w:left w:val="nil"/>
              <w:bottom w:val="nil"/>
              <w:right w:val="nil"/>
            </w:tcBorders>
            <w:shd w:val="pct25" w:color="auto" w:fill="auto"/>
            <w:vAlign w:val="center"/>
            <w:hideMark/>
          </w:tcPr>
          <w:p w14:paraId="403D2122" w14:textId="77777777" w:rsidR="004967E3" w:rsidRPr="00E20480" w:rsidRDefault="004967E3" w:rsidP="004967E3">
            <w:pPr>
              <w:spacing w:after="0" w:line="240" w:lineRule="auto"/>
              <w:contextualSpacing/>
              <w:jc w:val="center"/>
              <w:rPr>
                <w:rFonts w:eastAsia="Times New Roman" w:cs="Times New Roman"/>
                <w:b/>
                <w:sz w:val="18"/>
                <w:szCs w:val="18"/>
                <w:lang w:eastAsia="sk-SK"/>
              </w:rPr>
            </w:pPr>
          </w:p>
        </w:tc>
        <w:tc>
          <w:tcPr>
            <w:tcW w:w="1134" w:type="dxa"/>
            <w:tcBorders>
              <w:top w:val="nil"/>
              <w:left w:val="nil"/>
              <w:bottom w:val="nil"/>
              <w:right w:val="nil"/>
            </w:tcBorders>
            <w:shd w:val="pct25" w:color="auto" w:fill="auto"/>
            <w:vAlign w:val="center"/>
            <w:hideMark/>
          </w:tcPr>
          <w:p w14:paraId="042CE78D" w14:textId="77777777" w:rsidR="004967E3" w:rsidRPr="00E20480" w:rsidRDefault="004967E3" w:rsidP="004967E3">
            <w:pPr>
              <w:spacing w:after="0" w:line="240" w:lineRule="auto"/>
              <w:contextualSpacing/>
              <w:jc w:val="center"/>
              <w:rPr>
                <w:rFonts w:eastAsia="Times New Roman" w:cs="Times New Roman"/>
                <w:b/>
                <w:sz w:val="18"/>
                <w:szCs w:val="18"/>
                <w:lang w:eastAsia="sk-SK"/>
              </w:rPr>
            </w:pPr>
            <w:r w:rsidRPr="00E20480">
              <w:rPr>
                <w:rFonts w:eastAsia="Times New Roman" w:cs="Times New Roman"/>
                <w:b/>
                <w:sz w:val="18"/>
                <w:szCs w:val="18"/>
                <w:lang w:eastAsia="sk-SK"/>
              </w:rPr>
              <w:t>2018</w:t>
            </w:r>
          </w:p>
        </w:tc>
        <w:tc>
          <w:tcPr>
            <w:tcW w:w="1134" w:type="dxa"/>
            <w:tcBorders>
              <w:top w:val="nil"/>
              <w:left w:val="nil"/>
              <w:bottom w:val="nil"/>
              <w:right w:val="nil"/>
            </w:tcBorders>
            <w:shd w:val="pct25" w:color="auto" w:fill="auto"/>
            <w:vAlign w:val="center"/>
            <w:hideMark/>
          </w:tcPr>
          <w:p w14:paraId="49BBC9AA" w14:textId="77777777" w:rsidR="004967E3" w:rsidRPr="00E20480" w:rsidRDefault="004967E3" w:rsidP="004967E3">
            <w:pPr>
              <w:spacing w:after="0" w:line="240" w:lineRule="auto"/>
              <w:contextualSpacing/>
              <w:jc w:val="center"/>
              <w:rPr>
                <w:rFonts w:eastAsia="Times New Roman" w:cs="Times New Roman"/>
                <w:b/>
                <w:sz w:val="18"/>
                <w:szCs w:val="18"/>
                <w:lang w:eastAsia="sk-SK"/>
              </w:rPr>
            </w:pPr>
            <w:r w:rsidRPr="00E20480">
              <w:rPr>
                <w:rFonts w:eastAsia="Times New Roman" w:cs="Times New Roman"/>
                <w:b/>
                <w:sz w:val="18"/>
                <w:szCs w:val="18"/>
                <w:lang w:eastAsia="sk-SK"/>
              </w:rPr>
              <w:t>2019</w:t>
            </w:r>
          </w:p>
        </w:tc>
        <w:tc>
          <w:tcPr>
            <w:tcW w:w="960" w:type="dxa"/>
            <w:tcBorders>
              <w:top w:val="nil"/>
              <w:left w:val="nil"/>
              <w:bottom w:val="nil"/>
              <w:right w:val="nil"/>
            </w:tcBorders>
            <w:shd w:val="pct25" w:color="auto" w:fill="auto"/>
            <w:vAlign w:val="center"/>
            <w:hideMark/>
          </w:tcPr>
          <w:p w14:paraId="44345680" w14:textId="77777777" w:rsidR="004967E3" w:rsidRPr="00E20480" w:rsidRDefault="004967E3" w:rsidP="004967E3">
            <w:pPr>
              <w:spacing w:after="0" w:line="240" w:lineRule="auto"/>
              <w:contextualSpacing/>
              <w:jc w:val="center"/>
              <w:rPr>
                <w:rFonts w:eastAsia="Times New Roman" w:cs="Times New Roman"/>
                <w:b/>
                <w:sz w:val="18"/>
                <w:szCs w:val="18"/>
                <w:lang w:eastAsia="sk-SK"/>
              </w:rPr>
            </w:pPr>
            <w:r w:rsidRPr="00E20480">
              <w:rPr>
                <w:rFonts w:eastAsia="Times New Roman" w:cs="Times New Roman"/>
                <w:b/>
                <w:sz w:val="18"/>
                <w:szCs w:val="18"/>
                <w:lang w:eastAsia="sk-SK"/>
              </w:rPr>
              <w:t>2020</w:t>
            </w:r>
          </w:p>
        </w:tc>
        <w:tc>
          <w:tcPr>
            <w:tcW w:w="1025" w:type="dxa"/>
            <w:tcBorders>
              <w:top w:val="nil"/>
              <w:left w:val="nil"/>
              <w:bottom w:val="nil"/>
              <w:right w:val="nil"/>
            </w:tcBorders>
            <w:shd w:val="pct25" w:color="auto" w:fill="auto"/>
            <w:vAlign w:val="center"/>
            <w:hideMark/>
          </w:tcPr>
          <w:p w14:paraId="26E73AE0" w14:textId="77777777" w:rsidR="004967E3" w:rsidRPr="00E20480" w:rsidRDefault="004967E3" w:rsidP="004967E3">
            <w:pPr>
              <w:spacing w:after="0" w:line="240" w:lineRule="auto"/>
              <w:contextualSpacing/>
              <w:jc w:val="center"/>
              <w:rPr>
                <w:rFonts w:eastAsia="Times New Roman" w:cs="Times New Roman"/>
                <w:b/>
                <w:sz w:val="18"/>
                <w:szCs w:val="18"/>
                <w:lang w:eastAsia="sk-SK"/>
              </w:rPr>
            </w:pPr>
            <w:r w:rsidRPr="00E20480">
              <w:rPr>
                <w:rFonts w:eastAsia="Times New Roman" w:cs="Times New Roman"/>
                <w:b/>
                <w:sz w:val="18"/>
                <w:szCs w:val="18"/>
                <w:lang w:eastAsia="sk-SK"/>
              </w:rPr>
              <w:t>2020</w:t>
            </w:r>
          </w:p>
        </w:tc>
        <w:tc>
          <w:tcPr>
            <w:tcW w:w="850" w:type="dxa"/>
            <w:tcBorders>
              <w:top w:val="nil"/>
              <w:left w:val="nil"/>
              <w:bottom w:val="nil"/>
              <w:right w:val="nil"/>
            </w:tcBorders>
            <w:shd w:val="pct25" w:color="auto" w:fill="auto"/>
            <w:vAlign w:val="center"/>
            <w:hideMark/>
          </w:tcPr>
          <w:p w14:paraId="0FCA7D11" w14:textId="77777777" w:rsidR="004967E3" w:rsidRPr="00E20480" w:rsidRDefault="004967E3" w:rsidP="004967E3">
            <w:pPr>
              <w:spacing w:after="0" w:line="240" w:lineRule="auto"/>
              <w:contextualSpacing/>
              <w:jc w:val="center"/>
              <w:rPr>
                <w:rFonts w:eastAsia="Times New Roman" w:cs="Times New Roman"/>
                <w:b/>
                <w:sz w:val="18"/>
                <w:szCs w:val="18"/>
                <w:lang w:eastAsia="sk-SK"/>
              </w:rPr>
            </w:pPr>
            <w:r w:rsidRPr="00E20480">
              <w:rPr>
                <w:rFonts w:eastAsia="Times New Roman" w:cs="Times New Roman"/>
                <w:b/>
                <w:sz w:val="18"/>
                <w:szCs w:val="18"/>
                <w:lang w:eastAsia="sk-SK"/>
              </w:rPr>
              <w:t>v tis. eur</w:t>
            </w:r>
          </w:p>
        </w:tc>
        <w:tc>
          <w:tcPr>
            <w:tcW w:w="850" w:type="dxa"/>
            <w:tcBorders>
              <w:top w:val="nil"/>
              <w:left w:val="nil"/>
              <w:bottom w:val="nil"/>
              <w:right w:val="nil"/>
            </w:tcBorders>
            <w:shd w:val="pct25" w:color="auto" w:fill="auto"/>
            <w:vAlign w:val="center"/>
            <w:hideMark/>
          </w:tcPr>
          <w:p w14:paraId="662CB8E9" w14:textId="77777777" w:rsidR="004967E3" w:rsidRPr="00E20480" w:rsidRDefault="004967E3" w:rsidP="004967E3">
            <w:pPr>
              <w:spacing w:after="0" w:line="240" w:lineRule="auto"/>
              <w:contextualSpacing/>
              <w:jc w:val="center"/>
              <w:rPr>
                <w:rFonts w:eastAsia="Times New Roman" w:cs="Times New Roman"/>
                <w:b/>
                <w:sz w:val="18"/>
                <w:szCs w:val="18"/>
                <w:lang w:eastAsia="sk-SK"/>
              </w:rPr>
            </w:pPr>
            <w:r w:rsidRPr="00E20480">
              <w:rPr>
                <w:rFonts w:eastAsia="Times New Roman" w:cs="Times New Roman"/>
                <w:b/>
                <w:sz w:val="18"/>
                <w:szCs w:val="18"/>
                <w:lang w:eastAsia="sk-SK"/>
              </w:rPr>
              <w:t>v %</w:t>
            </w:r>
          </w:p>
        </w:tc>
      </w:tr>
      <w:tr w:rsidR="004967E3" w:rsidRPr="00E20480" w14:paraId="66D00940" w14:textId="77777777" w:rsidTr="00E20480">
        <w:trPr>
          <w:trHeight w:val="280"/>
        </w:trPr>
        <w:tc>
          <w:tcPr>
            <w:tcW w:w="3054" w:type="dxa"/>
            <w:tcBorders>
              <w:top w:val="nil"/>
              <w:left w:val="nil"/>
              <w:bottom w:val="single" w:sz="8" w:space="0" w:color="auto"/>
              <w:right w:val="nil"/>
            </w:tcBorders>
            <w:shd w:val="pct25" w:color="auto" w:fill="auto"/>
            <w:vAlign w:val="center"/>
            <w:hideMark/>
          </w:tcPr>
          <w:p w14:paraId="18B10546" w14:textId="77777777" w:rsidR="004967E3" w:rsidRPr="00E20480" w:rsidRDefault="004967E3" w:rsidP="004967E3">
            <w:pPr>
              <w:spacing w:after="0" w:line="240" w:lineRule="auto"/>
              <w:contextualSpacing/>
              <w:jc w:val="center"/>
              <w:rPr>
                <w:rFonts w:eastAsia="Times New Roman" w:cs="Times New Roman"/>
                <w:b/>
                <w:sz w:val="18"/>
                <w:szCs w:val="18"/>
                <w:lang w:eastAsia="sk-SK"/>
              </w:rPr>
            </w:pPr>
          </w:p>
        </w:tc>
        <w:tc>
          <w:tcPr>
            <w:tcW w:w="1134" w:type="dxa"/>
            <w:tcBorders>
              <w:top w:val="nil"/>
              <w:left w:val="nil"/>
              <w:bottom w:val="single" w:sz="8" w:space="0" w:color="auto"/>
              <w:right w:val="nil"/>
            </w:tcBorders>
            <w:shd w:val="pct25" w:color="auto" w:fill="auto"/>
            <w:vAlign w:val="center"/>
            <w:hideMark/>
          </w:tcPr>
          <w:p w14:paraId="5A23FADC" w14:textId="77777777" w:rsidR="004967E3" w:rsidRPr="00E20480" w:rsidRDefault="004967E3" w:rsidP="004967E3">
            <w:pPr>
              <w:spacing w:after="0" w:line="240" w:lineRule="auto"/>
              <w:contextualSpacing/>
              <w:jc w:val="center"/>
              <w:rPr>
                <w:rFonts w:eastAsia="Times New Roman" w:cs="Times New Roman"/>
                <w:b/>
                <w:sz w:val="18"/>
                <w:szCs w:val="18"/>
                <w:lang w:eastAsia="sk-SK"/>
              </w:rPr>
            </w:pPr>
            <w:r w:rsidRPr="00E20480">
              <w:rPr>
                <w:rFonts w:eastAsia="Times New Roman" w:cs="Times New Roman"/>
                <w:b/>
                <w:sz w:val="18"/>
                <w:szCs w:val="18"/>
                <w:lang w:eastAsia="sk-SK"/>
              </w:rPr>
              <w:t>1</w:t>
            </w:r>
          </w:p>
        </w:tc>
        <w:tc>
          <w:tcPr>
            <w:tcW w:w="1134" w:type="dxa"/>
            <w:tcBorders>
              <w:top w:val="nil"/>
              <w:left w:val="nil"/>
              <w:bottom w:val="single" w:sz="8" w:space="0" w:color="auto"/>
              <w:right w:val="nil"/>
            </w:tcBorders>
            <w:shd w:val="pct25" w:color="auto" w:fill="auto"/>
            <w:vAlign w:val="center"/>
            <w:hideMark/>
          </w:tcPr>
          <w:p w14:paraId="315BBF1C" w14:textId="77777777" w:rsidR="004967E3" w:rsidRPr="00E20480" w:rsidRDefault="004967E3" w:rsidP="004967E3">
            <w:pPr>
              <w:spacing w:after="0" w:line="240" w:lineRule="auto"/>
              <w:contextualSpacing/>
              <w:jc w:val="center"/>
              <w:rPr>
                <w:rFonts w:eastAsia="Times New Roman" w:cs="Times New Roman"/>
                <w:b/>
                <w:sz w:val="18"/>
                <w:szCs w:val="18"/>
                <w:lang w:eastAsia="sk-SK"/>
              </w:rPr>
            </w:pPr>
            <w:r w:rsidRPr="00E20480">
              <w:rPr>
                <w:rFonts w:eastAsia="Times New Roman" w:cs="Times New Roman"/>
                <w:b/>
                <w:sz w:val="18"/>
                <w:szCs w:val="18"/>
                <w:lang w:eastAsia="sk-SK"/>
              </w:rPr>
              <w:t>2</w:t>
            </w:r>
          </w:p>
        </w:tc>
        <w:tc>
          <w:tcPr>
            <w:tcW w:w="960" w:type="dxa"/>
            <w:tcBorders>
              <w:top w:val="nil"/>
              <w:left w:val="nil"/>
              <w:bottom w:val="single" w:sz="8" w:space="0" w:color="auto"/>
              <w:right w:val="nil"/>
            </w:tcBorders>
            <w:shd w:val="pct25" w:color="auto" w:fill="auto"/>
            <w:vAlign w:val="center"/>
            <w:hideMark/>
          </w:tcPr>
          <w:p w14:paraId="27BF724F" w14:textId="77777777" w:rsidR="004967E3" w:rsidRPr="00E20480" w:rsidRDefault="004967E3" w:rsidP="004967E3">
            <w:pPr>
              <w:spacing w:after="0" w:line="240" w:lineRule="auto"/>
              <w:contextualSpacing/>
              <w:jc w:val="center"/>
              <w:rPr>
                <w:rFonts w:eastAsia="Times New Roman" w:cs="Times New Roman"/>
                <w:b/>
                <w:sz w:val="18"/>
                <w:szCs w:val="18"/>
                <w:lang w:eastAsia="sk-SK"/>
              </w:rPr>
            </w:pPr>
            <w:r w:rsidRPr="00E20480">
              <w:rPr>
                <w:rFonts w:eastAsia="Times New Roman" w:cs="Times New Roman"/>
                <w:b/>
                <w:sz w:val="18"/>
                <w:szCs w:val="18"/>
                <w:lang w:eastAsia="sk-SK"/>
              </w:rPr>
              <w:t>3</w:t>
            </w:r>
          </w:p>
        </w:tc>
        <w:tc>
          <w:tcPr>
            <w:tcW w:w="1025" w:type="dxa"/>
            <w:tcBorders>
              <w:top w:val="nil"/>
              <w:left w:val="nil"/>
              <w:bottom w:val="single" w:sz="8" w:space="0" w:color="auto"/>
              <w:right w:val="nil"/>
            </w:tcBorders>
            <w:shd w:val="pct25" w:color="auto" w:fill="auto"/>
            <w:vAlign w:val="center"/>
            <w:hideMark/>
          </w:tcPr>
          <w:p w14:paraId="76911211" w14:textId="77777777" w:rsidR="004967E3" w:rsidRPr="00E20480" w:rsidRDefault="004967E3" w:rsidP="004967E3">
            <w:pPr>
              <w:spacing w:after="0" w:line="240" w:lineRule="auto"/>
              <w:contextualSpacing/>
              <w:jc w:val="center"/>
              <w:rPr>
                <w:rFonts w:eastAsia="Times New Roman" w:cs="Times New Roman"/>
                <w:b/>
                <w:sz w:val="18"/>
                <w:szCs w:val="18"/>
                <w:lang w:eastAsia="sk-SK"/>
              </w:rPr>
            </w:pPr>
            <w:r w:rsidRPr="00E20480">
              <w:rPr>
                <w:rFonts w:eastAsia="Times New Roman" w:cs="Times New Roman"/>
                <w:b/>
                <w:sz w:val="18"/>
                <w:szCs w:val="18"/>
                <w:lang w:eastAsia="sk-SK"/>
              </w:rPr>
              <w:t>4</w:t>
            </w:r>
          </w:p>
        </w:tc>
        <w:tc>
          <w:tcPr>
            <w:tcW w:w="850" w:type="dxa"/>
            <w:tcBorders>
              <w:top w:val="nil"/>
              <w:left w:val="nil"/>
              <w:bottom w:val="single" w:sz="8" w:space="0" w:color="auto"/>
              <w:right w:val="nil"/>
            </w:tcBorders>
            <w:shd w:val="pct25" w:color="auto" w:fill="auto"/>
            <w:vAlign w:val="center"/>
            <w:hideMark/>
          </w:tcPr>
          <w:p w14:paraId="366F206B" w14:textId="77777777" w:rsidR="004967E3" w:rsidRPr="00E20480" w:rsidRDefault="004967E3" w:rsidP="004967E3">
            <w:pPr>
              <w:spacing w:after="0" w:line="240" w:lineRule="auto"/>
              <w:contextualSpacing/>
              <w:jc w:val="center"/>
              <w:rPr>
                <w:rFonts w:eastAsia="Times New Roman" w:cs="Times New Roman"/>
                <w:b/>
                <w:sz w:val="18"/>
                <w:szCs w:val="18"/>
                <w:lang w:eastAsia="sk-SK"/>
              </w:rPr>
            </w:pPr>
            <w:r w:rsidRPr="00E20480">
              <w:rPr>
                <w:rFonts w:eastAsia="Times New Roman" w:cs="Times New Roman"/>
                <w:b/>
                <w:sz w:val="18"/>
                <w:szCs w:val="18"/>
                <w:lang w:eastAsia="sk-SK"/>
              </w:rPr>
              <w:t>5=4-3</w:t>
            </w:r>
          </w:p>
        </w:tc>
        <w:tc>
          <w:tcPr>
            <w:tcW w:w="850" w:type="dxa"/>
            <w:tcBorders>
              <w:top w:val="nil"/>
              <w:left w:val="nil"/>
              <w:bottom w:val="single" w:sz="8" w:space="0" w:color="auto"/>
              <w:right w:val="nil"/>
            </w:tcBorders>
            <w:shd w:val="pct25" w:color="auto" w:fill="auto"/>
            <w:vAlign w:val="center"/>
            <w:hideMark/>
          </w:tcPr>
          <w:p w14:paraId="603B87A7" w14:textId="77777777" w:rsidR="004967E3" w:rsidRPr="00E20480" w:rsidRDefault="004967E3" w:rsidP="004967E3">
            <w:pPr>
              <w:spacing w:after="0" w:line="240" w:lineRule="auto"/>
              <w:contextualSpacing/>
              <w:jc w:val="center"/>
              <w:rPr>
                <w:rFonts w:eastAsia="Times New Roman" w:cs="Times New Roman"/>
                <w:b/>
                <w:sz w:val="18"/>
                <w:szCs w:val="18"/>
                <w:lang w:eastAsia="sk-SK"/>
              </w:rPr>
            </w:pPr>
            <w:r w:rsidRPr="00E20480">
              <w:rPr>
                <w:rFonts w:eastAsia="Times New Roman" w:cs="Times New Roman"/>
                <w:b/>
                <w:sz w:val="18"/>
                <w:szCs w:val="18"/>
                <w:lang w:eastAsia="sk-SK"/>
              </w:rPr>
              <w:t>6=4-3</w:t>
            </w:r>
          </w:p>
        </w:tc>
      </w:tr>
      <w:tr w:rsidR="004967E3" w:rsidRPr="00E20480" w14:paraId="6BC5EEFE" w14:textId="77777777" w:rsidTr="00E20480">
        <w:trPr>
          <w:trHeight w:val="330"/>
        </w:trPr>
        <w:tc>
          <w:tcPr>
            <w:tcW w:w="3054" w:type="dxa"/>
            <w:tcBorders>
              <w:top w:val="nil"/>
              <w:left w:val="nil"/>
              <w:bottom w:val="nil"/>
              <w:right w:val="nil"/>
            </w:tcBorders>
            <w:shd w:val="clear" w:color="auto" w:fill="auto"/>
            <w:noWrap/>
            <w:vAlign w:val="center"/>
            <w:hideMark/>
          </w:tcPr>
          <w:p w14:paraId="55FFD88E" w14:textId="77777777" w:rsidR="004967E3" w:rsidRPr="00E20480" w:rsidRDefault="004967E3" w:rsidP="004967E3">
            <w:pPr>
              <w:spacing w:after="0" w:line="240" w:lineRule="auto"/>
              <w:contextualSpacing/>
              <w:jc w:val="left"/>
              <w:rPr>
                <w:rFonts w:eastAsia="Times New Roman" w:cs="Times New Roman"/>
                <w:b/>
                <w:color w:val="000000"/>
                <w:sz w:val="18"/>
                <w:szCs w:val="18"/>
                <w:lang w:eastAsia="sk-SK"/>
              </w:rPr>
            </w:pPr>
            <w:r w:rsidRPr="00E20480">
              <w:rPr>
                <w:rFonts w:eastAsia="Times New Roman" w:cs="Times New Roman"/>
                <w:b/>
                <w:color w:val="000000"/>
                <w:sz w:val="18"/>
                <w:szCs w:val="18"/>
                <w:lang w:eastAsia="sk-SK"/>
              </w:rPr>
              <w:t>Dane za tovary a služby</w:t>
            </w:r>
          </w:p>
        </w:tc>
        <w:tc>
          <w:tcPr>
            <w:tcW w:w="1134" w:type="dxa"/>
            <w:tcBorders>
              <w:top w:val="nil"/>
              <w:left w:val="nil"/>
              <w:bottom w:val="nil"/>
              <w:right w:val="nil"/>
            </w:tcBorders>
            <w:shd w:val="clear" w:color="auto" w:fill="auto"/>
            <w:noWrap/>
            <w:vAlign w:val="center"/>
            <w:hideMark/>
          </w:tcPr>
          <w:p w14:paraId="5323A689" w14:textId="77777777" w:rsidR="004967E3" w:rsidRPr="00E20480" w:rsidRDefault="004967E3" w:rsidP="004967E3">
            <w:pPr>
              <w:spacing w:after="0" w:line="240" w:lineRule="auto"/>
              <w:contextualSpacing/>
              <w:jc w:val="right"/>
              <w:rPr>
                <w:rFonts w:eastAsia="Times New Roman" w:cs="Times New Roman"/>
                <w:b/>
                <w:color w:val="FF0000"/>
                <w:sz w:val="18"/>
                <w:szCs w:val="18"/>
                <w:lang w:eastAsia="sk-SK"/>
              </w:rPr>
            </w:pPr>
            <w:r w:rsidRPr="00E20480">
              <w:rPr>
                <w:rFonts w:eastAsia="Calibri" w:cs="Times New Roman"/>
                <w:b/>
                <w:color w:val="000000"/>
                <w:sz w:val="18"/>
                <w:szCs w:val="18"/>
              </w:rPr>
              <w:t>8 919 317</w:t>
            </w:r>
          </w:p>
        </w:tc>
        <w:tc>
          <w:tcPr>
            <w:tcW w:w="1134" w:type="dxa"/>
            <w:tcBorders>
              <w:top w:val="nil"/>
              <w:left w:val="nil"/>
              <w:bottom w:val="nil"/>
              <w:right w:val="nil"/>
            </w:tcBorders>
            <w:shd w:val="clear" w:color="auto" w:fill="auto"/>
            <w:noWrap/>
            <w:vAlign w:val="center"/>
            <w:hideMark/>
          </w:tcPr>
          <w:p w14:paraId="19B8C5A4" w14:textId="77777777" w:rsidR="004967E3" w:rsidRPr="00E20480" w:rsidRDefault="004967E3" w:rsidP="004967E3">
            <w:pPr>
              <w:spacing w:after="0" w:line="240" w:lineRule="auto"/>
              <w:contextualSpacing/>
              <w:jc w:val="right"/>
              <w:rPr>
                <w:rFonts w:eastAsia="Times New Roman" w:cs="Times New Roman"/>
                <w:b/>
                <w:color w:val="FF0000"/>
                <w:sz w:val="18"/>
                <w:szCs w:val="18"/>
                <w:lang w:eastAsia="sk-SK"/>
              </w:rPr>
            </w:pPr>
            <w:r w:rsidRPr="00E20480">
              <w:rPr>
                <w:rFonts w:eastAsia="Calibri" w:cs="Times New Roman"/>
                <w:b/>
                <w:color w:val="000000"/>
                <w:sz w:val="18"/>
                <w:szCs w:val="18"/>
              </w:rPr>
              <w:t>9 302 808</w:t>
            </w:r>
          </w:p>
        </w:tc>
        <w:tc>
          <w:tcPr>
            <w:tcW w:w="960" w:type="dxa"/>
            <w:tcBorders>
              <w:top w:val="nil"/>
              <w:left w:val="nil"/>
              <w:bottom w:val="nil"/>
              <w:right w:val="nil"/>
            </w:tcBorders>
            <w:shd w:val="clear" w:color="000000" w:fill="FFFFFF"/>
            <w:noWrap/>
            <w:vAlign w:val="center"/>
          </w:tcPr>
          <w:p w14:paraId="6082DF52" w14:textId="77777777" w:rsidR="004967E3" w:rsidRPr="00E20480" w:rsidRDefault="004967E3" w:rsidP="004967E3">
            <w:pPr>
              <w:spacing w:after="0" w:line="240" w:lineRule="auto"/>
              <w:contextualSpacing/>
              <w:jc w:val="right"/>
              <w:rPr>
                <w:rFonts w:eastAsia="Times New Roman" w:cs="Times New Roman"/>
                <w:b/>
                <w:color w:val="FF0000"/>
                <w:sz w:val="18"/>
                <w:szCs w:val="18"/>
                <w:lang w:eastAsia="sk-SK"/>
              </w:rPr>
            </w:pPr>
            <w:r w:rsidRPr="00E20480">
              <w:rPr>
                <w:rFonts w:eastAsia="Calibri" w:cs="Times New Roman"/>
                <w:b/>
                <w:sz w:val="18"/>
                <w:szCs w:val="18"/>
              </w:rPr>
              <w:t>8 778 877</w:t>
            </w:r>
          </w:p>
        </w:tc>
        <w:tc>
          <w:tcPr>
            <w:tcW w:w="1025" w:type="dxa"/>
            <w:tcBorders>
              <w:top w:val="single" w:sz="8" w:space="0" w:color="auto"/>
              <w:left w:val="nil"/>
              <w:bottom w:val="nil"/>
              <w:right w:val="nil"/>
            </w:tcBorders>
            <w:shd w:val="clear" w:color="auto" w:fill="D9D9D9" w:themeFill="background1" w:themeFillShade="D9"/>
            <w:noWrap/>
            <w:vAlign w:val="center"/>
          </w:tcPr>
          <w:p w14:paraId="17BE3637" w14:textId="77777777" w:rsidR="004967E3" w:rsidRPr="00E20480" w:rsidRDefault="004967E3" w:rsidP="004967E3">
            <w:pPr>
              <w:spacing w:after="0" w:line="240" w:lineRule="auto"/>
              <w:contextualSpacing/>
              <w:jc w:val="right"/>
              <w:rPr>
                <w:rFonts w:eastAsia="Times New Roman" w:cs="Times New Roman"/>
                <w:b/>
                <w:color w:val="FF0000"/>
                <w:sz w:val="18"/>
                <w:szCs w:val="18"/>
                <w:lang w:eastAsia="sk-SK"/>
              </w:rPr>
            </w:pPr>
            <w:r w:rsidRPr="00E20480">
              <w:rPr>
                <w:rFonts w:eastAsia="Calibri" w:cs="Times New Roman"/>
                <w:b/>
                <w:sz w:val="18"/>
                <w:szCs w:val="18"/>
              </w:rPr>
              <w:t>9 268 251</w:t>
            </w:r>
          </w:p>
        </w:tc>
        <w:tc>
          <w:tcPr>
            <w:tcW w:w="850" w:type="dxa"/>
            <w:tcBorders>
              <w:top w:val="nil"/>
              <w:left w:val="nil"/>
              <w:bottom w:val="nil"/>
              <w:right w:val="nil"/>
            </w:tcBorders>
            <w:shd w:val="clear" w:color="000000" w:fill="FFFFFF"/>
            <w:vAlign w:val="center"/>
          </w:tcPr>
          <w:p w14:paraId="7732A542" w14:textId="77777777" w:rsidR="004967E3" w:rsidRPr="00E20480" w:rsidRDefault="004967E3" w:rsidP="004967E3">
            <w:pPr>
              <w:spacing w:after="0" w:line="240" w:lineRule="auto"/>
              <w:contextualSpacing/>
              <w:jc w:val="right"/>
              <w:rPr>
                <w:rFonts w:eastAsia="Times New Roman" w:cs="Times New Roman"/>
                <w:b/>
                <w:color w:val="FF0000"/>
                <w:sz w:val="18"/>
                <w:szCs w:val="18"/>
                <w:lang w:eastAsia="sk-SK"/>
              </w:rPr>
            </w:pPr>
            <w:r w:rsidRPr="00E20480">
              <w:rPr>
                <w:rFonts w:eastAsia="Calibri" w:cs="Times New Roman"/>
                <w:b/>
                <w:sz w:val="18"/>
                <w:szCs w:val="18"/>
              </w:rPr>
              <w:t>489 374</w:t>
            </w:r>
          </w:p>
        </w:tc>
        <w:tc>
          <w:tcPr>
            <w:tcW w:w="850" w:type="dxa"/>
            <w:tcBorders>
              <w:top w:val="nil"/>
              <w:left w:val="nil"/>
              <w:bottom w:val="nil"/>
              <w:right w:val="nil"/>
            </w:tcBorders>
            <w:shd w:val="clear" w:color="000000" w:fill="FFFFFF"/>
            <w:vAlign w:val="center"/>
          </w:tcPr>
          <w:p w14:paraId="6CFAC78A" w14:textId="77777777" w:rsidR="004967E3" w:rsidRPr="00E20480" w:rsidRDefault="004967E3" w:rsidP="004967E3">
            <w:pPr>
              <w:spacing w:after="0" w:line="240" w:lineRule="auto"/>
              <w:contextualSpacing/>
              <w:jc w:val="right"/>
              <w:rPr>
                <w:rFonts w:eastAsia="Times New Roman" w:cs="Times New Roman"/>
                <w:b/>
                <w:color w:val="FF0000"/>
                <w:sz w:val="18"/>
                <w:szCs w:val="18"/>
                <w:lang w:eastAsia="sk-SK"/>
              </w:rPr>
            </w:pPr>
            <w:r w:rsidRPr="00E20480">
              <w:rPr>
                <w:rFonts w:eastAsia="Calibri" w:cs="Times New Roman"/>
                <w:b/>
                <w:color w:val="000000"/>
                <w:sz w:val="18"/>
                <w:szCs w:val="18"/>
              </w:rPr>
              <w:t>5,6</w:t>
            </w:r>
          </w:p>
        </w:tc>
      </w:tr>
      <w:tr w:rsidR="004967E3" w:rsidRPr="00E20480" w14:paraId="7CE3B07C" w14:textId="77777777" w:rsidTr="00E20480">
        <w:trPr>
          <w:trHeight w:val="330"/>
        </w:trPr>
        <w:tc>
          <w:tcPr>
            <w:tcW w:w="3054" w:type="dxa"/>
            <w:tcBorders>
              <w:top w:val="nil"/>
              <w:left w:val="nil"/>
              <w:bottom w:val="nil"/>
              <w:right w:val="nil"/>
            </w:tcBorders>
            <w:shd w:val="clear" w:color="auto" w:fill="auto"/>
            <w:noWrap/>
            <w:vAlign w:val="center"/>
          </w:tcPr>
          <w:p w14:paraId="236E7BD7" w14:textId="77777777" w:rsidR="004967E3" w:rsidRPr="00E20480" w:rsidRDefault="004967E3" w:rsidP="004967E3">
            <w:pPr>
              <w:spacing w:after="0" w:line="240" w:lineRule="auto"/>
              <w:contextualSpacing/>
              <w:jc w:val="left"/>
              <w:rPr>
                <w:rFonts w:eastAsia="Times New Roman" w:cs="Times New Roman"/>
                <w:color w:val="000000"/>
                <w:sz w:val="18"/>
                <w:szCs w:val="18"/>
                <w:lang w:eastAsia="sk-SK"/>
              </w:rPr>
            </w:pPr>
            <w:r w:rsidRPr="00E20480">
              <w:rPr>
                <w:rFonts w:eastAsia="Times New Roman" w:cs="Times New Roman"/>
                <w:color w:val="000000"/>
                <w:sz w:val="18"/>
                <w:szCs w:val="18"/>
                <w:lang w:eastAsia="sk-SK"/>
              </w:rPr>
              <w:t xml:space="preserve">v tom: </w:t>
            </w:r>
          </w:p>
        </w:tc>
        <w:tc>
          <w:tcPr>
            <w:tcW w:w="1134" w:type="dxa"/>
            <w:tcBorders>
              <w:top w:val="nil"/>
              <w:left w:val="nil"/>
              <w:bottom w:val="nil"/>
              <w:right w:val="nil"/>
            </w:tcBorders>
            <w:shd w:val="clear" w:color="auto" w:fill="auto"/>
            <w:noWrap/>
            <w:vAlign w:val="center"/>
          </w:tcPr>
          <w:p w14:paraId="60919A6E" w14:textId="77777777" w:rsidR="004967E3" w:rsidRPr="00E20480" w:rsidRDefault="004967E3" w:rsidP="004967E3">
            <w:pPr>
              <w:spacing w:after="0" w:line="240" w:lineRule="auto"/>
              <w:contextualSpacing/>
              <w:jc w:val="right"/>
              <w:rPr>
                <w:rFonts w:eastAsia="Calibri" w:cs="Times New Roman"/>
                <w:color w:val="FF0000"/>
                <w:sz w:val="18"/>
                <w:szCs w:val="18"/>
              </w:rPr>
            </w:pPr>
          </w:p>
        </w:tc>
        <w:tc>
          <w:tcPr>
            <w:tcW w:w="1134" w:type="dxa"/>
            <w:tcBorders>
              <w:top w:val="nil"/>
              <w:left w:val="nil"/>
              <w:bottom w:val="nil"/>
              <w:right w:val="nil"/>
            </w:tcBorders>
            <w:shd w:val="clear" w:color="auto" w:fill="auto"/>
            <w:noWrap/>
            <w:vAlign w:val="center"/>
          </w:tcPr>
          <w:p w14:paraId="4CDE580F" w14:textId="77777777" w:rsidR="004967E3" w:rsidRPr="00E20480" w:rsidRDefault="004967E3" w:rsidP="004967E3">
            <w:pPr>
              <w:spacing w:after="0" w:line="240" w:lineRule="auto"/>
              <w:contextualSpacing/>
              <w:jc w:val="right"/>
              <w:rPr>
                <w:rFonts w:eastAsia="Calibri" w:cs="Times New Roman"/>
                <w:color w:val="FF0000"/>
                <w:sz w:val="18"/>
                <w:szCs w:val="18"/>
              </w:rPr>
            </w:pPr>
          </w:p>
        </w:tc>
        <w:tc>
          <w:tcPr>
            <w:tcW w:w="960" w:type="dxa"/>
            <w:tcBorders>
              <w:top w:val="nil"/>
              <w:left w:val="nil"/>
              <w:bottom w:val="nil"/>
              <w:right w:val="nil"/>
            </w:tcBorders>
            <w:shd w:val="clear" w:color="auto" w:fill="auto"/>
            <w:noWrap/>
            <w:vAlign w:val="center"/>
          </w:tcPr>
          <w:p w14:paraId="08E51916" w14:textId="77777777" w:rsidR="004967E3" w:rsidRPr="00E20480" w:rsidRDefault="004967E3" w:rsidP="004967E3">
            <w:pPr>
              <w:spacing w:after="0" w:line="240" w:lineRule="auto"/>
              <w:contextualSpacing/>
              <w:jc w:val="right"/>
              <w:rPr>
                <w:rFonts w:eastAsia="Calibri" w:cs="Times New Roman"/>
                <w:color w:val="FF0000"/>
                <w:sz w:val="18"/>
                <w:szCs w:val="18"/>
              </w:rPr>
            </w:pPr>
          </w:p>
        </w:tc>
        <w:tc>
          <w:tcPr>
            <w:tcW w:w="1025" w:type="dxa"/>
            <w:tcBorders>
              <w:top w:val="nil"/>
              <w:left w:val="nil"/>
              <w:bottom w:val="nil"/>
              <w:right w:val="nil"/>
            </w:tcBorders>
            <w:shd w:val="clear" w:color="auto" w:fill="D9D9D9" w:themeFill="background1" w:themeFillShade="D9"/>
            <w:noWrap/>
            <w:vAlign w:val="center"/>
          </w:tcPr>
          <w:p w14:paraId="5800081B" w14:textId="77777777" w:rsidR="004967E3" w:rsidRPr="00E20480" w:rsidRDefault="004967E3" w:rsidP="004967E3">
            <w:pPr>
              <w:spacing w:after="0" w:line="240" w:lineRule="auto"/>
              <w:contextualSpacing/>
              <w:jc w:val="right"/>
              <w:rPr>
                <w:rFonts w:eastAsia="Calibri" w:cs="Times New Roman"/>
                <w:color w:val="FF0000"/>
                <w:sz w:val="18"/>
                <w:szCs w:val="18"/>
              </w:rPr>
            </w:pPr>
          </w:p>
        </w:tc>
        <w:tc>
          <w:tcPr>
            <w:tcW w:w="850" w:type="dxa"/>
            <w:tcBorders>
              <w:top w:val="nil"/>
              <w:left w:val="nil"/>
              <w:bottom w:val="nil"/>
              <w:right w:val="nil"/>
            </w:tcBorders>
            <w:shd w:val="clear" w:color="auto" w:fill="auto"/>
            <w:noWrap/>
            <w:vAlign w:val="center"/>
          </w:tcPr>
          <w:p w14:paraId="1443C69B" w14:textId="77777777" w:rsidR="004967E3" w:rsidRPr="00E20480" w:rsidRDefault="004967E3" w:rsidP="004967E3">
            <w:pPr>
              <w:spacing w:after="0" w:line="240" w:lineRule="auto"/>
              <w:contextualSpacing/>
              <w:jc w:val="right"/>
              <w:rPr>
                <w:rFonts w:eastAsia="Calibri" w:cs="Times New Roman"/>
                <w:color w:val="FF0000"/>
                <w:sz w:val="18"/>
                <w:szCs w:val="18"/>
              </w:rPr>
            </w:pPr>
          </w:p>
        </w:tc>
        <w:tc>
          <w:tcPr>
            <w:tcW w:w="850" w:type="dxa"/>
            <w:tcBorders>
              <w:top w:val="nil"/>
              <w:left w:val="nil"/>
              <w:bottom w:val="nil"/>
              <w:right w:val="nil"/>
            </w:tcBorders>
            <w:shd w:val="clear" w:color="auto" w:fill="auto"/>
            <w:noWrap/>
            <w:vAlign w:val="center"/>
          </w:tcPr>
          <w:p w14:paraId="0726F723" w14:textId="77777777" w:rsidR="004967E3" w:rsidRPr="00E20480" w:rsidRDefault="004967E3" w:rsidP="004967E3">
            <w:pPr>
              <w:spacing w:after="0" w:line="240" w:lineRule="auto"/>
              <w:contextualSpacing/>
              <w:jc w:val="right"/>
              <w:rPr>
                <w:rFonts w:eastAsia="Calibri" w:cs="Times New Roman"/>
                <w:color w:val="FF0000"/>
                <w:sz w:val="18"/>
                <w:szCs w:val="18"/>
              </w:rPr>
            </w:pPr>
          </w:p>
        </w:tc>
      </w:tr>
      <w:tr w:rsidR="004967E3" w:rsidRPr="00E20480" w14:paraId="5E8607A7" w14:textId="77777777" w:rsidTr="00E20480">
        <w:trPr>
          <w:trHeight w:val="330"/>
        </w:trPr>
        <w:tc>
          <w:tcPr>
            <w:tcW w:w="3054" w:type="dxa"/>
            <w:tcBorders>
              <w:top w:val="nil"/>
              <w:left w:val="nil"/>
              <w:bottom w:val="nil"/>
              <w:right w:val="nil"/>
            </w:tcBorders>
            <w:shd w:val="clear" w:color="auto" w:fill="auto"/>
            <w:noWrap/>
            <w:vAlign w:val="center"/>
            <w:hideMark/>
          </w:tcPr>
          <w:p w14:paraId="45F67CC8" w14:textId="77777777" w:rsidR="004967E3" w:rsidRPr="00E20480" w:rsidRDefault="004967E3" w:rsidP="004967E3">
            <w:pPr>
              <w:spacing w:after="0" w:line="240" w:lineRule="auto"/>
              <w:contextualSpacing/>
              <w:jc w:val="left"/>
              <w:rPr>
                <w:rFonts w:eastAsia="Times New Roman" w:cs="Times New Roman"/>
                <w:color w:val="000000"/>
                <w:sz w:val="18"/>
                <w:szCs w:val="18"/>
                <w:lang w:eastAsia="sk-SK"/>
              </w:rPr>
            </w:pPr>
            <w:r w:rsidRPr="00E20480">
              <w:rPr>
                <w:rFonts w:eastAsia="Times New Roman" w:cs="Times New Roman"/>
                <w:i/>
                <w:color w:val="000000"/>
                <w:sz w:val="18"/>
                <w:szCs w:val="18"/>
                <w:lang w:eastAsia="sk-SK"/>
              </w:rPr>
              <w:t xml:space="preserve">     DPH</w:t>
            </w:r>
          </w:p>
        </w:tc>
        <w:tc>
          <w:tcPr>
            <w:tcW w:w="1134" w:type="dxa"/>
            <w:tcBorders>
              <w:top w:val="nil"/>
              <w:left w:val="nil"/>
              <w:bottom w:val="nil"/>
              <w:right w:val="nil"/>
            </w:tcBorders>
            <w:shd w:val="clear" w:color="auto" w:fill="auto"/>
            <w:noWrap/>
            <w:vAlign w:val="center"/>
            <w:hideMark/>
          </w:tcPr>
          <w:p w14:paraId="1C1DE8B0" w14:textId="77777777" w:rsidR="004967E3" w:rsidRPr="00E20480" w:rsidRDefault="004967E3" w:rsidP="004967E3">
            <w:pPr>
              <w:spacing w:after="0" w:line="240" w:lineRule="auto"/>
              <w:contextualSpacing/>
              <w:jc w:val="right"/>
              <w:rPr>
                <w:rFonts w:eastAsia="Times New Roman" w:cs="Times New Roman"/>
                <w:color w:val="FF0000"/>
                <w:sz w:val="18"/>
                <w:szCs w:val="18"/>
                <w:lang w:eastAsia="sk-SK"/>
              </w:rPr>
            </w:pPr>
            <w:r w:rsidRPr="00E20480">
              <w:rPr>
                <w:rFonts w:eastAsia="Calibri" w:cs="Times New Roman"/>
                <w:color w:val="000000"/>
                <w:sz w:val="18"/>
                <w:szCs w:val="18"/>
              </w:rPr>
              <w:t>6 412 426</w:t>
            </w:r>
          </w:p>
        </w:tc>
        <w:tc>
          <w:tcPr>
            <w:tcW w:w="1134" w:type="dxa"/>
            <w:tcBorders>
              <w:top w:val="nil"/>
              <w:left w:val="nil"/>
              <w:bottom w:val="nil"/>
              <w:right w:val="nil"/>
            </w:tcBorders>
            <w:shd w:val="clear" w:color="auto" w:fill="auto"/>
            <w:noWrap/>
            <w:vAlign w:val="center"/>
            <w:hideMark/>
          </w:tcPr>
          <w:p w14:paraId="42746E38" w14:textId="77777777" w:rsidR="004967E3" w:rsidRPr="00E20480" w:rsidRDefault="004967E3" w:rsidP="004967E3">
            <w:pPr>
              <w:spacing w:after="0" w:line="240" w:lineRule="auto"/>
              <w:contextualSpacing/>
              <w:jc w:val="right"/>
              <w:rPr>
                <w:rFonts w:eastAsia="Times New Roman" w:cs="Times New Roman"/>
                <w:color w:val="FF0000"/>
                <w:sz w:val="18"/>
                <w:szCs w:val="18"/>
                <w:lang w:eastAsia="sk-SK"/>
              </w:rPr>
            </w:pPr>
            <w:r w:rsidRPr="00E20480">
              <w:rPr>
                <w:rFonts w:eastAsia="Calibri" w:cs="Times New Roman"/>
                <w:color w:val="000000"/>
                <w:sz w:val="18"/>
                <w:szCs w:val="18"/>
              </w:rPr>
              <w:t>6 727 881</w:t>
            </w:r>
          </w:p>
        </w:tc>
        <w:tc>
          <w:tcPr>
            <w:tcW w:w="960" w:type="dxa"/>
            <w:tcBorders>
              <w:top w:val="nil"/>
              <w:left w:val="nil"/>
              <w:bottom w:val="nil"/>
              <w:right w:val="nil"/>
            </w:tcBorders>
            <w:shd w:val="clear" w:color="auto" w:fill="auto"/>
            <w:noWrap/>
            <w:vAlign w:val="center"/>
          </w:tcPr>
          <w:p w14:paraId="07B542B9" w14:textId="77777777" w:rsidR="004967E3" w:rsidRPr="00E20480" w:rsidRDefault="004967E3" w:rsidP="004967E3">
            <w:pPr>
              <w:spacing w:after="0" w:line="240" w:lineRule="auto"/>
              <w:contextualSpacing/>
              <w:jc w:val="right"/>
              <w:rPr>
                <w:rFonts w:eastAsia="Times New Roman" w:cs="Times New Roman"/>
                <w:color w:val="FF0000"/>
                <w:sz w:val="18"/>
                <w:szCs w:val="18"/>
                <w:lang w:eastAsia="sk-SK"/>
              </w:rPr>
            </w:pPr>
            <w:r w:rsidRPr="00E20480">
              <w:rPr>
                <w:rFonts w:eastAsia="Calibri" w:cs="Times New Roman"/>
                <w:sz w:val="18"/>
                <w:szCs w:val="18"/>
              </w:rPr>
              <w:t>6 361 454</w:t>
            </w:r>
          </w:p>
        </w:tc>
        <w:tc>
          <w:tcPr>
            <w:tcW w:w="1025" w:type="dxa"/>
            <w:tcBorders>
              <w:top w:val="nil"/>
              <w:left w:val="nil"/>
              <w:bottom w:val="nil"/>
              <w:right w:val="nil"/>
            </w:tcBorders>
            <w:shd w:val="clear" w:color="auto" w:fill="D9D9D9" w:themeFill="background1" w:themeFillShade="D9"/>
            <w:noWrap/>
            <w:vAlign w:val="center"/>
          </w:tcPr>
          <w:p w14:paraId="4FCD67A8" w14:textId="77777777" w:rsidR="004967E3" w:rsidRPr="00E20480" w:rsidRDefault="004967E3" w:rsidP="004967E3">
            <w:pPr>
              <w:spacing w:after="0" w:line="240" w:lineRule="auto"/>
              <w:contextualSpacing/>
              <w:jc w:val="right"/>
              <w:rPr>
                <w:rFonts w:eastAsia="Times New Roman" w:cs="Times New Roman"/>
                <w:color w:val="FF0000"/>
                <w:sz w:val="18"/>
                <w:szCs w:val="18"/>
                <w:lang w:eastAsia="sk-SK"/>
              </w:rPr>
            </w:pPr>
            <w:r w:rsidRPr="00E20480">
              <w:rPr>
                <w:rFonts w:eastAsia="Calibri" w:cs="Times New Roman"/>
                <w:sz w:val="18"/>
                <w:szCs w:val="18"/>
              </w:rPr>
              <w:t>6 791 757</w:t>
            </w:r>
          </w:p>
        </w:tc>
        <w:tc>
          <w:tcPr>
            <w:tcW w:w="850" w:type="dxa"/>
            <w:tcBorders>
              <w:top w:val="nil"/>
              <w:left w:val="nil"/>
              <w:bottom w:val="nil"/>
              <w:right w:val="nil"/>
            </w:tcBorders>
            <w:shd w:val="clear" w:color="auto" w:fill="auto"/>
            <w:noWrap/>
            <w:vAlign w:val="center"/>
          </w:tcPr>
          <w:p w14:paraId="160E7791" w14:textId="77777777" w:rsidR="004967E3" w:rsidRPr="00E20480" w:rsidRDefault="004967E3" w:rsidP="004967E3">
            <w:pPr>
              <w:spacing w:after="0" w:line="240" w:lineRule="auto"/>
              <w:contextualSpacing/>
              <w:jc w:val="right"/>
              <w:rPr>
                <w:rFonts w:eastAsia="Times New Roman" w:cs="Times New Roman"/>
                <w:color w:val="FF0000"/>
                <w:sz w:val="18"/>
                <w:szCs w:val="18"/>
                <w:lang w:eastAsia="sk-SK"/>
              </w:rPr>
            </w:pPr>
            <w:r w:rsidRPr="00E20480">
              <w:rPr>
                <w:rFonts w:eastAsia="Calibri" w:cs="Times New Roman"/>
                <w:sz w:val="18"/>
                <w:szCs w:val="18"/>
              </w:rPr>
              <w:t>430 303</w:t>
            </w:r>
          </w:p>
        </w:tc>
        <w:tc>
          <w:tcPr>
            <w:tcW w:w="850" w:type="dxa"/>
            <w:tcBorders>
              <w:top w:val="nil"/>
              <w:left w:val="nil"/>
              <w:bottom w:val="nil"/>
              <w:right w:val="nil"/>
            </w:tcBorders>
            <w:shd w:val="clear" w:color="auto" w:fill="auto"/>
            <w:noWrap/>
            <w:vAlign w:val="center"/>
          </w:tcPr>
          <w:p w14:paraId="440DBFDB" w14:textId="77777777" w:rsidR="004967E3" w:rsidRPr="00E20480" w:rsidRDefault="004967E3" w:rsidP="004967E3">
            <w:pPr>
              <w:spacing w:after="0" w:line="240" w:lineRule="auto"/>
              <w:contextualSpacing/>
              <w:jc w:val="right"/>
              <w:rPr>
                <w:rFonts w:eastAsia="Times New Roman" w:cs="Times New Roman"/>
                <w:color w:val="FF0000"/>
                <w:sz w:val="18"/>
                <w:szCs w:val="18"/>
                <w:lang w:eastAsia="sk-SK"/>
              </w:rPr>
            </w:pPr>
            <w:r w:rsidRPr="00E20480">
              <w:rPr>
                <w:rFonts w:eastAsia="Calibri" w:cs="Times New Roman"/>
                <w:color w:val="000000"/>
                <w:sz w:val="18"/>
                <w:szCs w:val="18"/>
              </w:rPr>
              <w:t>6,8</w:t>
            </w:r>
          </w:p>
        </w:tc>
      </w:tr>
      <w:tr w:rsidR="004967E3" w:rsidRPr="00E20480" w14:paraId="311B9B4A" w14:textId="77777777" w:rsidTr="00E20480">
        <w:trPr>
          <w:trHeight w:val="330"/>
        </w:trPr>
        <w:tc>
          <w:tcPr>
            <w:tcW w:w="3054" w:type="dxa"/>
            <w:tcBorders>
              <w:top w:val="nil"/>
              <w:left w:val="nil"/>
              <w:bottom w:val="nil"/>
              <w:right w:val="nil"/>
            </w:tcBorders>
            <w:shd w:val="clear" w:color="auto" w:fill="auto"/>
            <w:noWrap/>
            <w:vAlign w:val="center"/>
            <w:hideMark/>
          </w:tcPr>
          <w:p w14:paraId="56E07C5D" w14:textId="77777777" w:rsidR="004967E3" w:rsidRPr="00E20480" w:rsidRDefault="004967E3" w:rsidP="004967E3">
            <w:pPr>
              <w:spacing w:after="0" w:line="240" w:lineRule="auto"/>
              <w:contextualSpacing/>
              <w:jc w:val="left"/>
              <w:rPr>
                <w:rFonts w:eastAsia="Times New Roman" w:cs="Times New Roman"/>
                <w:i/>
                <w:color w:val="000000"/>
                <w:sz w:val="18"/>
                <w:szCs w:val="18"/>
                <w:lang w:eastAsia="sk-SK"/>
              </w:rPr>
            </w:pPr>
            <w:r w:rsidRPr="00E20480">
              <w:rPr>
                <w:rFonts w:eastAsia="Times New Roman" w:cs="Times New Roman"/>
                <w:i/>
                <w:color w:val="000000"/>
                <w:sz w:val="18"/>
                <w:szCs w:val="18"/>
                <w:lang w:eastAsia="sk-SK"/>
              </w:rPr>
              <w:t xml:space="preserve">     spotrebné dane</w:t>
            </w:r>
          </w:p>
        </w:tc>
        <w:tc>
          <w:tcPr>
            <w:tcW w:w="1134" w:type="dxa"/>
            <w:tcBorders>
              <w:top w:val="nil"/>
              <w:left w:val="nil"/>
              <w:bottom w:val="nil"/>
              <w:right w:val="nil"/>
            </w:tcBorders>
            <w:shd w:val="clear" w:color="auto" w:fill="auto"/>
            <w:noWrap/>
            <w:vAlign w:val="center"/>
            <w:hideMark/>
          </w:tcPr>
          <w:p w14:paraId="7D0FEECC" w14:textId="77777777" w:rsidR="004967E3" w:rsidRPr="00E20480" w:rsidRDefault="004967E3" w:rsidP="004967E3">
            <w:pPr>
              <w:spacing w:after="0" w:line="240" w:lineRule="auto"/>
              <w:contextualSpacing/>
              <w:jc w:val="right"/>
              <w:rPr>
                <w:rFonts w:eastAsia="Times New Roman" w:cs="Times New Roman"/>
                <w:i/>
                <w:color w:val="FF0000"/>
                <w:sz w:val="18"/>
                <w:szCs w:val="18"/>
                <w:lang w:eastAsia="sk-SK"/>
              </w:rPr>
            </w:pPr>
            <w:r w:rsidRPr="00E20480">
              <w:rPr>
                <w:rFonts w:eastAsia="Calibri" w:cs="Times New Roman"/>
                <w:color w:val="000000"/>
                <w:sz w:val="18"/>
                <w:szCs w:val="18"/>
              </w:rPr>
              <w:t>2 323 521</w:t>
            </w:r>
          </w:p>
        </w:tc>
        <w:tc>
          <w:tcPr>
            <w:tcW w:w="1134" w:type="dxa"/>
            <w:tcBorders>
              <w:top w:val="nil"/>
              <w:left w:val="nil"/>
              <w:bottom w:val="nil"/>
              <w:right w:val="nil"/>
            </w:tcBorders>
            <w:shd w:val="clear" w:color="auto" w:fill="auto"/>
            <w:noWrap/>
            <w:vAlign w:val="center"/>
            <w:hideMark/>
          </w:tcPr>
          <w:p w14:paraId="67490157" w14:textId="77777777" w:rsidR="004967E3" w:rsidRPr="00E20480" w:rsidRDefault="004967E3" w:rsidP="004967E3">
            <w:pPr>
              <w:spacing w:after="0" w:line="240" w:lineRule="auto"/>
              <w:contextualSpacing/>
              <w:jc w:val="right"/>
              <w:rPr>
                <w:rFonts w:eastAsia="Times New Roman" w:cs="Times New Roman"/>
                <w:i/>
                <w:color w:val="FF0000"/>
                <w:sz w:val="18"/>
                <w:szCs w:val="18"/>
                <w:lang w:eastAsia="sk-SK"/>
              </w:rPr>
            </w:pPr>
            <w:r w:rsidRPr="00E20480">
              <w:rPr>
                <w:rFonts w:eastAsia="Calibri" w:cs="Times New Roman"/>
                <w:color w:val="000000"/>
                <w:sz w:val="18"/>
                <w:szCs w:val="18"/>
              </w:rPr>
              <w:t>2 357 747</w:t>
            </w:r>
          </w:p>
        </w:tc>
        <w:tc>
          <w:tcPr>
            <w:tcW w:w="960" w:type="dxa"/>
            <w:tcBorders>
              <w:top w:val="nil"/>
              <w:left w:val="nil"/>
              <w:bottom w:val="nil"/>
              <w:right w:val="nil"/>
            </w:tcBorders>
            <w:shd w:val="clear" w:color="auto" w:fill="auto"/>
            <w:noWrap/>
            <w:vAlign w:val="center"/>
          </w:tcPr>
          <w:p w14:paraId="76C562E9" w14:textId="77777777" w:rsidR="004967E3" w:rsidRPr="00E20480" w:rsidRDefault="004967E3" w:rsidP="004967E3">
            <w:pPr>
              <w:spacing w:after="0" w:line="240" w:lineRule="auto"/>
              <w:contextualSpacing/>
              <w:jc w:val="right"/>
              <w:rPr>
                <w:rFonts w:eastAsia="Times New Roman" w:cs="Times New Roman"/>
                <w:i/>
                <w:color w:val="FF0000"/>
                <w:sz w:val="18"/>
                <w:szCs w:val="18"/>
                <w:lang w:eastAsia="sk-SK"/>
              </w:rPr>
            </w:pPr>
            <w:r w:rsidRPr="00E20480">
              <w:rPr>
                <w:rFonts w:eastAsia="Calibri" w:cs="Times New Roman"/>
                <w:sz w:val="18"/>
                <w:szCs w:val="18"/>
              </w:rPr>
              <w:t>2 204 065</w:t>
            </w:r>
          </w:p>
        </w:tc>
        <w:tc>
          <w:tcPr>
            <w:tcW w:w="1025" w:type="dxa"/>
            <w:tcBorders>
              <w:top w:val="nil"/>
              <w:left w:val="nil"/>
              <w:bottom w:val="nil"/>
              <w:right w:val="nil"/>
            </w:tcBorders>
            <w:shd w:val="clear" w:color="auto" w:fill="D9D9D9" w:themeFill="background1" w:themeFillShade="D9"/>
            <w:noWrap/>
            <w:vAlign w:val="center"/>
          </w:tcPr>
          <w:p w14:paraId="0D706B99" w14:textId="77777777" w:rsidR="004967E3" w:rsidRPr="00E20480" w:rsidRDefault="004967E3" w:rsidP="004967E3">
            <w:pPr>
              <w:spacing w:after="0" w:line="240" w:lineRule="auto"/>
              <w:contextualSpacing/>
              <w:jc w:val="right"/>
              <w:rPr>
                <w:rFonts w:eastAsia="Times New Roman" w:cs="Times New Roman"/>
                <w:i/>
                <w:color w:val="FF0000"/>
                <w:sz w:val="18"/>
                <w:szCs w:val="18"/>
                <w:lang w:eastAsia="sk-SK"/>
              </w:rPr>
            </w:pPr>
            <w:r w:rsidRPr="00E20480">
              <w:rPr>
                <w:rFonts w:eastAsia="Calibri" w:cs="Times New Roman"/>
                <w:sz w:val="18"/>
                <w:szCs w:val="18"/>
              </w:rPr>
              <w:t>2 257 738</w:t>
            </w:r>
          </w:p>
        </w:tc>
        <w:tc>
          <w:tcPr>
            <w:tcW w:w="850" w:type="dxa"/>
            <w:tcBorders>
              <w:top w:val="nil"/>
              <w:left w:val="nil"/>
              <w:bottom w:val="nil"/>
              <w:right w:val="nil"/>
            </w:tcBorders>
            <w:shd w:val="clear" w:color="000000" w:fill="FFFFFF"/>
            <w:vAlign w:val="center"/>
          </w:tcPr>
          <w:p w14:paraId="2CDC963D" w14:textId="77777777" w:rsidR="004967E3" w:rsidRPr="00E20480" w:rsidRDefault="004967E3" w:rsidP="004967E3">
            <w:pPr>
              <w:spacing w:after="0" w:line="240" w:lineRule="auto"/>
              <w:contextualSpacing/>
              <w:jc w:val="right"/>
              <w:rPr>
                <w:rFonts w:eastAsia="Times New Roman" w:cs="Times New Roman"/>
                <w:i/>
                <w:color w:val="FF0000"/>
                <w:sz w:val="18"/>
                <w:szCs w:val="18"/>
                <w:lang w:eastAsia="sk-SK"/>
              </w:rPr>
            </w:pPr>
            <w:r w:rsidRPr="00E20480">
              <w:rPr>
                <w:rFonts w:eastAsia="Calibri" w:cs="Times New Roman"/>
                <w:sz w:val="18"/>
                <w:szCs w:val="18"/>
              </w:rPr>
              <w:t>53 673</w:t>
            </w:r>
          </w:p>
        </w:tc>
        <w:tc>
          <w:tcPr>
            <w:tcW w:w="850" w:type="dxa"/>
            <w:tcBorders>
              <w:top w:val="nil"/>
              <w:left w:val="nil"/>
              <w:bottom w:val="nil"/>
              <w:right w:val="nil"/>
            </w:tcBorders>
            <w:shd w:val="clear" w:color="000000" w:fill="FFFFFF"/>
            <w:vAlign w:val="center"/>
          </w:tcPr>
          <w:p w14:paraId="257C6AD8" w14:textId="77777777" w:rsidR="004967E3" w:rsidRPr="00E20480" w:rsidRDefault="004967E3" w:rsidP="004967E3">
            <w:pPr>
              <w:spacing w:after="0" w:line="240" w:lineRule="auto"/>
              <w:contextualSpacing/>
              <w:jc w:val="right"/>
              <w:rPr>
                <w:rFonts w:eastAsia="Times New Roman" w:cs="Times New Roman"/>
                <w:i/>
                <w:color w:val="FF0000"/>
                <w:sz w:val="18"/>
                <w:szCs w:val="18"/>
                <w:lang w:eastAsia="sk-SK"/>
              </w:rPr>
            </w:pPr>
            <w:r w:rsidRPr="00E20480">
              <w:rPr>
                <w:rFonts w:eastAsia="Calibri" w:cs="Times New Roman"/>
                <w:color w:val="000000"/>
                <w:sz w:val="18"/>
                <w:szCs w:val="18"/>
              </w:rPr>
              <w:t>2,4</w:t>
            </w:r>
          </w:p>
        </w:tc>
      </w:tr>
      <w:tr w:rsidR="004967E3" w:rsidRPr="00E20480" w14:paraId="27A0C406" w14:textId="77777777" w:rsidTr="00E20480">
        <w:trPr>
          <w:trHeight w:val="330"/>
        </w:trPr>
        <w:tc>
          <w:tcPr>
            <w:tcW w:w="3054" w:type="dxa"/>
            <w:tcBorders>
              <w:top w:val="nil"/>
              <w:left w:val="nil"/>
              <w:bottom w:val="nil"/>
              <w:right w:val="nil"/>
            </w:tcBorders>
            <w:shd w:val="clear" w:color="auto" w:fill="auto"/>
            <w:noWrap/>
            <w:vAlign w:val="center"/>
            <w:hideMark/>
          </w:tcPr>
          <w:p w14:paraId="0B212FEA" w14:textId="664D44AE" w:rsidR="004967E3" w:rsidRPr="00E20480" w:rsidRDefault="004967E3" w:rsidP="0078085C">
            <w:pPr>
              <w:spacing w:after="0" w:line="240" w:lineRule="auto"/>
              <w:contextualSpacing/>
              <w:jc w:val="left"/>
              <w:rPr>
                <w:rFonts w:eastAsia="Times New Roman" w:cs="Times New Roman"/>
                <w:i/>
                <w:color w:val="000000"/>
                <w:sz w:val="18"/>
                <w:szCs w:val="18"/>
                <w:lang w:eastAsia="sk-SK"/>
              </w:rPr>
            </w:pPr>
            <w:r w:rsidRPr="00E20480">
              <w:rPr>
                <w:rFonts w:eastAsia="Times New Roman" w:cs="Times New Roman"/>
                <w:i/>
                <w:color w:val="000000"/>
                <w:sz w:val="18"/>
                <w:szCs w:val="18"/>
                <w:lang w:eastAsia="sk-SK"/>
              </w:rPr>
              <w:t xml:space="preserve">     dane z používania. tovarov a z </w:t>
            </w:r>
            <w:r w:rsidR="000E1594" w:rsidRPr="00E20480">
              <w:rPr>
                <w:rFonts w:eastAsia="Times New Roman" w:cs="Times New Roman"/>
                <w:i/>
                <w:color w:val="000000"/>
                <w:sz w:val="18"/>
                <w:szCs w:val="18"/>
                <w:lang w:eastAsia="sk-SK"/>
              </w:rPr>
              <w:t xml:space="preserve"> </w:t>
            </w:r>
            <w:r w:rsidRPr="00E20480">
              <w:rPr>
                <w:rFonts w:eastAsia="Times New Roman" w:cs="Times New Roman"/>
                <w:i/>
                <w:color w:val="000000"/>
                <w:sz w:val="18"/>
                <w:szCs w:val="18"/>
                <w:lang w:eastAsia="sk-SK"/>
              </w:rPr>
              <w:t>povolenia na výkon činnosti</w:t>
            </w:r>
          </w:p>
        </w:tc>
        <w:tc>
          <w:tcPr>
            <w:tcW w:w="1134" w:type="dxa"/>
            <w:tcBorders>
              <w:top w:val="nil"/>
              <w:left w:val="nil"/>
              <w:bottom w:val="nil"/>
              <w:right w:val="nil"/>
            </w:tcBorders>
            <w:shd w:val="clear" w:color="auto" w:fill="auto"/>
            <w:noWrap/>
            <w:vAlign w:val="center"/>
            <w:hideMark/>
          </w:tcPr>
          <w:p w14:paraId="1337E92B" w14:textId="77777777" w:rsidR="004967E3" w:rsidRPr="00E20480" w:rsidRDefault="004967E3" w:rsidP="004967E3">
            <w:pPr>
              <w:spacing w:after="0" w:line="240" w:lineRule="auto"/>
              <w:contextualSpacing/>
              <w:jc w:val="right"/>
              <w:rPr>
                <w:rFonts w:eastAsia="Times New Roman" w:cs="Times New Roman"/>
                <w:i/>
                <w:color w:val="FF0000"/>
                <w:sz w:val="18"/>
                <w:szCs w:val="18"/>
                <w:lang w:eastAsia="sk-SK"/>
              </w:rPr>
            </w:pPr>
            <w:r w:rsidRPr="00E20480">
              <w:rPr>
                <w:rFonts w:eastAsia="Calibri" w:cs="Times New Roman"/>
                <w:color w:val="000000"/>
                <w:sz w:val="18"/>
                <w:szCs w:val="18"/>
              </w:rPr>
              <w:t>152 839</w:t>
            </w:r>
          </w:p>
        </w:tc>
        <w:tc>
          <w:tcPr>
            <w:tcW w:w="1134" w:type="dxa"/>
            <w:tcBorders>
              <w:top w:val="nil"/>
              <w:left w:val="nil"/>
              <w:bottom w:val="nil"/>
              <w:right w:val="nil"/>
            </w:tcBorders>
            <w:shd w:val="clear" w:color="auto" w:fill="auto"/>
            <w:noWrap/>
            <w:vAlign w:val="center"/>
            <w:hideMark/>
          </w:tcPr>
          <w:p w14:paraId="62F8E332" w14:textId="77777777" w:rsidR="004967E3" w:rsidRPr="00E20480" w:rsidRDefault="004967E3" w:rsidP="004967E3">
            <w:pPr>
              <w:spacing w:after="0" w:line="240" w:lineRule="auto"/>
              <w:contextualSpacing/>
              <w:jc w:val="right"/>
              <w:rPr>
                <w:rFonts w:eastAsia="Times New Roman" w:cs="Times New Roman"/>
                <w:i/>
                <w:color w:val="FF0000"/>
                <w:sz w:val="18"/>
                <w:szCs w:val="18"/>
                <w:lang w:eastAsia="sk-SK"/>
              </w:rPr>
            </w:pPr>
            <w:r w:rsidRPr="00E20480">
              <w:rPr>
                <w:rFonts w:eastAsia="Calibri" w:cs="Times New Roman"/>
                <w:color w:val="000000"/>
                <w:sz w:val="18"/>
                <w:szCs w:val="18"/>
              </w:rPr>
              <w:t>157 996</w:t>
            </w:r>
          </w:p>
        </w:tc>
        <w:tc>
          <w:tcPr>
            <w:tcW w:w="960" w:type="dxa"/>
            <w:tcBorders>
              <w:top w:val="nil"/>
              <w:left w:val="nil"/>
              <w:bottom w:val="nil"/>
              <w:right w:val="nil"/>
            </w:tcBorders>
            <w:shd w:val="clear" w:color="auto" w:fill="auto"/>
            <w:noWrap/>
            <w:vAlign w:val="center"/>
          </w:tcPr>
          <w:p w14:paraId="0130E76F" w14:textId="77777777" w:rsidR="004967E3" w:rsidRPr="00E20480" w:rsidRDefault="004967E3" w:rsidP="004967E3">
            <w:pPr>
              <w:spacing w:after="0" w:line="240" w:lineRule="auto"/>
              <w:contextualSpacing/>
              <w:jc w:val="right"/>
              <w:rPr>
                <w:rFonts w:eastAsia="Times New Roman" w:cs="Times New Roman"/>
                <w:i/>
                <w:color w:val="FF0000"/>
                <w:sz w:val="18"/>
                <w:szCs w:val="18"/>
                <w:lang w:eastAsia="sk-SK"/>
              </w:rPr>
            </w:pPr>
            <w:r w:rsidRPr="00E20480">
              <w:rPr>
                <w:rFonts w:eastAsia="Calibri" w:cs="Times New Roman"/>
                <w:sz w:val="18"/>
                <w:szCs w:val="18"/>
              </w:rPr>
              <w:t>142 800</w:t>
            </w:r>
          </w:p>
        </w:tc>
        <w:tc>
          <w:tcPr>
            <w:tcW w:w="1025" w:type="dxa"/>
            <w:tcBorders>
              <w:top w:val="nil"/>
              <w:left w:val="nil"/>
              <w:bottom w:val="nil"/>
              <w:right w:val="nil"/>
            </w:tcBorders>
            <w:shd w:val="clear" w:color="auto" w:fill="D9D9D9" w:themeFill="background1" w:themeFillShade="D9"/>
            <w:noWrap/>
            <w:vAlign w:val="center"/>
          </w:tcPr>
          <w:p w14:paraId="4C2B40E0" w14:textId="77777777" w:rsidR="004967E3" w:rsidRPr="00E20480" w:rsidRDefault="004967E3" w:rsidP="004967E3">
            <w:pPr>
              <w:spacing w:after="0" w:line="240" w:lineRule="auto"/>
              <w:contextualSpacing/>
              <w:jc w:val="right"/>
              <w:rPr>
                <w:rFonts w:eastAsia="Times New Roman" w:cs="Times New Roman"/>
                <w:i/>
                <w:color w:val="FF0000"/>
                <w:sz w:val="18"/>
                <w:szCs w:val="18"/>
                <w:lang w:eastAsia="sk-SK"/>
              </w:rPr>
            </w:pPr>
            <w:r w:rsidRPr="00E20480">
              <w:rPr>
                <w:rFonts w:eastAsia="Calibri" w:cs="Times New Roman"/>
                <w:sz w:val="18"/>
                <w:szCs w:val="18"/>
              </w:rPr>
              <w:t>141 232</w:t>
            </w:r>
          </w:p>
        </w:tc>
        <w:tc>
          <w:tcPr>
            <w:tcW w:w="850" w:type="dxa"/>
            <w:tcBorders>
              <w:top w:val="nil"/>
              <w:left w:val="nil"/>
              <w:bottom w:val="nil"/>
              <w:right w:val="nil"/>
            </w:tcBorders>
            <w:shd w:val="clear" w:color="000000" w:fill="FFFFFF"/>
            <w:vAlign w:val="center"/>
          </w:tcPr>
          <w:p w14:paraId="3264AA04" w14:textId="77777777" w:rsidR="004967E3" w:rsidRPr="00E20480" w:rsidRDefault="004967E3" w:rsidP="004967E3">
            <w:pPr>
              <w:spacing w:after="0" w:line="240" w:lineRule="auto"/>
              <w:contextualSpacing/>
              <w:jc w:val="right"/>
              <w:rPr>
                <w:rFonts w:eastAsia="Times New Roman" w:cs="Times New Roman"/>
                <w:i/>
                <w:color w:val="FF0000"/>
                <w:sz w:val="18"/>
                <w:szCs w:val="18"/>
                <w:lang w:eastAsia="sk-SK"/>
              </w:rPr>
            </w:pPr>
            <w:r w:rsidRPr="00E20480">
              <w:rPr>
                <w:rFonts w:eastAsia="Calibri" w:cs="Times New Roman"/>
                <w:sz w:val="18"/>
                <w:szCs w:val="18"/>
              </w:rPr>
              <w:t>-1 568</w:t>
            </w:r>
          </w:p>
        </w:tc>
        <w:tc>
          <w:tcPr>
            <w:tcW w:w="850" w:type="dxa"/>
            <w:tcBorders>
              <w:top w:val="nil"/>
              <w:left w:val="nil"/>
              <w:bottom w:val="nil"/>
              <w:right w:val="nil"/>
            </w:tcBorders>
            <w:shd w:val="clear" w:color="000000" w:fill="FFFFFF"/>
            <w:vAlign w:val="center"/>
          </w:tcPr>
          <w:p w14:paraId="5ADB3C2F" w14:textId="77777777" w:rsidR="004967E3" w:rsidRPr="00E20480" w:rsidRDefault="004967E3" w:rsidP="004967E3">
            <w:pPr>
              <w:spacing w:after="0" w:line="240" w:lineRule="auto"/>
              <w:contextualSpacing/>
              <w:jc w:val="right"/>
              <w:rPr>
                <w:rFonts w:eastAsia="Times New Roman" w:cs="Times New Roman"/>
                <w:i/>
                <w:color w:val="FF0000"/>
                <w:sz w:val="18"/>
                <w:szCs w:val="18"/>
                <w:lang w:eastAsia="sk-SK"/>
              </w:rPr>
            </w:pPr>
            <w:r w:rsidRPr="00E20480">
              <w:rPr>
                <w:rFonts w:eastAsia="Calibri" w:cs="Times New Roman"/>
                <w:color w:val="000000"/>
                <w:sz w:val="18"/>
                <w:szCs w:val="18"/>
              </w:rPr>
              <w:t>-1,1</w:t>
            </w:r>
          </w:p>
        </w:tc>
      </w:tr>
      <w:tr w:rsidR="004967E3" w:rsidRPr="00E20480" w14:paraId="11E33568" w14:textId="77777777" w:rsidTr="00E20480">
        <w:trPr>
          <w:trHeight w:val="480"/>
        </w:trPr>
        <w:tc>
          <w:tcPr>
            <w:tcW w:w="3054" w:type="dxa"/>
            <w:tcBorders>
              <w:top w:val="nil"/>
              <w:left w:val="nil"/>
              <w:bottom w:val="nil"/>
              <w:right w:val="nil"/>
            </w:tcBorders>
            <w:shd w:val="clear" w:color="auto" w:fill="auto"/>
            <w:vAlign w:val="center"/>
            <w:hideMark/>
          </w:tcPr>
          <w:p w14:paraId="5D8CD1B3" w14:textId="77777777" w:rsidR="004967E3" w:rsidRPr="00E20480" w:rsidRDefault="004967E3" w:rsidP="004967E3">
            <w:pPr>
              <w:spacing w:after="0" w:line="240" w:lineRule="auto"/>
              <w:contextualSpacing/>
              <w:jc w:val="left"/>
              <w:rPr>
                <w:rFonts w:eastAsia="Times New Roman" w:cs="Times New Roman"/>
                <w:i/>
                <w:color w:val="000000"/>
                <w:sz w:val="18"/>
                <w:szCs w:val="18"/>
                <w:lang w:eastAsia="sk-SK"/>
              </w:rPr>
            </w:pPr>
            <w:r w:rsidRPr="00E20480">
              <w:rPr>
                <w:rFonts w:eastAsia="Times New Roman" w:cs="Times New Roman"/>
                <w:i/>
                <w:color w:val="000000"/>
                <w:sz w:val="18"/>
                <w:szCs w:val="18"/>
                <w:lang w:eastAsia="sk-SK"/>
              </w:rPr>
              <w:t xml:space="preserve">     iné dane za tovary a služby</w:t>
            </w:r>
          </w:p>
        </w:tc>
        <w:tc>
          <w:tcPr>
            <w:tcW w:w="1134" w:type="dxa"/>
            <w:tcBorders>
              <w:top w:val="nil"/>
              <w:left w:val="nil"/>
              <w:bottom w:val="nil"/>
              <w:right w:val="nil"/>
            </w:tcBorders>
            <w:shd w:val="clear" w:color="auto" w:fill="auto"/>
            <w:noWrap/>
            <w:vAlign w:val="center"/>
          </w:tcPr>
          <w:p w14:paraId="7E55B0B7" w14:textId="77777777" w:rsidR="004967E3" w:rsidRPr="00E20480" w:rsidRDefault="004967E3" w:rsidP="004967E3">
            <w:pPr>
              <w:spacing w:after="0" w:line="240" w:lineRule="auto"/>
              <w:contextualSpacing/>
              <w:jc w:val="right"/>
              <w:rPr>
                <w:rFonts w:eastAsia="Times New Roman" w:cs="Times New Roman"/>
                <w:i/>
                <w:color w:val="FF0000"/>
                <w:sz w:val="18"/>
                <w:szCs w:val="18"/>
                <w:lang w:eastAsia="sk-SK"/>
              </w:rPr>
            </w:pPr>
            <w:r w:rsidRPr="00E20480">
              <w:rPr>
                <w:rFonts w:eastAsia="Calibri" w:cs="Times New Roman"/>
                <w:color w:val="000000"/>
                <w:sz w:val="18"/>
                <w:szCs w:val="18"/>
              </w:rPr>
              <w:t>30 530</w:t>
            </w:r>
          </w:p>
        </w:tc>
        <w:tc>
          <w:tcPr>
            <w:tcW w:w="1134" w:type="dxa"/>
            <w:tcBorders>
              <w:top w:val="nil"/>
              <w:left w:val="nil"/>
              <w:bottom w:val="nil"/>
              <w:right w:val="nil"/>
            </w:tcBorders>
            <w:shd w:val="clear" w:color="auto" w:fill="auto"/>
            <w:noWrap/>
            <w:vAlign w:val="center"/>
          </w:tcPr>
          <w:p w14:paraId="386963E0" w14:textId="77777777" w:rsidR="004967E3" w:rsidRPr="00E20480" w:rsidRDefault="004967E3" w:rsidP="004967E3">
            <w:pPr>
              <w:spacing w:after="0" w:line="240" w:lineRule="auto"/>
              <w:contextualSpacing/>
              <w:jc w:val="right"/>
              <w:rPr>
                <w:rFonts w:eastAsia="Times New Roman" w:cs="Times New Roman"/>
                <w:i/>
                <w:color w:val="FF0000"/>
                <w:sz w:val="18"/>
                <w:szCs w:val="18"/>
                <w:lang w:eastAsia="sk-SK"/>
              </w:rPr>
            </w:pPr>
            <w:r w:rsidRPr="00E20480">
              <w:rPr>
                <w:rFonts w:eastAsia="Calibri" w:cs="Times New Roman"/>
                <w:color w:val="000000"/>
                <w:sz w:val="18"/>
                <w:szCs w:val="18"/>
              </w:rPr>
              <w:t>59 184</w:t>
            </w:r>
          </w:p>
        </w:tc>
        <w:tc>
          <w:tcPr>
            <w:tcW w:w="960" w:type="dxa"/>
            <w:tcBorders>
              <w:top w:val="nil"/>
              <w:left w:val="nil"/>
              <w:bottom w:val="nil"/>
              <w:right w:val="nil"/>
            </w:tcBorders>
            <w:shd w:val="clear" w:color="auto" w:fill="auto"/>
            <w:noWrap/>
            <w:vAlign w:val="center"/>
          </w:tcPr>
          <w:p w14:paraId="3E296AE8" w14:textId="77777777" w:rsidR="004967E3" w:rsidRPr="00E20480" w:rsidRDefault="004967E3" w:rsidP="004967E3">
            <w:pPr>
              <w:spacing w:after="0" w:line="240" w:lineRule="auto"/>
              <w:contextualSpacing/>
              <w:jc w:val="right"/>
              <w:rPr>
                <w:rFonts w:eastAsia="Times New Roman" w:cs="Times New Roman"/>
                <w:i/>
                <w:color w:val="FF0000"/>
                <w:sz w:val="18"/>
                <w:szCs w:val="18"/>
                <w:lang w:eastAsia="sk-SK"/>
              </w:rPr>
            </w:pPr>
            <w:r w:rsidRPr="00E20480">
              <w:rPr>
                <w:rFonts w:eastAsia="Calibri" w:cs="Times New Roman"/>
                <w:sz w:val="18"/>
                <w:szCs w:val="18"/>
              </w:rPr>
              <w:t>70 558</w:t>
            </w:r>
          </w:p>
        </w:tc>
        <w:tc>
          <w:tcPr>
            <w:tcW w:w="1025" w:type="dxa"/>
            <w:tcBorders>
              <w:top w:val="nil"/>
              <w:left w:val="nil"/>
              <w:bottom w:val="nil"/>
              <w:right w:val="nil"/>
            </w:tcBorders>
            <w:shd w:val="clear" w:color="auto" w:fill="D9D9D9" w:themeFill="background1" w:themeFillShade="D9"/>
            <w:noWrap/>
            <w:vAlign w:val="center"/>
          </w:tcPr>
          <w:p w14:paraId="55F71AA6" w14:textId="77777777" w:rsidR="004967E3" w:rsidRPr="00E20480" w:rsidRDefault="004967E3" w:rsidP="004967E3">
            <w:pPr>
              <w:spacing w:after="0" w:line="240" w:lineRule="auto"/>
              <w:contextualSpacing/>
              <w:jc w:val="right"/>
              <w:rPr>
                <w:rFonts w:eastAsia="Times New Roman" w:cs="Times New Roman"/>
                <w:i/>
                <w:color w:val="FF0000"/>
                <w:sz w:val="18"/>
                <w:szCs w:val="18"/>
                <w:lang w:eastAsia="sk-SK"/>
              </w:rPr>
            </w:pPr>
            <w:r w:rsidRPr="00E20480">
              <w:rPr>
                <w:rFonts w:eastAsia="Calibri" w:cs="Times New Roman"/>
                <w:sz w:val="18"/>
                <w:szCs w:val="18"/>
              </w:rPr>
              <w:t>77 524</w:t>
            </w:r>
          </w:p>
        </w:tc>
        <w:tc>
          <w:tcPr>
            <w:tcW w:w="850" w:type="dxa"/>
            <w:tcBorders>
              <w:top w:val="nil"/>
              <w:left w:val="nil"/>
              <w:bottom w:val="nil"/>
              <w:right w:val="nil"/>
            </w:tcBorders>
            <w:shd w:val="clear" w:color="000000" w:fill="FFFFFF"/>
            <w:vAlign w:val="center"/>
          </w:tcPr>
          <w:p w14:paraId="03C64061" w14:textId="77777777" w:rsidR="004967E3" w:rsidRPr="00E20480" w:rsidRDefault="004967E3" w:rsidP="004967E3">
            <w:pPr>
              <w:spacing w:after="0" w:line="240" w:lineRule="auto"/>
              <w:contextualSpacing/>
              <w:jc w:val="right"/>
              <w:rPr>
                <w:rFonts w:eastAsia="Times New Roman" w:cs="Times New Roman"/>
                <w:i/>
                <w:color w:val="FF0000"/>
                <w:sz w:val="18"/>
                <w:szCs w:val="18"/>
                <w:lang w:eastAsia="sk-SK"/>
              </w:rPr>
            </w:pPr>
            <w:r w:rsidRPr="00E20480">
              <w:rPr>
                <w:rFonts w:eastAsia="Calibri" w:cs="Times New Roman"/>
                <w:sz w:val="18"/>
                <w:szCs w:val="18"/>
              </w:rPr>
              <w:t>6 966</w:t>
            </w:r>
          </w:p>
        </w:tc>
        <w:tc>
          <w:tcPr>
            <w:tcW w:w="850" w:type="dxa"/>
            <w:tcBorders>
              <w:top w:val="nil"/>
              <w:left w:val="nil"/>
              <w:bottom w:val="nil"/>
              <w:right w:val="nil"/>
            </w:tcBorders>
            <w:shd w:val="clear" w:color="000000" w:fill="FFFFFF"/>
            <w:vAlign w:val="center"/>
          </w:tcPr>
          <w:p w14:paraId="67A07631" w14:textId="77777777" w:rsidR="004967E3" w:rsidRPr="00E20480" w:rsidRDefault="004967E3" w:rsidP="004967E3">
            <w:pPr>
              <w:spacing w:after="0" w:line="240" w:lineRule="auto"/>
              <w:contextualSpacing/>
              <w:jc w:val="right"/>
              <w:rPr>
                <w:rFonts w:eastAsia="Times New Roman" w:cs="Times New Roman"/>
                <w:i/>
                <w:color w:val="FF0000"/>
                <w:sz w:val="18"/>
                <w:szCs w:val="18"/>
                <w:lang w:eastAsia="sk-SK"/>
              </w:rPr>
            </w:pPr>
            <w:r w:rsidRPr="00E20480">
              <w:rPr>
                <w:rFonts w:eastAsia="Calibri" w:cs="Times New Roman"/>
                <w:color w:val="000000"/>
                <w:sz w:val="18"/>
                <w:szCs w:val="18"/>
              </w:rPr>
              <w:t>9,9</w:t>
            </w:r>
          </w:p>
        </w:tc>
      </w:tr>
      <w:tr w:rsidR="004967E3" w:rsidRPr="00E20480" w14:paraId="05F5448C" w14:textId="77777777" w:rsidTr="00E20480">
        <w:trPr>
          <w:trHeight w:val="330"/>
        </w:trPr>
        <w:tc>
          <w:tcPr>
            <w:tcW w:w="3054" w:type="dxa"/>
            <w:tcBorders>
              <w:top w:val="nil"/>
              <w:left w:val="nil"/>
              <w:bottom w:val="nil"/>
              <w:right w:val="nil"/>
            </w:tcBorders>
            <w:shd w:val="clear" w:color="auto" w:fill="auto"/>
            <w:noWrap/>
            <w:vAlign w:val="center"/>
            <w:hideMark/>
          </w:tcPr>
          <w:p w14:paraId="54849712" w14:textId="77777777" w:rsidR="004967E3" w:rsidRPr="00E20480" w:rsidRDefault="004967E3" w:rsidP="004967E3">
            <w:pPr>
              <w:spacing w:after="0" w:line="240" w:lineRule="auto"/>
              <w:contextualSpacing/>
              <w:jc w:val="left"/>
              <w:rPr>
                <w:rFonts w:eastAsia="Times New Roman" w:cs="Times New Roman"/>
                <w:b/>
                <w:color w:val="000000"/>
                <w:sz w:val="18"/>
                <w:szCs w:val="18"/>
                <w:lang w:eastAsia="sk-SK"/>
              </w:rPr>
            </w:pPr>
            <w:r w:rsidRPr="00E20480">
              <w:rPr>
                <w:rFonts w:eastAsia="Times New Roman" w:cs="Times New Roman"/>
                <w:b/>
                <w:color w:val="000000"/>
                <w:sz w:val="18"/>
                <w:szCs w:val="18"/>
                <w:lang w:eastAsia="sk-SK"/>
              </w:rPr>
              <w:t>Dane z príjmov a kapitálového majetku</w:t>
            </w:r>
          </w:p>
        </w:tc>
        <w:tc>
          <w:tcPr>
            <w:tcW w:w="1134" w:type="dxa"/>
            <w:tcBorders>
              <w:top w:val="nil"/>
              <w:left w:val="nil"/>
              <w:bottom w:val="nil"/>
              <w:right w:val="nil"/>
            </w:tcBorders>
            <w:shd w:val="clear" w:color="auto" w:fill="auto"/>
            <w:noWrap/>
            <w:vAlign w:val="center"/>
            <w:hideMark/>
          </w:tcPr>
          <w:p w14:paraId="7DA46188" w14:textId="77777777" w:rsidR="004967E3" w:rsidRPr="00E20480" w:rsidRDefault="004967E3" w:rsidP="004967E3">
            <w:pPr>
              <w:spacing w:after="0" w:line="240" w:lineRule="auto"/>
              <w:contextualSpacing/>
              <w:jc w:val="right"/>
              <w:rPr>
                <w:rFonts w:eastAsia="Times New Roman" w:cs="Times New Roman"/>
                <w:b/>
                <w:color w:val="FF0000"/>
                <w:sz w:val="18"/>
                <w:szCs w:val="18"/>
                <w:lang w:eastAsia="sk-SK"/>
              </w:rPr>
            </w:pPr>
            <w:r w:rsidRPr="00E20480">
              <w:rPr>
                <w:rFonts w:eastAsia="Calibri" w:cs="Times New Roman"/>
                <w:b/>
                <w:bCs/>
                <w:color w:val="000000"/>
                <w:sz w:val="18"/>
                <w:szCs w:val="18"/>
              </w:rPr>
              <w:t>3 015 714</w:t>
            </w:r>
          </w:p>
        </w:tc>
        <w:tc>
          <w:tcPr>
            <w:tcW w:w="1134" w:type="dxa"/>
            <w:tcBorders>
              <w:top w:val="nil"/>
              <w:left w:val="nil"/>
              <w:bottom w:val="nil"/>
              <w:right w:val="nil"/>
            </w:tcBorders>
            <w:shd w:val="clear" w:color="auto" w:fill="auto"/>
            <w:noWrap/>
            <w:vAlign w:val="center"/>
            <w:hideMark/>
          </w:tcPr>
          <w:p w14:paraId="263E9000" w14:textId="77777777" w:rsidR="004967E3" w:rsidRPr="00E20480" w:rsidRDefault="004967E3" w:rsidP="004967E3">
            <w:pPr>
              <w:spacing w:after="0" w:line="240" w:lineRule="auto"/>
              <w:contextualSpacing/>
              <w:jc w:val="right"/>
              <w:rPr>
                <w:rFonts w:eastAsia="Times New Roman" w:cs="Times New Roman"/>
                <w:b/>
                <w:color w:val="FF0000"/>
                <w:sz w:val="18"/>
                <w:szCs w:val="18"/>
                <w:lang w:eastAsia="sk-SK"/>
              </w:rPr>
            </w:pPr>
            <w:r w:rsidRPr="00E20480">
              <w:rPr>
                <w:rFonts w:eastAsia="Calibri" w:cs="Times New Roman"/>
                <w:b/>
                <w:bCs/>
                <w:color w:val="000000"/>
                <w:sz w:val="18"/>
                <w:szCs w:val="18"/>
              </w:rPr>
              <w:t>2 989 186</w:t>
            </w:r>
          </w:p>
        </w:tc>
        <w:tc>
          <w:tcPr>
            <w:tcW w:w="960" w:type="dxa"/>
            <w:tcBorders>
              <w:top w:val="nil"/>
              <w:left w:val="nil"/>
              <w:bottom w:val="nil"/>
              <w:right w:val="nil"/>
            </w:tcBorders>
            <w:shd w:val="clear" w:color="auto" w:fill="auto"/>
            <w:noWrap/>
            <w:vAlign w:val="center"/>
          </w:tcPr>
          <w:p w14:paraId="49271190" w14:textId="77777777" w:rsidR="004967E3" w:rsidRPr="00E20480" w:rsidRDefault="004967E3" w:rsidP="004967E3">
            <w:pPr>
              <w:spacing w:after="0" w:line="240" w:lineRule="auto"/>
              <w:contextualSpacing/>
              <w:jc w:val="right"/>
              <w:rPr>
                <w:rFonts w:eastAsia="Times New Roman" w:cs="Times New Roman"/>
                <w:b/>
                <w:color w:val="FF0000"/>
                <w:sz w:val="18"/>
                <w:szCs w:val="18"/>
                <w:lang w:eastAsia="sk-SK"/>
              </w:rPr>
            </w:pPr>
            <w:r w:rsidRPr="00E20480">
              <w:rPr>
                <w:rFonts w:eastAsia="Calibri" w:cs="Times New Roman"/>
                <w:b/>
                <w:bCs/>
                <w:sz w:val="18"/>
                <w:szCs w:val="18"/>
              </w:rPr>
              <w:t>2 731 510</w:t>
            </w:r>
          </w:p>
        </w:tc>
        <w:tc>
          <w:tcPr>
            <w:tcW w:w="1025" w:type="dxa"/>
            <w:tcBorders>
              <w:top w:val="nil"/>
              <w:left w:val="nil"/>
              <w:bottom w:val="nil"/>
              <w:right w:val="nil"/>
            </w:tcBorders>
            <w:shd w:val="clear" w:color="auto" w:fill="D9D9D9" w:themeFill="background1" w:themeFillShade="D9"/>
            <w:noWrap/>
            <w:vAlign w:val="center"/>
          </w:tcPr>
          <w:p w14:paraId="7AD998AD" w14:textId="77777777" w:rsidR="004967E3" w:rsidRPr="00E20480" w:rsidRDefault="004967E3" w:rsidP="004967E3">
            <w:pPr>
              <w:spacing w:after="0" w:line="240" w:lineRule="auto"/>
              <w:contextualSpacing/>
              <w:jc w:val="right"/>
              <w:rPr>
                <w:rFonts w:eastAsia="Times New Roman" w:cs="Times New Roman"/>
                <w:b/>
                <w:color w:val="FF0000"/>
                <w:sz w:val="18"/>
                <w:szCs w:val="18"/>
                <w:lang w:eastAsia="sk-SK"/>
              </w:rPr>
            </w:pPr>
            <w:r w:rsidRPr="00E20480">
              <w:rPr>
                <w:rFonts w:eastAsia="Calibri" w:cs="Times New Roman"/>
                <w:b/>
                <w:bCs/>
                <w:sz w:val="18"/>
                <w:szCs w:val="18"/>
              </w:rPr>
              <w:t>2 561 644</w:t>
            </w:r>
          </w:p>
        </w:tc>
        <w:tc>
          <w:tcPr>
            <w:tcW w:w="850" w:type="dxa"/>
            <w:tcBorders>
              <w:top w:val="nil"/>
              <w:left w:val="nil"/>
              <w:bottom w:val="nil"/>
              <w:right w:val="nil"/>
            </w:tcBorders>
            <w:shd w:val="clear" w:color="000000" w:fill="FFFFFF"/>
            <w:vAlign w:val="center"/>
          </w:tcPr>
          <w:p w14:paraId="08C31D1C" w14:textId="77777777" w:rsidR="004967E3" w:rsidRPr="00E20480" w:rsidRDefault="004967E3" w:rsidP="004967E3">
            <w:pPr>
              <w:spacing w:after="0" w:line="240" w:lineRule="auto"/>
              <w:contextualSpacing/>
              <w:jc w:val="right"/>
              <w:rPr>
                <w:rFonts w:eastAsia="Times New Roman" w:cs="Times New Roman"/>
                <w:b/>
                <w:color w:val="FF0000"/>
                <w:sz w:val="18"/>
                <w:szCs w:val="18"/>
                <w:lang w:eastAsia="sk-SK"/>
              </w:rPr>
            </w:pPr>
            <w:r w:rsidRPr="00E20480">
              <w:rPr>
                <w:rFonts w:eastAsia="Calibri" w:cs="Times New Roman"/>
                <w:b/>
                <w:bCs/>
                <w:sz w:val="18"/>
                <w:szCs w:val="18"/>
              </w:rPr>
              <w:t>-169 866</w:t>
            </w:r>
          </w:p>
        </w:tc>
        <w:tc>
          <w:tcPr>
            <w:tcW w:w="850" w:type="dxa"/>
            <w:tcBorders>
              <w:top w:val="nil"/>
              <w:left w:val="nil"/>
              <w:bottom w:val="nil"/>
              <w:right w:val="nil"/>
            </w:tcBorders>
            <w:shd w:val="clear" w:color="000000" w:fill="FFFFFF"/>
            <w:vAlign w:val="center"/>
          </w:tcPr>
          <w:p w14:paraId="4040832E" w14:textId="77777777" w:rsidR="004967E3" w:rsidRPr="00E20480" w:rsidRDefault="004967E3" w:rsidP="004967E3">
            <w:pPr>
              <w:spacing w:after="0" w:line="240" w:lineRule="auto"/>
              <w:contextualSpacing/>
              <w:jc w:val="right"/>
              <w:rPr>
                <w:rFonts w:eastAsia="Times New Roman" w:cs="Times New Roman"/>
                <w:b/>
                <w:color w:val="FF0000"/>
                <w:sz w:val="18"/>
                <w:szCs w:val="18"/>
                <w:lang w:eastAsia="sk-SK"/>
              </w:rPr>
            </w:pPr>
            <w:r w:rsidRPr="00E20480">
              <w:rPr>
                <w:rFonts w:eastAsia="Calibri" w:cs="Times New Roman"/>
                <w:b/>
                <w:bCs/>
                <w:color w:val="000000"/>
                <w:sz w:val="18"/>
                <w:szCs w:val="18"/>
              </w:rPr>
              <w:t>-6,2</w:t>
            </w:r>
          </w:p>
        </w:tc>
      </w:tr>
      <w:tr w:rsidR="004967E3" w:rsidRPr="00E20480" w14:paraId="6E3D15A8" w14:textId="77777777" w:rsidTr="00E20480">
        <w:trPr>
          <w:trHeight w:val="330"/>
        </w:trPr>
        <w:tc>
          <w:tcPr>
            <w:tcW w:w="3054" w:type="dxa"/>
            <w:tcBorders>
              <w:top w:val="nil"/>
              <w:left w:val="nil"/>
              <w:bottom w:val="nil"/>
              <w:right w:val="nil"/>
            </w:tcBorders>
            <w:shd w:val="clear" w:color="auto" w:fill="auto"/>
            <w:noWrap/>
            <w:vAlign w:val="center"/>
            <w:hideMark/>
          </w:tcPr>
          <w:p w14:paraId="2D535141" w14:textId="77777777" w:rsidR="004967E3" w:rsidRPr="00E20480" w:rsidRDefault="004967E3" w:rsidP="004967E3">
            <w:pPr>
              <w:spacing w:after="0" w:line="240" w:lineRule="auto"/>
              <w:contextualSpacing/>
              <w:jc w:val="left"/>
              <w:rPr>
                <w:rFonts w:eastAsia="Times New Roman" w:cs="Times New Roman"/>
                <w:i/>
                <w:color w:val="000000"/>
                <w:sz w:val="18"/>
                <w:szCs w:val="18"/>
                <w:lang w:eastAsia="sk-SK"/>
              </w:rPr>
            </w:pPr>
            <w:r w:rsidRPr="00E20480">
              <w:rPr>
                <w:rFonts w:eastAsia="Times New Roman" w:cs="Times New Roman"/>
                <w:color w:val="000000"/>
                <w:sz w:val="18"/>
                <w:szCs w:val="18"/>
                <w:lang w:eastAsia="sk-SK"/>
              </w:rPr>
              <w:t>v tom</w:t>
            </w:r>
            <w:r w:rsidRPr="00E20480">
              <w:rPr>
                <w:rFonts w:eastAsia="Times New Roman" w:cs="Times New Roman"/>
                <w:i/>
                <w:color w:val="000000"/>
                <w:sz w:val="18"/>
                <w:szCs w:val="18"/>
                <w:lang w:eastAsia="sk-SK"/>
              </w:rPr>
              <w:t xml:space="preserve">: </w:t>
            </w:r>
          </w:p>
        </w:tc>
        <w:tc>
          <w:tcPr>
            <w:tcW w:w="1134" w:type="dxa"/>
            <w:tcBorders>
              <w:top w:val="nil"/>
              <w:left w:val="nil"/>
              <w:bottom w:val="nil"/>
              <w:right w:val="nil"/>
            </w:tcBorders>
            <w:shd w:val="clear" w:color="auto" w:fill="auto"/>
            <w:noWrap/>
            <w:vAlign w:val="center"/>
          </w:tcPr>
          <w:p w14:paraId="7060EC66" w14:textId="77777777" w:rsidR="004967E3" w:rsidRPr="00E20480" w:rsidRDefault="004967E3" w:rsidP="004967E3">
            <w:pPr>
              <w:spacing w:after="0" w:line="240" w:lineRule="auto"/>
              <w:contextualSpacing/>
              <w:jc w:val="right"/>
              <w:rPr>
                <w:rFonts w:eastAsia="Times New Roman" w:cs="Times New Roman"/>
                <w:i/>
                <w:color w:val="FF0000"/>
                <w:sz w:val="18"/>
                <w:szCs w:val="18"/>
                <w:lang w:eastAsia="sk-SK"/>
              </w:rPr>
            </w:pPr>
          </w:p>
        </w:tc>
        <w:tc>
          <w:tcPr>
            <w:tcW w:w="1134" w:type="dxa"/>
            <w:tcBorders>
              <w:top w:val="nil"/>
              <w:left w:val="nil"/>
              <w:bottom w:val="nil"/>
              <w:right w:val="nil"/>
            </w:tcBorders>
            <w:shd w:val="clear" w:color="auto" w:fill="auto"/>
            <w:noWrap/>
            <w:vAlign w:val="center"/>
          </w:tcPr>
          <w:p w14:paraId="5159F153" w14:textId="77777777" w:rsidR="004967E3" w:rsidRPr="00E20480" w:rsidRDefault="004967E3" w:rsidP="004967E3">
            <w:pPr>
              <w:spacing w:after="0" w:line="240" w:lineRule="auto"/>
              <w:contextualSpacing/>
              <w:jc w:val="right"/>
              <w:rPr>
                <w:rFonts w:eastAsia="Times New Roman" w:cs="Times New Roman"/>
                <w:i/>
                <w:color w:val="FF0000"/>
                <w:sz w:val="18"/>
                <w:szCs w:val="18"/>
                <w:lang w:eastAsia="sk-SK"/>
              </w:rPr>
            </w:pPr>
          </w:p>
        </w:tc>
        <w:tc>
          <w:tcPr>
            <w:tcW w:w="960" w:type="dxa"/>
            <w:tcBorders>
              <w:top w:val="nil"/>
              <w:left w:val="nil"/>
              <w:bottom w:val="nil"/>
              <w:right w:val="nil"/>
            </w:tcBorders>
            <w:shd w:val="clear" w:color="auto" w:fill="auto"/>
            <w:noWrap/>
            <w:vAlign w:val="center"/>
          </w:tcPr>
          <w:p w14:paraId="028BE921" w14:textId="77777777" w:rsidR="004967E3" w:rsidRPr="00E20480" w:rsidRDefault="004967E3" w:rsidP="004967E3">
            <w:pPr>
              <w:spacing w:after="0" w:line="240" w:lineRule="auto"/>
              <w:contextualSpacing/>
              <w:jc w:val="right"/>
              <w:rPr>
                <w:rFonts w:eastAsia="Times New Roman" w:cs="Times New Roman"/>
                <w:i/>
                <w:color w:val="FF0000"/>
                <w:sz w:val="18"/>
                <w:szCs w:val="18"/>
                <w:lang w:eastAsia="sk-SK"/>
              </w:rPr>
            </w:pPr>
          </w:p>
        </w:tc>
        <w:tc>
          <w:tcPr>
            <w:tcW w:w="1025" w:type="dxa"/>
            <w:tcBorders>
              <w:top w:val="nil"/>
              <w:left w:val="nil"/>
              <w:bottom w:val="nil"/>
              <w:right w:val="nil"/>
            </w:tcBorders>
            <w:shd w:val="clear" w:color="auto" w:fill="D9D9D9" w:themeFill="background1" w:themeFillShade="D9"/>
            <w:noWrap/>
            <w:vAlign w:val="center"/>
          </w:tcPr>
          <w:p w14:paraId="4C7B40A6" w14:textId="77777777" w:rsidR="004967E3" w:rsidRPr="00E20480" w:rsidRDefault="004967E3" w:rsidP="004967E3">
            <w:pPr>
              <w:spacing w:after="0" w:line="240" w:lineRule="auto"/>
              <w:contextualSpacing/>
              <w:jc w:val="right"/>
              <w:rPr>
                <w:rFonts w:eastAsia="Times New Roman" w:cs="Times New Roman"/>
                <w:i/>
                <w:color w:val="FF0000"/>
                <w:sz w:val="18"/>
                <w:szCs w:val="18"/>
                <w:lang w:eastAsia="sk-SK"/>
              </w:rPr>
            </w:pPr>
          </w:p>
        </w:tc>
        <w:tc>
          <w:tcPr>
            <w:tcW w:w="850" w:type="dxa"/>
            <w:tcBorders>
              <w:top w:val="nil"/>
              <w:left w:val="nil"/>
              <w:bottom w:val="nil"/>
              <w:right w:val="nil"/>
            </w:tcBorders>
            <w:shd w:val="clear" w:color="auto" w:fill="auto"/>
            <w:noWrap/>
            <w:vAlign w:val="center"/>
          </w:tcPr>
          <w:p w14:paraId="2F6BF9D9" w14:textId="77777777" w:rsidR="004967E3" w:rsidRPr="00E20480" w:rsidRDefault="004967E3" w:rsidP="004967E3">
            <w:pPr>
              <w:spacing w:after="0" w:line="240" w:lineRule="auto"/>
              <w:contextualSpacing/>
              <w:jc w:val="right"/>
              <w:rPr>
                <w:rFonts w:eastAsia="Times New Roman" w:cs="Times New Roman"/>
                <w:i/>
                <w:color w:val="FF0000"/>
                <w:sz w:val="18"/>
                <w:szCs w:val="18"/>
                <w:lang w:eastAsia="sk-SK"/>
              </w:rPr>
            </w:pPr>
          </w:p>
        </w:tc>
        <w:tc>
          <w:tcPr>
            <w:tcW w:w="850" w:type="dxa"/>
            <w:tcBorders>
              <w:top w:val="nil"/>
              <w:left w:val="nil"/>
              <w:bottom w:val="nil"/>
              <w:right w:val="nil"/>
            </w:tcBorders>
            <w:shd w:val="clear" w:color="auto" w:fill="auto"/>
            <w:noWrap/>
            <w:vAlign w:val="center"/>
          </w:tcPr>
          <w:p w14:paraId="5C5CC6A2" w14:textId="77777777" w:rsidR="004967E3" w:rsidRPr="00E20480" w:rsidRDefault="004967E3" w:rsidP="004967E3">
            <w:pPr>
              <w:spacing w:after="0" w:line="240" w:lineRule="auto"/>
              <w:contextualSpacing/>
              <w:jc w:val="right"/>
              <w:rPr>
                <w:rFonts w:eastAsia="Times New Roman" w:cs="Times New Roman"/>
                <w:i/>
                <w:color w:val="FF0000"/>
                <w:sz w:val="18"/>
                <w:szCs w:val="18"/>
                <w:lang w:eastAsia="sk-SK"/>
              </w:rPr>
            </w:pPr>
          </w:p>
        </w:tc>
      </w:tr>
      <w:tr w:rsidR="004967E3" w:rsidRPr="00E20480" w14:paraId="33754F4C" w14:textId="77777777" w:rsidTr="00E20480">
        <w:trPr>
          <w:trHeight w:val="330"/>
        </w:trPr>
        <w:tc>
          <w:tcPr>
            <w:tcW w:w="3054" w:type="dxa"/>
            <w:tcBorders>
              <w:top w:val="nil"/>
              <w:left w:val="nil"/>
              <w:bottom w:val="nil"/>
              <w:right w:val="nil"/>
            </w:tcBorders>
            <w:shd w:val="clear" w:color="auto" w:fill="auto"/>
            <w:noWrap/>
            <w:vAlign w:val="center"/>
            <w:hideMark/>
          </w:tcPr>
          <w:p w14:paraId="3874C1F2" w14:textId="77777777" w:rsidR="004967E3" w:rsidRPr="00E20480" w:rsidRDefault="004967E3" w:rsidP="004967E3">
            <w:pPr>
              <w:spacing w:after="0" w:line="240" w:lineRule="auto"/>
              <w:contextualSpacing/>
              <w:jc w:val="left"/>
              <w:rPr>
                <w:rFonts w:eastAsia="Times New Roman" w:cs="Times New Roman"/>
                <w:i/>
                <w:color w:val="000000"/>
                <w:sz w:val="18"/>
                <w:szCs w:val="18"/>
                <w:lang w:eastAsia="sk-SK"/>
              </w:rPr>
            </w:pPr>
            <w:r w:rsidRPr="00E20480">
              <w:rPr>
                <w:rFonts w:eastAsia="Times New Roman" w:cs="Times New Roman"/>
                <w:i/>
                <w:color w:val="000000"/>
                <w:sz w:val="18"/>
                <w:szCs w:val="18"/>
                <w:lang w:eastAsia="sk-SK"/>
              </w:rPr>
              <w:t xml:space="preserve">     daň z príjmov FO</w:t>
            </w:r>
          </w:p>
        </w:tc>
        <w:tc>
          <w:tcPr>
            <w:tcW w:w="1134" w:type="dxa"/>
            <w:tcBorders>
              <w:top w:val="nil"/>
              <w:left w:val="nil"/>
              <w:bottom w:val="nil"/>
              <w:right w:val="nil"/>
            </w:tcBorders>
            <w:shd w:val="clear" w:color="auto" w:fill="auto"/>
            <w:noWrap/>
            <w:vAlign w:val="center"/>
            <w:hideMark/>
          </w:tcPr>
          <w:p w14:paraId="72413AC0" w14:textId="77777777" w:rsidR="004967E3" w:rsidRPr="00E20480" w:rsidRDefault="004967E3" w:rsidP="004967E3">
            <w:pPr>
              <w:spacing w:after="0" w:line="240" w:lineRule="auto"/>
              <w:contextualSpacing/>
              <w:jc w:val="right"/>
              <w:rPr>
                <w:rFonts w:eastAsia="Times New Roman" w:cs="Times New Roman"/>
                <w:i/>
                <w:color w:val="FF0000"/>
                <w:sz w:val="18"/>
                <w:szCs w:val="18"/>
                <w:lang w:eastAsia="sk-SK"/>
              </w:rPr>
            </w:pPr>
            <w:r w:rsidRPr="00E20480">
              <w:rPr>
                <w:rFonts w:eastAsia="Calibri" w:cs="Times New Roman"/>
                <w:color w:val="000000"/>
                <w:sz w:val="18"/>
                <w:szCs w:val="18"/>
              </w:rPr>
              <w:t>10 609</w:t>
            </w:r>
          </w:p>
        </w:tc>
        <w:tc>
          <w:tcPr>
            <w:tcW w:w="1134" w:type="dxa"/>
            <w:tcBorders>
              <w:top w:val="nil"/>
              <w:left w:val="nil"/>
              <w:bottom w:val="nil"/>
              <w:right w:val="nil"/>
            </w:tcBorders>
            <w:shd w:val="clear" w:color="auto" w:fill="auto"/>
            <w:noWrap/>
            <w:vAlign w:val="center"/>
            <w:hideMark/>
          </w:tcPr>
          <w:p w14:paraId="4B77CFC9" w14:textId="77777777" w:rsidR="004967E3" w:rsidRPr="00E20480" w:rsidRDefault="004967E3" w:rsidP="004967E3">
            <w:pPr>
              <w:spacing w:after="0" w:line="240" w:lineRule="auto"/>
              <w:contextualSpacing/>
              <w:jc w:val="right"/>
              <w:rPr>
                <w:rFonts w:eastAsia="Times New Roman" w:cs="Times New Roman"/>
                <w:i/>
                <w:color w:val="FF0000"/>
                <w:sz w:val="18"/>
                <w:szCs w:val="18"/>
                <w:lang w:eastAsia="sk-SK"/>
              </w:rPr>
            </w:pPr>
            <w:r w:rsidRPr="00E20480">
              <w:rPr>
                <w:rFonts w:eastAsia="Calibri" w:cs="Times New Roman"/>
                <w:color w:val="000000"/>
                <w:sz w:val="18"/>
                <w:szCs w:val="18"/>
              </w:rPr>
              <w:t>-7 404</w:t>
            </w:r>
          </w:p>
        </w:tc>
        <w:tc>
          <w:tcPr>
            <w:tcW w:w="960" w:type="dxa"/>
            <w:tcBorders>
              <w:top w:val="nil"/>
              <w:left w:val="nil"/>
              <w:bottom w:val="nil"/>
              <w:right w:val="nil"/>
            </w:tcBorders>
            <w:shd w:val="clear" w:color="auto" w:fill="auto"/>
            <w:noWrap/>
            <w:vAlign w:val="center"/>
          </w:tcPr>
          <w:p w14:paraId="4E6B2B8F" w14:textId="77777777" w:rsidR="004967E3" w:rsidRPr="00E20480" w:rsidRDefault="004967E3" w:rsidP="004967E3">
            <w:pPr>
              <w:spacing w:after="0" w:line="240" w:lineRule="auto"/>
              <w:contextualSpacing/>
              <w:jc w:val="right"/>
              <w:rPr>
                <w:rFonts w:eastAsia="Times New Roman" w:cs="Times New Roman"/>
                <w:i/>
                <w:color w:val="FF0000"/>
                <w:sz w:val="18"/>
                <w:szCs w:val="18"/>
                <w:lang w:eastAsia="sk-SK"/>
              </w:rPr>
            </w:pPr>
            <w:r w:rsidRPr="00E20480">
              <w:rPr>
                <w:rFonts w:eastAsia="Calibri" w:cs="Times New Roman"/>
                <w:sz w:val="18"/>
                <w:szCs w:val="18"/>
              </w:rPr>
              <w:t>-48 281</w:t>
            </w:r>
          </w:p>
        </w:tc>
        <w:tc>
          <w:tcPr>
            <w:tcW w:w="1025" w:type="dxa"/>
            <w:tcBorders>
              <w:top w:val="nil"/>
              <w:left w:val="nil"/>
              <w:bottom w:val="nil"/>
              <w:right w:val="nil"/>
            </w:tcBorders>
            <w:shd w:val="clear" w:color="auto" w:fill="D9D9D9" w:themeFill="background1" w:themeFillShade="D9"/>
            <w:noWrap/>
            <w:vAlign w:val="center"/>
          </w:tcPr>
          <w:p w14:paraId="0072E91D" w14:textId="77777777" w:rsidR="004967E3" w:rsidRPr="00E20480" w:rsidRDefault="004967E3" w:rsidP="004967E3">
            <w:pPr>
              <w:spacing w:after="0" w:line="240" w:lineRule="auto"/>
              <w:contextualSpacing/>
              <w:jc w:val="right"/>
              <w:rPr>
                <w:rFonts w:eastAsia="Times New Roman" w:cs="Times New Roman"/>
                <w:i/>
                <w:color w:val="FF0000"/>
                <w:sz w:val="18"/>
                <w:szCs w:val="18"/>
                <w:lang w:eastAsia="sk-SK"/>
              </w:rPr>
            </w:pPr>
            <w:r w:rsidRPr="00E20480">
              <w:rPr>
                <w:rFonts w:eastAsia="Calibri" w:cs="Times New Roman"/>
                <w:sz w:val="18"/>
                <w:szCs w:val="18"/>
              </w:rPr>
              <w:t>-22 997</w:t>
            </w:r>
          </w:p>
        </w:tc>
        <w:tc>
          <w:tcPr>
            <w:tcW w:w="850" w:type="dxa"/>
            <w:tcBorders>
              <w:top w:val="nil"/>
              <w:left w:val="nil"/>
              <w:bottom w:val="nil"/>
              <w:right w:val="nil"/>
            </w:tcBorders>
            <w:shd w:val="clear" w:color="000000" w:fill="FFFFFF"/>
            <w:vAlign w:val="center"/>
          </w:tcPr>
          <w:p w14:paraId="5365C10B" w14:textId="77777777" w:rsidR="004967E3" w:rsidRPr="00E20480" w:rsidRDefault="004967E3" w:rsidP="004967E3">
            <w:pPr>
              <w:spacing w:after="0" w:line="240" w:lineRule="auto"/>
              <w:contextualSpacing/>
              <w:jc w:val="right"/>
              <w:rPr>
                <w:rFonts w:eastAsia="Times New Roman" w:cs="Times New Roman"/>
                <w:i/>
                <w:color w:val="FF0000"/>
                <w:sz w:val="18"/>
                <w:szCs w:val="18"/>
                <w:lang w:eastAsia="sk-SK"/>
              </w:rPr>
            </w:pPr>
            <w:r w:rsidRPr="00E20480">
              <w:rPr>
                <w:rFonts w:eastAsia="Calibri" w:cs="Times New Roman"/>
                <w:sz w:val="18"/>
                <w:szCs w:val="18"/>
              </w:rPr>
              <w:t>25 284</w:t>
            </w:r>
          </w:p>
        </w:tc>
        <w:tc>
          <w:tcPr>
            <w:tcW w:w="850" w:type="dxa"/>
            <w:tcBorders>
              <w:top w:val="nil"/>
              <w:left w:val="nil"/>
              <w:bottom w:val="nil"/>
              <w:right w:val="nil"/>
            </w:tcBorders>
            <w:shd w:val="clear" w:color="000000" w:fill="FFFFFF"/>
            <w:vAlign w:val="center"/>
          </w:tcPr>
          <w:p w14:paraId="01ABB617" w14:textId="77777777" w:rsidR="004967E3" w:rsidRPr="00E20480" w:rsidRDefault="004967E3" w:rsidP="004967E3">
            <w:pPr>
              <w:spacing w:after="0" w:line="240" w:lineRule="auto"/>
              <w:contextualSpacing/>
              <w:jc w:val="right"/>
              <w:rPr>
                <w:rFonts w:eastAsia="Times New Roman" w:cs="Times New Roman"/>
                <w:i/>
                <w:color w:val="FF0000"/>
                <w:sz w:val="18"/>
                <w:szCs w:val="18"/>
                <w:lang w:eastAsia="sk-SK"/>
              </w:rPr>
            </w:pPr>
            <w:r w:rsidRPr="00E20480">
              <w:rPr>
                <w:rFonts w:eastAsia="Calibri" w:cs="Times New Roman"/>
                <w:color w:val="000000"/>
                <w:sz w:val="18"/>
                <w:szCs w:val="18"/>
              </w:rPr>
              <w:t>-52,4</w:t>
            </w:r>
          </w:p>
        </w:tc>
      </w:tr>
      <w:tr w:rsidR="004967E3" w:rsidRPr="00E20480" w14:paraId="457AEBDE" w14:textId="77777777" w:rsidTr="00E20480">
        <w:trPr>
          <w:trHeight w:val="330"/>
        </w:trPr>
        <w:tc>
          <w:tcPr>
            <w:tcW w:w="3054" w:type="dxa"/>
            <w:tcBorders>
              <w:top w:val="nil"/>
              <w:left w:val="nil"/>
              <w:bottom w:val="nil"/>
              <w:right w:val="nil"/>
            </w:tcBorders>
            <w:shd w:val="clear" w:color="auto" w:fill="auto"/>
            <w:vAlign w:val="center"/>
            <w:hideMark/>
          </w:tcPr>
          <w:p w14:paraId="366FE044" w14:textId="77777777" w:rsidR="004967E3" w:rsidRPr="00E20480" w:rsidRDefault="004967E3" w:rsidP="004967E3">
            <w:pPr>
              <w:spacing w:after="0" w:line="240" w:lineRule="auto"/>
              <w:contextualSpacing/>
              <w:jc w:val="left"/>
              <w:rPr>
                <w:rFonts w:eastAsia="Times New Roman" w:cs="Times New Roman"/>
                <w:i/>
                <w:color w:val="000000"/>
                <w:sz w:val="18"/>
                <w:szCs w:val="18"/>
                <w:lang w:eastAsia="sk-SK"/>
              </w:rPr>
            </w:pPr>
            <w:r w:rsidRPr="00E20480">
              <w:rPr>
                <w:rFonts w:eastAsia="Times New Roman" w:cs="Times New Roman"/>
                <w:i/>
                <w:color w:val="000000"/>
                <w:sz w:val="18"/>
                <w:szCs w:val="18"/>
                <w:lang w:eastAsia="sk-SK"/>
              </w:rPr>
              <w:t xml:space="preserve">     daň z príjmov PO</w:t>
            </w:r>
          </w:p>
        </w:tc>
        <w:tc>
          <w:tcPr>
            <w:tcW w:w="1134" w:type="dxa"/>
            <w:tcBorders>
              <w:top w:val="nil"/>
              <w:left w:val="nil"/>
              <w:bottom w:val="nil"/>
              <w:right w:val="nil"/>
            </w:tcBorders>
            <w:shd w:val="clear" w:color="auto" w:fill="auto"/>
            <w:noWrap/>
            <w:vAlign w:val="center"/>
            <w:hideMark/>
          </w:tcPr>
          <w:p w14:paraId="7CFB7062" w14:textId="77777777" w:rsidR="004967E3" w:rsidRPr="00E20480" w:rsidRDefault="004967E3" w:rsidP="004967E3">
            <w:pPr>
              <w:spacing w:after="0" w:line="240" w:lineRule="auto"/>
              <w:contextualSpacing/>
              <w:jc w:val="right"/>
              <w:rPr>
                <w:rFonts w:eastAsia="Times New Roman" w:cs="Times New Roman"/>
                <w:i/>
                <w:color w:val="FF0000"/>
                <w:sz w:val="18"/>
                <w:szCs w:val="18"/>
                <w:lang w:eastAsia="sk-SK"/>
              </w:rPr>
            </w:pPr>
            <w:r w:rsidRPr="00E20480">
              <w:rPr>
                <w:rFonts w:eastAsia="Calibri" w:cs="Times New Roman"/>
                <w:color w:val="000000"/>
                <w:sz w:val="18"/>
                <w:szCs w:val="18"/>
              </w:rPr>
              <w:t>2 750 974</w:t>
            </w:r>
          </w:p>
        </w:tc>
        <w:tc>
          <w:tcPr>
            <w:tcW w:w="1134" w:type="dxa"/>
            <w:tcBorders>
              <w:top w:val="nil"/>
              <w:left w:val="nil"/>
              <w:bottom w:val="nil"/>
              <w:right w:val="nil"/>
            </w:tcBorders>
            <w:shd w:val="clear" w:color="auto" w:fill="auto"/>
            <w:noWrap/>
            <w:vAlign w:val="center"/>
            <w:hideMark/>
          </w:tcPr>
          <w:p w14:paraId="55135E14" w14:textId="77777777" w:rsidR="004967E3" w:rsidRPr="00E20480" w:rsidRDefault="004967E3" w:rsidP="004967E3">
            <w:pPr>
              <w:spacing w:after="0" w:line="240" w:lineRule="auto"/>
              <w:contextualSpacing/>
              <w:jc w:val="right"/>
              <w:rPr>
                <w:rFonts w:eastAsia="Times New Roman" w:cs="Times New Roman"/>
                <w:i/>
                <w:color w:val="FF0000"/>
                <w:sz w:val="18"/>
                <w:szCs w:val="18"/>
                <w:lang w:eastAsia="sk-SK"/>
              </w:rPr>
            </w:pPr>
            <w:r w:rsidRPr="00E20480">
              <w:rPr>
                <w:rFonts w:eastAsia="Calibri" w:cs="Times New Roman"/>
                <w:color w:val="000000"/>
                <w:sz w:val="18"/>
                <w:szCs w:val="18"/>
              </w:rPr>
              <w:t>2 750 974</w:t>
            </w:r>
          </w:p>
        </w:tc>
        <w:tc>
          <w:tcPr>
            <w:tcW w:w="960" w:type="dxa"/>
            <w:tcBorders>
              <w:top w:val="nil"/>
              <w:left w:val="nil"/>
              <w:bottom w:val="nil"/>
              <w:right w:val="nil"/>
            </w:tcBorders>
            <w:shd w:val="clear" w:color="auto" w:fill="auto"/>
            <w:noWrap/>
            <w:vAlign w:val="center"/>
          </w:tcPr>
          <w:p w14:paraId="630D167B" w14:textId="77777777" w:rsidR="004967E3" w:rsidRPr="00E20480" w:rsidRDefault="004967E3" w:rsidP="004967E3">
            <w:pPr>
              <w:spacing w:after="0" w:line="240" w:lineRule="auto"/>
              <w:contextualSpacing/>
              <w:jc w:val="right"/>
              <w:rPr>
                <w:rFonts w:eastAsia="Times New Roman" w:cs="Times New Roman"/>
                <w:i/>
                <w:color w:val="FF0000"/>
                <w:sz w:val="18"/>
                <w:szCs w:val="18"/>
                <w:lang w:eastAsia="sk-SK"/>
              </w:rPr>
            </w:pPr>
            <w:r w:rsidRPr="00E20480">
              <w:rPr>
                <w:rFonts w:eastAsia="Calibri" w:cs="Times New Roman"/>
                <w:sz w:val="18"/>
                <w:szCs w:val="18"/>
              </w:rPr>
              <w:t>2 546 921</w:t>
            </w:r>
          </w:p>
        </w:tc>
        <w:tc>
          <w:tcPr>
            <w:tcW w:w="1025" w:type="dxa"/>
            <w:tcBorders>
              <w:top w:val="nil"/>
              <w:left w:val="nil"/>
              <w:bottom w:val="nil"/>
              <w:right w:val="nil"/>
            </w:tcBorders>
            <w:shd w:val="clear" w:color="auto" w:fill="D9D9D9" w:themeFill="background1" w:themeFillShade="D9"/>
            <w:noWrap/>
            <w:vAlign w:val="center"/>
          </w:tcPr>
          <w:p w14:paraId="08245822" w14:textId="77777777" w:rsidR="004967E3" w:rsidRPr="00E20480" w:rsidRDefault="004967E3" w:rsidP="004967E3">
            <w:pPr>
              <w:spacing w:after="0" w:line="240" w:lineRule="auto"/>
              <w:contextualSpacing/>
              <w:jc w:val="right"/>
              <w:rPr>
                <w:rFonts w:eastAsia="Times New Roman" w:cs="Times New Roman"/>
                <w:i/>
                <w:color w:val="FF0000"/>
                <w:sz w:val="18"/>
                <w:szCs w:val="18"/>
                <w:lang w:eastAsia="sk-SK"/>
              </w:rPr>
            </w:pPr>
            <w:r w:rsidRPr="00E20480">
              <w:rPr>
                <w:rFonts w:eastAsia="Calibri" w:cs="Times New Roman"/>
                <w:sz w:val="18"/>
                <w:szCs w:val="18"/>
              </w:rPr>
              <w:t>2 349 560</w:t>
            </w:r>
          </w:p>
        </w:tc>
        <w:tc>
          <w:tcPr>
            <w:tcW w:w="850" w:type="dxa"/>
            <w:tcBorders>
              <w:top w:val="nil"/>
              <w:left w:val="nil"/>
              <w:bottom w:val="nil"/>
              <w:right w:val="nil"/>
            </w:tcBorders>
            <w:shd w:val="clear" w:color="000000" w:fill="FFFFFF"/>
            <w:vAlign w:val="center"/>
          </w:tcPr>
          <w:p w14:paraId="7555D5F5" w14:textId="77777777" w:rsidR="004967E3" w:rsidRPr="00E20480" w:rsidRDefault="004967E3" w:rsidP="004967E3">
            <w:pPr>
              <w:spacing w:after="0" w:line="240" w:lineRule="auto"/>
              <w:contextualSpacing/>
              <w:jc w:val="right"/>
              <w:rPr>
                <w:rFonts w:eastAsia="Times New Roman" w:cs="Times New Roman"/>
                <w:i/>
                <w:color w:val="FF0000"/>
                <w:sz w:val="18"/>
                <w:szCs w:val="18"/>
                <w:lang w:eastAsia="sk-SK"/>
              </w:rPr>
            </w:pPr>
            <w:r w:rsidRPr="00E20480">
              <w:rPr>
                <w:rFonts w:eastAsia="Calibri" w:cs="Times New Roman"/>
                <w:sz w:val="18"/>
                <w:szCs w:val="18"/>
              </w:rPr>
              <w:t>-197 361</w:t>
            </w:r>
          </w:p>
        </w:tc>
        <w:tc>
          <w:tcPr>
            <w:tcW w:w="850" w:type="dxa"/>
            <w:tcBorders>
              <w:top w:val="nil"/>
              <w:left w:val="nil"/>
              <w:bottom w:val="nil"/>
              <w:right w:val="nil"/>
            </w:tcBorders>
            <w:shd w:val="clear" w:color="000000" w:fill="FFFFFF"/>
            <w:vAlign w:val="center"/>
          </w:tcPr>
          <w:p w14:paraId="78FE0E63" w14:textId="77777777" w:rsidR="004967E3" w:rsidRPr="00E20480" w:rsidRDefault="004967E3" w:rsidP="004967E3">
            <w:pPr>
              <w:spacing w:after="0" w:line="240" w:lineRule="auto"/>
              <w:contextualSpacing/>
              <w:jc w:val="right"/>
              <w:rPr>
                <w:rFonts w:eastAsia="Times New Roman" w:cs="Times New Roman"/>
                <w:i/>
                <w:color w:val="FF0000"/>
                <w:sz w:val="18"/>
                <w:szCs w:val="18"/>
                <w:lang w:eastAsia="sk-SK"/>
              </w:rPr>
            </w:pPr>
            <w:r w:rsidRPr="00E20480">
              <w:rPr>
                <w:rFonts w:eastAsia="Calibri" w:cs="Times New Roman"/>
                <w:color w:val="000000"/>
                <w:sz w:val="18"/>
                <w:szCs w:val="18"/>
              </w:rPr>
              <w:t>-7,7</w:t>
            </w:r>
          </w:p>
        </w:tc>
      </w:tr>
      <w:tr w:rsidR="004967E3" w:rsidRPr="00E20480" w14:paraId="17CD8092" w14:textId="77777777" w:rsidTr="00E20480">
        <w:trPr>
          <w:trHeight w:val="330"/>
        </w:trPr>
        <w:tc>
          <w:tcPr>
            <w:tcW w:w="3054" w:type="dxa"/>
            <w:tcBorders>
              <w:top w:val="nil"/>
              <w:left w:val="nil"/>
              <w:bottom w:val="nil"/>
              <w:right w:val="nil"/>
            </w:tcBorders>
            <w:shd w:val="clear" w:color="auto" w:fill="auto"/>
            <w:vAlign w:val="center"/>
            <w:hideMark/>
          </w:tcPr>
          <w:p w14:paraId="17B77FE3" w14:textId="77777777" w:rsidR="004967E3" w:rsidRPr="00E20480" w:rsidRDefault="004967E3" w:rsidP="004967E3">
            <w:pPr>
              <w:spacing w:after="0" w:line="240" w:lineRule="auto"/>
              <w:contextualSpacing/>
              <w:jc w:val="left"/>
              <w:rPr>
                <w:rFonts w:eastAsia="Times New Roman" w:cs="Times New Roman"/>
                <w:i/>
                <w:color w:val="000000"/>
                <w:sz w:val="18"/>
                <w:szCs w:val="18"/>
                <w:lang w:eastAsia="sk-SK"/>
              </w:rPr>
            </w:pPr>
            <w:r w:rsidRPr="00E20480">
              <w:rPr>
                <w:rFonts w:eastAsia="Times New Roman" w:cs="Times New Roman"/>
                <w:i/>
                <w:color w:val="000000"/>
                <w:sz w:val="18"/>
                <w:szCs w:val="18"/>
                <w:lang w:eastAsia="sk-SK"/>
              </w:rPr>
              <w:t xml:space="preserve">     daň z príjmov vyberaná zrážkou</w:t>
            </w:r>
          </w:p>
        </w:tc>
        <w:tc>
          <w:tcPr>
            <w:tcW w:w="1134" w:type="dxa"/>
            <w:tcBorders>
              <w:top w:val="nil"/>
              <w:left w:val="nil"/>
              <w:bottom w:val="nil"/>
              <w:right w:val="nil"/>
            </w:tcBorders>
            <w:shd w:val="clear" w:color="auto" w:fill="auto"/>
            <w:noWrap/>
            <w:vAlign w:val="center"/>
            <w:hideMark/>
          </w:tcPr>
          <w:p w14:paraId="75B1F1F1" w14:textId="77777777" w:rsidR="004967E3" w:rsidRPr="00E20480" w:rsidRDefault="004967E3" w:rsidP="004967E3">
            <w:pPr>
              <w:spacing w:after="0" w:line="240" w:lineRule="auto"/>
              <w:contextualSpacing/>
              <w:jc w:val="right"/>
              <w:rPr>
                <w:rFonts w:eastAsia="Times New Roman" w:cs="Times New Roman"/>
                <w:i/>
                <w:color w:val="FF0000"/>
                <w:sz w:val="18"/>
                <w:szCs w:val="18"/>
                <w:lang w:eastAsia="sk-SK"/>
              </w:rPr>
            </w:pPr>
            <w:r w:rsidRPr="00E20480">
              <w:rPr>
                <w:rFonts w:eastAsia="Calibri" w:cs="Times New Roman"/>
                <w:color w:val="000000"/>
                <w:sz w:val="18"/>
                <w:szCs w:val="18"/>
              </w:rPr>
              <w:t>209 170</w:t>
            </w:r>
          </w:p>
        </w:tc>
        <w:tc>
          <w:tcPr>
            <w:tcW w:w="1134" w:type="dxa"/>
            <w:tcBorders>
              <w:top w:val="nil"/>
              <w:left w:val="nil"/>
              <w:bottom w:val="nil"/>
              <w:right w:val="nil"/>
            </w:tcBorders>
            <w:shd w:val="clear" w:color="auto" w:fill="auto"/>
            <w:noWrap/>
            <w:vAlign w:val="center"/>
            <w:hideMark/>
          </w:tcPr>
          <w:p w14:paraId="469B9985" w14:textId="77777777" w:rsidR="004967E3" w:rsidRPr="00E20480" w:rsidRDefault="004967E3" w:rsidP="004967E3">
            <w:pPr>
              <w:spacing w:after="0" w:line="240" w:lineRule="auto"/>
              <w:contextualSpacing/>
              <w:jc w:val="right"/>
              <w:rPr>
                <w:rFonts w:eastAsia="Times New Roman" w:cs="Times New Roman"/>
                <w:i/>
                <w:color w:val="FF0000"/>
                <w:sz w:val="18"/>
                <w:szCs w:val="18"/>
                <w:lang w:eastAsia="sk-SK"/>
              </w:rPr>
            </w:pPr>
            <w:r w:rsidRPr="00E20480">
              <w:rPr>
                <w:rFonts w:eastAsia="Calibri" w:cs="Times New Roman"/>
                <w:color w:val="000000"/>
                <w:sz w:val="18"/>
                <w:szCs w:val="18"/>
              </w:rPr>
              <w:t>245 615</w:t>
            </w:r>
          </w:p>
        </w:tc>
        <w:tc>
          <w:tcPr>
            <w:tcW w:w="960" w:type="dxa"/>
            <w:tcBorders>
              <w:top w:val="nil"/>
              <w:left w:val="nil"/>
              <w:bottom w:val="nil"/>
              <w:right w:val="nil"/>
            </w:tcBorders>
            <w:shd w:val="clear" w:color="auto" w:fill="auto"/>
            <w:noWrap/>
            <w:vAlign w:val="center"/>
          </w:tcPr>
          <w:p w14:paraId="5A5D5D9B" w14:textId="77777777" w:rsidR="004967E3" w:rsidRPr="00E20480" w:rsidRDefault="004967E3" w:rsidP="004967E3">
            <w:pPr>
              <w:spacing w:after="0" w:line="240" w:lineRule="auto"/>
              <w:contextualSpacing/>
              <w:jc w:val="right"/>
              <w:rPr>
                <w:rFonts w:eastAsia="Times New Roman" w:cs="Times New Roman"/>
                <w:i/>
                <w:color w:val="FF0000"/>
                <w:sz w:val="18"/>
                <w:szCs w:val="18"/>
                <w:lang w:eastAsia="sk-SK"/>
              </w:rPr>
            </w:pPr>
            <w:r w:rsidRPr="00E20480">
              <w:rPr>
                <w:rFonts w:eastAsia="Calibri" w:cs="Times New Roman"/>
                <w:sz w:val="18"/>
                <w:szCs w:val="18"/>
              </w:rPr>
              <w:t>232 870</w:t>
            </w:r>
          </w:p>
        </w:tc>
        <w:tc>
          <w:tcPr>
            <w:tcW w:w="1025" w:type="dxa"/>
            <w:tcBorders>
              <w:top w:val="nil"/>
              <w:left w:val="nil"/>
              <w:bottom w:val="nil"/>
              <w:right w:val="nil"/>
            </w:tcBorders>
            <w:shd w:val="clear" w:color="auto" w:fill="D9D9D9" w:themeFill="background1" w:themeFillShade="D9"/>
            <w:noWrap/>
            <w:vAlign w:val="center"/>
          </w:tcPr>
          <w:p w14:paraId="4ADCD86D" w14:textId="77777777" w:rsidR="004967E3" w:rsidRPr="00E20480" w:rsidRDefault="004967E3" w:rsidP="004967E3">
            <w:pPr>
              <w:spacing w:after="0" w:line="240" w:lineRule="auto"/>
              <w:contextualSpacing/>
              <w:jc w:val="right"/>
              <w:rPr>
                <w:rFonts w:eastAsia="Times New Roman" w:cs="Times New Roman"/>
                <w:i/>
                <w:color w:val="FF0000"/>
                <w:sz w:val="18"/>
                <w:szCs w:val="18"/>
                <w:lang w:eastAsia="sk-SK"/>
              </w:rPr>
            </w:pPr>
            <w:r w:rsidRPr="00E20480">
              <w:rPr>
                <w:rFonts w:eastAsia="Calibri" w:cs="Times New Roman"/>
                <w:sz w:val="18"/>
                <w:szCs w:val="18"/>
              </w:rPr>
              <w:t>235 081</w:t>
            </w:r>
          </w:p>
        </w:tc>
        <w:tc>
          <w:tcPr>
            <w:tcW w:w="850" w:type="dxa"/>
            <w:tcBorders>
              <w:top w:val="nil"/>
              <w:left w:val="nil"/>
              <w:bottom w:val="nil"/>
              <w:right w:val="nil"/>
            </w:tcBorders>
            <w:shd w:val="clear" w:color="000000" w:fill="FFFFFF"/>
            <w:vAlign w:val="center"/>
          </w:tcPr>
          <w:p w14:paraId="1567B4A1" w14:textId="77777777" w:rsidR="004967E3" w:rsidRPr="00E20480" w:rsidRDefault="004967E3" w:rsidP="004967E3">
            <w:pPr>
              <w:spacing w:after="0" w:line="240" w:lineRule="auto"/>
              <w:contextualSpacing/>
              <w:jc w:val="right"/>
              <w:rPr>
                <w:rFonts w:eastAsia="Times New Roman" w:cs="Times New Roman"/>
                <w:i/>
                <w:color w:val="FF0000"/>
                <w:sz w:val="18"/>
                <w:szCs w:val="18"/>
                <w:lang w:eastAsia="sk-SK"/>
              </w:rPr>
            </w:pPr>
            <w:r w:rsidRPr="00E20480">
              <w:rPr>
                <w:rFonts w:eastAsia="Calibri" w:cs="Times New Roman"/>
                <w:sz w:val="18"/>
                <w:szCs w:val="18"/>
              </w:rPr>
              <w:t>2 211</w:t>
            </w:r>
          </w:p>
        </w:tc>
        <w:tc>
          <w:tcPr>
            <w:tcW w:w="850" w:type="dxa"/>
            <w:tcBorders>
              <w:top w:val="nil"/>
              <w:left w:val="nil"/>
              <w:bottom w:val="nil"/>
              <w:right w:val="nil"/>
            </w:tcBorders>
            <w:shd w:val="clear" w:color="000000" w:fill="FFFFFF"/>
            <w:vAlign w:val="center"/>
          </w:tcPr>
          <w:p w14:paraId="46892E99" w14:textId="77777777" w:rsidR="004967E3" w:rsidRPr="00E20480" w:rsidRDefault="004967E3" w:rsidP="004967E3">
            <w:pPr>
              <w:spacing w:after="0" w:line="240" w:lineRule="auto"/>
              <w:contextualSpacing/>
              <w:jc w:val="right"/>
              <w:rPr>
                <w:rFonts w:eastAsia="Times New Roman" w:cs="Times New Roman"/>
                <w:i/>
                <w:color w:val="FF0000"/>
                <w:sz w:val="18"/>
                <w:szCs w:val="18"/>
                <w:lang w:eastAsia="sk-SK"/>
              </w:rPr>
            </w:pPr>
            <w:r w:rsidRPr="00E20480">
              <w:rPr>
                <w:rFonts w:eastAsia="Calibri" w:cs="Times New Roman"/>
                <w:color w:val="000000"/>
                <w:sz w:val="18"/>
                <w:szCs w:val="18"/>
              </w:rPr>
              <w:t>0,9</w:t>
            </w:r>
          </w:p>
        </w:tc>
      </w:tr>
      <w:tr w:rsidR="004967E3" w:rsidRPr="00E20480" w14:paraId="6A67A71A" w14:textId="77777777" w:rsidTr="00E20480">
        <w:trPr>
          <w:trHeight w:val="330"/>
        </w:trPr>
        <w:tc>
          <w:tcPr>
            <w:tcW w:w="3054" w:type="dxa"/>
            <w:tcBorders>
              <w:top w:val="nil"/>
              <w:left w:val="nil"/>
              <w:bottom w:val="nil"/>
              <w:right w:val="nil"/>
            </w:tcBorders>
            <w:shd w:val="clear" w:color="auto" w:fill="auto"/>
            <w:vAlign w:val="center"/>
            <w:hideMark/>
          </w:tcPr>
          <w:p w14:paraId="41CA247A" w14:textId="77777777" w:rsidR="004967E3" w:rsidRPr="00E20480" w:rsidRDefault="004967E3" w:rsidP="004967E3">
            <w:pPr>
              <w:spacing w:after="0" w:line="240" w:lineRule="auto"/>
              <w:contextualSpacing/>
              <w:jc w:val="left"/>
              <w:rPr>
                <w:rFonts w:eastAsia="Times New Roman" w:cs="Times New Roman"/>
                <w:b/>
                <w:color w:val="000000"/>
                <w:sz w:val="18"/>
                <w:szCs w:val="18"/>
                <w:lang w:eastAsia="sk-SK"/>
              </w:rPr>
            </w:pPr>
            <w:r w:rsidRPr="00E20480">
              <w:rPr>
                <w:rFonts w:eastAsia="Times New Roman" w:cs="Times New Roman"/>
                <w:b/>
                <w:color w:val="000000"/>
                <w:sz w:val="18"/>
                <w:szCs w:val="18"/>
                <w:lang w:eastAsia="sk-SK"/>
              </w:rPr>
              <w:t>Dane z medzinárodného obchodu a transakcií</w:t>
            </w:r>
          </w:p>
        </w:tc>
        <w:tc>
          <w:tcPr>
            <w:tcW w:w="1134" w:type="dxa"/>
            <w:tcBorders>
              <w:top w:val="nil"/>
              <w:left w:val="nil"/>
              <w:bottom w:val="nil"/>
              <w:right w:val="nil"/>
            </w:tcBorders>
            <w:shd w:val="clear" w:color="auto" w:fill="auto"/>
            <w:noWrap/>
            <w:vAlign w:val="center"/>
            <w:hideMark/>
          </w:tcPr>
          <w:p w14:paraId="02E62215" w14:textId="77777777" w:rsidR="004967E3" w:rsidRPr="00E20480" w:rsidRDefault="004967E3" w:rsidP="004967E3">
            <w:pPr>
              <w:spacing w:after="0" w:line="240" w:lineRule="auto"/>
              <w:contextualSpacing/>
              <w:jc w:val="right"/>
              <w:rPr>
                <w:rFonts w:eastAsia="Times New Roman" w:cs="Times New Roman"/>
                <w:b/>
                <w:color w:val="000000"/>
                <w:sz w:val="18"/>
                <w:szCs w:val="18"/>
                <w:lang w:eastAsia="sk-SK"/>
              </w:rPr>
            </w:pPr>
            <w:r w:rsidRPr="00E20480">
              <w:rPr>
                <w:rFonts w:eastAsia="Times New Roman" w:cs="Times New Roman"/>
                <w:b/>
                <w:color w:val="000000"/>
                <w:sz w:val="18"/>
                <w:szCs w:val="18"/>
                <w:lang w:eastAsia="sk-SK"/>
              </w:rPr>
              <w:t>23 365</w:t>
            </w:r>
          </w:p>
        </w:tc>
        <w:tc>
          <w:tcPr>
            <w:tcW w:w="1134" w:type="dxa"/>
            <w:tcBorders>
              <w:top w:val="nil"/>
              <w:left w:val="nil"/>
              <w:bottom w:val="nil"/>
              <w:right w:val="nil"/>
            </w:tcBorders>
            <w:shd w:val="clear" w:color="auto" w:fill="auto"/>
            <w:noWrap/>
            <w:vAlign w:val="center"/>
            <w:hideMark/>
          </w:tcPr>
          <w:p w14:paraId="51B6373A" w14:textId="77777777" w:rsidR="004967E3" w:rsidRPr="00E20480" w:rsidRDefault="004967E3" w:rsidP="004967E3">
            <w:pPr>
              <w:spacing w:after="0" w:line="240" w:lineRule="auto"/>
              <w:contextualSpacing/>
              <w:jc w:val="right"/>
              <w:rPr>
                <w:rFonts w:eastAsia="Times New Roman" w:cs="Times New Roman"/>
                <w:b/>
                <w:color w:val="000000"/>
                <w:sz w:val="18"/>
                <w:szCs w:val="18"/>
                <w:lang w:eastAsia="sk-SK"/>
              </w:rPr>
            </w:pPr>
            <w:r w:rsidRPr="00E20480">
              <w:rPr>
                <w:rFonts w:eastAsia="Times New Roman" w:cs="Times New Roman"/>
                <w:b/>
                <w:color w:val="000000"/>
                <w:sz w:val="18"/>
                <w:szCs w:val="18"/>
                <w:lang w:eastAsia="sk-SK"/>
              </w:rPr>
              <w:t>21 079</w:t>
            </w:r>
          </w:p>
        </w:tc>
        <w:tc>
          <w:tcPr>
            <w:tcW w:w="960" w:type="dxa"/>
            <w:tcBorders>
              <w:top w:val="nil"/>
              <w:left w:val="nil"/>
              <w:bottom w:val="nil"/>
              <w:right w:val="nil"/>
            </w:tcBorders>
            <w:shd w:val="clear" w:color="auto" w:fill="auto"/>
            <w:noWrap/>
            <w:vAlign w:val="center"/>
          </w:tcPr>
          <w:p w14:paraId="56717D5E" w14:textId="77777777" w:rsidR="004967E3" w:rsidRPr="00E20480" w:rsidRDefault="004967E3" w:rsidP="004967E3">
            <w:pPr>
              <w:spacing w:after="0" w:line="240" w:lineRule="auto"/>
              <w:contextualSpacing/>
              <w:jc w:val="right"/>
              <w:rPr>
                <w:rFonts w:eastAsia="Times New Roman" w:cs="Times New Roman"/>
                <w:b/>
                <w:color w:val="000000"/>
                <w:sz w:val="18"/>
                <w:szCs w:val="18"/>
                <w:lang w:eastAsia="sk-SK"/>
              </w:rPr>
            </w:pPr>
            <w:r w:rsidRPr="00E20480">
              <w:rPr>
                <w:rFonts w:eastAsia="Times New Roman" w:cs="Times New Roman"/>
                <w:b/>
                <w:color w:val="000000"/>
                <w:sz w:val="18"/>
                <w:szCs w:val="18"/>
                <w:lang w:eastAsia="sk-SK"/>
              </w:rPr>
              <w:t>20 408</w:t>
            </w:r>
          </w:p>
        </w:tc>
        <w:tc>
          <w:tcPr>
            <w:tcW w:w="1025" w:type="dxa"/>
            <w:tcBorders>
              <w:top w:val="nil"/>
              <w:left w:val="nil"/>
              <w:right w:val="nil"/>
            </w:tcBorders>
            <w:shd w:val="clear" w:color="auto" w:fill="D9D9D9" w:themeFill="background1" w:themeFillShade="D9"/>
            <w:noWrap/>
            <w:vAlign w:val="center"/>
          </w:tcPr>
          <w:p w14:paraId="5AE37310" w14:textId="77777777" w:rsidR="004967E3" w:rsidRPr="00E20480" w:rsidRDefault="004967E3" w:rsidP="004967E3">
            <w:pPr>
              <w:spacing w:after="0" w:line="240" w:lineRule="auto"/>
              <w:contextualSpacing/>
              <w:jc w:val="right"/>
              <w:rPr>
                <w:rFonts w:eastAsia="Times New Roman" w:cs="Times New Roman"/>
                <w:b/>
                <w:color w:val="000000"/>
                <w:sz w:val="18"/>
                <w:szCs w:val="18"/>
                <w:lang w:eastAsia="sk-SK"/>
              </w:rPr>
            </w:pPr>
            <w:r w:rsidRPr="00E20480">
              <w:rPr>
                <w:rFonts w:eastAsia="Times New Roman" w:cs="Times New Roman"/>
                <w:b/>
                <w:color w:val="000000"/>
                <w:sz w:val="18"/>
                <w:szCs w:val="18"/>
                <w:lang w:eastAsia="sk-SK"/>
              </w:rPr>
              <w:t>19 904</w:t>
            </w:r>
          </w:p>
        </w:tc>
        <w:tc>
          <w:tcPr>
            <w:tcW w:w="850" w:type="dxa"/>
            <w:tcBorders>
              <w:top w:val="nil"/>
              <w:left w:val="nil"/>
              <w:right w:val="nil"/>
            </w:tcBorders>
            <w:shd w:val="clear" w:color="000000" w:fill="FFFFFF"/>
            <w:vAlign w:val="center"/>
          </w:tcPr>
          <w:p w14:paraId="62C20693" w14:textId="77777777" w:rsidR="004967E3" w:rsidRPr="00E20480" w:rsidRDefault="004967E3" w:rsidP="004967E3">
            <w:pPr>
              <w:spacing w:after="0" w:line="240" w:lineRule="auto"/>
              <w:contextualSpacing/>
              <w:jc w:val="right"/>
              <w:rPr>
                <w:rFonts w:eastAsia="Times New Roman" w:cs="Times New Roman"/>
                <w:b/>
                <w:color w:val="000000"/>
                <w:sz w:val="18"/>
                <w:szCs w:val="18"/>
                <w:lang w:eastAsia="sk-SK"/>
              </w:rPr>
            </w:pPr>
            <w:r w:rsidRPr="00E20480">
              <w:rPr>
                <w:rFonts w:eastAsia="Times New Roman" w:cs="Times New Roman"/>
                <w:b/>
                <w:color w:val="000000"/>
                <w:sz w:val="18"/>
                <w:szCs w:val="18"/>
                <w:lang w:eastAsia="sk-SK"/>
              </w:rPr>
              <w:t>-504</w:t>
            </w:r>
          </w:p>
        </w:tc>
        <w:tc>
          <w:tcPr>
            <w:tcW w:w="850" w:type="dxa"/>
            <w:tcBorders>
              <w:top w:val="nil"/>
              <w:left w:val="nil"/>
              <w:right w:val="nil"/>
            </w:tcBorders>
            <w:shd w:val="clear" w:color="000000" w:fill="FFFFFF"/>
            <w:vAlign w:val="center"/>
          </w:tcPr>
          <w:p w14:paraId="48832678" w14:textId="77777777" w:rsidR="004967E3" w:rsidRPr="00E20480" w:rsidRDefault="004967E3" w:rsidP="004967E3">
            <w:pPr>
              <w:spacing w:after="0" w:line="240" w:lineRule="auto"/>
              <w:contextualSpacing/>
              <w:jc w:val="right"/>
              <w:rPr>
                <w:rFonts w:eastAsia="Times New Roman" w:cs="Times New Roman"/>
                <w:b/>
                <w:color w:val="000000"/>
                <w:sz w:val="18"/>
                <w:szCs w:val="18"/>
                <w:lang w:eastAsia="sk-SK"/>
              </w:rPr>
            </w:pPr>
            <w:r w:rsidRPr="00E20480">
              <w:rPr>
                <w:rFonts w:eastAsia="Times New Roman" w:cs="Times New Roman"/>
                <w:b/>
                <w:color w:val="000000"/>
                <w:sz w:val="18"/>
                <w:szCs w:val="18"/>
                <w:lang w:eastAsia="sk-SK"/>
              </w:rPr>
              <w:t>-2,5</w:t>
            </w:r>
          </w:p>
        </w:tc>
      </w:tr>
      <w:tr w:rsidR="004967E3" w:rsidRPr="00E20480" w14:paraId="377D3154" w14:textId="77777777" w:rsidTr="00E20480">
        <w:trPr>
          <w:trHeight w:val="330"/>
        </w:trPr>
        <w:tc>
          <w:tcPr>
            <w:tcW w:w="3054" w:type="dxa"/>
            <w:tcBorders>
              <w:top w:val="nil"/>
              <w:left w:val="nil"/>
              <w:right w:val="nil"/>
            </w:tcBorders>
            <w:shd w:val="clear" w:color="auto" w:fill="auto"/>
            <w:noWrap/>
            <w:vAlign w:val="center"/>
          </w:tcPr>
          <w:p w14:paraId="258284A9" w14:textId="77777777" w:rsidR="004967E3" w:rsidRPr="00E20480" w:rsidRDefault="004967E3" w:rsidP="004967E3">
            <w:pPr>
              <w:spacing w:after="0" w:line="240" w:lineRule="auto"/>
              <w:contextualSpacing/>
              <w:jc w:val="left"/>
              <w:rPr>
                <w:rFonts w:eastAsia="Times New Roman" w:cs="Times New Roman"/>
                <w:b/>
                <w:color w:val="000000"/>
                <w:sz w:val="18"/>
                <w:szCs w:val="18"/>
                <w:lang w:eastAsia="sk-SK"/>
              </w:rPr>
            </w:pPr>
            <w:r w:rsidRPr="00E20480">
              <w:rPr>
                <w:rFonts w:eastAsia="Times New Roman" w:cs="Times New Roman"/>
                <w:b/>
                <w:color w:val="000000"/>
                <w:sz w:val="18"/>
                <w:szCs w:val="18"/>
                <w:lang w:eastAsia="sk-SK"/>
              </w:rPr>
              <w:t>Ostatné dane</w:t>
            </w:r>
          </w:p>
        </w:tc>
        <w:tc>
          <w:tcPr>
            <w:tcW w:w="1134" w:type="dxa"/>
            <w:tcBorders>
              <w:top w:val="nil"/>
              <w:left w:val="nil"/>
              <w:right w:val="nil"/>
            </w:tcBorders>
            <w:shd w:val="clear" w:color="auto" w:fill="auto"/>
            <w:noWrap/>
            <w:vAlign w:val="center"/>
          </w:tcPr>
          <w:p w14:paraId="1B2816AC" w14:textId="77777777" w:rsidR="004967E3" w:rsidRPr="00E20480" w:rsidRDefault="004967E3" w:rsidP="004967E3">
            <w:pPr>
              <w:spacing w:after="0" w:line="240" w:lineRule="auto"/>
              <w:contextualSpacing/>
              <w:jc w:val="right"/>
              <w:rPr>
                <w:rFonts w:eastAsia="Times New Roman" w:cs="Times New Roman"/>
                <w:b/>
                <w:color w:val="000000"/>
                <w:sz w:val="18"/>
                <w:szCs w:val="18"/>
                <w:lang w:eastAsia="sk-SK"/>
              </w:rPr>
            </w:pPr>
            <w:r w:rsidRPr="00E20480">
              <w:rPr>
                <w:rFonts w:eastAsia="Times New Roman" w:cs="Times New Roman"/>
                <w:b/>
                <w:color w:val="000000"/>
                <w:sz w:val="18"/>
                <w:szCs w:val="18"/>
                <w:lang w:eastAsia="sk-SK"/>
              </w:rPr>
              <w:t>-8 818</w:t>
            </w:r>
          </w:p>
        </w:tc>
        <w:tc>
          <w:tcPr>
            <w:tcW w:w="1134" w:type="dxa"/>
            <w:tcBorders>
              <w:top w:val="nil"/>
              <w:left w:val="nil"/>
              <w:right w:val="nil"/>
            </w:tcBorders>
            <w:shd w:val="clear" w:color="auto" w:fill="auto"/>
            <w:noWrap/>
            <w:vAlign w:val="center"/>
          </w:tcPr>
          <w:p w14:paraId="6BFA7EB4" w14:textId="77777777" w:rsidR="004967E3" w:rsidRPr="00E20480" w:rsidRDefault="004967E3" w:rsidP="004967E3">
            <w:pPr>
              <w:spacing w:after="0" w:line="240" w:lineRule="auto"/>
              <w:contextualSpacing/>
              <w:jc w:val="right"/>
              <w:rPr>
                <w:rFonts w:eastAsia="Times New Roman" w:cs="Times New Roman"/>
                <w:b/>
                <w:color w:val="000000"/>
                <w:sz w:val="18"/>
                <w:szCs w:val="18"/>
                <w:lang w:eastAsia="sk-SK"/>
              </w:rPr>
            </w:pPr>
            <w:r w:rsidRPr="00E20480">
              <w:rPr>
                <w:rFonts w:eastAsia="Times New Roman" w:cs="Times New Roman"/>
                <w:b/>
                <w:color w:val="000000"/>
                <w:sz w:val="18"/>
                <w:szCs w:val="18"/>
                <w:lang w:eastAsia="sk-SK"/>
              </w:rPr>
              <w:t>-895</w:t>
            </w:r>
          </w:p>
        </w:tc>
        <w:tc>
          <w:tcPr>
            <w:tcW w:w="960" w:type="dxa"/>
            <w:tcBorders>
              <w:top w:val="nil"/>
              <w:left w:val="nil"/>
              <w:right w:val="nil"/>
            </w:tcBorders>
            <w:shd w:val="clear" w:color="auto" w:fill="auto"/>
            <w:noWrap/>
            <w:vAlign w:val="center"/>
          </w:tcPr>
          <w:p w14:paraId="03DB9E67" w14:textId="77777777" w:rsidR="004967E3" w:rsidRPr="00E20480" w:rsidRDefault="004967E3" w:rsidP="004967E3">
            <w:pPr>
              <w:spacing w:after="0" w:line="240" w:lineRule="auto"/>
              <w:contextualSpacing/>
              <w:jc w:val="right"/>
              <w:rPr>
                <w:rFonts w:eastAsia="Times New Roman" w:cs="Times New Roman"/>
                <w:b/>
                <w:color w:val="000000"/>
                <w:sz w:val="18"/>
                <w:szCs w:val="18"/>
                <w:lang w:eastAsia="sk-SK"/>
              </w:rPr>
            </w:pPr>
            <w:r w:rsidRPr="00E20480">
              <w:rPr>
                <w:rFonts w:eastAsia="Times New Roman" w:cs="Times New Roman"/>
                <w:b/>
                <w:color w:val="000000"/>
                <w:sz w:val="18"/>
                <w:szCs w:val="18"/>
                <w:lang w:eastAsia="sk-SK"/>
              </w:rPr>
              <w:t>-1 313</w:t>
            </w:r>
          </w:p>
        </w:tc>
        <w:tc>
          <w:tcPr>
            <w:tcW w:w="1025" w:type="dxa"/>
            <w:tcBorders>
              <w:top w:val="nil"/>
              <w:left w:val="nil"/>
              <w:right w:val="nil"/>
            </w:tcBorders>
            <w:shd w:val="clear" w:color="auto" w:fill="D9D9D9" w:themeFill="background1" w:themeFillShade="D9"/>
            <w:noWrap/>
            <w:vAlign w:val="center"/>
          </w:tcPr>
          <w:p w14:paraId="1B58952F" w14:textId="77777777" w:rsidR="004967E3" w:rsidRPr="00E20480" w:rsidRDefault="004967E3" w:rsidP="004967E3">
            <w:pPr>
              <w:spacing w:after="0" w:line="240" w:lineRule="auto"/>
              <w:contextualSpacing/>
              <w:jc w:val="right"/>
              <w:rPr>
                <w:rFonts w:eastAsia="Times New Roman" w:cs="Times New Roman"/>
                <w:b/>
                <w:color w:val="000000"/>
                <w:sz w:val="18"/>
                <w:szCs w:val="18"/>
                <w:lang w:eastAsia="sk-SK"/>
              </w:rPr>
            </w:pPr>
            <w:r w:rsidRPr="00E20480">
              <w:rPr>
                <w:rFonts w:eastAsia="Times New Roman" w:cs="Times New Roman"/>
                <w:b/>
                <w:color w:val="000000"/>
                <w:sz w:val="18"/>
                <w:szCs w:val="18"/>
                <w:lang w:eastAsia="sk-SK"/>
              </w:rPr>
              <w:t>-1 312</w:t>
            </w:r>
          </w:p>
        </w:tc>
        <w:tc>
          <w:tcPr>
            <w:tcW w:w="850" w:type="dxa"/>
            <w:tcBorders>
              <w:top w:val="nil"/>
              <w:left w:val="nil"/>
              <w:right w:val="nil"/>
            </w:tcBorders>
            <w:shd w:val="clear" w:color="auto" w:fill="auto"/>
            <w:noWrap/>
            <w:vAlign w:val="center"/>
          </w:tcPr>
          <w:p w14:paraId="305FF5A8" w14:textId="77777777" w:rsidR="004967E3" w:rsidRPr="00E20480" w:rsidRDefault="004967E3" w:rsidP="004967E3">
            <w:pPr>
              <w:spacing w:after="0" w:line="240" w:lineRule="auto"/>
              <w:contextualSpacing/>
              <w:jc w:val="right"/>
              <w:rPr>
                <w:rFonts w:eastAsia="Times New Roman" w:cs="Times New Roman"/>
                <w:b/>
                <w:color w:val="000000"/>
                <w:sz w:val="18"/>
                <w:szCs w:val="18"/>
                <w:lang w:eastAsia="sk-SK"/>
              </w:rPr>
            </w:pPr>
            <w:r w:rsidRPr="00E20480">
              <w:rPr>
                <w:rFonts w:eastAsia="Times New Roman" w:cs="Times New Roman"/>
                <w:b/>
                <w:color w:val="000000"/>
                <w:sz w:val="18"/>
                <w:szCs w:val="18"/>
                <w:lang w:eastAsia="sk-SK"/>
              </w:rPr>
              <w:t>1</w:t>
            </w:r>
          </w:p>
        </w:tc>
        <w:tc>
          <w:tcPr>
            <w:tcW w:w="850" w:type="dxa"/>
            <w:tcBorders>
              <w:top w:val="nil"/>
              <w:left w:val="nil"/>
              <w:right w:val="nil"/>
            </w:tcBorders>
            <w:shd w:val="clear" w:color="000000" w:fill="FFFFFF"/>
            <w:vAlign w:val="center"/>
          </w:tcPr>
          <w:p w14:paraId="6C5FEFBE" w14:textId="77777777" w:rsidR="004967E3" w:rsidRPr="00E20480" w:rsidRDefault="004967E3" w:rsidP="004967E3">
            <w:pPr>
              <w:spacing w:after="0" w:line="240" w:lineRule="auto"/>
              <w:contextualSpacing/>
              <w:jc w:val="right"/>
              <w:rPr>
                <w:rFonts w:eastAsia="Times New Roman" w:cs="Times New Roman"/>
                <w:b/>
                <w:color w:val="000000"/>
                <w:sz w:val="18"/>
                <w:szCs w:val="18"/>
                <w:lang w:eastAsia="sk-SK"/>
              </w:rPr>
            </w:pPr>
            <w:r w:rsidRPr="00E20480">
              <w:rPr>
                <w:rFonts w:eastAsia="Times New Roman" w:cs="Times New Roman"/>
                <w:b/>
                <w:color w:val="000000"/>
                <w:sz w:val="18"/>
                <w:szCs w:val="18"/>
                <w:lang w:eastAsia="sk-SK"/>
              </w:rPr>
              <w:t>-0,1</w:t>
            </w:r>
          </w:p>
        </w:tc>
      </w:tr>
      <w:tr w:rsidR="004967E3" w:rsidRPr="00E20480" w14:paraId="680C637A" w14:textId="77777777" w:rsidTr="00E20480">
        <w:trPr>
          <w:trHeight w:val="330"/>
        </w:trPr>
        <w:tc>
          <w:tcPr>
            <w:tcW w:w="3054" w:type="dxa"/>
            <w:tcBorders>
              <w:top w:val="nil"/>
              <w:left w:val="nil"/>
              <w:bottom w:val="nil"/>
              <w:right w:val="nil"/>
            </w:tcBorders>
            <w:shd w:val="clear" w:color="auto" w:fill="auto"/>
            <w:noWrap/>
            <w:vAlign w:val="center"/>
            <w:hideMark/>
          </w:tcPr>
          <w:p w14:paraId="58DA2D2B" w14:textId="77777777" w:rsidR="004967E3" w:rsidRPr="00E20480" w:rsidRDefault="004967E3" w:rsidP="004967E3">
            <w:pPr>
              <w:spacing w:after="0" w:line="240" w:lineRule="auto"/>
              <w:contextualSpacing/>
              <w:jc w:val="left"/>
              <w:rPr>
                <w:rFonts w:eastAsia="Times New Roman" w:cs="Times New Roman"/>
                <w:b/>
                <w:color w:val="000000"/>
                <w:sz w:val="18"/>
                <w:szCs w:val="18"/>
                <w:lang w:eastAsia="sk-SK"/>
              </w:rPr>
            </w:pPr>
            <w:r w:rsidRPr="00E20480">
              <w:rPr>
                <w:rFonts w:eastAsia="Times New Roman" w:cs="Times New Roman"/>
                <w:b/>
                <w:color w:val="000000"/>
                <w:sz w:val="18"/>
                <w:szCs w:val="18"/>
                <w:lang w:eastAsia="sk-SK"/>
              </w:rPr>
              <w:t>Sankcie uložené v daňovom konaní</w:t>
            </w:r>
          </w:p>
        </w:tc>
        <w:tc>
          <w:tcPr>
            <w:tcW w:w="1134" w:type="dxa"/>
            <w:tcBorders>
              <w:top w:val="nil"/>
              <w:left w:val="nil"/>
              <w:bottom w:val="nil"/>
              <w:right w:val="nil"/>
            </w:tcBorders>
            <w:shd w:val="clear" w:color="auto" w:fill="auto"/>
            <w:noWrap/>
            <w:vAlign w:val="center"/>
            <w:hideMark/>
          </w:tcPr>
          <w:p w14:paraId="4503B9AA" w14:textId="77777777" w:rsidR="004967E3" w:rsidRPr="00E20480" w:rsidRDefault="004967E3" w:rsidP="004967E3">
            <w:pPr>
              <w:spacing w:after="0" w:line="240" w:lineRule="auto"/>
              <w:contextualSpacing/>
              <w:jc w:val="right"/>
              <w:rPr>
                <w:rFonts w:eastAsia="Times New Roman" w:cs="Times New Roman"/>
                <w:b/>
                <w:color w:val="000000"/>
                <w:sz w:val="18"/>
                <w:szCs w:val="18"/>
                <w:lang w:eastAsia="sk-SK"/>
              </w:rPr>
            </w:pPr>
            <w:r w:rsidRPr="00E20480">
              <w:rPr>
                <w:rFonts w:eastAsia="Times New Roman" w:cs="Times New Roman"/>
                <w:b/>
                <w:color w:val="000000"/>
                <w:sz w:val="18"/>
                <w:szCs w:val="18"/>
                <w:lang w:eastAsia="sk-SK"/>
              </w:rPr>
              <w:t>16 204</w:t>
            </w:r>
          </w:p>
        </w:tc>
        <w:tc>
          <w:tcPr>
            <w:tcW w:w="1134" w:type="dxa"/>
            <w:tcBorders>
              <w:top w:val="nil"/>
              <w:left w:val="nil"/>
              <w:bottom w:val="nil"/>
              <w:right w:val="nil"/>
            </w:tcBorders>
            <w:shd w:val="clear" w:color="auto" w:fill="auto"/>
            <w:noWrap/>
            <w:vAlign w:val="center"/>
            <w:hideMark/>
          </w:tcPr>
          <w:p w14:paraId="3AF68FF1" w14:textId="77777777" w:rsidR="004967E3" w:rsidRPr="00E20480" w:rsidRDefault="004967E3" w:rsidP="004967E3">
            <w:pPr>
              <w:spacing w:after="0" w:line="240" w:lineRule="auto"/>
              <w:contextualSpacing/>
              <w:jc w:val="right"/>
              <w:rPr>
                <w:rFonts w:eastAsia="Times New Roman" w:cs="Times New Roman"/>
                <w:b/>
                <w:color w:val="000000"/>
                <w:sz w:val="18"/>
                <w:szCs w:val="18"/>
                <w:lang w:eastAsia="sk-SK"/>
              </w:rPr>
            </w:pPr>
            <w:r w:rsidRPr="00E20480">
              <w:rPr>
                <w:rFonts w:eastAsia="Times New Roman" w:cs="Times New Roman"/>
                <w:b/>
                <w:color w:val="000000"/>
                <w:sz w:val="18"/>
                <w:szCs w:val="18"/>
                <w:lang w:eastAsia="sk-SK"/>
              </w:rPr>
              <w:t>24 267</w:t>
            </w:r>
          </w:p>
        </w:tc>
        <w:tc>
          <w:tcPr>
            <w:tcW w:w="960" w:type="dxa"/>
            <w:tcBorders>
              <w:top w:val="nil"/>
              <w:left w:val="nil"/>
              <w:bottom w:val="nil"/>
              <w:right w:val="nil"/>
            </w:tcBorders>
            <w:shd w:val="clear" w:color="auto" w:fill="auto"/>
            <w:noWrap/>
            <w:vAlign w:val="center"/>
          </w:tcPr>
          <w:p w14:paraId="1FFCDA95" w14:textId="77777777" w:rsidR="004967E3" w:rsidRPr="00E20480" w:rsidRDefault="004967E3" w:rsidP="004967E3">
            <w:pPr>
              <w:spacing w:after="0" w:line="240" w:lineRule="auto"/>
              <w:contextualSpacing/>
              <w:jc w:val="right"/>
              <w:rPr>
                <w:rFonts w:eastAsia="Times New Roman" w:cs="Times New Roman"/>
                <w:b/>
                <w:color w:val="000000"/>
                <w:sz w:val="18"/>
                <w:szCs w:val="18"/>
                <w:lang w:eastAsia="sk-SK"/>
              </w:rPr>
            </w:pPr>
            <w:r w:rsidRPr="00E20480">
              <w:rPr>
                <w:rFonts w:eastAsia="Times New Roman" w:cs="Times New Roman"/>
                <w:b/>
                <w:color w:val="000000"/>
                <w:sz w:val="18"/>
                <w:szCs w:val="18"/>
                <w:lang w:eastAsia="sk-SK"/>
              </w:rPr>
              <w:t>17 162</w:t>
            </w:r>
          </w:p>
        </w:tc>
        <w:tc>
          <w:tcPr>
            <w:tcW w:w="1025" w:type="dxa"/>
            <w:tcBorders>
              <w:left w:val="nil"/>
              <w:bottom w:val="nil"/>
              <w:right w:val="nil"/>
            </w:tcBorders>
            <w:shd w:val="clear" w:color="auto" w:fill="D9D9D9" w:themeFill="background1" w:themeFillShade="D9"/>
            <w:noWrap/>
            <w:vAlign w:val="center"/>
          </w:tcPr>
          <w:p w14:paraId="425A4B4A" w14:textId="77777777" w:rsidR="004967E3" w:rsidRPr="00E20480" w:rsidRDefault="004967E3" w:rsidP="004967E3">
            <w:pPr>
              <w:spacing w:after="0" w:line="240" w:lineRule="auto"/>
              <w:contextualSpacing/>
              <w:jc w:val="right"/>
              <w:rPr>
                <w:rFonts w:eastAsia="Times New Roman" w:cs="Times New Roman"/>
                <w:b/>
                <w:color w:val="000000"/>
                <w:sz w:val="18"/>
                <w:szCs w:val="18"/>
                <w:lang w:eastAsia="sk-SK"/>
              </w:rPr>
            </w:pPr>
            <w:r w:rsidRPr="00E20480">
              <w:rPr>
                <w:rFonts w:eastAsia="Times New Roman" w:cs="Times New Roman"/>
                <w:b/>
                <w:color w:val="000000"/>
                <w:sz w:val="18"/>
                <w:szCs w:val="18"/>
                <w:lang w:eastAsia="sk-SK"/>
              </w:rPr>
              <w:t>16 935</w:t>
            </w:r>
          </w:p>
        </w:tc>
        <w:tc>
          <w:tcPr>
            <w:tcW w:w="850" w:type="dxa"/>
            <w:tcBorders>
              <w:left w:val="nil"/>
              <w:bottom w:val="single" w:sz="4" w:space="0" w:color="auto"/>
              <w:right w:val="nil"/>
            </w:tcBorders>
            <w:shd w:val="clear" w:color="auto" w:fill="auto"/>
            <w:noWrap/>
            <w:vAlign w:val="center"/>
          </w:tcPr>
          <w:p w14:paraId="1D072276" w14:textId="77777777" w:rsidR="004967E3" w:rsidRPr="00E20480" w:rsidRDefault="004967E3" w:rsidP="004967E3">
            <w:pPr>
              <w:spacing w:after="0" w:line="240" w:lineRule="auto"/>
              <w:contextualSpacing/>
              <w:jc w:val="right"/>
              <w:rPr>
                <w:rFonts w:eastAsia="Times New Roman" w:cs="Times New Roman"/>
                <w:b/>
                <w:color w:val="000000"/>
                <w:sz w:val="18"/>
                <w:szCs w:val="18"/>
                <w:lang w:eastAsia="sk-SK"/>
              </w:rPr>
            </w:pPr>
            <w:r w:rsidRPr="00E20480">
              <w:rPr>
                <w:rFonts w:eastAsia="Times New Roman" w:cs="Times New Roman"/>
                <w:b/>
                <w:color w:val="000000"/>
                <w:sz w:val="18"/>
                <w:szCs w:val="18"/>
                <w:lang w:eastAsia="sk-SK"/>
              </w:rPr>
              <w:t>-227</w:t>
            </w:r>
          </w:p>
        </w:tc>
        <w:tc>
          <w:tcPr>
            <w:tcW w:w="850" w:type="dxa"/>
            <w:tcBorders>
              <w:left w:val="nil"/>
              <w:bottom w:val="single" w:sz="4" w:space="0" w:color="auto"/>
              <w:right w:val="nil"/>
            </w:tcBorders>
            <w:shd w:val="clear" w:color="000000" w:fill="FFFFFF"/>
            <w:vAlign w:val="center"/>
          </w:tcPr>
          <w:p w14:paraId="35C1D4C5" w14:textId="77777777" w:rsidR="004967E3" w:rsidRPr="00E20480" w:rsidRDefault="004967E3" w:rsidP="004967E3">
            <w:pPr>
              <w:spacing w:after="0" w:line="240" w:lineRule="auto"/>
              <w:contextualSpacing/>
              <w:jc w:val="right"/>
              <w:rPr>
                <w:rFonts w:eastAsia="Times New Roman" w:cs="Times New Roman"/>
                <w:b/>
                <w:color w:val="000000"/>
                <w:sz w:val="18"/>
                <w:szCs w:val="18"/>
                <w:lang w:eastAsia="sk-SK"/>
              </w:rPr>
            </w:pPr>
            <w:r w:rsidRPr="00E20480">
              <w:rPr>
                <w:rFonts w:eastAsia="Times New Roman" w:cs="Times New Roman"/>
                <w:b/>
                <w:color w:val="000000"/>
                <w:sz w:val="18"/>
                <w:szCs w:val="18"/>
                <w:lang w:eastAsia="sk-SK"/>
              </w:rPr>
              <w:t>-1,3</w:t>
            </w:r>
          </w:p>
        </w:tc>
      </w:tr>
      <w:tr w:rsidR="004967E3" w:rsidRPr="00E20480" w14:paraId="7F805884" w14:textId="77777777" w:rsidTr="00E20480">
        <w:trPr>
          <w:trHeight w:val="345"/>
        </w:trPr>
        <w:tc>
          <w:tcPr>
            <w:tcW w:w="3054" w:type="dxa"/>
            <w:tcBorders>
              <w:top w:val="single" w:sz="4" w:space="0" w:color="auto"/>
              <w:left w:val="nil"/>
              <w:bottom w:val="single" w:sz="8" w:space="0" w:color="auto"/>
              <w:right w:val="nil"/>
            </w:tcBorders>
            <w:shd w:val="clear" w:color="000000" w:fill="FFFFFF"/>
            <w:noWrap/>
            <w:vAlign w:val="center"/>
            <w:hideMark/>
          </w:tcPr>
          <w:p w14:paraId="3E513E53" w14:textId="77777777" w:rsidR="004967E3" w:rsidRPr="00E20480" w:rsidRDefault="004967E3" w:rsidP="004967E3">
            <w:pPr>
              <w:spacing w:after="0" w:line="240" w:lineRule="auto"/>
              <w:contextualSpacing/>
              <w:jc w:val="left"/>
              <w:rPr>
                <w:rFonts w:eastAsia="Times New Roman" w:cs="Times New Roman"/>
                <w:b/>
                <w:color w:val="000000"/>
                <w:sz w:val="18"/>
                <w:szCs w:val="18"/>
                <w:lang w:eastAsia="sk-SK"/>
              </w:rPr>
            </w:pPr>
            <w:r w:rsidRPr="00E20480">
              <w:rPr>
                <w:rFonts w:eastAsia="Times New Roman" w:cs="Times New Roman"/>
                <w:b/>
                <w:color w:val="000000"/>
                <w:sz w:val="18"/>
                <w:szCs w:val="18"/>
                <w:lang w:eastAsia="sk-SK"/>
              </w:rPr>
              <w:t>Spolu</w:t>
            </w:r>
          </w:p>
        </w:tc>
        <w:tc>
          <w:tcPr>
            <w:tcW w:w="1134" w:type="dxa"/>
            <w:tcBorders>
              <w:top w:val="single" w:sz="4" w:space="0" w:color="auto"/>
              <w:left w:val="nil"/>
              <w:bottom w:val="single" w:sz="8" w:space="0" w:color="auto"/>
              <w:right w:val="nil"/>
            </w:tcBorders>
            <w:shd w:val="clear" w:color="000000" w:fill="FFFFFF"/>
            <w:noWrap/>
            <w:vAlign w:val="center"/>
            <w:hideMark/>
          </w:tcPr>
          <w:p w14:paraId="4DD0CB6C" w14:textId="77777777" w:rsidR="004967E3" w:rsidRPr="00E20480" w:rsidRDefault="004967E3" w:rsidP="004967E3">
            <w:pPr>
              <w:spacing w:after="0" w:line="240" w:lineRule="auto"/>
              <w:contextualSpacing/>
              <w:jc w:val="right"/>
              <w:rPr>
                <w:rFonts w:eastAsia="Times New Roman" w:cs="Times New Roman"/>
                <w:b/>
                <w:color w:val="000000"/>
                <w:sz w:val="18"/>
                <w:szCs w:val="18"/>
                <w:lang w:eastAsia="sk-SK"/>
              </w:rPr>
            </w:pPr>
            <w:r w:rsidRPr="00E20480">
              <w:rPr>
                <w:rFonts w:eastAsia="Times New Roman" w:cs="Times New Roman"/>
                <w:b/>
                <w:color w:val="000000"/>
                <w:sz w:val="18"/>
                <w:szCs w:val="18"/>
                <w:lang w:eastAsia="sk-SK"/>
              </w:rPr>
              <w:t>11 965 782</w:t>
            </w:r>
          </w:p>
        </w:tc>
        <w:tc>
          <w:tcPr>
            <w:tcW w:w="1134" w:type="dxa"/>
            <w:tcBorders>
              <w:top w:val="single" w:sz="4" w:space="0" w:color="auto"/>
              <w:left w:val="nil"/>
              <w:bottom w:val="single" w:sz="8" w:space="0" w:color="auto"/>
              <w:right w:val="nil"/>
            </w:tcBorders>
            <w:shd w:val="clear" w:color="000000" w:fill="FFFFFF"/>
            <w:noWrap/>
            <w:vAlign w:val="center"/>
            <w:hideMark/>
          </w:tcPr>
          <w:p w14:paraId="5E18BCD5" w14:textId="77777777" w:rsidR="004967E3" w:rsidRPr="00E20480" w:rsidRDefault="004967E3" w:rsidP="004967E3">
            <w:pPr>
              <w:spacing w:after="0" w:line="240" w:lineRule="auto"/>
              <w:contextualSpacing/>
              <w:jc w:val="right"/>
              <w:rPr>
                <w:rFonts w:eastAsia="Times New Roman" w:cs="Times New Roman"/>
                <w:b/>
                <w:color w:val="000000"/>
                <w:sz w:val="18"/>
                <w:szCs w:val="18"/>
                <w:lang w:eastAsia="sk-SK"/>
              </w:rPr>
            </w:pPr>
            <w:r w:rsidRPr="00E20480">
              <w:rPr>
                <w:rFonts w:eastAsia="Times New Roman" w:cs="Times New Roman"/>
                <w:b/>
                <w:color w:val="000000"/>
                <w:sz w:val="18"/>
                <w:szCs w:val="18"/>
                <w:lang w:eastAsia="sk-SK"/>
              </w:rPr>
              <w:t>12 336 444</w:t>
            </w:r>
          </w:p>
        </w:tc>
        <w:tc>
          <w:tcPr>
            <w:tcW w:w="960" w:type="dxa"/>
            <w:tcBorders>
              <w:top w:val="single" w:sz="4" w:space="0" w:color="auto"/>
              <w:left w:val="nil"/>
              <w:bottom w:val="single" w:sz="8" w:space="0" w:color="auto"/>
              <w:right w:val="nil"/>
            </w:tcBorders>
            <w:shd w:val="clear" w:color="000000" w:fill="FFFFFF"/>
            <w:noWrap/>
            <w:vAlign w:val="center"/>
          </w:tcPr>
          <w:p w14:paraId="761125F8" w14:textId="77777777" w:rsidR="004967E3" w:rsidRPr="00E20480" w:rsidRDefault="004967E3" w:rsidP="004967E3">
            <w:pPr>
              <w:spacing w:after="0" w:line="240" w:lineRule="auto"/>
              <w:contextualSpacing/>
              <w:jc w:val="right"/>
              <w:rPr>
                <w:rFonts w:eastAsia="Times New Roman" w:cs="Times New Roman"/>
                <w:b/>
                <w:color w:val="000000"/>
                <w:sz w:val="18"/>
                <w:szCs w:val="18"/>
                <w:lang w:eastAsia="sk-SK"/>
              </w:rPr>
            </w:pPr>
            <w:r w:rsidRPr="00E20480">
              <w:rPr>
                <w:rFonts w:eastAsia="Times New Roman" w:cs="Times New Roman"/>
                <w:b/>
                <w:color w:val="000000"/>
                <w:sz w:val="18"/>
                <w:szCs w:val="18"/>
                <w:lang w:eastAsia="sk-SK"/>
              </w:rPr>
              <w:t>11 546 644</w:t>
            </w:r>
          </w:p>
        </w:tc>
        <w:tc>
          <w:tcPr>
            <w:tcW w:w="1025" w:type="dxa"/>
            <w:tcBorders>
              <w:top w:val="single" w:sz="4" w:space="0" w:color="auto"/>
              <w:left w:val="nil"/>
              <w:bottom w:val="single" w:sz="8" w:space="0" w:color="auto"/>
              <w:right w:val="nil"/>
            </w:tcBorders>
            <w:shd w:val="clear" w:color="auto" w:fill="D9D9D9" w:themeFill="background1" w:themeFillShade="D9"/>
            <w:noWrap/>
            <w:vAlign w:val="center"/>
          </w:tcPr>
          <w:p w14:paraId="0AEA9F32" w14:textId="77777777" w:rsidR="004967E3" w:rsidRPr="00E20480" w:rsidRDefault="004967E3" w:rsidP="004967E3">
            <w:pPr>
              <w:spacing w:after="0" w:line="240" w:lineRule="auto"/>
              <w:contextualSpacing/>
              <w:jc w:val="right"/>
              <w:rPr>
                <w:rFonts w:eastAsia="Times New Roman" w:cs="Times New Roman"/>
                <w:b/>
                <w:color w:val="000000"/>
                <w:sz w:val="18"/>
                <w:szCs w:val="18"/>
                <w:lang w:eastAsia="sk-SK"/>
              </w:rPr>
            </w:pPr>
            <w:r w:rsidRPr="00E20480">
              <w:rPr>
                <w:rFonts w:eastAsia="Times New Roman" w:cs="Times New Roman"/>
                <w:b/>
                <w:color w:val="000000"/>
                <w:sz w:val="18"/>
                <w:szCs w:val="18"/>
                <w:lang w:eastAsia="sk-SK"/>
              </w:rPr>
              <w:t>11 865 422</w:t>
            </w:r>
          </w:p>
        </w:tc>
        <w:tc>
          <w:tcPr>
            <w:tcW w:w="850" w:type="dxa"/>
            <w:tcBorders>
              <w:top w:val="nil"/>
              <w:left w:val="nil"/>
              <w:bottom w:val="single" w:sz="8" w:space="0" w:color="auto"/>
              <w:right w:val="nil"/>
            </w:tcBorders>
            <w:shd w:val="clear" w:color="000000" w:fill="FFFFFF"/>
            <w:vAlign w:val="center"/>
          </w:tcPr>
          <w:p w14:paraId="65E9FDA1" w14:textId="77777777" w:rsidR="004967E3" w:rsidRPr="00E20480" w:rsidRDefault="004967E3" w:rsidP="004967E3">
            <w:pPr>
              <w:spacing w:after="0" w:line="240" w:lineRule="auto"/>
              <w:contextualSpacing/>
              <w:jc w:val="right"/>
              <w:rPr>
                <w:rFonts w:eastAsia="Times New Roman" w:cs="Times New Roman"/>
                <w:b/>
                <w:color w:val="000000"/>
                <w:sz w:val="18"/>
                <w:szCs w:val="18"/>
                <w:lang w:eastAsia="sk-SK"/>
              </w:rPr>
            </w:pPr>
            <w:r w:rsidRPr="00E20480">
              <w:rPr>
                <w:rFonts w:eastAsia="Times New Roman" w:cs="Times New Roman"/>
                <w:b/>
                <w:color w:val="000000"/>
                <w:sz w:val="18"/>
                <w:szCs w:val="18"/>
                <w:lang w:eastAsia="sk-SK"/>
              </w:rPr>
              <w:t>318 778</w:t>
            </w:r>
          </w:p>
        </w:tc>
        <w:tc>
          <w:tcPr>
            <w:tcW w:w="850" w:type="dxa"/>
            <w:tcBorders>
              <w:top w:val="nil"/>
              <w:left w:val="nil"/>
              <w:bottom w:val="single" w:sz="8" w:space="0" w:color="auto"/>
              <w:right w:val="nil"/>
            </w:tcBorders>
            <w:shd w:val="clear" w:color="000000" w:fill="FFFFFF"/>
            <w:vAlign w:val="center"/>
          </w:tcPr>
          <w:p w14:paraId="5CB3F9BB" w14:textId="77777777" w:rsidR="004967E3" w:rsidRPr="00E20480" w:rsidRDefault="004967E3" w:rsidP="004967E3">
            <w:pPr>
              <w:spacing w:after="0" w:line="240" w:lineRule="auto"/>
              <w:contextualSpacing/>
              <w:jc w:val="right"/>
              <w:rPr>
                <w:rFonts w:eastAsia="Times New Roman" w:cs="Times New Roman"/>
                <w:b/>
                <w:color w:val="000000"/>
                <w:sz w:val="18"/>
                <w:szCs w:val="18"/>
                <w:lang w:eastAsia="sk-SK"/>
              </w:rPr>
            </w:pPr>
            <w:r w:rsidRPr="00E20480">
              <w:rPr>
                <w:rFonts w:eastAsia="Times New Roman" w:cs="Times New Roman"/>
                <w:b/>
                <w:color w:val="000000"/>
                <w:sz w:val="18"/>
                <w:szCs w:val="18"/>
                <w:lang w:eastAsia="sk-SK"/>
              </w:rPr>
              <w:t>2,8</w:t>
            </w:r>
          </w:p>
        </w:tc>
      </w:tr>
    </w:tbl>
    <w:p w14:paraId="31621EAB" w14:textId="77777777" w:rsidR="004967E3" w:rsidRPr="004967E3" w:rsidRDefault="004967E3" w:rsidP="004967E3">
      <w:pPr>
        <w:jc w:val="right"/>
        <w:rPr>
          <w:sz w:val="18"/>
          <w:szCs w:val="18"/>
        </w:rPr>
      </w:pPr>
      <w:r w:rsidRPr="004967E3">
        <w:rPr>
          <w:sz w:val="18"/>
          <w:szCs w:val="18"/>
        </w:rPr>
        <w:t>Zdroj: MF SR</w:t>
      </w:r>
    </w:p>
    <w:p w14:paraId="6FA86F82" w14:textId="77777777" w:rsidR="004967E3" w:rsidRPr="008E6BBC" w:rsidRDefault="004967E3" w:rsidP="001665F3">
      <w:pPr>
        <w:spacing w:line="240" w:lineRule="auto"/>
        <w:rPr>
          <w:sz w:val="24"/>
          <w:szCs w:val="24"/>
        </w:rPr>
      </w:pPr>
      <w:r w:rsidRPr="008E6BBC">
        <w:rPr>
          <w:sz w:val="24"/>
          <w:szCs w:val="24"/>
        </w:rPr>
        <w:t>Tak ako v predchádzajúcich rokoch najvyšší podiel z daňových príjmov pripadá na dane za tovary a služby (78,1 %) a na dane z príjmov a kapitálového majetku (21,6 %).</w:t>
      </w:r>
    </w:p>
    <w:p w14:paraId="2BCAC2AB" w14:textId="59060CFD" w:rsidR="004967E3" w:rsidRPr="008E6BBC" w:rsidRDefault="004967E3" w:rsidP="001665F3">
      <w:pPr>
        <w:spacing w:line="240" w:lineRule="auto"/>
        <w:rPr>
          <w:sz w:val="24"/>
          <w:szCs w:val="24"/>
        </w:rPr>
      </w:pPr>
      <w:r w:rsidRPr="008E6BBC">
        <w:rPr>
          <w:b/>
          <w:sz w:val="24"/>
          <w:szCs w:val="24"/>
        </w:rPr>
        <w:t>Dane za tovary a služby</w:t>
      </w:r>
      <w:r w:rsidRPr="008E6BBC">
        <w:rPr>
          <w:sz w:val="24"/>
          <w:szCs w:val="24"/>
        </w:rPr>
        <w:t xml:space="preserve"> sa rozpočtovali vo výške 8 778 877 tis. eur. Skutočný výnos vo výške 9 268 251 tis. eur je oproti rozpočtu vyšší o 489 374 tis. eur, čo predstavuje plnenie rozpočtu na 105,6 %. V porovnaní s rokom 2019 došlo k pokle</w:t>
      </w:r>
      <w:r w:rsidR="00D2271A">
        <w:rPr>
          <w:sz w:val="24"/>
          <w:szCs w:val="24"/>
        </w:rPr>
        <w:t>su ich hotovostného výnosu o 34 </w:t>
      </w:r>
      <w:r w:rsidRPr="008E6BBC">
        <w:rPr>
          <w:sz w:val="24"/>
          <w:szCs w:val="24"/>
        </w:rPr>
        <w:t>557 tis.</w:t>
      </w:r>
      <w:r w:rsidR="00D2271A">
        <w:rPr>
          <w:sz w:val="24"/>
          <w:szCs w:val="24"/>
        </w:rPr>
        <w:t> </w:t>
      </w:r>
      <w:r w:rsidRPr="008E6BBC">
        <w:rPr>
          <w:sz w:val="24"/>
          <w:szCs w:val="24"/>
        </w:rPr>
        <w:t xml:space="preserve">eur. Nárast </w:t>
      </w:r>
      <w:r w:rsidR="000E4EE1" w:rsidRPr="008E6BBC">
        <w:rPr>
          <w:sz w:val="24"/>
          <w:szCs w:val="24"/>
        </w:rPr>
        <w:t xml:space="preserve">oproti schválenému rozpočtu </w:t>
      </w:r>
      <w:r w:rsidRPr="008E6BBC">
        <w:rPr>
          <w:sz w:val="24"/>
          <w:szCs w:val="24"/>
        </w:rPr>
        <w:t>bol spôsobený najmä vyšším výberom DPH oproti predpokladanému o 430 303 tis. eur, nárastom príjmu</w:t>
      </w:r>
      <w:r w:rsidR="00D2271A">
        <w:rPr>
          <w:sz w:val="24"/>
          <w:szCs w:val="24"/>
        </w:rPr>
        <w:t xml:space="preserve"> spotrebných daní o 53 673 tis. </w:t>
      </w:r>
      <w:r w:rsidRPr="008E6BBC">
        <w:rPr>
          <w:sz w:val="24"/>
          <w:szCs w:val="24"/>
        </w:rPr>
        <w:t>eur, nárastom príjmu z dane z poistenia o 6 809 tis. eur a zároveň poklesom príjmu dane z</w:t>
      </w:r>
      <w:r w:rsidR="00FA0757">
        <w:rPr>
          <w:sz w:val="24"/>
          <w:szCs w:val="24"/>
        </w:rPr>
        <w:t> </w:t>
      </w:r>
      <w:r w:rsidRPr="008E6BBC">
        <w:rPr>
          <w:sz w:val="24"/>
          <w:szCs w:val="24"/>
        </w:rPr>
        <w:t xml:space="preserve">motorových vozidiel o 1 553 tis. eur.  </w:t>
      </w:r>
    </w:p>
    <w:p w14:paraId="1C9AE37A" w14:textId="5D7FED75" w:rsidR="004967E3" w:rsidRPr="008E6BBC" w:rsidRDefault="004967E3" w:rsidP="001665F3">
      <w:pPr>
        <w:spacing w:line="240" w:lineRule="auto"/>
        <w:rPr>
          <w:sz w:val="24"/>
          <w:szCs w:val="24"/>
        </w:rPr>
      </w:pPr>
      <w:r w:rsidRPr="008E6BBC">
        <w:rPr>
          <w:b/>
          <w:sz w:val="24"/>
          <w:szCs w:val="24"/>
        </w:rPr>
        <w:t>Daň z pridanej hodnoty (DPH)</w:t>
      </w:r>
      <w:r w:rsidRPr="008E6BBC">
        <w:rPr>
          <w:sz w:val="24"/>
          <w:szCs w:val="24"/>
        </w:rPr>
        <w:t xml:space="preserve"> sa rozpočtovala sumou 6 361 454 tis. eur a jej skutočný výber vo výške 6 791 757 tis. eur predstavuje plnenie rozpočtu n</w:t>
      </w:r>
      <w:r w:rsidR="00BF67ED" w:rsidRPr="008E6BBC">
        <w:rPr>
          <w:sz w:val="24"/>
          <w:szCs w:val="24"/>
        </w:rPr>
        <w:t>a úrovni 106,8 %. Vyšší výnos v </w:t>
      </w:r>
      <w:r w:rsidRPr="008E6BBC">
        <w:rPr>
          <w:sz w:val="24"/>
          <w:szCs w:val="24"/>
        </w:rPr>
        <w:t>objeme 430 303 tis. eur pramení najmä zo stabilnej spotreby domácností pri udržaní úspešnosti výberu takmer na úrovni roka 2019. Skutočný výnos tejto dane bol v porovnaní s výnosom v</w:t>
      </w:r>
      <w:r w:rsidR="00FA0757">
        <w:rPr>
          <w:sz w:val="24"/>
          <w:szCs w:val="24"/>
        </w:rPr>
        <w:t> </w:t>
      </w:r>
      <w:r w:rsidRPr="008E6BBC">
        <w:rPr>
          <w:sz w:val="24"/>
          <w:szCs w:val="24"/>
        </w:rPr>
        <w:t>roku 2019 vyšší o 63 876 tis. eur.</w:t>
      </w:r>
    </w:p>
    <w:p w14:paraId="7D15927D" w14:textId="51251F7E" w:rsidR="004967E3" w:rsidRPr="008E6BBC" w:rsidRDefault="004967E3" w:rsidP="001665F3">
      <w:pPr>
        <w:spacing w:line="240" w:lineRule="auto"/>
        <w:rPr>
          <w:sz w:val="24"/>
          <w:szCs w:val="24"/>
        </w:rPr>
      </w:pPr>
      <w:r w:rsidRPr="008E6BBC">
        <w:rPr>
          <w:b/>
          <w:sz w:val="24"/>
          <w:szCs w:val="24"/>
        </w:rPr>
        <w:t>Spotrebné dane</w:t>
      </w:r>
      <w:r w:rsidR="006E4112" w:rsidRPr="008E6BBC">
        <w:rPr>
          <w:sz w:val="24"/>
          <w:szCs w:val="24"/>
        </w:rPr>
        <w:t xml:space="preserve"> sa rozpočtovali sumou 2 204 </w:t>
      </w:r>
      <w:r w:rsidRPr="008E6BBC">
        <w:rPr>
          <w:sz w:val="24"/>
          <w:szCs w:val="24"/>
        </w:rPr>
        <w:t>065 tis. eur. Skutočný výnos bol o 53 673 tis. eur vyšší a dosiahol výšku 2 257 738 tis. eur. Výnos všetkých spotrebných daní bol vyšší ako sa predpokladalo pri rozpočte. Súvisí to najmä s vyšším ekonomickým rastom a spotrebou domácností v porovnaní s</w:t>
      </w:r>
      <w:r w:rsidR="00DA251F" w:rsidRPr="008E6BBC">
        <w:rPr>
          <w:sz w:val="24"/>
          <w:szCs w:val="24"/>
        </w:rPr>
        <w:t xml:space="preserve"> konzervatívnymi </w:t>
      </w:r>
      <w:r w:rsidRPr="008E6BBC">
        <w:rPr>
          <w:sz w:val="24"/>
          <w:szCs w:val="24"/>
        </w:rPr>
        <w:t xml:space="preserve">predpokladmi </w:t>
      </w:r>
      <w:r w:rsidR="00DA251F" w:rsidRPr="008E6BBC">
        <w:rPr>
          <w:sz w:val="24"/>
          <w:szCs w:val="24"/>
        </w:rPr>
        <w:t>z dôvodu nepredvídateľného dopadu pandémie.</w:t>
      </w:r>
      <w:r w:rsidRPr="008E6BBC">
        <w:rPr>
          <w:sz w:val="24"/>
          <w:szCs w:val="24"/>
        </w:rPr>
        <w:t xml:space="preserve"> Najväčší rozd</w:t>
      </w:r>
      <w:r w:rsidR="0078085C" w:rsidRPr="008E6BBC">
        <w:rPr>
          <w:sz w:val="24"/>
          <w:szCs w:val="24"/>
        </w:rPr>
        <w:t>iel bol pri minerálnom oleji (o </w:t>
      </w:r>
      <w:r w:rsidRPr="008E6BBC">
        <w:rPr>
          <w:sz w:val="24"/>
          <w:szCs w:val="24"/>
        </w:rPr>
        <w:t>28 865 tis. eur), liehu (10 219 tis. eur) a tabakovýc</w:t>
      </w:r>
      <w:r w:rsidR="0078085C" w:rsidRPr="008E6BBC">
        <w:rPr>
          <w:sz w:val="24"/>
          <w:szCs w:val="24"/>
        </w:rPr>
        <w:t>h výrobkoch (9 697 tis. eur). V </w:t>
      </w:r>
      <w:r w:rsidRPr="008E6BBC">
        <w:rPr>
          <w:sz w:val="24"/>
          <w:szCs w:val="24"/>
        </w:rPr>
        <w:t>porovnaní s rokom 2019 celkový výnos spotrebných daní pokle</w:t>
      </w:r>
      <w:r w:rsidR="00D676D0" w:rsidRPr="008E6BBC">
        <w:rPr>
          <w:sz w:val="24"/>
          <w:szCs w:val="24"/>
        </w:rPr>
        <w:t>sol o 100 009 tis. eur, t. j. </w:t>
      </w:r>
      <w:r w:rsidR="0078085C" w:rsidRPr="008E6BBC">
        <w:rPr>
          <w:sz w:val="24"/>
          <w:szCs w:val="24"/>
        </w:rPr>
        <w:t>o </w:t>
      </w:r>
      <w:r w:rsidRPr="008E6BBC">
        <w:rPr>
          <w:sz w:val="24"/>
          <w:szCs w:val="24"/>
        </w:rPr>
        <w:t>4,2 %.</w:t>
      </w:r>
    </w:p>
    <w:p w14:paraId="3FA1B714" w14:textId="77777777" w:rsidR="004967E3" w:rsidRPr="008E6BBC" w:rsidRDefault="004967E3" w:rsidP="001665F3">
      <w:pPr>
        <w:spacing w:line="240" w:lineRule="auto"/>
        <w:rPr>
          <w:sz w:val="24"/>
          <w:szCs w:val="24"/>
        </w:rPr>
      </w:pPr>
      <w:r w:rsidRPr="008E6BBC">
        <w:rPr>
          <w:b/>
          <w:sz w:val="24"/>
          <w:szCs w:val="24"/>
        </w:rPr>
        <w:t>Dane z používania tovarov a z povolenia na výkon činnosti</w:t>
      </w:r>
      <w:r w:rsidRPr="008E6BBC">
        <w:rPr>
          <w:sz w:val="24"/>
          <w:szCs w:val="24"/>
        </w:rPr>
        <w:t xml:space="preserve"> boli rozpočtované vo výške 142 800 tis. eur. V skutočnosti dosiahli výnos 141 232 tis. eur. Najväčšiu časť týchto daní tvorí daň z motorových vozidiel, ktorá bola rozpočtovaná v sume 142 701 tis. eur. Skutočný výnos bol 141 146 tis. eur. Súčasťou týchto daní je aj daň z úhrad za dobývací priestor (85 tis. eur) a výnos z dobiehajúcej cestnej dane. </w:t>
      </w:r>
    </w:p>
    <w:p w14:paraId="39F942DF" w14:textId="290DBA18" w:rsidR="004967E3" w:rsidRPr="008E6BBC" w:rsidRDefault="004967E3" w:rsidP="001665F3">
      <w:pPr>
        <w:spacing w:line="240" w:lineRule="auto"/>
        <w:rPr>
          <w:sz w:val="24"/>
          <w:szCs w:val="24"/>
        </w:rPr>
      </w:pPr>
      <w:r w:rsidRPr="008E6BBC">
        <w:rPr>
          <w:b/>
          <w:sz w:val="24"/>
          <w:szCs w:val="24"/>
        </w:rPr>
        <w:t>Iné dane za tovary a služby</w:t>
      </w:r>
      <w:r w:rsidRPr="008E6BBC">
        <w:rPr>
          <w:sz w:val="24"/>
          <w:szCs w:val="24"/>
        </w:rPr>
        <w:t xml:space="preserve"> tvoria výnos dane z poistenia</w:t>
      </w:r>
      <w:r w:rsidR="00390238" w:rsidRPr="008E6BBC">
        <w:rPr>
          <w:sz w:val="24"/>
          <w:szCs w:val="24"/>
        </w:rPr>
        <w:t xml:space="preserve"> a výnos z odvodu časti poistného z</w:t>
      </w:r>
      <w:r w:rsidR="00FA0757">
        <w:rPr>
          <w:sz w:val="24"/>
          <w:szCs w:val="24"/>
        </w:rPr>
        <w:t> </w:t>
      </w:r>
      <w:r w:rsidR="00390238" w:rsidRPr="008E6BBC">
        <w:rPr>
          <w:sz w:val="24"/>
          <w:szCs w:val="24"/>
        </w:rPr>
        <w:t>odvetví neživotného poistenia</w:t>
      </w:r>
      <w:r w:rsidRPr="008E6BBC">
        <w:rPr>
          <w:sz w:val="24"/>
          <w:szCs w:val="24"/>
        </w:rPr>
        <w:t>. Výnos dane z poistenia sa rozpočtoval v objeme 69 387 tis. eur, skutočný výnos bol 76 196 tis. eur. Kladný rozdiel vo výške 6 809 tis. eur bol spôsobený lepším vývojom makroprostredia.</w:t>
      </w:r>
      <w:r w:rsidR="00390238" w:rsidRPr="008E6BBC">
        <w:rPr>
          <w:sz w:val="24"/>
          <w:szCs w:val="24"/>
        </w:rPr>
        <w:t xml:space="preserve"> Odvod časti poistného bol k 31.12.2018 zrušený a pre rok 2020 sa rozpočtoval v sume 1 171 tis. eur z dobiehajúcich platieb. V skutočnosti prišli platby v objeme 1 328 tis. eur.</w:t>
      </w:r>
    </w:p>
    <w:p w14:paraId="40FCD7D9" w14:textId="77777777" w:rsidR="004967E3" w:rsidRPr="008E6BBC" w:rsidRDefault="004967E3" w:rsidP="001665F3">
      <w:pPr>
        <w:spacing w:line="240" w:lineRule="auto"/>
        <w:rPr>
          <w:sz w:val="24"/>
          <w:szCs w:val="24"/>
        </w:rPr>
      </w:pPr>
      <w:r w:rsidRPr="008E6BBC">
        <w:rPr>
          <w:b/>
          <w:sz w:val="24"/>
          <w:szCs w:val="24"/>
        </w:rPr>
        <w:t>Dane z príjmov a kapitálového majetku</w:t>
      </w:r>
      <w:r w:rsidRPr="008E6BBC">
        <w:rPr>
          <w:sz w:val="24"/>
          <w:szCs w:val="24"/>
        </w:rPr>
        <w:t xml:space="preserve"> sa rozpočtovali sumou 2 731 510 tis. eur. Skutočný výnos dosiahol 2 558 572 tis. eur, resp. 2 561 644 tis. eur po premietnutí 3 072 tis. eur zo sankcií</w:t>
      </w:r>
      <w:r w:rsidRPr="008E6BBC">
        <w:rPr>
          <w:sz w:val="24"/>
          <w:szCs w:val="24"/>
          <w:vertAlign w:val="superscript"/>
        </w:rPr>
        <w:footnoteReference w:id="30"/>
      </w:r>
      <w:r w:rsidRPr="008E6BBC">
        <w:rPr>
          <w:sz w:val="24"/>
          <w:szCs w:val="24"/>
        </w:rPr>
        <w:t>. Oproti rozpočtu boli nižšie o 172 938 tis. eur (resp. o 169 866 tis. eur).</w:t>
      </w:r>
    </w:p>
    <w:p w14:paraId="3EF185CF" w14:textId="77777777" w:rsidR="004967E3" w:rsidRPr="008E6BBC" w:rsidRDefault="004967E3" w:rsidP="001665F3">
      <w:pPr>
        <w:spacing w:line="240" w:lineRule="auto"/>
        <w:rPr>
          <w:sz w:val="24"/>
          <w:szCs w:val="24"/>
        </w:rPr>
      </w:pPr>
      <w:r w:rsidRPr="008E6BBC">
        <w:rPr>
          <w:sz w:val="24"/>
          <w:szCs w:val="24"/>
        </w:rPr>
        <w:t>Celkový výnos podielovej dane z príjmov fyzických osôb, vrátane prevodov do obcí a VÚC, sa rozpočtoval vo výške 2 996 126 tis. eur. Skutočný výnos dane z príjmov fyzických osôb vrátane prevodov do obcí a VÚC dosiahol 3 120 154 tis. eur. Z toho výnos dane zo závislej činnosti predstavuje 3 090 068 tis. eur a výnos dane z podnikania, z inej samostatnej zárobkovej činnosti a z prenájmu 52 631 tis. eur. Prevod do obcí a VÚC predstavoval za rok 2020 spolu 3 146 223 tis. eur, resp. 3 143 151 tis. eur po presune časti sankcií. Prevod prostriedkov v zmysle § 50 zákona č. 595/2003 Z. z. o dani z príjmov v znení neskorších predpisov, ktorý znižuje celkový výnos dane z príjmov fyzických osôb, dosiahol sumu 22 544 tis. eur.</w:t>
      </w:r>
    </w:p>
    <w:p w14:paraId="52A73834" w14:textId="2935A449" w:rsidR="004967E3" w:rsidRPr="008E6BBC" w:rsidRDefault="004967E3" w:rsidP="001665F3">
      <w:pPr>
        <w:spacing w:line="240" w:lineRule="auto"/>
        <w:rPr>
          <w:sz w:val="24"/>
          <w:szCs w:val="24"/>
        </w:rPr>
      </w:pPr>
      <w:r w:rsidRPr="008E6BBC">
        <w:rPr>
          <w:sz w:val="24"/>
          <w:szCs w:val="24"/>
          <w:u w:val="single"/>
        </w:rPr>
        <w:t>Daň z príjmov fyzických osôb je podielovou daňou a celý výnos dane sa prerozdeľuje stanoveným mechanizmom medzi obce a vyššie územné celky.</w:t>
      </w:r>
      <w:r w:rsidRPr="008E6BBC">
        <w:rPr>
          <w:sz w:val="24"/>
          <w:szCs w:val="24"/>
        </w:rPr>
        <w:t xml:space="preserve"> Podiel obcí na výnose je 70 %</w:t>
      </w:r>
      <w:r w:rsidR="00BA1795" w:rsidRPr="008E6BBC">
        <w:rPr>
          <w:sz w:val="24"/>
          <w:szCs w:val="24"/>
        </w:rPr>
        <w:t>,</w:t>
      </w:r>
      <w:r w:rsidRPr="008E6BBC">
        <w:rPr>
          <w:sz w:val="24"/>
          <w:szCs w:val="24"/>
        </w:rPr>
        <w:t xml:space="preserve"> </w:t>
      </w:r>
      <w:r w:rsidR="00BA1795" w:rsidRPr="008E6BBC">
        <w:rPr>
          <w:sz w:val="24"/>
          <w:szCs w:val="24"/>
        </w:rPr>
        <w:t>v</w:t>
      </w:r>
      <w:r w:rsidRPr="008E6BBC">
        <w:rPr>
          <w:sz w:val="24"/>
          <w:szCs w:val="24"/>
        </w:rPr>
        <w:t>yšším územným celkom pripadá zvyšných 30 % z výnosu. Na účte štátneho rozpočtu zostávajú priebežne len časti výnosu dane z dôvodu posunu medzi pripísaním dane na účet ŠR a jej prevedením na obce a vyššie územné celky.</w:t>
      </w:r>
    </w:p>
    <w:p w14:paraId="74241335" w14:textId="425A463E" w:rsidR="004967E3" w:rsidRPr="008E6BBC" w:rsidRDefault="004967E3" w:rsidP="001665F3">
      <w:pPr>
        <w:spacing w:line="240" w:lineRule="auto"/>
        <w:rPr>
          <w:sz w:val="24"/>
          <w:szCs w:val="24"/>
        </w:rPr>
      </w:pPr>
      <w:r w:rsidRPr="008E6BBC">
        <w:rPr>
          <w:b/>
          <w:sz w:val="24"/>
          <w:szCs w:val="24"/>
        </w:rPr>
        <w:t>Príjem štátneho rozpočtu z dane z príjmov fyzických osôb</w:t>
      </w:r>
      <w:r w:rsidRPr="008E6BBC">
        <w:rPr>
          <w:sz w:val="24"/>
          <w:szCs w:val="24"/>
        </w:rPr>
        <w:t xml:space="preserve"> sa s ohľadom na uvedené pravidlá fiškálnej decentralizácie rozpočtoval sumou -48 281 tis. eur a skutočné plnenie dosiahlo hodnotu </w:t>
      </w:r>
      <w:r w:rsidR="004C05E1">
        <w:rPr>
          <w:sz w:val="24"/>
          <w:szCs w:val="24"/>
        </w:rPr>
        <w:t>-</w:t>
      </w:r>
      <w:r w:rsidRPr="008E6BBC">
        <w:rPr>
          <w:sz w:val="24"/>
          <w:szCs w:val="24"/>
        </w:rPr>
        <w:t xml:space="preserve">26 069 tis. eur, resp. -22 997 tis. eur po presune časti sankcií. </w:t>
      </w:r>
    </w:p>
    <w:p w14:paraId="2701BCCF" w14:textId="1804CF6E" w:rsidR="004967E3" w:rsidRPr="008E6BBC" w:rsidRDefault="004967E3" w:rsidP="001665F3">
      <w:pPr>
        <w:spacing w:line="240" w:lineRule="auto"/>
        <w:rPr>
          <w:sz w:val="24"/>
          <w:szCs w:val="24"/>
        </w:rPr>
      </w:pPr>
      <w:r w:rsidRPr="008E6BBC">
        <w:rPr>
          <w:b/>
          <w:sz w:val="24"/>
          <w:szCs w:val="24"/>
        </w:rPr>
        <w:t>Daň z príjmov právnických osôb</w:t>
      </w:r>
      <w:r w:rsidR="009A7EAC" w:rsidRPr="008E6BBC">
        <w:rPr>
          <w:b/>
          <w:sz w:val="24"/>
          <w:szCs w:val="24"/>
        </w:rPr>
        <w:t xml:space="preserve"> (DPPO)</w:t>
      </w:r>
      <w:r w:rsidRPr="008E6BBC">
        <w:rPr>
          <w:sz w:val="24"/>
          <w:szCs w:val="24"/>
        </w:rPr>
        <w:t xml:space="preserve"> sa rozpočtovala vo výške 2 546 921 tis. eur. Skutočný výnos dosiahol 2 349 560 tis. eur, čo predstavuje plnenie rozpočtu na 92,3 %. Výnos bol oproti rozpočtu nižší o 197 361 tis. eur. Za nižším hotovostným výnosom je nižšie vyrovnanie dane za rok 2019, ktoré malo vplyv na hotovostné príjmy za rok 2020. Okrem toho hotovostný výnos ponížili aj opatrenia na podporu podnikov </w:t>
      </w:r>
      <w:r w:rsidR="00AD00C9" w:rsidRPr="008E6BBC">
        <w:rPr>
          <w:sz w:val="24"/>
          <w:szCs w:val="24"/>
        </w:rPr>
        <w:t>z dôvodu</w:t>
      </w:r>
      <w:r w:rsidRPr="008E6BBC">
        <w:rPr>
          <w:sz w:val="24"/>
          <w:szCs w:val="24"/>
        </w:rPr>
        <w:t xml:space="preserve"> poklesu hospodárstva v podobe odkladu preddavkov</w:t>
      </w:r>
      <w:r w:rsidR="00AD00C9" w:rsidRPr="008E6BBC">
        <w:rPr>
          <w:sz w:val="24"/>
          <w:szCs w:val="24"/>
        </w:rPr>
        <w:t xml:space="preserve"> v roku 2020</w:t>
      </w:r>
      <w:r w:rsidRPr="008E6BBC">
        <w:rPr>
          <w:sz w:val="24"/>
          <w:szCs w:val="24"/>
        </w:rPr>
        <w:t xml:space="preserve">. </w:t>
      </w:r>
    </w:p>
    <w:p w14:paraId="17B6DBC6" w14:textId="3177B797" w:rsidR="00381A82" w:rsidRDefault="00AD00C9" w:rsidP="004C05E1">
      <w:pPr>
        <w:spacing w:line="240" w:lineRule="auto"/>
      </w:pPr>
      <w:r w:rsidRPr="008E6BBC">
        <w:rPr>
          <w:sz w:val="24"/>
          <w:szCs w:val="24"/>
        </w:rPr>
        <w:t xml:space="preserve">V rámci tzv. </w:t>
      </w:r>
      <w:r w:rsidR="000E1594" w:rsidRPr="008E6BBC">
        <w:rPr>
          <w:b/>
          <w:sz w:val="24"/>
          <w:szCs w:val="24"/>
        </w:rPr>
        <w:t>a</w:t>
      </w:r>
      <w:r w:rsidRPr="008E6BBC">
        <w:rPr>
          <w:b/>
          <w:sz w:val="24"/>
          <w:szCs w:val="24"/>
        </w:rPr>
        <w:t>signácie dane</w:t>
      </w:r>
      <w:r w:rsidRPr="008E6BBC">
        <w:rPr>
          <w:rStyle w:val="Odkaznapoznmkupodiarou"/>
          <w:sz w:val="24"/>
          <w:szCs w:val="24"/>
        </w:rPr>
        <w:footnoteReference w:id="31"/>
      </w:r>
      <w:r w:rsidRPr="008E6BBC">
        <w:rPr>
          <w:sz w:val="24"/>
          <w:szCs w:val="24"/>
        </w:rPr>
        <w:t xml:space="preserve"> mali v</w:t>
      </w:r>
      <w:r w:rsidR="004967E3" w:rsidRPr="008E6BBC">
        <w:rPr>
          <w:sz w:val="24"/>
          <w:szCs w:val="24"/>
        </w:rPr>
        <w:t xml:space="preserve"> roku 2020 fyzické a právnické osoby možnosť poukázať 2 % (v špecifických prípadoch právnické osoby len 1 % a fyzické osoby 3 %) z odvedenej d</w:t>
      </w:r>
      <w:r w:rsidR="00BF67ED" w:rsidRPr="008E6BBC">
        <w:rPr>
          <w:sz w:val="24"/>
          <w:szCs w:val="24"/>
        </w:rPr>
        <w:t>ane na verejnoprospešný účel. V </w:t>
      </w:r>
      <w:r w:rsidR="004967E3" w:rsidRPr="008E6BBC">
        <w:rPr>
          <w:sz w:val="24"/>
          <w:szCs w:val="24"/>
        </w:rPr>
        <w:t>priebehu roka 2020 bolo týmto spôsobom prevedených 53 39</w:t>
      </w:r>
      <w:r w:rsidR="00BF67ED" w:rsidRPr="008E6BBC">
        <w:rPr>
          <w:sz w:val="24"/>
          <w:szCs w:val="24"/>
        </w:rPr>
        <w:t>1 tis. eur, čo je v porovnaní s </w:t>
      </w:r>
      <w:r w:rsidR="004967E3" w:rsidRPr="008E6BBC">
        <w:rPr>
          <w:sz w:val="24"/>
          <w:szCs w:val="24"/>
        </w:rPr>
        <w:t>minulým rokom pokles o 19 680 tis. eur. Za poklesom je najmä posun termínov z dôvodu krízy. Termíny na podanie daňových priznaní fyzických aj právnických osôb sa presunuli až na koniec októbra 2020 a taktiež sa posunul termín na prevedenie časti d</w:t>
      </w:r>
      <w:r w:rsidR="00BF67ED" w:rsidRPr="008E6BBC">
        <w:rPr>
          <w:sz w:val="24"/>
          <w:szCs w:val="24"/>
        </w:rPr>
        <w:t>aní na verejnoprospešný účel. O </w:t>
      </w:r>
      <w:r w:rsidR="004967E3" w:rsidRPr="008E6BBC">
        <w:rPr>
          <w:sz w:val="24"/>
          <w:szCs w:val="24"/>
        </w:rPr>
        <w:t>prevod prostriedkov na osobitný účel bolo možné požiadať až do konca novembra 2020, pričom hotovostný prevod bol možný až do konca februára 2021. Za január a február roku 2021 sa na verejnoprospešné účely previedlo ďalších 16 367 tis. eur. Ak by sme analyticky porovnali celkovú sumu odvedenej dane na verejnoprospešný účel (rok 2020 vrátane januára a februára 2021), tak došlo len k miernemu poklesu celkových prostriedkov.</w:t>
      </w:r>
    </w:p>
    <w:tbl>
      <w:tblPr>
        <w:tblpPr w:leftFromText="141" w:rightFromText="141" w:vertAnchor="text" w:horzAnchor="margin" w:tblpXSpec="center" w:tblpY="59"/>
        <w:tblW w:w="8502" w:type="dxa"/>
        <w:tblCellMar>
          <w:left w:w="70" w:type="dxa"/>
          <w:right w:w="70" w:type="dxa"/>
        </w:tblCellMar>
        <w:tblLook w:val="04A0" w:firstRow="1" w:lastRow="0" w:firstColumn="1" w:lastColumn="0" w:noHBand="0" w:noVBand="1"/>
      </w:tblPr>
      <w:tblGrid>
        <w:gridCol w:w="5241"/>
        <w:gridCol w:w="1138"/>
        <w:gridCol w:w="992"/>
        <w:gridCol w:w="1131"/>
      </w:tblGrid>
      <w:tr w:rsidR="004967E3" w:rsidRPr="00E20480" w14:paraId="6E789B4B" w14:textId="77777777" w:rsidTr="00381A82">
        <w:trPr>
          <w:trHeight w:val="280"/>
        </w:trPr>
        <w:tc>
          <w:tcPr>
            <w:tcW w:w="8502" w:type="dxa"/>
            <w:gridSpan w:val="4"/>
            <w:tcBorders>
              <w:top w:val="single" w:sz="4" w:space="0" w:color="auto"/>
              <w:left w:val="nil"/>
              <w:bottom w:val="nil"/>
              <w:right w:val="nil"/>
            </w:tcBorders>
            <w:shd w:val="clear" w:color="000000" w:fill="000000"/>
            <w:noWrap/>
            <w:vAlign w:val="center"/>
          </w:tcPr>
          <w:p w14:paraId="74976131" w14:textId="58CAE536" w:rsidR="004967E3" w:rsidRPr="00E20480" w:rsidRDefault="004967E3" w:rsidP="004967E3">
            <w:pPr>
              <w:spacing w:after="0" w:line="240" w:lineRule="auto"/>
              <w:jc w:val="left"/>
              <w:rPr>
                <w:rFonts w:cs="Times New Roman"/>
                <w:b/>
                <w:bCs/>
                <w:sz w:val="18"/>
                <w:szCs w:val="18"/>
              </w:rPr>
            </w:pPr>
            <w:r w:rsidRPr="00E20480">
              <w:rPr>
                <w:rFonts w:cs="Times New Roman"/>
                <w:b/>
                <w:bCs/>
                <w:sz w:val="18"/>
                <w:szCs w:val="18"/>
              </w:rPr>
              <w:t xml:space="preserve">Prevod podielu dane                                                                                                                </w:t>
            </w:r>
            <w:r w:rsidR="004C05E1">
              <w:rPr>
                <w:rFonts w:cs="Times New Roman"/>
                <w:b/>
                <w:bCs/>
                <w:sz w:val="18"/>
                <w:szCs w:val="18"/>
              </w:rPr>
              <w:t xml:space="preserve">                  </w:t>
            </w:r>
            <w:r w:rsidRPr="00E20480">
              <w:rPr>
                <w:rFonts w:cs="Times New Roman"/>
                <w:b/>
                <w:bCs/>
                <w:sz w:val="18"/>
                <w:szCs w:val="18"/>
              </w:rPr>
              <w:t xml:space="preserve"> v tis. eur                                                                                                                   </w:t>
            </w:r>
          </w:p>
        </w:tc>
      </w:tr>
      <w:tr w:rsidR="004967E3" w:rsidRPr="00E20480" w14:paraId="1217876B" w14:textId="77777777" w:rsidTr="004B6995">
        <w:trPr>
          <w:trHeight w:val="194"/>
        </w:trPr>
        <w:tc>
          <w:tcPr>
            <w:tcW w:w="5241" w:type="dxa"/>
            <w:tcBorders>
              <w:top w:val="nil"/>
              <w:left w:val="nil"/>
              <w:right w:val="nil"/>
            </w:tcBorders>
            <w:shd w:val="clear" w:color="000000" w:fill="BFBFBF"/>
            <w:noWrap/>
            <w:vAlign w:val="center"/>
          </w:tcPr>
          <w:p w14:paraId="23EA8E40" w14:textId="77777777" w:rsidR="004967E3" w:rsidRPr="00E20480" w:rsidRDefault="004967E3" w:rsidP="004967E3">
            <w:pPr>
              <w:spacing w:after="0" w:line="240" w:lineRule="auto"/>
              <w:contextualSpacing/>
              <w:jc w:val="center"/>
              <w:rPr>
                <w:rFonts w:eastAsia="Times New Roman" w:cs="Times New Roman"/>
                <w:b/>
                <w:sz w:val="18"/>
                <w:szCs w:val="18"/>
                <w:lang w:eastAsia="sk-SK"/>
              </w:rPr>
            </w:pPr>
            <w:r w:rsidRPr="00E20480">
              <w:rPr>
                <w:rFonts w:eastAsia="Times New Roman" w:cs="Times New Roman"/>
                <w:b/>
                <w:sz w:val="18"/>
                <w:szCs w:val="18"/>
                <w:lang w:eastAsia="sk-SK"/>
              </w:rPr>
              <w:t> </w:t>
            </w:r>
          </w:p>
        </w:tc>
        <w:tc>
          <w:tcPr>
            <w:tcW w:w="3261" w:type="dxa"/>
            <w:gridSpan w:val="3"/>
            <w:tcBorders>
              <w:top w:val="nil"/>
              <w:left w:val="nil"/>
              <w:right w:val="nil"/>
            </w:tcBorders>
            <w:shd w:val="clear" w:color="000000" w:fill="BFBFBF"/>
            <w:noWrap/>
            <w:vAlign w:val="center"/>
          </w:tcPr>
          <w:p w14:paraId="785FE66B" w14:textId="77777777" w:rsidR="004967E3" w:rsidRPr="00E20480" w:rsidRDefault="004967E3" w:rsidP="004967E3">
            <w:pPr>
              <w:spacing w:after="0" w:line="240" w:lineRule="auto"/>
              <w:contextualSpacing/>
              <w:jc w:val="center"/>
              <w:rPr>
                <w:rFonts w:eastAsia="Times New Roman" w:cs="Times New Roman"/>
                <w:b/>
                <w:sz w:val="18"/>
                <w:szCs w:val="18"/>
                <w:lang w:eastAsia="sk-SK"/>
              </w:rPr>
            </w:pPr>
            <w:r w:rsidRPr="00E20480">
              <w:rPr>
                <w:rFonts w:eastAsia="Times New Roman" w:cs="Times New Roman"/>
                <w:b/>
                <w:sz w:val="18"/>
                <w:szCs w:val="18"/>
                <w:lang w:eastAsia="sk-SK"/>
              </w:rPr>
              <w:t>Skutočnosť</w:t>
            </w:r>
          </w:p>
        </w:tc>
      </w:tr>
      <w:tr w:rsidR="004967E3" w:rsidRPr="00E20480" w14:paraId="63D3D4E2" w14:textId="77777777" w:rsidTr="004B6995">
        <w:trPr>
          <w:trHeight w:val="352"/>
        </w:trPr>
        <w:tc>
          <w:tcPr>
            <w:tcW w:w="5241" w:type="dxa"/>
            <w:tcBorders>
              <w:top w:val="nil"/>
              <w:left w:val="nil"/>
              <w:bottom w:val="single" w:sz="4" w:space="0" w:color="auto"/>
              <w:right w:val="nil"/>
            </w:tcBorders>
            <w:shd w:val="clear" w:color="000000" w:fill="BFBFBF"/>
            <w:noWrap/>
            <w:vAlign w:val="center"/>
          </w:tcPr>
          <w:p w14:paraId="2BB2C0C1" w14:textId="77777777" w:rsidR="004967E3" w:rsidRPr="00E20480" w:rsidRDefault="004967E3" w:rsidP="004967E3">
            <w:pPr>
              <w:spacing w:after="0" w:line="240" w:lineRule="auto"/>
              <w:contextualSpacing/>
              <w:jc w:val="center"/>
              <w:rPr>
                <w:rFonts w:eastAsia="Times New Roman" w:cs="Times New Roman"/>
                <w:b/>
                <w:sz w:val="18"/>
                <w:szCs w:val="18"/>
                <w:lang w:eastAsia="sk-SK"/>
              </w:rPr>
            </w:pPr>
            <w:r w:rsidRPr="00E20480">
              <w:rPr>
                <w:rFonts w:eastAsia="Times New Roman" w:cs="Times New Roman"/>
                <w:b/>
                <w:sz w:val="18"/>
                <w:szCs w:val="18"/>
                <w:lang w:eastAsia="sk-SK"/>
              </w:rPr>
              <w:t> </w:t>
            </w:r>
          </w:p>
        </w:tc>
        <w:tc>
          <w:tcPr>
            <w:tcW w:w="1138" w:type="dxa"/>
            <w:tcBorders>
              <w:top w:val="nil"/>
              <w:left w:val="nil"/>
              <w:bottom w:val="single" w:sz="4" w:space="0" w:color="auto"/>
              <w:right w:val="nil"/>
            </w:tcBorders>
            <w:shd w:val="clear" w:color="000000" w:fill="BFBFBF"/>
            <w:noWrap/>
            <w:vAlign w:val="center"/>
          </w:tcPr>
          <w:p w14:paraId="03997E63" w14:textId="77777777" w:rsidR="004967E3" w:rsidRPr="00E20480" w:rsidRDefault="004967E3" w:rsidP="004967E3">
            <w:pPr>
              <w:spacing w:after="0" w:line="240" w:lineRule="auto"/>
              <w:contextualSpacing/>
              <w:jc w:val="center"/>
              <w:rPr>
                <w:rFonts w:eastAsia="Times New Roman" w:cs="Times New Roman"/>
                <w:b/>
                <w:sz w:val="18"/>
                <w:szCs w:val="18"/>
                <w:lang w:eastAsia="sk-SK"/>
              </w:rPr>
            </w:pPr>
            <w:r w:rsidRPr="00E20480">
              <w:rPr>
                <w:rFonts w:eastAsia="Times New Roman" w:cs="Times New Roman"/>
                <w:b/>
                <w:sz w:val="18"/>
                <w:szCs w:val="18"/>
                <w:lang w:eastAsia="sk-SK"/>
              </w:rPr>
              <w:t>2018</w:t>
            </w:r>
          </w:p>
        </w:tc>
        <w:tc>
          <w:tcPr>
            <w:tcW w:w="992" w:type="dxa"/>
            <w:tcBorders>
              <w:top w:val="nil"/>
              <w:left w:val="nil"/>
              <w:bottom w:val="single" w:sz="4" w:space="0" w:color="auto"/>
              <w:right w:val="nil"/>
            </w:tcBorders>
            <w:shd w:val="clear" w:color="000000" w:fill="BFBFBF"/>
            <w:noWrap/>
            <w:vAlign w:val="center"/>
          </w:tcPr>
          <w:p w14:paraId="32926060" w14:textId="77777777" w:rsidR="004967E3" w:rsidRPr="00E20480" w:rsidRDefault="004967E3" w:rsidP="004967E3">
            <w:pPr>
              <w:spacing w:after="0" w:line="240" w:lineRule="auto"/>
              <w:contextualSpacing/>
              <w:jc w:val="center"/>
              <w:rPr>
                <w:rFonts w:eastAsia="Times New Roman" w:cs="Times New Roman"/>
                <w:b/>
                <w:sz w:val="18"/>
                <w:szCs w:val="18"/>
                <w:lang w:eastAsia="sk-SK"/>
              </w:rPr>
            </w:pPr>
            <w:r w:rsidRPr="00E20480">
              <w:rPr>
                <w:rFonts w:eastAsia="Times New Roman" w:cs="Times New Roman"/>
                <w:b/>
                <w:sz w:val="18"/>
                <w:szCs w:val="18"/>
                <w:lang w:eastAsia="sk-SK"/>
              </w:rPr>
              <w:t>2019</w:t>
            </w:r>
          </w:p>
        </w:tc>
        <w:tc>
          <w:tcPr>
            <w:tcW w:w="1131" w:type="dxa"/>
            <w:tcBorders>
              <w:top w:val="nil"/>
              <w:left w:val="nil"/>
              <w:bottom w:val="single" w:sz="4" w:space="0" w:color="auto"/>
              <w:right w:val="nil"/>
            </w:tcBorders>
            <w:shd w:val="clear" w:color="000000" w:fill="BFBFBF"/>
            <w:noWrap/>
            <w:vAlign w:val="center"/>
          </w:tcPr>
          <w:p w14:paraId="3488167F" w14:textId="77777777" w:rsidR="004967E3" w:rsidRPr="00E20480" w:rsidRDefault="004967E3" w:rsidP="004967E3">
            <w:pPr>
              <w:spacing w:after="0" w:line="240" w:lineRule="auto"/>
              <w:contextualSpacing/>
              <w:jc w:val="center"/>
              <w:rPr>
                <w:rFonts w:eastAsia="Times New Roman" w:cs="Times New Roman"/>
                <w:b/>
                <w:sz w:val="18"/>
                <w:szCs w:val="18"/>
                <w:lang w:eastAsia="sk-SK"/>
              </w:rPr>
            </w:pPr>
            <w:r w:rsidRPr="00E20480">
              <w:rPr>
                <w:rFonts w:eastAsia="Times New Roman" w:cs="Times New Roman"/>
                <w:b/>
                <w:sz w:val="18"/>
                <w:szCs w:val="18"/>
                <w:lang w:eastAsia="sk-SK"/>
              </w:rPr>
              <w:t>2020</w:t>
            </w:r>
          </w:p>
        </w:tc>
      </w:tr>
      <w:tr w:rsidR="004967E3" w:rsidRPr="00E20480" w14:paraId="3BCB394C" w14:textId="77777777" w:rsidTr="004B6995">
        <w:trPr>
          <w:trHeight w:val="397"/>
        </w:trPr>
        <w:tc>
          <w:tcPr>
            <w:tcW w:w="5241" w:type="dxa"/>
            <w:tcBorders>
              <w:top w:val="single" w:sz="4" w:space="0" w:color="auto"/>
              <w:left w:val="nil"/>
              <w:bottom w:val="nil"/>
              <w:right w:val="nil"/>
            </w:tcBorders>
            <w:shd w:val="clear" w:color="auto" w:fill="auto"/>
            <w:noWrap/>
            <w:vAlign w:val="center"/>
          </w:tcPr>
          <w:p w14:paraId="509ADEA2" w14:textId="77777777" w:rsidR="004967E3" w:rsidRPr="00E20480" w:rsidRDefault="004967E3" w:rsidP="004967E3">
            <w:pPr>
              <w:spacing w:after="0" w:line="240" w:lineRule="auto"/>
              <w:jc w:val="left"/>
              <w:rPr>
                <w:rFonts w:eastAsia="Times New Roman" w:cs="Times New Roman"/>
                <w:sz w:val="18"/>
                <w:szCs w:val="18"/>
                <w:lang w:eastAsia="sk-SK"/>
              </w:rPr>
            </w:pPr>
            <w:r w:rsidRPr="00E20480">
              <w:rPr>
                <w:rFonts w:eastAsia="Times New Roman" w:cs="Times New Roman"/>
                <w:sz w:val="18"/>
                <w:szCs w:val="18"/>
                <w:lang w:eastAsia="sk-SK"/>
              </w:rPr>
              <w:t>Prevod podielu dane z príjmov FO na osobitný účel</w:t>
            </w:r>
          </w:p>
        </w:tc>
        <w:tc>
          <w:tcPr>
            <w:tcW w:w="1138" w:type="dxa"/>
            <w:tcBorders>
              <w:top w:val="single" w:sz="4" w:space="0" w:color="auto"/>
              <w:left w:val="nil"/>
              <w:bottom w:val="nil"/>
              <w:right w:val="nil"/>
            </w:tcBorders>
            <w:shd w:val="clear" w:color="auto" w:fill="auto"/>
            <w:noWrap/>
            <w:vAlign w:val="center"/>
          </w:tcPr>
          <w:p w14:paraId="605BC258" w14:textId="0EC0D0BF" w:rsidR="004967E3" w:rsidRPr="00E20480" w:rsidRDefault="00FC4BC7" w:rsidP="004967E3">
            <w:pPr>
              <w:spacing w:after="0" w:line="240" w:lineRule="auto"/>
              <w:jc w:val="right"/>
              <w:rPr>
                <w:rFonts w:eastAsia="Times New Roman" w:cs="Times New Roman"/>
                <w:sz w:val="18"/>
                <w:szCs w:val="18"/>
                <w:lang w:eastAsia="sk-SK"/>
              </w:rPr>
            </w:pPr>
            <w:r w:rsidRPr="00E20480">
              <w:rPr>
                <w:rFonts w:cs="Times New Roman"/>
                <w:sz w:val="18"/>
                <w:szCs w:val="18"/>
              </w:rPr>
              <w:t>32 </w:t>
            </w:r>
            <w:r w:rsidR="004967E3" w:rsidRPr="00E20480">
              <w:rPr>
                <w:rFonts w:cs="Times New Roman"/>
                <w:sz w:val="18"/>
                <w:szCs w:val="18"/>
              </w:rPr>
              <w:t>250</w:t>
            </w:r>
          </w:p>
        </w:tc>
        <w:tc>
          <w:tcPr>
            <w:tcW w:w="992" w:type="dxa"/>
            <w:tcBorders>
              <w:top w:val="single" w:sz="4" w:space="0" w:color="auto"/>
              <w:left w:val="nil"/>
              <w:bottom w:val="nil"/>
              <w:right w:val="nil"/>
            </w:tcBorders>
            <w:shd w:val="clear" w:color="auto" w:fill="auto"/>
            <w:noWrap/>
            <w:vAlign w:val="center"/>
          </w:tcPr>
          <w:p w14:paraId="3B3B8D79" w14:textId="77777777" w:rsidR="004967E3" w:rsidRPr="00E20480" w:rsidRDefault="004967E3" w:rsidP="004967E3">
            <w:pPr>
              <w:spacing w:after="0" w:line="240" w:lineRule="auto"/>
              <w:jc w:val="right"/>
              <w:rPr>
                <w:rFonts w:eastAsia="Times New Roman" w:cs="Times New Roman"/>
                <w:sz w:val="18"/>
                <w:szCs w:val="18"/>
                <w:lang w:eastAsia="sk-SK"/>
              </w:rPr>
            </w:pPr>
            <w:r w:rsidRPr="00E20480">
              <w:rPr>
                <w:rFonts w:eastAsia="Times New Roman" w:cs="Times New Roman"/>
                <w:sz w:val="18"/>
                <w:szCs w:val="18"/>
                <w:lang w:eastAsia="sk-SK"/>
              </w:rPr>
              <w:t>36 902</w:t>
            </w:r>
          </w:p>
        </w:tc>
        <w:tc>
          <w:tcPr>
            <w:tcW w:w="1131" w:type="dxa"/>
            <w:tcBorders>
              <w:top w:val="single" w:sz="4" w:space="0" w:color="auto"/>
              <w:left w:val="nil"/>
              <w:bottom w:val="nil"/>
              <w:right w:val="nil"/>
            </w:tcBorders>
            <w:shd w:val="clear" w:color="auto" w:fill="BFBFBF" w:themeFill="background1" w:themeFillShade="BF"/>
            <w:noWrap/>
            <w:vAlign w:val="center"/>
          </w:tcPr>
          <w:p w14:paraId="76AF3D2F" w14:textId="3A4D2A16" w:rsidR="004967E3" w:rsidRPr="00E20480" w:rsidRDefault="00FC4BC7" w:rsidP="004967E3">
            <w:pPr>
              <w:spacing w:after="0" w:line="240" w:lineRule="auto"/>
              <w:jc w:val="right"/>
              <w:rPr>
                <w:rFonts w:eastAsia="Times New Roman" w:cs="Times New Roman"/>
                <w:sz w:val="18"/>
                <w:szCs w:val="18"/>
                <w:lang w:eastAsia="sk-SK"/>
              </w:rPr>
            </w:pPr>
            <w:r w:rsidRPr="00E20480">
              <w:rPr>
                <w:rFonts w:eastAsia="Times New Roman" w:cs="Times New Roman"/>
                <w:sz w:val="18"/>
                <w:szCs w:val="18"/>
                <w:lang w:eastAsia="sk-SK"/>
              </w:rPr>
              <w:t>22 </w:t>
            </w:r>
            <w:r w:rsidR="004967E3" w:rsidRPr="00E20480">
              <w:rPr>
                <w:rFonts w:eastAsia="Times New Roman" w:cs="Times New Roman"/>
                <w:sz w:val="18"/>
                <w:szCs w:val="18"/>
                <w:lang w:eastAsia="sk-SK"/>
              </w:rPr>
              <w:t>544</w:t>
            </w:r>
          </w:p>
        </w:tc>
      </w:tr>
      <w:tr w:rsidR="004967E3" w:rsidRPr="00E20480" w14:paraId="5EB383FC" w14:textId="77777777" w:rsidTr="004B6995">
        <w:trPr>
          <w:trHeight w:val="352"/>
        </w:trPr>
        <w:tc>
          <w:tcPr>
            <w:tcW w:w="5241" w:type="dxa"/>
            <w:tcBorders>
              <w:top w:val="nil"/>
              <w:left w:val="nil"/>
              <w:bottom w:val="single" w:sz="8" w:space="0" w:color="auto"/>
              <w:right w:val="nil"/>
            </w:tcBorders>
            <w:shd w:val="clear" w:color="auto" w:fill="auto"/>
            <w:noWrap/>
            <w:vAlign w:val="center"/>
          </w:tcPr>
          <w:p w14:paraId="7E61F0F2" w14:textId="77777777" w:rsidR="004967E3" w:rsidRPr="00E20480" w:rsidRDefault="004967E3" w:rsidP="004967E3">
            <w:pPr>
              <w:spacing w:after="0" w:line="240" w:lineRule="auto"/>
              <w:jc w:val="left"/>
              <w:rPr>
                <w:rFonts w:eastAsia="Times New Roman" w:cs="Times New Roman"/>
                <w:sz w:val="18"/>
                <w:szCs w:val="18"/>
                <w:lang w:eastAsia="sk-SK"/>
              </w:rPr>
            </w:pPr>
            <w:r w:rsidRPr="00E20480">
              <w:rPr>
                <w:rFonts w:eastAsia="Times New Roman" w:cs="Times New Roman"/>
                <w:sz w:val="18"/>
                <w:szCs w:val="18"/>
                <w:lang w:eastAsia="sk-SK"/>
              </w:rPr>
              <w:t>Prevod podielu dane z príjmov PO na osobitný účel</w:t>
            </w:r>
          </w:p>
        </w:tc>
        <w:tc>
          <w:tcPr>
            <w:tcW w:w="1138" w:type="dxa"/>
            <w:tcBorders>
              <w:top w:val="nil"/>
              <w:left w:val="nil"/>
              <w:bottom w:val="single" w:sz="8" w:space="0" w:color="auto"/>
              <w:right w:val="nil"/>
            </w:tcBorders>
            <w:shd w:val="clear" w:color="auto" w:fill="auto"/>
            <w:noWrap/>
            <w:vAlign w:val="center"/>
          </w:tcPr>
          <w:p w14:paraId="0E657A0A" w14:textId="6AFA451C" w:rsidR="004967E3" w:rsidRPr="00E20480" w:rsidRDefault="00FC4BC7" w:rsidP="004967E3">
            <w:pPr>
              <w:spacing w:after="0" w:line="240" w:lineRule="auto"/>
              <w:jc w:val="right"/>
              <w:rPr>
                <w:rFonts w:eastAsia="Times New Roman" w:cs="Times New Roman"/>
                <w:sz w:val="18"/>
                <w:szCs w:val="18"/>
                <w:lang w:eastAsia="sk-SK"/>
              </w:rPr>
            </w:pPr>
            <w:r w:rsidRPr="00E20480">
              <w:rPr>
                <w:rFonts w:cs="Times New Roman"/>
                <w:sz w:val="18"/>
                <w:szCs w:val="18"/>
              </w:rPr>
              <w:t>36 </w:t>
            </w:r>
            <w:r w:rsidR="004967E3" w:rsidRPr="00E20480">
              <w:rPr>
                <w:rFonts w:cs="Times New Roman"/>
                <w:sz w:val="18"/>
                <w:szCs w:val="18"/>
              </w:rPr>
              <w:t>093</w:t>
            </w:r>
          </w:p>
        </w:tc>
        <w:tc>
          <w:tcPr>
            <w:tcW w:w="992" w:type="dxa"/>
            <w:tcBorders>
              <w:top w:val="nil"/>
              <w:left w:val="nil"/>
              <w:bottom w:val="single" w:sz="8" w:space="0" w:color="auto"/>
              <w:right w:val="nil"/>
            </w:tcBorders>
            <w:shd w:val="clear" w:color="auto" w:fill="auto"/>
            <w:noWrap/>
            <w:vAlign w:val="center"/>
          </w:tcPr>
          <w:p w14:paraId="66078A80" w14:textId="77777777" w:rsidR="004967E3" w:rsidRPr="00E20480" w:rsidRDefault="004967E3" w:rsidP="004967E3">
            <w:pPr>
              <w:spacing w:after="0" w:line="240" w:lineRule="auto"/>
              <w:jc w:val="right"/>
              <w:rPr>
                <w:rFonts w:eastAsia="Times New Roman" w:cs="Times New Roman"/>
                <w:sz w:val="18"/>
                <w:szCs w:val="18"/>
                <w:lang w:eastAsia="sk-SK"/>
              </w:rPr>
            </w:pPr>
            <w:r w:rsidRPr="00E20480">
              <w:rPr>
                <w:rFonts w:eastAsia="Times New Roman" w:cs="Times New Roman"/>
                <w:sz w:val="18"/>
                <w:szCs w:val="18"/>
                <w:lang w:eastAsia="sk-SK"/>
              </w:rPr>
              <w:t>36 170</w:t>
            </w:r>
          </w:p>
        </w:tc>
        <w:tc>
          <w:tcPr>
            <w:tcW w:w="1131" w:type="dxa"/>
            <w:tcBorders>
              <w:top w:val="nil"/>
              <w:left w:val="nil"/>
              <w:bottom w:val="single" w:sz="8" w:space="0" w:color="auto"/>
              <w:right w:val="nil"/>
            </w:tcBorders>
            <w:shd w:val="clear" w:color="auto" w:fill="BFBFBF" w:themeFill="background1" w:themeFillShade="BF"/>
            <w:noWrap/>
            <w:vAlign w:val="center"/>
          </w:tcPr>
          <w:p w14:paraId="4A594B88" w14:textId="05689049" w:rsidR="004967E3" w:rsidRPr="00E20480" w:rsidRDefault="00FC4BC7" w:rsidP="004967E3">
            <w:pPr>
              <w:spacing w:after="0" w:line="240" w:lineRule="auto"/>
              <w:jc w:val="right"/>
              <w:rPr>
                <w:rFonts w:eastAsia="Times New Roman" w:cs="Times New Roman"/>
                <w:sz w:val="18"/>
                <w:szCs w:val="18"/>
                <w:lang w:eastAsia="sk-SK"/>
              </w:rPr>
            </w:pPr>
            <w:r w:rsidRPr="00E20480">
              <w:rPr>
                <w:rFonts w:eastAsia="Times New Roman" w:cs="Times New Roman"/>
                <w:sz w:val="18"/>
                <w:szCs w:val="18"/>
                <w:lang w:eastAsia="sk-SK"/>
              </w:rPr>
              <w:t>30 </w:t>
            </w:r>
            <w:r w:rsidR="004967E3" w:rsidRPr="00E20480">
              <w:rPr>
                <w:rFonts w:eastAsia="Times New Roman" w:cs="Times New Roman"/>
                <w:sz w:val="18"/>
                <w:szCs w:val="18"/>
                <w:lang w:eastAsia="sk-SK"/>
              </w:rPr>
              <w:t>847</w:t>
            </w:r>
          </w:p>
        </w:tc>
      </w:tr>
      <w:tr w:rsidR="004967E3" w:rsidRPr="00E20480" w14:paraId="310A5F2B" w14:textId="77777777" w:rsidTr="004B6995">
        <w:trPr>
          <w:trHeight w:val="285"/>
        </w:trPr>
        <w:tc>
          <w:tcPr>
            <w:tcW w:w="5241" w:type="dxa"/>
            <w:tcBorders>
              <w:top w:val="single" w:sz="8" w:space="0" w:color="auto"/>
              <w:left w:val="nil"/>
              <w:bottom w:val="single" w:sz="8" w:space="0" w:color="auto"/>
              <w:right w:val="nil"/>
            </w:tcBorders>
            <w:shd w:val="clear" w:color="auto" w:fill="auto"/>
            <w:noWrap/>
            <w:vAlign w:val="center"/>
          </w:tcPr>
          <w:p w14:paraId="27DB43BF" w14:textId="77777777" w:rsidR="004967E3" w:rsidRPr="00E20480" w:rsidRDefault="004967E3" w:rsidP="004967E3">
            <w:pPr>
              <w:spacing w:after="0" w:line="240" w:lineRule="auto"/>
              <w:contextualSpacing/>
              <w:jc w:val="left"/>
              <w:rPr>
                <w:rFonts w:eastAsia="Times New Roman" w:cs="Times New Roman"/>
                <w:b/>
                <w:bCs/>
                <w:sz w:val="18"/>
                <w:szCs w:val="18"/>
                <w:lang w:eastAsia="sk-SK"/>
              </w:rPr>
            </w:pPr>
            <w:r w:rsidRPr="00E20480">
              <w:rPr>
                <w:rFonts w:eastAsia="Times New Roman" w:cs="Times New Roman"/>
                <w:b/>
                <w:bCs/>
                <w:sz w:val="18"/>
                <w:szCs w:val="18"/>
                <w:lang w:eastAsia="sk-SK"/>
              </w:rPr>
              <w:t>Spolu</w:t>
            </w:r>
          </w:p>
        </w:tc>
        <w:tc>
          <w:tcPr>
            <w:tcW w:w="1138" w:type="dxa"/>
            <w:tcBorders>
              <w:top w:val="single" w:sz="8" w:space="0" w:color="auto"/>
              <w:left w:val="nil"/>
              <w:bottom w:val="single" w:sz="8" w:space="0" w:color="auto"/>
              <w:right w:val="nil"/>
            </w:tcBorders>
            <w:shd w:val="clear" w:color="auto" w:fill="auto"/>
            <w:noWrap/>
            <w:vAlign w:val="center"/>
          </w:tcPr>
          <w:p w14:paraId="21C2D121" w14:textId="3BE14F81" w:rsidR="004967E3" w:rsidRPr="00E20480" w:rsidRDefault="00FC4BC7" w:rsidP="004967E3">
            <w:pPr>
              <w:spacing w:after="0" w:line="240" w:lineRule="auto"/>
              <w:contextualSpacing/>
              <w:jc w:val="right"/>
              <w:rPr>
                <w:rFonts w:eastAsia="Times New Roman" w:cs="Times New Roman"/>
                <w:b/>
                <w:bCs/>
                <w:sz w:val="18"/>
                <w:szCs w:val="18"/>
                <w:lang w:eastAsia="sk-SK"/>
              </w:rPr>
            </w:pPr>
            <w:r w:rsidRPr="00E20480">
              <w:rPr>
                <w:rFonts w:cs="Times New Roman"/>
                <w:b/>
                <w:bCs/>
                <w:sz w:val="18"/>
                <w:szCs w:val="18"/>
              </w:rPr>
              <w:t>68 </w:t>
            </w:r>
            <w:r w:rsidR="004967E3" w:rsidRPr="00E20480">
              <w:rPr>
                <w:rFonts w:cs="Times New Roman"/>
                <w:b/>
                <w:bCs/>
                <w:sz w:val="18"/>
                <w:szCs w:val="18"/>
              </w:rPr>
              <w:t>343</w:t>
            </w:r>
          </w:p>
        </w:tc>
        <w:tc>
          <w:tcPr>
            <w:tcW w:w="992" w:type="dxa"/>
            <w:tcBorders>
              <w:top w:val="single" w:sz="8" w:space="0" w:color="auto"/>
              <w:left w:val="nil"/>
              <w:bottom w:val="single" w:sz="8" w:space="0" w:color="auto"/>
              <w:right w:val="nil"/>
            </w:tcBorders>
            <w:shd w:val="clear" w:color="auto" w:fill="auto"/>
            <w:noWrap/>
            <w:vAlign w:val="center"/>
          </w:tcPr>
          <w:p w14:paraId="49DD9131" w14:textId="77777777" w:rsidR="004967E3" w:rsidRPr="00E20480" w:rsidRDefault="004967E3" w:rsidP="004967E3">
            <w:pPr>
              <w:spacing w:after="0" w:line="240" w:lineRule="auto"/>
              <w:contextualSpacing/>
              <w:jc w:val="right"/>
              <w:rPr>
                <w:rFonts w:eastAsia="Times New Roman" w:cs="Times New Roman"/>
                <w:b/>
                <w:bCs/>
                <w:sz w:val="18"/>
                <w:szCs w:val="18"/>
                <w:lang w:eastAsia="sk-SK"/>
              </w:rPr>
            </w:pPr>
            <w:r w:rsidRPr="00E20480">
              <w:rPr>
                <w:rFonts w:eastAsia="Times New Roman" w:cs="Times New Roman"/>
                <w:b/>
                <w:bCs/>
                <w:sz w:val="18"/>
                <w:szCs w:val="18"/>
                <w:lang w:eastAsia="sk-SK"/>
              </w:rPr>
              <w:t>73 071</w:t>
            </w:r>
          </w:p>
        </w:tc>
        <w:tc>
          <w:tcPr>
            <w:tcW w:w="1131" w:type="dxa"/>
            <w:tcBorders>
              <w:top w:val="single" w:sz="8" w:space="0" w:color="auto"/>
              <w:left w:val="nil"/>
              <w:bottom w:val="single" w:sz="8" w:space="0" w:color="auto"/>
              <w:right w:val="nil"/>
            </w:tcBorders>
            <w:shd w:val="clear" w:color="auto" w:fill="BFBFBF" w:themeFill="background1" w:themeFillShade="BF"/>
            <w:noWrap/>
            <w:vAlign w:val="center"/>
          </w:tcPr>
          <w:p w14:paraId="5417D31A" w14:textId="166EC847" w:rsidR="004967E3" w:rsidRPr="00E20480" w:rsidRDefault="00B17F0D" w:rsidP="004967E3">
            <w:pPr>
              <w:spacing w:after="0" w:line="240" w:lineRule="auto"/>
              <w:contextualSpacing/>
              <w:jc w:val="right"/>
              <w:rPr>
                <w:rFonts w:eastAsia="Times New Roman" w:cs="Times New Roman"/>
                <w:b/>
                <w:bCs/>
                <w:sz w:val="18"/>
                <w:szCs w:val="18"/>
                <w:lang w:eastAsia="sk-SK"/>
              </w:rPr>
            </w:pPr>
            <w:r w:rsidRPr="00E20480">
              <w:rPr>
                <w:rFonts w:eastAsia="Times New Roman" w:cs="Times New Roman"/>
                <w:b/>
                <w:bCs/>
                <w:sz w:val="18"/>
                <w:szCs w:val="18"/>
                <w:lang w:eastAsia="sk-SK"/>
              </w:rPr>
              <w:t>53</w:t>
            </w:r>
            <w:r w:rsidR="00FC4BC7" w:rsidRPr="00E20480">
              <w:rPr>
                <w:rFonts w:eastAsia="Times New Roman" w:cs="Times New Roman"/>
                <w:b/>
                <w:bCs/>
                <w:sz w:val="18"/>
                <w:szCs w:val="18"/>
                <w:lang w:eastAsia="sk-SK"/>
              </w:rPr>
              <w:t> </w:t>
            </w:r>
            <w:r w:rsidR="004967E3" w:rsidRPr="00E20480">
              <w:rPr>
                <w:rFonts w:eastAsia="Times New Roman" w:cs="Times New Roman"/>
                <w:b/>
                <w:bCs/>
                <w:sz w:val="18"/>
                <w:szCs w:val="18"/>
                <w:lang w:eastAsia="sk-SK"/>
              </w:rPr>
              <w:t>391</w:t>
            </w:r>
          </w:p>
        </w:tc>
      </w:tr>
    </w:tbl>
    <w:p w14:paraId="55D87594" w14:textId="77777777" w:rsidR="004967E3" w:rsidRPr="00E20480" w:rsidRDefault="004967E3" w:rsidP="00E20480">
      <w:pPr>
        <w:ind w:left="6372" w:firstLine="708"/>
        <w:jc w:val="center"/>
        <w:rPr>
          <w:bCs/>
          <w:sz w:val="18"/>
          <w:szCs w:val="18"/>
        </w:rPr>
      </w:pPr>
      <w:r w:rsidRPr="00E20480">
        <w:rPr>
          <w:bCs/>
          <w:sz w:val="18"/>
          <w:szCs w:val="18"/>
        </w:rPr>
        <w:t>Zdroj: MF SR</w:t>
      </w:r>
    </w:p>
    <w:p w14:paraId="4F16698B" w14:textId="1A29D079" w:rsidR="004967E3" w:rsidRPr="008E6BBC" w:rsidRDefault="004967E3" w:rsidP="001665F3">
      <w:pPr>
        <w:spacing w:line="240" w:lineRule="auto"/>
        <w:rPr>
          <w:sz w:val="24"/>
          <w:szCs w:val="24"/>
        </w:rPr>
      </w:pPr>
      <w:r w:rsidRPr="008E6BBC">
        <w:rPr>
          <w:b/>
          <w:bCs/>
          <w:sz w:val="24"/>
          <w:szCs w:val="24"/>
        </w:rPr>
        <w:t xml:space="preserve">Daň z príjmov vyberaná zrážkou </w:t>
      </w:r>
      <w:r w:rsidRPr="008E6BBC">
        <w:rPr>
          <w:sz w:val="24"/>
          <w:szCs w:val="24"/>
        </w:rPr>
        <w:t>sa rozpočtovala sumou 232 870 tis. eur, v skutočnosti dosiahla výnos 235 081 tis. eur. Vyšší výnos bol najmä z vyššieho výberu daní z dividend. Naopak, nižší bol výnos z vkladov v bankách a z ročného zúčtovania zdravotných odvodov. Taktiež jednorazové vrátenie zaplatenej dane jednému subjektu za predchádzajúce roky znížilo výnos v roku 2020.</w:t>
      </w:r>
    </w:p>
    <w:p w14:paraId="72445088" w14:textId="5501258D" w:rsidR="004967E3" w:rsidRPr="008E6BBC" w:rsidRDefault="004967E3" w:rsidP="001665F3">
      <w:pPr>
        <w:tabs>
          <w:tab w:val="left" w:pos="284"/>
        </w:tabs>
        <w:spacing w:line="240" w:lineRule="auto"/>
        <w:rPr>
          <w:sz w:val="24"/>
          <w:szCs w:val="24"/>
        </w:rPr>
      </w:pPr>
      <w:r w:rsidRPr="008E6BBC">
        <w:rPr>
          <w:b/>
          <w:sz w:val="24"/>
          <w:szCs w:val="24"/>
        </w:rPr>
        <w:t xml:space="preserve">Výnos daní z medzinárodného obchodu a transakcií </w:t>
      </w:r>
      <w:r w:rsidRPr="008E6BBC">
        <w:rPr>
          <w:sz w:val="24"/>
          <w:szCs w:val="24"/>
        </w:rPr>
        <w:t xml:space="preserve">sa rozpočtoval v celkovej výške 20 408 tis. eur. V skutočnosti </w:t>
      </w:r>
      <w:r w:rsidR="000E4EE1" w:rsidRPr="008E6BBC">
        <w:rPr>
          <w:sz w:val="24"/>
          <w:szCs w:val="24"/>
        </w:rPr>
        <w:t>bol o </w:t>
      </w:r>
      <w:r w:rsidR="00FC4BC7" w:rsidRPr="008E6BBC">
        <w:rPr>
          <w:sz w:val="24"/>
          <w:szCs w:val="24"/>
        </w:rPr>
        <w:t>504 tis. eur nižší, vo výške 19 </w:t>
      </w:r>
      <w:r w:rsidRPr="008E6BBC">
        <w:rPr>
          <w:sz w:val="24"/>
          <w:szCs w:val="24"/>
        </w:rPr>
        <w:t>904 tis. eur. V p</w:t>
      </w:r>
      <w:r w:rsidR="00BF67ED" w:rsidRPr="008E6BBC">
        <w:rPr>
          <w:sz w:val="24"/>
          <w:szCs w:val="24"/>
        </w:rPr>
        <w:t>orovnaní s </w:t>
      </w:r>
      <w:r w:rsidRPr="008E6BBC">
        <w:rPr>
          <w:sz w:val="24"/>
          <w:szCs w:val="24"/>
        </w:rPr>
        <w:t xml:space="preserve">rokom 2019 klesol o 1 175 tis. eur nižší. Najväčšiu časť na daniach z medzinárodného obchodu a transakcií tvorí výnos z podielu na vybratých finančných prostriedkoch, ktorého skutočný výnos vo výške 19 888 tis. eur predstavuje plnenie rozpočtu na 97,45 %. </w:t>
      </w:r>
    </w:p>
    <w:p w14:paraId="41D25FC7" w14:textId="4961FB23" w:rsidR="004967E3" w:rsidRPr="008E6BBC" w:rsidRDefault="004967E3" w:rsidP="001665F3">
      <w:pPr>
        <w:tabs>
          <w:tab w:val="left" w:pos="284"/>
        </w:tabs>
        <w:spacing w:line="240" w:lineRule="auto"/>
        <w:rPr>
          <w:sz w:val="24"/>
          <w:szCs w:val="24"/>
        </w:rPr>
      </w:pPr>
      <w:r w:rsidRPr="008E6BBC">
        <w:rPr>
          <w:sz w:val="24"/>
          <w:szCs w:val="24"/>
        </w:rPr>
        <w:t>Súčasťou daní z medzinárodného obchodu a transakcií je aj výnos z dovozného cla, ktoré sa uplatňuje na tovar dovážaný z</w:t>
      </w:r>
      <w:r w:rsidR="000C4F76" w:rsidRPr="008E6BBC">
        <w:rPr>
          <w:sz w:val="24"/>
          <w:szCs w:val="24"/>
        </w:rPr>
        <w:t xml:space="preserve"> krajín, ktoré nie sú členom EÚ</w:t>
      </w:r>
      <w:r w:rsidRPr="008E6BBC">
        <w:rPr>
          <w:sz w:val="24"/>
          <w:szCs w:val="24"/>
        </w:rPr>
        <w:t xml:space="preserve"> a dobeh zrušenej dovoznej prirážky.</w:t>
      </w:r>
    </w:p>
    <w:p w14:paraId="3EB11E33" w14:textId="77777777" w:rsidR="004967E3" w:rsidRPr="008E6BBC" w:rsidRDefault="004967E3" w:rsidP="001665F3">
      <w:pPr>
        <w:tabs>
          <w:tab w:val="left" w:pos="284"/>
        </w:tabs>
        <w:spacing w:line="240" w:lineRule="auto"/>
        <w:rPr>
          <w:sz w:val="24"/>
          <w:szCs w:val="24"/>
        </w:rPr>
      </w:pPr>
      <w:r w:rsidRPr="008E6BBC">
        <w:rPr>
          <w:b/>
          <w:sz w:val="24"/>
          <w:szCs w:val="24"/>
        </w:rPr>
        <w:t>Ostatné dane</w:t>
      </w:r>
      <w:r w:rsidRPr="008E6BBC">
        <w:rPr>
          <w:sz w:val="24"/>
          <w:szCs w:val="24"/>
        </w:rPr>
        <w:t xml:space="preserve"> boli v rozpočte tvorené daňou z emisných kvót a majetkovými daňami. V prvom polroku 2020 požiadali subjekty o vrátanie dane z emisných kvót v objeme 1 318 tis. eur. To bolo zapracované do rozpočtu. Majetkové dane boli rozpočtované v sume 5 tis. eur. Skutočnosť ostatných daní sa na konci roka zmenila len zanedbateľne.</w:t>
      </w:r>
    </w:p>
    <w:p w14:paraId="58F32D47" w14:textId="77777777" w:rsidR="004967E3" w:rsidRPr="008E6BBC" w:rsidRDefault="004967E3" w:rsidP="001665F3">
      <w:pPr>
        <w:tabs>
          <w:tab w:val="left" w:pos="284"/>
        </w:tabs>
        <w:spacing w:line="240" w:lineRule="auto"/>
        <w:rPr>
          <w:sz w:val="24"/>
          <w:szCs w:val="24"/>
        </w:rPr>
      </w:pPr>
      <w:r w:rsidRPr="008E6BBC">
        <w:rPr>
          <w:b/>
          <w:sz w:val="24"/>
          <w:szCs w:val="24"/>
        </w:rPr>
        <w:t>Sankcie uložené v daňovom konaní a sankcie súvisiace s úhradou dane</w:t>
      </w:r>
      <w:r w:rsidRPr="008E6BBC">
        <w:rPr>
          <w:sz w:val="24"/>
          <w:szCs w:val="24"/>
        </w:rPr>
        <w:t xml:space="preserve"> sa rozpočtovali v sume 17 162 tis. eur. Ich skutočná výška dosiahla sumu 20 007 tis. eur, resp. 16 935 tis. eur po presune podielu sankcií do dane z príjmov fyzických osôb, z ktorých bol poukázaný výnos územnej samospráve. </w:t>
      </w:r>
    </w:p>
    <w:p w14:paraId="041CE971" w14:textId="6B4AC359" w:rsidR="004967E3" w:rsidRPr="008E6BBC" w:rsidRDefault="007521F4" w:rsidP="001665F3">
      <w:pPr>
        <w:tabs>
          <w:tab w:val="left" w:pos="284"/>
        </w:tabs>
        <w:spacing w:line="240" w:lineRule="auto"/>
        <w:rPr>
          <w:sz w:val="24"/>
          <w:szCs w:val="24"/>
        </w:rPr>
      </w:pPr>
      <w:r w:rsidRPr="008E6BBC">
        <w:rPr>
          <w:sz w:val="24"/>
          <w:szCs w:val="24"/>
        </w:rPr>
        <w:t>V</w:t>
      </w:r>
      <w:r w:rsidR="004967E3" w:rsidRPr="008E6BBC">
        <w:rPr>
          <w:sz w:val="24"/>
          <w:szCs w:val="24"/>
        </w:rPr>
        <w:t xml:space="preserve"> sledovanom roku 2020 neboli daňovými úradmi povolené úľavy na dani alebo odpustenia daňového nedoplatku na dani v</w:t>
      </w:r>
      <w:r w:rsidR="000E4EE1" w:rsidRPr="008E6BBC">
        <w:rPr>
          <w:sz w:val="24"/>
          <w:szCs w:val="24"/>
        </w:rPr>
        <w:t> </w:t>
      </w:r>
      <w:r w:rsidR="004967E3" w:rsidRPr="008E6BBC">
        <w:rPr>
          <w:sz w:val="24"/>
          <w:szCs w:val="24"/>
        </w:rPr>
        <w:t>zmysle</w:t>
      </w:r>
      <w:r w:rsidR="000E4EE1" w:rsidRPr="008E6BBC">
        <w:rPr>
          <w:sz w:val="24"/>
          <w:szCs w:val="24"/>
        </w:rPr>
        <w:t xml:space="preserve"> </w:t>
      </w:r>
      <w:r w:rsidR="004967E3" w:rsidRPr="008E6BBC">
        <w:rPr>
          <w:sz w:val="24"/>
          <w:szCs w:val="24"/>
        </w:rPr>
        <w:t>§ 70 daňového poriadku. Úľavy zo sankcie alebo odpustenie sankcie v zmysle § 157 daňového poriadku boli povolené daňovými úradm</w:t>
      </w:r>
      <w:r w:rsidR="00DD0CBF" w:rsidRPr="008E6BBC">
        <w:rPr>
          <w:sz w:val="24"/>
          <w:szCs w:val="24"/>
        </w:rPr>
        <w:t>i v 415 prípadoch vo výške 745,2</w:t>
      </w:r>
      <w:r w:rsidR="004967E3" w:rsidRPr="008E6BBC">
        <w:rPr>
          <w:sz w:val="24"/>
          <w:szCs w:val="24"/>
        </w:rPr>
        <w:t xml:space="preserve"> tis. eur.</w:t>
      </w:r>
    </w:p>
    <w:tbl>
      <w:tblPr>
        <w:tblpPr w:leftFromText="141" w:rightFromText="141" w:vertAnchor="text" w:horzAnchor="margin" w:tblpXSpec="center" w:tblpY="-24"/>
        <w:tblW w:w="8808" w:type="dxa"/>
        <w:tblCellMar>
          <w:left w:w="0" w:type="dxa"/>
          <w:right w:w="0" w:type="dxa"/>
        </w:tblCellMar>
        <w:tblLook w:val="04A0" w:firstRow="1" w:lastRow="0" w:firstColumn="1" w:lastColumn="0" w:noHBand="0" w:noVBand="1"/>
      </w:tblPr>
      <w:tblGrid>
        <w:gridCol w:w="2694"/>
        <w:gridCol w:w="567"/>
        <w:gridCol w:w="2568"/>
        <w:gridCol w:w="550"/>
        <w:gridCol w:w="2269"/>
        <w:gridCol w:w="160"/>
      </w:tblGrid>
      <w:tr w:rsidR="004967E3" w:rsidRPr="00E20480" w14:paraId="0644A0B6" w14:textId="77777777" w:rsidTr="005C4AEB">
        <w:trPr>
          <w:trHeight w:val="413"/>
        </w:trPr>
        <w:tc>
          <w:tcPr>
            <w:tcW w:w="8648" w:type="dxa"/>
            <w:gridSpan w:val="5"/>
            <w:shd w:val="clear" w:color="auto" w:fill="000000"/>
            <w:tcMar>
              <w:top w:w="0" w:type="dxa"/>
              <w:left w:w="70" w:type="dxa"/>
              <w:bottom w:w="0" w:type="dxa"/>
              <w:right w:w="70" w:type="dxa"/>
            </w:tcMar>
            <w:vAlign w:val="bottom"/>
            <w:hideMark/>
          </w:tcPr>
          <w:p w14:paraId="1F467BD7" w14:textId="77777777" w:rsidR="004967E3" w:rsidRPr="00E20480" w:rsidRDefault="004967E3" w:rsidP="004C05E1">
            <w:pPr>
              <w:spacing w:after="0" w:line="240" w:lineRule="auto"/>
              <w:jc w:val="left"/>
              <w:rPr>
                <w:b/>
                <w:bCs/>
                <w:sz w:val="18"/>
                <w:szCs w:val="18"/>
                <w:lang w:eastAsia="sk-SK"/>
              </w:rPr>
            </w:pPr>
            <w:r w:rsidRPr="00E20480">
              <w:rPr>
                <w:b/>
                <w:bCs/>
                <w:sz w:val="18"/>
                <w:szCs w:val="18"/>
                <w:lang w:eastAsia="sk-SK"/>
              </w:rPr>
              <w:t xml:space="preserve">Povolené úľavy na dani / odpustenie daňového nedoplatku na dani / úľavy zo sankcie / odpustenie sankcie </w:t>
            </w:r>
          </w:p>
        </w:tc>
        <w:tc>
          <w:tcPr>
            <w:tcW w:w="160" w:type="dxa"/>
            <w:vMerge w:val="restart"/>
            <w:noWrap/>
            <w:tcMar>
              <w:top w:w="0" w:type="dxa"/>
              <w:left w:w="70" w:type="dxa"/>
              <w:bottom w:w="0" w:type="dxa"/>
              <w:right w:w="70" w:type="dxa"/>
            </w:tcMar>
            <w:vAlign w:val="bottom"/>
            <w:hideMark/>
          </w:tcPr>
          <w:p w14:paraId="6E09BA80" w14:textId="77777777" w:rsidR="004967E3" w:rsidRPr="00E20480" w:rsidRDefault="004967E3" w:rsidP="004967E3">
            <w:pPr>
              <w:rPr>
                <w:b/>
                <w:bCs/>
                <w:sz w:val="18"/>
                <w:szCs w:val="18"/>
                <w:lang w:eastAsia="sk-SK"/>
              </w:rPr>
            </w:pPr>
          </w:p>
        </w:tc>
      </w:tr>
      <w:tr w:rsidR="004967E3" w:rsidRPr="00E20480" w14:paraId="7023D888" w14:textId="77777777" w:rsidTr="005C4AEB">
        <w:trPr>
          <w:trHeight w:val="60"/>
        </w:trPr>
        <w:tc>
          <w:tcPr>
            <w:tcW w:w="8648" w:type="dxa"/>
            <w:gridSpan w:val="5"/>
            <w:shd w:val="clear" w:color="auto" w:fill="000000"/>
            <w:tcMar>
              <w:top w:w="0" w:type="dxa"/>
              <w:left w:w="70" w:type="dxa"/>
              <w:bottom w:w="0" w:type="dxa"/>
              <w:right w:w="70" w:type="dxa"/>
            </w:tcMar>
            <w:vAlign w:val="bottom"/>
          </w:tcPr>
          <w:p w14:paraId="11D6224A" w14:textId="77777777" w:rsidR="004967E3" w:rsidRPr="00E20480" w:rsidRDefault="004967E3" w:rsidP="004C05E1">
            <w:pPr>
              <w:spacing w:after="0" w:line="240" w:lineRule="auto"/>
              <w:jc w:val="right"/>
              <w:rPr>
                <w:b/>
                <w:bCs/>
                <w:sz w:val="18"/>
                <w:szCs w:val="18"/>
                <w:lang w:eastAsia="sk-SK"/>
              </w:rPr>
            </w:pPr>
            <w:r w:rsidRPr="00E20480">
              <w:rPr>
                <w:b/>
                <w:bCs/>
                <w:sz w:val="18"/>
                <w:szCs w:val="18"/>
                <w:lang w:eastAsia="sk-SK"/>
              </w:rPr>
              <w:t>v tis. eur</w:t>
            </w:r>
          </w:p>
        </w:tc>
        <w:tc>
          <w:tcPr>
            <w:tcW w:w="160" w:type="dxa"/>
            <w:vMerge/>
            <w:noWrap/>
            <w:tcMar>
              <w:top w:w="0" w:type="dxa"/>
              <w:left w:w="70" w:type="dxa"/>
              <w:bottom w:w="0" w:type="dxa"/>
              <w:right w:w="70" w:type="dxa"/>
            </w:tcMar>
            <w:vAlign w:val="bottom"/>
          </w:tcPr>
          <w:p w14:paraId="5EEE1EE3" w14:textId="77777777" w:rsidR="004967E3" w:rsidRPr="00E20480" w:rsidRDefault="004967E3" w:rsidP="004967E3">
            <w:pPr>
              <w:rPr>
                <w:b/>
                <w:bCs/>
                <w:sz w:val="18"/>
                <w:szCs w:val="18"/>
                <w:lang w:eastAsia="sk-SK"/>
              </w:rPr>
            </w:pPr>
          </w:p>
        </w:tc>
      </w:tr>
      <w:tr w:rsidR="004967E3" w:rsidRPr="00E20480" w14:paraId="098089F5" w14:textId="77777777" w:rsidTr="005C4AEB">
        <w:trPr>
          <w:trHeight w:val="564"/>
        </w:trPr>
        <w:tc>
          <w:tcPr>
            <w:tcW w:w="2694" w:type="dxa"/>
            <w:vMerge w:val="restart"/>
            <w:tcBorders>
              <w:top w:val="nil"/>
              <w:left w:val="nil"/>
              <w:bottom w:val="single" w:sz="8" w:space="0" w:color="000000"/>
              <w:right w:val="nil"/>
            </w:tcBorders>
            <w:shd w:val="clear" w:color="auto" w:fill="BFBFBF"/>
            <w:tcMar>
              <w:top w:w="0" w:type="dxa"/>
              <w:left w:w="70" w:type="dxa"/>
              <w:bottom w:w="0" w:type="dxa"/>
              <w:right w:w="70" w:type="dxa"/>
            </w:tcMar>
            <w:vAlign w:val="center"/>
            <w:hideMark/>
          </w:tcPr>
          <w:p w14:paraId="2A36D317" w14:textId="77777777" w:rsidR="004967E3" w:rsidRPr="00E20480" w:rsidRDefault="004967E3" w:rsidP="004967E3">
            <w:pPr>
              <w:rPr>
                <w:b/>
                <w:bCs/>
                <w:sz w:val="18"/>
                <w:szCs w:val="18"/>
                <w:lang w:eastAsia="sk-SK"/>
              </w:rPr>
            </w:pPr>
            <w:r w:rsidRPr="00E20480">
              <w:rPr>
                <w:b/>
                <w:bCs/>
                <w:sz w:val="18"/>
                <w:szCs w:val="18"/>
                <w:lang w:eastAsia="sk-SK"/>
              </w:rPr>
              <w:t>Finančný orgán</w:t>
            </w:r>
          </w:p>
        </w:tc>
        <w:tc>
          <w:tcPr>
            <w:tcW w:w="3135" w:type="dxa"/>
            <w:gridSpan w:val="2"/>
            <w:shd w:val="clear" w:color="auto" w:fill="BFBFBF"/>
            <w:tcMar>
              <w:top w:w="0" w:type="dxa"/>
              <w:left w:w="70" w:type="dxa"/>
              <w:bottom w:w="0" w:type="dxa"/>
              <w:right w:w="70" w:type="dxa"/>
            </w:tcMar>
            <w:vAlign w:val="center"/>
            <w:hideMark/>
          </w:tcPr>
          <w:p w14:paraId="144CF299" w14:textId="77777777" w:rsidR="004967E3" w:rsidRPr="00E20480" w:rsidRDefault="004967E3" w:rsidP="004967E3">
            <w:pPr>
              <w:spacing w:after="0" w:line="240" w:lineRule="auto"/>
              <w:jc w:val="center"/>
              <w:rPr>
                <w:b/>
                <w:bCs/>
                <w:sz w:val="18"/>
                <w:szCs w:val="18"/>
                <w:lang w:eastAsia="sk-SK"/>
              </w:rPr>
            </w:pPr>
            <w:r w:rsidRPr="00E20480">
              <w:rPr>
                <w:b/>
                <w:bCs/>
                <w:sz w:val="18"/>
                <w:szCs w:val="18"/>
                <w:lang w:eastAsia="sk-SK"/>
              </w:rPr>
              <w:t>Úľavy na dani alebo odpustenie daňového nedoplatku na dani</w:t>
            </w:r>
          </w:p>
        </w:tc>
        <w:tc>
          <w:tcPr>
            <w:tcW w:w="2819" w:type="dxa"/>
            <w:gridSpan w:val="2"/>
            <w:shd w:val="clear" w:color="auto" w:fill="BFBFBF"/>
            <w:tcMar>
              <w:top w:w="0" w:type="dxa"/>
              <w:left w:w="70" w:type="dxa"/>
              <w:bottom w:w="0" w:type="dxa"/>
              <w:right w:w="70" w:type="dxa"/>
            </w:tcMar>
            <w:vAlign w:val="center"/>
            <w:hideMark/>
          </w:tcPr>
          <w:p w14:paraId="670397DE" w14:textId="77777777" w:rsidR="004967E3" w:rsidRPr="00E20480" w:rsidRDefault="004967E3" w:rsidP="004967E3">
            <w:pPr>
              <w:spacing w:after="0" w:line="240" w:lineRule="auto"/>
              <w:jc w:val="center"/>
              <w:rPr>
                <w:b/>
                <w:bCs/>
                <w:sz w:val="18"/>
                <w:szCs w:val="18"/>
                <w:lang w:eastAsia="sk-SK"/>
              </w:rPr>
            </w:pPr>
            <w:r w:rsidRPr="00E20480">
              <w:rPr>
                <w:b/>
                <w:bCs/>
                <w:sz w:val="18"/>
                <w:szCs w:val="18"/>
                <w:lang w:eastAsia="sk-SK"/>
              </w:rPr>
              <w:t>Úľavy zo sankcie alebo odpustenie sankcie</w:t>
            </w:r>
          </w:p>
        </w:tc>
        <w:tc>
          <w:tcPr>
            <w:tcW w:w="160" w:type="dxa"/>
            <w:noWrap/>
            <w:tcMar>
              <w:top w:w="0" w:type="dxa"/>
              <w:left w:w="70" w:type="dxa"/>
              <w:bottom w:w="0" w:type="dxa"/>
              <w:right w:w="70" w:type="dxa"/>
            </w:tcMar>
            <w:vAlign w:val="bottom"/>
            <w:hideMark/>
          </w:tcPr>
          <w:p w14:paraId="0FE61A02" w14:textId="77777777" w:rsidR="004967E3" w:rsidRPr="00E20480" w:rsidRDefault="004967E3" w:rsidP="004967E3">
            <w:pPr>
              <w:rPr>
                <w:b/>
                <w:bCs/>
                <w:sz w:val="18"/>
                <w:szCs w:val="18"/>
                <w:lang w:eastAsia="sk-SK"/>
              </w:rPr>
            </w:pPr>
          </w:p>
        </w:tc>
      </w:tr>
      <w:tr w:rsidR="004967E3" w:rsidRPr="00E20480" w14:paraId="2520B872" w14:textId="77777777" w:rsidTr="005C4AEB">
        <w:trPr>
          <w:trHeight w:val="264"/>
        </w:trPr>
        <w:tc>
          <w:tcPr>
            <w:tcW w:w="2694" w:type="dxa"/>
            <w:vMerge/>
            <w:tcBorders>
              <w:top w:val="nil"/>
              <w:left w:val="nil"/>
              <w:bottom w:val="single" w:sz="8" w:space="0" w:color="000000"/>
              <w:right w:val="nil"/>
            </w:tcBorders>
            <w:vAlign w:val="center"/>
            <w:hideMark/>
          </w:tcPr>
          <w:p w14:paraId="23393D91" w14:textId="77777777" w:rsidR="004967E3" w:rsidRPr="00E20480" w:rsidRDefault="004967E3" w:rsidP="004967E3">
            <w:pPr>
              <w:rPr>
                <w:b/>
                <w:bCs/>
                <w:sz w:val="18"/>
                <w:szCs w:val="18"/>
                <w:lang w:eastAsia="sk-SK"/>
              </w:rPr>
            </w:pPr>
          </w:p>
        </w:tc>
        <w:tc>
          <w:tcPr>
            <w:tcW w:w="567" w:type="dxa"/>
            <w:tcBorders>
              <w:top w:val="nil"/>
              <w:left w:val="nil"/>
              <w:bottom w:val="single" w:sz="8" w:space="0" w:color="auto"/>
              <w:right w:val="nil"/>
            </w:tcBorders>
            <w:shd w:val="clear" w:color="auto" w:fill="BFBFBF"/>
            <w:tcMar>
              <w:top w:w="0" w:type="dxa"/>
              <w:left w:w="70" w:type="dxa"/>
              <w:bottom w:w="0" w:type="dxa"/>
              <w:right w:w="70" w:type="dxa"/>
            </w:tcMar>
            <w:vAlign w:val="center"/>
            <w:hideMark/>
          </w:tcPr>
          <w:p w14:paraId="65FBBB0A" w14:textId="77777777" w:rsidR="004967E3" w:rsidRPr="00E20480" w:rsidRDefault="004967E3" w:rsidP="004967E3">
            <w:pPr>
              <w:spacing w:after="0" w:line="240" w:lineRule="auto"/>
              <w:jc w:val="left"/>
              <w:rPr>
                <w:b/>
                <w:bCs/>
                <w:sz w:val="18"/>
                <w:szCs w:val="18"/>
                <w:lang w:eastAsia="sk-SK"/>
              </w:rPr>
            </w:pPr>
            <w:r w:rsidRPr="00E20480">
              <w:rPr>
                <w:b/>
                <w:bCs/>
                <w:sz w:val="18"/>
                <w:szCs w:val="18"/>
                <w:lang w:eastAsia="sk-SK"/>
              </w:rPr>
              <w:t>počet</w:t>
            </w:r>
          </w:p>
        </w:tc>
        <w:tc>
          <w:tcPr>
            <w:tcW w:w="2568" w:type="dxa"/>
            <w:tcBorders>
              <w:top w:val="nil"/>
              <w:left w:val="nil"/>
              <w:bottom w:val="single" w:sz="8" w:space="0" w:color="auto"/>
              <w:right w:val="nil"/>
            </w:tcBorders>
            <w:shd w:val="clear" w:color="auto" w:fill="BFBFBF"/>
            <w:tcMar>
              <w:top w:w="0" w:type="dxa"/>
              <w:left w:w="70" w:type="dxa"/>
              <w:bottom w:w="0" w:type="dxa"/>
              <w:right w:w="70" w:type="dxa"/>
            </w:tcMar>
            <w:vAlign w:val="center"/>
            <w:hideMark/>
          </w:tcPr>
          <w:p w14:paraId="054366E6" w14:textId="77777777" w:rsidR="004967E3" w:rsidRPr="00E20480" w:rsidRDefault="004967E3" w:rsidP="004967E3">
            <w:pPr>
              <w:spacing w:after="0" w:line="240" w:lineRule="auto"/>
              <w:jc w:val="center"/>
              <w:rPr>
                <w:b/>
                <w:bCs/>
                <w:sz w:val="18"/>
                <w:szCs w:val="18"/>
                <w:lang w:eastAsia="sk-SK"/>
              </w:rPr>
            </w:pPr>
            <w:r w:rsidRPr="00E20480">
              <w:rPr>
                <w:b/>
                <w:bCs/>
                <w:sz w:val="18"/>
                <w:szCs w:val="18"/>
                <w:lang w:eastAsia="sk-SK"/>
              </w:rPr>
              <w:t>suma</w:t>
            </w:r>
          </w:p>
        </w:tc>
        <w:tc>
          <w:tcPr>
            <w:tcW w:w="550" w:type="dxa"/>
            <w:tcBorders>
              <w:top w:val="nil"/>
              <w:left w:val="nil"/>
              <w:bottom w:val="single" w:sz="8" w:space="0" w:color="auto"/>
              <w:right w:val="nil"/>
            </w:tcBorders>
            <w:shd w:val="clear" w:color="auto" w:fill="BFBFBF"/>
            <w:tcMar>
              <w:top w:w="0" w:type="dxa"/>
              <w:left w:w="70" w:type="dxa"/>
              <w:bottom w:w="0" w:type="dxa"/>
              <w:right w:w="70" w:type="dxa"/>
            </w:tcMar>
            <w:vAlign w:val="center"/>
            <w:hideMark/>
          </w:tcPr>
          <w:p w14:paraId="05CF2720" w14:textId="77777777" w:rsidR="004967E3" w:rsidRPr="00E20480" w:rsidRDefault="004967E3" w:rsidP="004967E3">
            <w:pPr>
              <w:spacing w:after="0" w:line="240" w:lineRule="auto"/>
              <w:jc w:val="center"/>
              <w:rPr>
                <w:b/>
                <w:bCs/>
                <w:sz w:val="18"/>
                <w:szCs w:val="18"/>
                <w:lang w:eastAsia="sk-SK"/>
              </w:rPr>
            </w:pPr>
            <w:r w:rsidRPr="00E20480">
              <w:rPr>
                <w:b/>
                <w:bCs/>
                <w:sz w:val="18"/>
                <w:szCs w:val="18"/>
                <w:lang w:eastAsia="sk-SK"/>
              </w:rPr>
              <w:t>počet</w:t>
            </w:r>
          </w:p>
        </w:tc>
        <w:tc>
          <w:tcPr>
            <w:tcW w:w="2269" w:type="dxa"/>
            <w:tcBorders>
              <w:top w:val="nil"/>
              <w:left w:val="nil"/>
              <w:bottom w:val="single" w:sz="8" w:space="0" w:color="auto"/>
              <w:right w:val="nil"/>
            </w:tcBorders>
            <w:shd w:val="clear" w:color="auto" w:fill="BFBFBF"/>
            <w:tcMar>
              <w:top w:w="0" w:type="dxa"/>
              <w:left w:w="70" w:type="dxa"/>
              <w:bottom w:w="0" w:type="dxa"/>
              <w:right w:w="70" w:type="dxa"/>
            </w:tcMar>
            <w:vAlign w:val="center"/>
            <w:hideMark/>
          </w:tcPr>
          <w:p w14:paraId="771CB87C" w14:textId="77777777" w:rsidR="004967E3" w:rsidRPr="00E20480" w:rsidRDefault="004967E3" w:rsidP="004967E3">
            <w:pPr>
              <w:spacing w:after="0" w:line="240" w:lineRule="auto"/>
              <w:jc w:val="center"/>
              <w:rPr>
                <w:b/>
                <w:bCs/>
                <w:sz w:val="18"/>
                <w:szCs w:val="18"/>
                <w:lang w:eastAsia="sk-SK"/>
              </w:rPr>
            </w:pPr>
            <w:r w:rsidRPr="00E20480">
              <w:rPr>
                <w:b/>
                <w:bCs/>
                <w:sz w:val="18"/>
                <w:szCs w:val="18"/>
                <w:lang w:eastAsia="sk-SK"/>
              </w:rPr>
              <w:t>suma</w:t>
            </w:r>
          </w:p>
        </w:tc>
        <w:tc>
          <w:tcPr>
            <w:tcW w:w="160" w:type="dxa"/>
            <w:noWrap/>
            <w:tcMar>
              <w:top w:w="0" w:type="dxa"/>
              <w:left w:w="70" w:type="dxa"/>
              <w:bottom w:w="0" w:type="dxa"/>
              <w:right w:w="70" w:type="dxa"/>
            </w:tcMar>
            <w:vAlign w:val="bottom"/>
            <w:hideMark/>
          </w:tcPr>
          <w:p w14:paraId="23DE604A" w14:textId="77777777" w:rsidR="004967E3" w:rsidRPr="00E20480" w:rsidRDefault="004967E3" w:rsidP="004967E3">
            <w:pPr>
              <w:rPr>
                <w:b/>
                <w:bCs/>
                <w:sz w:val="18"/>
                <w:szCs w:val="18"/>
                <w:lang w:eastAsia="sk-SK"/>
              </w:rPr>
            </w:pPr>
          </w:p>
        </w:tc>
      </w:tr>
      <w:tr w:rsidR="004967E3" w:rsidRPr="00E20480" w14:paraId="0DA0B025" w14:textId="77777777" w:rsidTr="005C4AEB">
        <w:trPr>
          <w:trHeight w:val="176"/>
        </w:trPr>
        <w:tc>
          <w:tcPr>
            <w:tcW w:w="2694" w:type="dxa"/>
            <w:tcMar>
              <w:top w:w="0" w:type="dxa"/>
              <w:left w:w="70" w:type="dxa"/>
              <w:bottom w:w="0" w:type="dxa"/>
              <w:right w:w="70" w:type="dxa"/>
            </w:tcMar>
            <w:vAlign w:val="center"/>
            <w:hideMark/>
          </w:tcPr>
          <w:p w14:paraId="7350C4C7" w14:textId="77777777" w:rsidR="004967E3" w:rsidRPr="00E20480" w:rsidRDefault="004967E3" w:rsidP="004967E3">
            <w:pPr>
              <w:spacing w:after="0" w:line="240" w:lineRule="auto"/>
              <w:jc w:val="left"/>
              <w:rPr>
                <w:sz w:val="18"/>
                <w:szCs w:val="18"/>
                <w:lang w:eastAsia="sk-SK"/>
              </w:rPr>
            </w:pPr>
            <w:r w:rsidRPr="00E20480">
              <w:rPr>
                <w:sz w:val="18"/>
                <w:szCs w:val="18"/>
                <w:lang w:eastAsia="sk-SK"/>
              </w:rPr>
              <w:t>Daňové úrady</w:t>
            </w:r>
          </w:p>
        </w:tc>
        <w:tc>
          <w:tcPr>
            <w:tcW w:w="567" w:type="dxa"/>
            <w:tcMar>
              <w:top w:w="0" w:type="dxa"/>
              <w:left w:w="70" w:type="dxa"/>
              <w:bottom w:w="0" w:type="dxa"/>
              <w:right w:w="70" w:type="dxa"/>
            </w:tcMar>
            <w:vAlign w:val="center"/>
            <w:hideMark/>
          </w:tcPr>
          <w:p w14:paraId="7C99FE8D" w14:textId="77777777" w:rsidR="004967E3" w:rsidRPr="00E20480" w:rsidRDefault="004967E3" w:rsidP="004967E3">
            <w:pPr>
              <w:spacing w:after="0" w:line="240" w:lineRule="auto"/>
              <w:jc w:val="center"/>
              <w:rPr>
                <w:sz w:val="18"/>
                <w:szCs w:val="18"/>
                <w:lang w:eastAsia="sk-SK"/>
              </w:rPr>
            </w:pPr>
            <w:r w:rsidRPr="00E20480">
              <w:rPr>
                <w:sz w:val="18"/>
                <w:szCs w:val="18"/>
                <w:lang w:eastAsia="sk-SK"/>
              </w:rPr>
              <w:t>0</w:t>
            </w:r>
          </w:p>
        </w:tc>
        <w:tc>
          <w:tcPr>
            <w:tcW w:w="2568" w:type="dxa"/>
            <w:tcMar>
              <w:top w:w="0" w:type="dxa"/>
              <w:left w:w="70" w:type="dxa"/>
              <w:bottom w:w="0" w:type="dxa"/>
              <w:right w:w="70" w:type="dxa"/>
            </w:tcMar>
            <w:vAlign w:val="center"/>
            <w:hideMark/>
          </w:tcPr>
          <w:p w14:paraId="3AC75598" w14:textId="77777777" w:rsidR="004967E3" w:rsidRPr="00E20480" w:rsidRDefault="004967E3" w:rsidP="004967E3">
            <w:pPr>
              <w:spacing w:after="0" w:line="240" w:lineRule="auto"/>
              <w:jc w:val="center"/>
              <w:rPr>
                <w:sz w:val="18"/>
                <w:szCs w:val="18"/>
                <w:lang w:eastAsia="sk-SK"/>
              </w:rPr>
            </w:pPr>
            <w:r w:rsidRPr="00E20480">
              <w:rPr>
                <w:sz w:val="18"/>
                <w:szCs w:val="18"/>
                <w:lang w:eastAsia="sk-SK"/>
              </w:rPr>
              <w:t>0</w:t>
            </w:r>
          </w:p>
        </w:tc>
        <w:tc>
          <w:tcPr>
            <w:tcW w:w="550" w:type="dxa"/>
            <w:tcMar>
              <w:top w:w="0" w:type="dxa"/>
              <w:left w:w="70" w:type="dxa"/>
              <w:bottom w:w="0" w:type="dxa"/>
              <w:right w:w="70" w:type="dxa"/>
            </w:tcMar>
            <w:vAlign w:val="center"/>
            <w:hideMark/>
          </w:tcPr>
          <w:p w14:paraId="0C2B7121" w14:textId="77777777" w:rsidR="004967E3" w:rsidRPr="00E20480" w:rsidRDefault="004967E3" w:rsidP="004967E3">
            <w:pPr>
              <w:spacing w:after="0" w:line="240" w:lineRule="auto"/>
              <w:jc w:val="center"/>
              <w:rPr>
                <w:sz w:val="18"/>
                <w:szCs w:val="18"/>
                <w:lang w:eastAsia="sk-SK"/>
              </w:rPr>
            </w:pPr>
            <w:r w:rsidRPr="00E20480">
              <w:rPr>
                <w:sz w:val="18"/>
                <w:szCs w:val="18"/>
                <w:lang w:eastAsia="sk-SK"/>
              </w:rPr>
              <w:t>413</w:t>
            </w:r>
          </w:p>
        </w:tc>
        <w:tc>
          <w:tcPr>
            <w:tcW w:w="2269" w:type="dxa"/>
            <w:tcMar>
              <w:top w:w="0" w:type="dxa"/>
              <w:left w:w="70" w:type="dxa"/>
              <w:bottom w:w="0" w:type="dxa"/>
              <w:right w:w="70" w:type="dxa"/>
            </w:tcMar>
            <w:vAlign w:val="center"/>
            <w:hideMark/>
          </w:tcPr>
          <w:p w14:paraId="799FA858" w14:textId="77777777" w:rsidR="004967E3" w:rsidRPr="00E20480" w:rsidRDefault="004967E3" w:rsidP="004967E3">
            <w:pPr>
              <w:spacing w:after="0" w:line="240" w:lineRule="auto"/>
              <w:jc w:val="center"/>
              <w:rPr>
                <w:sz w:val="18"/>
                <w:szCs w:val="18"/>
                <w:lang w:eastAsia="sk-SK"/>
              </w:rPr>
            </w:pPr>
            <w:r w:rsidRPr="00E20480">
              <w:rPr>
                <w:sz w:val="18"/>
                <w:szCs w:val="18"/>
                <w:lang w:eastAsia="sk-SK"/>
              </w:rPr>
              <w:t>737,5</w:t>
            </w:r>
          </w:p>
        </w:tc>
        <w:tc>
          <w:tcPr>
            <w:tcW w:w="160" w:type="dxa"/>
            <w:noWrap/>
            <w:tcMar>
              <w:top w:w="0" w:type="dxa"/>
              <w:left w:w="70" w:type="dxa"/>
              <w:bottom w:w="0" w:type="dxa"/>
              <w:right w:w="70" w:type="dxa"/>
            </w:tcMar>
            <w:vAlign w:val="bottom"/>
            <w:hideMark/>
          </w:tcPr>
          <w:p w14:paraId="7D0A425C" w14:textId="77777777" w:rsidR="004967E3" w:rsidRPr="00E20480" w:rsidRDefault="004967E3" w:rsidP="004967E3">
            <w:pPr>
              <w:rPr>
                <w:sz w:val="18"/>
                <w:szCs w:val="18"/>
                <w:lang w:eastAsia="sk-SK"/>
              </w:rPr>
            </w:pPr>
          </w:p>
        </w:tc>
      </w:tr>
      <w:tr w:rsidR="004967E3" w:rsidRPr="00E20480" w14:paraId="43AA998D" w14:textId="77777777" w:rsidTr="005C4AEB">
        <w:trPr>
          <w:trHeight w:val="176"/>
        </w:trPr>
        <w:tc>
          <w:tcPr>
            <w:tcW w:w="2694" w:type="dxa"/>
            <w:tcMar>
              <w:top w:w="0" w:type="dxa"/>
              <w:left w:w="70" w:type="dxa"/>
              <w:bottom w:w="0" w:type="dxa"/>
              <w:right w:w="70" w:type="dxa"/>
            </w:tcMar>
            <w:vAlign w:val="center"/>
            <w:hideMark/>
          </w:tcPr>
          <w:p w14:paraId="6892447F" w14:textId="77777777" w:rsidR="004967E3" w:rsidRPr="00E20480" w:rsidRDefault="004967E3" w:rsidP="004967E3">
            <w:pPr>
              <w:spacing w:after="0" w:line="240" w:lineRule="auto"/>
              <w:jc w:val="left"/>
              <w:rPr>
                <w:sz w:val="18"/>
                <w:szCs w:val="18"/>
                <w:lang w:eastAsia="sk-SK"/>
              </w:rPr>
            </w:pPr>
            <w:r w:rsidRPr="00E20480">
              <w:rPr>
                <w:sz w:val="18"/>
                <w:szCs w:val="18"/>
                <w:lang w:eastAsia="sk-SK"/>
              </w:rPr>
              <w:t xml:space="preserve">Colné úrady /* </w:t>
            </w:r>
          </w:p>
        </w:tc>
        <w:tc>
          <w:tcPr>
            <w:tcW w:w="567" w:type="dxa"/>
            <w:tcMar>
              <w:top w:w="0" w:type="dxa"/>
              <w:left w:w="70" w:type="dxa"/>
              <w:bottom w:w="0" w:type="dxa"/>
              <w:right w:w="70" w:type="dxa"/>
            </w:tcMar>
            <w:vAlign w:val="center"/>
            <w:hideMark/>
          </w:tcPr>
          <w:p w14:paraId="4E5A99CC" w14:textId="77777777" w:rsidR="004967E3" w:rsidRPr="00E20480" w:rsidRDefault="004967E3" w:rsidP="004967E3">
            <w:pPr>
              <w:spacing w:after="0" w:line="240" w:lineRule="auto"/>
              <w:jc w:val="center"/>
              <w:rPr>
                <w:sz w:val="18"/>
                <w:szCs w:val="18"/>
                <w:lang w:eastAsia="sk-SK"/>
              </w:rPr>
            </w:pPr>
            <w:r w:rsidRPr="00E20480">
              <w:rPr>
                <w:sz w:val="18"/>
                <w:szCs w:val="18"/>
                <w:lang w:eastAsia="sk-SK"/>
              </w:rPr>
              <w:t>x</w:t>
            </w:r>
          </w:p>
        </w:tc>
        <w:tc>
          <w:tcPr>
            <w:tcW w:w="2568" w:type="dxa"/>
            <w:tcMar>
              <w:top w:w="0" w:type="dxa"/>
              <w:left w:w="70" w:type="dxa"/>
              <w:bottom w:w="0" w:type="dxa"/>
              <w:right w:w="70" w:type="dxa"/>
            </w:tcMar>
            <w:vAlign w:val="center"/>
            <w:hideMark/>
          </w:tcPr>
          <w:p w14:paraId="04CB02E7" w14:textId="77777777" w:rsidR="004967E3" w:rsidRPr="00E20480" w:rsidRDefault="004967E3" w:rsidP="004967E3">
            <w:pPr>
              <w:spacing w:after="0" w:line="240" w:lineRule="auto"/>
              <w:jc w:val="center"/>
              <w:rPr>
                <w:sz w:val="18"/>
                <w:szCs w:val="18"/>
                <w:lang w:eastAsia="sk-SK"/>
              </w:rPr>
            </w:pPr>
            <w:r w:rsidRPr="00E20480">
              <w:rPr>
                <w:sz w:val="18"/>
                <w:szCs w:val="18"/>
                <w:lang w:eastAsia="sk-SK"/>
              </w:rPr>
              <w:t>x</w:t>
            </w:r>
          </w:p>
        </w:tc>
        <w:tc>
          <w:tcPr>
            <w:tcW w:w="550" w:type="dxa"/>
            <w:tcMar>
              <w:top w:w="0" w:type="dxa"/>
              <w:left w:w="70" w:type="dxa"/>
              <w:bottom w:w="0" w:type="dxa"/>
              <w:right w:w="70" w:type="dxa"/>
            </w:tcMar>
            <w:vAlign w:val="center"/>
            <w:hideMark/>
          </w:tcPr>
          <w:p w14:paraId="7B3AF895" w14:textId="77777777" w:rsidR="004967E3" w:rsidRPr="00E20480" w:rsidRDefault="004967E3" w:rsidP="004967E3">
            <w:pPr>
              <w:spacing w:after="0" w:line="240" w:lineRule="auto"/>
              <w:jc w:val="center"/>
              <w:rPr>
                <w:sz w:val="18"/>
                <w:szCs w:val="18"/>
                <w:lang w:eastAsia="sk-SK"/>
              </w:rPr>
            </w:pPr>
            <w:r w:rsidRPr="00E20480">
              <w:rPr>
                <w:sz w:val="18"/>
                <w:szCs w:val="18"/>
                <w:lang w:eastAsia="sk-SK"/>
              </w:rPr>
              <w:t>2</w:t>
            </w:r>
          </w:p>
        </w:tc>
        <w:tc>
          <w:tcPr>
            <w:tcW w:w="2269" w:type="dxa"/>
            <w:tcMar>
              <w:top w:w="0" w:type="dxa"/>
              <w:left w:w="70" w:type="dxa"/>
              <w:bottom w:w="0" w:type="dxa"/>
              <w:right w:w="70" w:type="dxa"/>
            </w:tcMar>
            <w:vAlign w:val="center"/>
            <w:hideMark/>
          </w:tcPr>
          <w:p w14:paraId="205F73D4" w14:textId="77777777" w:rsidR="004967E3" w:rsidRPr="00E20480" w:rsidRDefault="004967E3" w:rsidP="004967E3">
            <w:pPr>
              <w:spacing w:after="0" w:line="240" w:lineRule="auto"/>
              <w:jc w:val="center"/>
              <w:rPr>
                <w:sz w:val="18"/>
                <w:szCs w:val="18"/>
                <w:lang w:eastAsia="sk-SK"/>
              </w:rPr>
            </w:pPr>
            <w:r w:rsidRPr="00E20480">
              <w:rPr>
                <w:sz w:val="18"/>
                <w:szCs w:val="18"/>
                <w:lang w:eastAsia="sk-SK"/>
              </w:rPr>
              <w:t>7,7</w:t>
            </w:r>
          </w:p>
        </w:tc>
        <w:tc>
          <w:tcPr>
            <w:tcW w:w="160" w:type="dxa"/>
            <w:noWrap/>
            <w:tcMar>
              <w:top w:w="0" w:type="dxa"/>
              <w:left w:w="70" w:type="dxa"/>
              <w:bottom w:w="0" w:type="dxa"/>
              <w:right w:w="70" w:type="dxa"/>
            </w:tcMar>
            <w:vAlign w:val="bottom"/>
            <w:hideMark/>
          </w:tcPr>
          <w:p w14:paraId="08EB3DB2" w14:textId="77777777" w:rsidR="004967E3" w:rsidRPr="00E20480" w:rsidRDefault="004967E3" w:rsidP="004967E3">
            <w:pPr>
              <w:rPr>
                <w:sz w:val="18"/>
                <w:szCs w:val="18"/>
                <w:lang w:eastAsia="sk-SK"/>
              </w:rPr>
            </w:pPr>
          </w:p>
        </w:tc>
      </w:tr>
      <w:tr w:rsidR="004967E3" w:rsidRPr="00E20480" w14:paraId="76730FA8" w14:textId="77777777" w:rsidTr="005C4AEB">
        <w:trPr>
          <w:trHeight w:val="176"/>
        </w:trPr>
        <w:tc>
          <w:tcPr>
            <w:tcW w:w="2694" w:type="dxa"/>
            <w:tcBorders>
              <w:bottom w:val="single" w:sz="8" w:space="0" w:color="auto"/>
            </w:tcBorders>
            <w:tcMar>
              <w:top w:w="0" w:type="dxa"/>
              <w:left w:w="70" w:type="dxa"/>
              <w:bottom w:w="0" w:type="dxa"/>
              <w:right w:w="70" w:type="dxa"/>
            </w:tcMar>
            <w:vAlign w:val="center"/>
            <w:hideMark/>
          </w:tcPr>
          <w:p w14:paraId="02D17F6F" w14:textId="77777777" w:rsidR="004967E3" w:rsidRPr="00E20480" w:rsidRDefault="004967E3" w:rsidP="004967E3">
            <w:pPr>
              <w:spacing w:after="0" w:line="240" w:lineRule="auto"/>
              <w:jc w:val="left"/>
              <w:rPr>
                <w:sz w:val="18"/>
                <w:szCs w:val="18"/>
                <w:lang w:eastAsia="sk-SK"/>
              </w:rPr>
            </w:pPr>
            <w:r w:rsidRPr="00E20480">
              <w:rPr>
                <w:sz w:val="18"/>
                <w:szCs w:val="18"/>
                <w:lang w:eastAsia="sk-SK"/>
              </w:rPr>
              <w:t>FR SR</w:t>
            </w:r>
          </w:p>
        </w:tc>
        <w:tc>
          <w:tcPr>
            <w:tcW w:w="567" w:type="dxa"/>
            <w:tcBorders>
              <w:bottom w:val="single" w:sz="8" w:space="0" w:color="auto"/>
            </w:tcBorders>
            <w:tcMar>
              <w:top w:w="0" w:type="dxa"/>
              <w:left w:w="70" w:type="dxa"/>
              <w:bottom w:w="0" w:type="dxa"/>
              <w:right w:w="70" w:type="dxa"/>
            </w:tcMar>
            <w:vAlign w:val="center"/>
            <w:hideMark/>
          </w:tcPr>
          <w:p w14:paraId="3A126432" w14:textId="77777777" w:rsidR="004967E3" w:rsidRPr="00E20480" w:rsidRDefault="004967E3" w:rsidP="004967E3">
            <w:pPr>
              <w:spacing w:after="0" w:line="240" w:lineRule="auto"/>
              <w:jc w:val="center"/>
              <w:rPr>
                <w:sz w:val="18"/>
                <w:szCs w:val="18"/>
                <w:lang w:eastAsia="sk-SK"/>
              </w:rPr>
            </w:pPr>
            <w:r w:rsidRPr="00E20480">
              <w:rPr>
                <w:sz w:val="18"/>
                <w:szCs w:val="18"/>
                <w:lang w:eastAsia="sk-SK"/>
              </w:rPr>
              <w:t>x</w:t>
            </w:r>
          </w:p>
        </w:tc>
        <w:tc>
          <w:tcPr>
            <w:tcW w:w="2568" w:type="dxa"/>
            <w:tcBorders>
              <w:bottom w:val="single" w:sz="8" w:space="0" w:color="auto"/>
            </w:tcBorders>
            <w:tcMar>
              <w:top w:w="0" w:type="dxa"/>
              <w:left w:w="70" w:type="dxa"/>
              <w:bottom w:w="0" w:type="dxa"/>
              <w:right w:w="70" w:type="dxa"/>
            </w:tcMar>
            <w:vAlign w:val="center"/>
            <w:hideMark/>
          </w:tcPr>
          <w:p w14:paraId="6E9AA5B5" w14:textId="77777777" w:rsidR="004967E3" w:rsidRPr="00E20480" w:rsidRDefault="004967E3" w:rsidP="004967E3">
            <w:pPr>
              <w:spacing w:after="0" w:line="240" w:lineRule="auto"/>
              <w:jc w:val="center"/>
              <w:rPr>
                <w:sz w:val="18"/>
                <w:szCs w:val="18"/>
                <w:lang w:eastAsia="sk-SK"/>
              </w:rPr>
            </w:pPr>
            <w:r w:rsidRPr="00E20480">
              <w:rPr>
                <w:sz w:val="18"/>
                <w:szCs w:val="18"/>
                <w:lang w:eastAsia="sk-SK"/>
              </w:rPr>
              <w:t>x</w:t>
            </w:r>
          </w:p>
        </w:tc>
        <w:tc>
          <w:tcPr>
            <w:tcW w:w="550" w:type="dxa"/>
            <w:tcBorders>
              <w:bottom w:val="single" w:sz="8" w:space="0" w:color="auto"/>
            </w:tcBorders>
            <w:tcMar>
              <w:top w:w="0" w:type="dxa"/>
              <w:left w:w="70" w:type="dxa"/>
              <w:bottom w:w="0" w:type="dxa"/>
              <w:right w:w="70" w:type="dxa"/>
            </w:tcMar>
            <w:vAlign w:val="center"/>
            <w:hideMark/>
          </w:tcPr>
          <w:p w14:paraId="3DD415E7" w14:textId="77777777" w:rsidR="004967E3" w:rsidRPr="00E20480" w:rsidRDefault="004967E3" w:rsidP="004967E3">
            <w:pPr>
              <w:spacing w:after="0" w:line="240" w:lineRule="auto"/>
              <w:jc w:val="center"/>
              <w:rPr>
                <w:sz w:val="18"/>
                <w:szCs w:val="18"/>
                <w:lang w:eastAsia="sk-SK"/>
              </w:rPr>
            </w:pPr>
            <w:r w:rsidRPr="00E20480">
              <w:rPr>
                <w:sz w:val="18"/>
                <w:szCs w:val="18"/>
                <w:lang w:eastAsia="sk-SK"/>
              </w:rPr>
              <w:t>x</w:t>
            </w:r>
          </w:p>
        </w:tc>
        <w:tc>
          <w:tcPr>
            <w:tcW w:w="2269" w:type="dxa"/>
            <w:tcBorders>
              <w:bottom w:val="single" w:sz="8" w:space="0" w:color="auto"/>
            </w:tcBorders>
            <w:tcMar>
              <w:top w:w="0" w:type="dxa"/>
              <w:left w:w="70" w:type="dxa"/>
              <w:bottom w:w="0" w:type="dxa"/>
              <w:right w:w="70" w:type="dxa"/>
            </w:tcMar>
            <w:vAlign w:val="center"/>
            <w:hideMark/>
          </w:tcPr>
          <w:p w14:paraId="0C591038" w14:textId="77777777" w:rsidR="004967E3" w:rsidRPr="00E20480" w:rsidRDefault="004967E3" w:rsidP="004967E3">
            <w:pPr>
              <w:spacing w:after="0" w:line="240" w:lineRule="auto"/>
              <w:jc w:val="center"/>
              <w:rPr>
                <w:sz w:val="18"/>
                <w:szCs w:val="18"/>
                <w:lang w:eastAsia="sk-SK"/>
              </w:rPr>
            </w:pPr>
            <w:r w:rsidRPr="00E20480">
              <w:rPr>
                <w:sz w:val="18"/>
                <w:szCs w:val="18"/>
                <w:lang w:eastAsia="sk-SK"/>
              </w:rPr>
              <w:t>x</w:t>
            </w:r>
          </w:p>
        </w:tc>
        <w:tc>
          <w:tcPr>
            <w:tcW w:w="160" w:type="dxa"/>
            <w:noWrap/>
            <w:tcMar>
              <w:top w:w="0" w:type="dxa"/>
              <w:left w:w="70" w:type="dxa"/>
              <w:bottom w:w="0" w:type="dxa"/>
              <w:right w:w="70" w:type="dxa"/>
            </w:tcMar>
            <w:vAlign w:val="bottom"/>
            <w:hideMark/>
          </w:tcPr>
          <w:p w14:paraId="4FCFEAE4" w14:textId="77777777" w:rsidR="004967E3" w:rsidRPr="00E20480" w:rsidRDefault="004967E3" w:rsidP="004967E3">
            <w:pPr>
              <w:rPr>
                <w:sz w:val="18"/>
                <w:szCs w:val="18"/>
                <w:lang w:eastAsia="sk-SK"/>
              </w:rPr>
            </w:pPr>
          </w:p>
        </w:tc>
      </w:tr>
      <w:tr w:rsidR="004967E3" w:rsidRPr="00E20480" w14:paraId="09141306" w14:textId="77777777" w:rsidTr="005C4AEB">
        <w:trPr>
          <w:trHeight w:val="185"/>
        </w:trPr>
        <w:tc>
          <w:tcPr>
            <w:tcW w:w="2694"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372C9046" w14:textId="77777777" w:rsidR="004967E3" w:rsidRPr="00E20480" w:rsidRDefault="004967E3" w:rsidP="004967E3">
            <w:pPr>
              <w:spacing w:after="0" w:line="240" w:lineRule="auto"/>
              <w:contextualSpacing/>
              <w:jc w:val="left"/>
              <w:rPr>
                <w:b/>
                <w:bCs/>
                <w:sz w:val="18"/>
                <w:szCs w:val="18"/>
                <w:lang w:eastAsia="sk-SK"/>
              </w:rPr>
            </w:pPr>
            <w:r w:rsidRPr="00E20480">
              <w:rPr>
                <w:b/>
                <w:bCs/>
                <w:sz w:val="18"/>
                <w:szCs w:val="18"/>
                <w:lang w:eastAsia="sk-SK"/>
              </w:rPr>
              <w:t>Spolu</w:t>
            </w:r>
          </w:p>
        </w:tc>
        <w:tc>
          <w:tcPr>
            <w:tcW w:w="567"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43A7AB2A" w14:textId="77777777" w:rsidR="004967E3" w:rsidRPr="00E20480" w:rsidRDefault="004967E3" w:rsidP="004967E3">
            <w:pPr>
              <w:spacing w:after="0" w:line="240" w:lineRule="auto"/>
              <w:contextualSpacing/>
              <w:jc w:val="center"/>
              <w:rPr>
                <w:b/>
                <w:bCs/>
                <w:sz w:val="18"/>
                <w:szCs w:val="18"/>
                <w:lang w:eastAsia="sk-SK"/>
              </w:rPr>
            </w:pPr>
            <w:r w:rsidRPr="00E20480">
              <w:rPr>
                <w:b/>
                <w:bCs/>
                <w:sz w:val="18"/>
                <w:szCs w:val="18"/>
                <w:lang w:eastAsia="sk-SK"/>
              </w:rPr>
              <w:t>0</w:t>
            </w:r>
          </w:p>
        </w:tc>
        <w:tc>
          <w:tcPr>
            <w:tcW w:w="2568"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125E4D04" w14:textId="77777777" w:rsidR="004967E3" w:rsidRPr="00E20480" w:rsidRDefault="004967E3" w:rsidP="004967E3">
            <w:pPr>
              <w:spacing w:after="0" w:line="240" w:lineRule="auto"/>
              <w:contextualSpacing/>
              <w:jc w:val="center"/>
              <w:rPr>
                <w:b/>
                <w:bCs/>
                <w:sz w:val="18"/>
                <w:szCs w:val="18"/>
                <w:lang w:eastAsia="sk-SK"/>
              </w:rPr>
            </w:pPr>
            <w:r w:rsidRPr="00E20480">
              <w:rPr>
                <w:b/>
                <w:bCs/>
                <w:sz w:val="18"/>
                <w:szCs w:val="18"/>
                <w:lang w:eastAsia="sk-SK"/>
              </w:rPr>
              <w:t>0</w:t>
            </w:r>
          </w:p>
        </w:tc>
        <w:tc>
          <w:tcPr>
            <w:tcW w:w="550"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46BD555D" w14:textId="77777777" w:rsidR="004967E3" w:rsidRPr="00E20480" w:rsidRDefault="004967E3" w:rsidP="004967E3">
            <w:pPr>
              <w:spacing w:after="0" w:line="240" w:lineRule="auto"/>
              <w:contextualSpacing/>
              <w:jc w:val="center"/>
              <w:rPr>
                <w:b/>
                <w:bCs/>
                <w:sz w:val="18"/>
                <w:szCs w:val="18"/>
                <w:lang w:eastAsia="sk-SK"/>
              </w:rPr>
            </w:pPr>
            <w:r w:rsidRPr="00E20480">
              <w:rPr>
                <w:b/>
                <w:bCs/>
                <w:sz w:val="18"/>
                <w:szCs w:val="18"/>
                <w:lang w:eastAsia="sk-SK"/>
              </w:rPr>
              <w:t>415</w:t>
            </w:r>
          </w:p>
        </w:tc>
        <w:tc>
          <w:tcPr>
            <w:tcW w:w="2269"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6880B27D" w14:textId="7166EB3A" w:rsidR="004967E3" w:rsidRPr="00E20480" w:rsidRDefault="004354AF" w:rsidP="004967E3">
            <w:pPr>
              <w:spacing w:after="0" w:line="240" w:lineRule="auto"/>
              <w:contextualSpacing/>
              <w:jc w:val="center"/>
              <w:rPr>
                <w:b/>
                <w:bCs/>
                <w:sz w:val="18"/>
                <w:szCs w:val="18"/>
                <w:lang w:eastAsia="sk-SK"/>
              </w:rPr>
            </w:pPr>
            <w:r w:rsidRPr="00E20480">
              <w:rPr>
                <w:b/>
                <w:bCs/>
                <w:sz w:val="18"/>
                <w:szCs w:val="18"/>
                <w:lang w:eastAsia="sk-SK"/>
              </w:rPr>
              <w:t>745,2</w:t>
            </w:r>
          </w:p>
        </w:tc>
        <w:tc>
          <w:tcPr>
            <w:tcW w:w="160" w:type="dxa"/>
            <w:noWrap/>
            <w:tcMar>
              <w:top w:w="0" w:type="dxa"/>
              <w:left w:w="70" w:type="dxa"/>
              <w:bottom w:w="0" w:type="dxa"/>
              <w:right w:w="70" w:type="dxa"/>
            </w:tcMar>
            <w:vAlign w:val="bottom"/>
            <w:hideMark/>
          </w:tcPr>
          <w:p w14:paraId="2C4C6038" w14:textId="77777777" w:rsidR="004967E3" w:rsidRPr="00E20480" w:rsidRDefault="004967E3" w:rsidP="004967E3">
            <w:pPr>
              <w:rPr>
                <w:sz w:val="18"/>
                <w:szCs w:val="18"/>
                <w:lang w:eastAsia="sk-SK"/>
              </w:rPr>
            </w:pPr>
          </w:p>
        </w:tc>
      </w:tr>
      <w:tr w:rsidR="004967E3" w:rsidRPr="00E20480" w14:paraId="11FE5112" w14:textId="77777777" w:rsidTr="005C4AEB">
        <w:trPr>
          <w:gridAfter w:val="1"/>
          <w:wAfter w:w="160" w:type="dxa"/>
          <w:trHeight w:val="176"/>
        </w:trPr>
        <w:tc>
          <w:tcPr>
            <w:tcW w:w="8648" w:type="dxa"/>
            <w:gridSpan w:val="5"/>
            <w:noWrap/>
            <w:tcMar>
              <w:top w:w="0" w:type="dxa"/>
              <w:left w:w="70" w:type="dxa"/>
              <w:bottom w:w="0" w:type="dxa"/>
              <w:right w:w="70" w:type="dxa"/>
            </w:tcMar>
            <w:vAlign w:val="center"/>
            <w:hideMark/>
          </w:tcPr>
          <w:p w14:paraId="622A7604" w14:textId="182CEA0F" w:rsidR="004967E3" w:rsidRPr="00E20480" w:rsidRDefault="004967E3" w:rsidP="004967E3">
            <w:pPr>
              <w:rPr>
                <w:sz w:val="18"/>
                <w:szCs w:val="18"/>
                <w:lang w:eastAsia="sk-SK"/>
              </w:rPr>
            </w:pPr>
            <w:r w:rsidRPr="00E20480">
              <w:rPr>
                <w:sz w:val="18"/>
                <w:szCs w:val="18"/>
                <w:lang w:eastAsia="sk-SK"/>
              </w:rPr>
              <w:t xml:space="preserve">*Colné úrady neposkytujú úľavy a odpustenie dane v zmysle § 70 daňového poriadku                        </w:t>
            </w:r>
            <w:r w:rsidR="00C26DDF">
              <w:rPr>
                <w:sz w:val="18"/>
                <w:szCs w:val="18"/>
                <w:lang w:eastAsia="sk-SK"/>
              </w:rPr>
              <w:t xml:space="preserve">   </w:t>
            </w:r>
            <w:r w:rsidRPr="00E20480">
              <w:rPr>
                <w:sz w:val="18"/>
                <w:szCs w:val="18"/>
                <w:lang w:eastAsia="sk-SK"/>
              </w:rPr>
              <w:t xml:space="preserve"> Zdroj: FR SR</w:t>
            </w:r>
          </w:p>
        </w:tc>
      </w:tr>
    </w:tbl>
    <w:p w14:paraId="30298E25" w14:textId="357628DF" w:rsidR="004967E3" w:rsidRDefault="004967E3" w:rsidP="001665F3">
      <w:pPr>
        <w:spacing w:line="240" w:lineRule="auto"/>
        <w:rPr>
          <w:b/>
          <w:i/>
        </w:rPr>
      </w:pPr>
      <w:r w:rsidRPr="004967E3">
        <w:rPr>
          <w:b/>
          <w:i/>
        </w:rPr>
        <w:t>Podrobné údaje o plnení daňových príjmov štátneho rozpočtu v roku 2020 sú uvedené v tab. č. 2 tabuľkovej prílohy štátneho záverečného účtu.</w:t>
      </w:r>
    </w:p>
    <w:p w14:paraId="4D421906" w14:textId="77777777" w:rsidR="004C05E1" w:rsidRDefault="004C05E1" w:rsidP="001665F3">
      <w:pPr>
        <w:spacing w:line="240" w:lineRule="auto"/>
        <w:rPr>
          <w:b/>
          <w:i/>
        </w:rPr>
      </w:pPr>
    </w:p>
    <w:p w14:paraId="739D3CBC" w14:textId="638467D9" w:rsidR="008254BE" w:rsidRDefault="008254BE" w:rsidP="0058017A">
      <w:pPr>
        <w:pStyle w:val="Nadpis3"/>
      </w:pPr>
      <w:bookmarkStart w:id="37" w:name="_Toc6415643"/>
      <w:bookmarkStart w:id="38" w:name="_Toc70026094"/>
      <w:r>
        <w:t>Nedaňové príjmy</w:t>
      </w:r>
      <w:bookmarkEnd w:id="37"/>
      <w:bookmarkEnd w:id="38"/>
    </w:p>
    <w:p w14:paraId="106E608A" w14:textId="570CC269" w:rsidR="00C2434C" w:rsidRPr="008E6BBC" w:rsidRDefault="00C2434C" w:rsidP="001665F3">
      <w:pPr>
        <w:spacing w:line="240" w:lineRule="auto"/>
        <w:rPr>
          <w:color w:val="000000" w:themeColor="text1"/>
          <w:sz w:val="24"/>
          <w:szCs w:val="24"/>
        </w:rPr>
      </w:pPr>
      <w:r w:rsidRPr="008E6BBC">
        <w:rPr>
          <w:color w:val="000000" w:themeColor="text1"/>
          <w:sz w:val="24"/>
          <w:szCs w:val="24"/>
        </w:rPr>
        <w:t xml:space="preserve">Nedaňové príjmy do štátneho rozpočtu plynú najmä vo forme dividend, poplatkov a platieb, kapitálových príjmov z predaja dlhodobého hmotného majetku a úrokov z poskytnutých výpomocí. </w:t>
      </w:r>
      <w:r w:rsidRPr="004C05E1">
        <w:rPr>
          <w:b/>
          <w:color w:val="000000" w:themeColor="text1"/>
          <w:sz w:val="24"/>
          <w:szCs w:val="24"/>
        </w:rPr>
        <w:t>V roku 2020 dosiahli tieto príjmy sumu 1 296 62</w:t>
      </w:r>
      <w:r w:rsidR="00D322F5">
        <w:rPr>
          <w:b/>
          <w:color w:val="000000" w:themeColor="text1"/>
          <w:sz w:val="24"/>
          <w:szCs w:val="24"/>
        </w:rPr>
        <w:t>6</w:t>
      </w:r>
      <w:r w:rsidRPr="004C05E1">
        <w:rPr>
          <w:b/>
          <w:color w:val="000000" w:themeColor="text1"/>
          <w:sz w:val="24"/>
          <w:szCs w:val="24"/>
        </w:rPr>
        <w:t> tis. eur, čo predstavuje 8,2 % z celkovo dosiahnutých príjmov štátneho rozpočtu.</w:t>
      </w:r>
      <w:r w:rsidRPr="008E6BBC">
        <w:rPr>
          <w:color w:val="FF0000"/>
          <w:sz w:val="24"/>
          <w:szCs w:val="24"/>
        </w:rPr>
        <w:t xml:space="preserve"> </w:t>
      </w:r>
      <w:r w:rsidRPr="008E6BBC">
        <w:rPr>
          <w:color w:val="000000" w:themeColor="text1"/>
          <w:sz w:val="24"/>
          <w:szCs w:val="24"/>
        </w:rPr>
        <w:t>Skutočné plnenie nedaňových príjmov predstavovalo 117,5 % rozpočtovanej hodnoty. V porovnaní s rokom 2019 sa vyinkasovaná suma znížila o 30 8</w:t>
      </w:r>
      <w:r w:rsidR="00D322F5">
        <w:rPr>
          <w:color w:val="000000" w:themeColor="text1"/>
          <w:sz w:val="24"/>
          <w:szCs w:val="24"/>
        </w:rPr>
        <w:t>90</w:t>
      </w:r>
      <w:r w:rsidRPr="008E6BBC">
        <w:rPr>
          <w:color w:val="000000" w:themeColor="text1"/>
          <w:sz w:val="24"/>
          <w:szCs w:val="24"/>
        </w:rPr>
        <w:t xml:space="preserve"> tis. eur, a to najmä z dôvodu nižších príjmov z dividend o 76 321 tis. eur a súčasne vyšších iných nedaňových príjmov o 48 544 tis. eur. </w:t>
      </w:r>
    </w:p>
    <w:p w14:paraId="757A5B4E" w14:textId="77777777" w:rsidR="00C2434C" w:rsidRPr="008E6BBC" w:rsidRDefault="00C2434C" w:rsidP="001665F3">
      <w:pPr>
        <w:spacing w:line="240" w:lineRule="auto"/>
        <w:rPr>
          <w:sz w:val="24"/>
          <w:szCs w:val="24"/>
        </w:rPr>
      </w:pPr>
      <w:r w:rsidRPr="008E6BBC">
        <w:rPr>
          <w:sz w:val="24"/>
          <w:szCs w:val="24"/>
        </w:rPr>
        <w:t>Súhrnný prehľad o plnení nedaňových príjmov poskytuje nasledovná tabuľka:</w:t>
      </w:r>
    </w:p>
    <w:tbl>
      <w:tblPr>
        <w:tblW w:w="9264" w:type="dxa"/>
        <w:tblInd w:w="-10" w:type="dxa"/>
        <w:tblCellMar>
          <w:left w:w="70" w:type="dxa"/>
          <w:right w:w="70" w:type="dxa"/>
        </w:tblCellMar>
        <w:tblLook w:val="04A0" w:firstRow="1" w:lastRow="0" w:firstColumn="1" w:lastColumn="0" w:noHBand="0" w:noVBand="1"/>
      </w:tblPr>
      <w:tblGrid>
        <w:gridCol w:w="3686"/>
        <w:gridCol w:w="980"/>
        <w:gridCol w:w="940"/>
        <w:gridCol w:w="940"/>
        <w:gridCol w:w="1060"/>
        <w:gridCol w:w="900"/>
        <w:gridCol w:w="758"/>
      </w:tblGrid>
      <w:tr w:rsidR="00E20480" w:rsidRPr="00E20480" w14:paraId="73A8B923" w14:textId="77777777" w:rsidTr="004C05E1">
        <w:trPr>
          <w:trHeight w:val="330"/>
        </w:trPr>
        <w:tc>
          <w:tcPr>
            <w:tcW w:w="9264" w:type="dxa"/>
            <w:gridSpan w:val="7"/>
            <w:tcBorders>
              <w:top w:val="nil"/>
              <w:left w:val="single" w:sz="8" w:space="0" w:color="auto"/>
              <w:bottom w:val="nil"/>
              <w:right w:val="nil"/>
            </w:tcBorders>
            <w:shd w:val="clear" w:color="000000" w:fill="000000"/>
            <w:vAlign w:val="center"/>
            <w:hideMark/>
          </w:tcPr>
          <w:p w14:paraId="14FE1CEF" w14:textId="751D0A63" w:rsidR="00E20480" w:rsidRPr="00E20480" w:rsidRDefault="00E20480" w:rsidP="00E20480">
            <w:pPr>
              <w:spacing w:after="0" w:line="240" w:lineRule="auto"/>
              <w:rPr>
                <w:rFonts w:eastAsia="Times New Roman" w:cs="Times New Roman"/>
                <w:b/>
                <w:bCs/>
                <w:color w:val="FFFFFF"/>
                <w:sz w:val="18"/>
                <w:szCs w:val="18"/>
                <w:lang w:eastAsia="sk-SK"/>
              </w:rPr>
            </w:pPr>
            <w:bookmarkStart w:id="39" w:name="RANGE!B5:H20"/>
            <w:r w:rsidRPr="00E20480">
              <w:rPr>
                <w:rFonts w:eastAsia="Times New Roman" w:cs="Times New Roman"/>
                <w:b/>
                <w:bCs/>
                <w:color w:val="FFFFFF"/>
                <w:sz w:val="18"/>
                <w:szCs w:val="18"/>
                <w:lang w:eastAsia="sk-SK"/>
              </w:rPr>
              <w:t>Nedaňové príjmy</w:t>
            </w:r>
            <w:bookmarkEnd w:id="39"/>
            <w:r>
              <w:rPr>
                <w:rFonts w:eastAsia="Times New Roman" w:cs="Times New Roman"/>
                <w:b/>
                <w:bCs/>
                <w:color w:val="FFFFFF"/>
                <w:sz w:val="18"/>
                <w:szCs w:val="18"/>
                <w:lang w:eastAsia="sk-SK"/>
              </w:rPr>
              <w:t xml:space="preserve">                                                                                                                                                                </w:t>
            </w:r>
            <w:r w:rsidRPr="00E20480">
              <w:rPr>
                <w:rFonts w:eastAsia="Times New Roman" w:cs="Times New Roman"/>
                <w:b/>
                <w:bCs/>
                <w:color w:val="FFFFFF"/>
                <w:sz w:val="18"/>
                <w:szCs w:val="18"/>
                <w:lang w:eastAsia="sk-SK"/>
              </w:rPr>
              <w:t>v tis. eur</w:t>
            </w:r>
          </w:p>
        </w:tc>
      </w:tr>
      <w:tr w:rsidR="00C2434C" w:rsidRPr="00E20480" w14:paraId="361C61FE" w14:textId="77777777" w:rsidTr="004C05E1">
        <w:trPr>
          <w:trHeight w:val="330"/>
        </w:trPr>
        <w:tc>
          <w:tcPr>
            <w:tcW w:w="3686" w:type="dxa"/>
            <w:tcBorders>
              <w:top w:val="nil"/>
              <w:left w:val="nil"/>
              <w:bottom w:val="nil"/>
              <w:right w:val="nil"/>
            </w:tcBorders>
            <w:shd w:val="clear" w:color="000000" w:fill="BFBFBF"/>
            <w:vAlign w:val="center"/>
            <w:hideMark/>
          </w:tcPr>
          <w:p w14:paraId="2AD37C63" w14:textId="77777777" w:rsidR="00C2434C" w:rsidRPr="00E20480" w:rsidRDefault="00C2434C" w:rsidP="00151F12">
            <w:pPr>
              <w:spacing w:after="0" w:line="240" w:lineRule="auto"/>
              <w:rPr>
                <w:rFonts w:eastAsia="Times New Roman" w:cs="Times New Roman"/>
                <w:b/>
                <w:bCs/>
                <w:color w:val="FFFFFF"/>
                <w:sz w:val="18"/>
                <w:szCs w:val="18"/>
                <w:lang w:eastAsia="sk-SK"/>
              </w:rPr>
            </w:pPr>
            <w:r w:rsidRPr="00E20480">
              <w:rPr>
                <w:rFonts w:eastAsia="Times New Roman" w:cs="Times New Roman"/>
                <w:b/>
                <w:bCs/>
                <w:color w:val="FFFFFF"/>
                <w:sz w:val="18"/>
                <w:szCs w:val="18"/>
                <w:lang w:eastAsia="sk-SK"/>
              </w:rPr>
              <w:t> </w:t>
            </w:r>
          </w:p>
        </w:tc>
        <w:tc>
          <w:tcPr>
            <w:tcW w:w="1920" w:type="dxa"/>
            <w:gridSpan w:val="2"/>
            <w:tcBorders>
              <w:top w:val="nil"/>
              <w:left w:val="nil"/>
              <w:bottom w:val="nil"/>
              <w:right w:val="nil"/>
            </w:tcBorders>
            <w:shd w:val="clear" w:color="000000" w:fill="BFBFBF"/>
            <w:vAlign w:val="center"/>
            <w:hideMark/>
          </w:tcPr>
          <w:p w14:paraId="0E57A16F" w14:textId="77777777" w:rsidR="00C2434C" w:rsidRPr="00E20480" w:rsidRDefault="00C2434C" w:rsidP="00151F12">
            <w:pPr>
              <w:spacing w:after="0" w:line="240" w:lineRule="auto"/>
              <w:jc w:val="center"/>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Skutočnosť</w:t>
            </w:r>
          </w:p>
        </w:tc>
        <w:tc>
          <w:tcPr>
            <w:tcW w:w="940" w:type="dxa"/>
            <w:tcBorders>
              <w:top w:val="nil"/>
              <w:left w:val="nil"/>
              <w:bottom w:val="nil"/>
              <w:right w:val="nil"/>
            </w:tcBorders>
            <w:shd w:val="clear" w:color="000000" w:fill="BFBFBF"/>
            <w:vAlign w:val="center"/>
            <w:hideMark/>
          </w:tcPr>
          <w:p w14:paraId="52D8CD08" w14:textId="77777777" w:rsidR="00C2434C" w:rsidRPr="00E20480" w:rsidRDefault="00C2434C" w:rsidP="00151F12">
            <w:pPr>
              <w:spacing w:after="0" w:line="240" w:lineRule="auto"/>
              <w:jc w:val="center"/>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Rozpočet</w:t>
            </w:r>
          </w:p>
        </w:tc>
        <w:tc>
          <w:tcPr>
            <w:tcW w:w="1060" w:type="dxa"/>
            <w:tcBorders>
              <w:top w:val="nil"/>
              <w:left w:val="nil"/>
              <w:bottom w:val="nil"/>
              <w:right w:val="nil"/>
            </w:tcBorders>
            <w:shd w:val="clear" w:color="000000" w:fill="BFBFBF"/>
            <w:vAlign w:val="center"/>
            <w:hideMark/>
          </w:tcPr>
          <w:p w14:paraId="623E7E1A" w14:textId="77777777" w:rsidR="00C2434C" w:rsidRPr="00E20480" w:rsidRDefault="00C2434C" w:rsidP="00151F12">
            <w:pPr>
              <w:spacing w:after="0" w:line="240" w:lineRule="auto"/>
              <w:jc w:val="center"/>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Skutočnosť</w:t>
            </w:r>
          </w:p>
        </w:tc>
        <w:tc>
          <w:tcPr>
            <w:tcW w:w="1658" w:type="dxa"/>
            <w:gridSpan w:val="2"/>
            <w:tcBorders>
              <w:top w:val="nil"/>
              <w:left w:val="nil"/>
              <w:bottom w:val="nil"/>
              <w:right w:val="nil"/>
            </w:tcBorders>
            <w:shd w:val="clear" w:color="000000" w:fill="BFBFBF"/>
            <w:vAlign w:val="center"/>
            <w:hideMark/>
          </w:tcPr>
          <w:p w14:paraId="12788F41" w14:textId="77777777" w:rsidR="00C2434C" w:rsidRPr="00E20480" w:rsidRDefault="00C2434C" w:rsidP="00151F12">
            <w:pPr>
              <w:spacing w:after="0" w:line="240" w:lineRule="auto"/>
              <w:jc w:val="center"/>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Rozdiel</w:t>
            </w:r>
          </w:p>
        </w:tc>
      </w:tr>
      <w:tr w:rsidR="00C2434C" w:rsidRPr="00E20480" w14:paraId="1D953F75" w14:textId="77777777" w:rsidTr="004C05E1">
        <w:trPr>
          <w:trHeight w:val="60"/>
        </w:trPr>
        <w:tc>
          <w:tcPr>
            <w:tcW w:w="3686" w:type="dxa"/>
            <w:tcBorders>
              <w:top w:val="nil"/>
              <w:left w:val="nil"/>
              <w:bottom w:val="nil"/>
              <w:right w:val="nil"/>
            </w:tcBorders>
            <w:shd w:val="clear" w:color="000000" w:fill="BFBFBF"/>
            <w:vAlign w:val="center"/>
            <w:hideMark/>
          </w:tcPr>
          <w:p w14:paraId="79E81BA5" w14:textId="77777777" w:rsidR="00C2434C" w:rsidRPr="00E20480" w:rsidRDefault="00C2434C" w:rsidP="00151F12">
            <w:pPr>
              <w:spacing w:after="0" w:line="240" w:lineRule="auto"/>
              <w:jc w:val="center"/>
              <w:rPr>
                <w:rFonts w:eastAsia="Times New Roman" w:cs="Times New Roman"/>
                <w:b/>
                <w:bCs/>
                <w:sz w:val="18"/>
                <w:szCs w:val="18"/>
                <w:lang w:eastAsia="sk-SK"/>
              </w:rPr>
            </w:pPr>
            <w:r w:rsidRPr="00E20480">
              <w:rPr>
                <w:rFonts w:eastAsia="Times New Roman" w:cs="Times New Roman"/>
                <w:b/>
                <w:bCs/>
                <w:sz w:val="18"/>
                <w:szCs w:val="18"/>
                <w:lang w:eastAsia="sk-SK"/>
              </w:rPr>
              <w:t> </w:t>
            </w:r>
          </w:p>
        </w:tc>
        <w:tc>
          <w:tcPr>
            <w:tcW w:w="980" w:type="dxa"/>
            <w:tcBorders>
              <w:top w:val="nil"/>
              <w:left w:val="nil"/>
              <w:bottom w:val="nil"/>
              <w:right w:val="nil"/>
            </w:tcBorders>
            <w:shd w:val="clear" w:color="000000" w:fill="BFBFBF"/>
            <w:vAlign w:val="center"/>
            <w:hideMark/>
          </w:tcPr>
          <w:p w14:paraId="587988FE" w14:textId="77777777" w:rsidR="00C2434C" w:rsidRPr="00E20480" w:rsidRDefault="00C2434C" w:rsidP="00151F12">
            <w:pPr>
              <w:spacing w:after="0" w:line="240" w:lineRule="auto"/>
              <w:jc w:val="center"/>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2018</w:t>
            </w:r>
          </w:p>
        </w:tc>
        <w:tc>
          <w:tcPr>
            <w:tcW w:w="940" w:type="dxa"/>
            <w:tcBorders>
              <w:top w:val="nil"/>
              <w:left w:val="nil"/>
              <w:bottom w:val="nil"/>
              <w:right w:val="nil"/>
            </w:tcBorders>
            <w:shd w:val="clear" w:color="000000" w:fill="BFBFBF"/>
            <w:vAlign w:val="center"/>
            <w:hideMark/>
          </w:tcPr>
          <w:p w14:paraId="49896272" w14:textId="77777777" w:rsidR="00C2434C" w:rsidRPr="00E20480" w:rsidRDefault="00C2434C" w:rsidP="00151F12">
            <w:pPr>
              <w:spacing w:after="0" w:line="240" w:lineRule="auto"/>
              <w:jc w:val="center"/>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2019</w:t>
            </w:r>
          </w:p>
        </w:tc>
        <w:tc>
          <w:tcPr>
            <w:tcW w:w="940" w:type="dxa"/>
            <w:tcBorders>
              <w:top w:val="nil"/>
              <w:left w:val="nil"/>
              <w:bottom w:val="nil"/>
              <w:right w:val="nil"/>
            </w:tcBorders>
            <w:shd w:val="clear" w:color="000000" w:fill="BFBFBF"/>
            <w:vAlign w:val="center"/>
            <w:hideMark/>
          </w:tcPr>
          <w:p w14:paraId="36929804" w14:textId="77777777" w:rsidR="00C2434C" w:rsidRPr="00E20480" w:rsidRDefault="00C2434C" w:rsidP="00151F12">
            <w:pPr>
              <w:spacing w:after="0" w:line="240" w:lineRule="auto"/>
              <w:jc w:val="center"/>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2020</w:t>
            </w:r>
          </w:p>
        </w:tc>
        <w:tc>
          <w:tcPr>
            <w:tcW w:w="1060" w:type="dxa"/>
            <w:tcBorders>
              <w:top w:val="nil"/>
              <w:left w:val="nil"/>
              <w:bottom w:val="nil"/>
              <w:right w:val="nil"/>
            </w:tcBorders>
            <w:shd w:val="clear" w:color="000000" w:fill="BFBFBF"/>
            <w:vAlign w:val="center"/>
            <w:hideMark/>
          </w:tcPr>
          <w:p w14:paraId="30DE9ACF" w14:textId="77777777" w:rsidR="00C2434C" w:rsidRPr="00E20480" w:rsidRDefault="00C2434C" w:rsidP="00151F12">
            <w:pPr>
              <w:spacing w:after="0" w:line="240" w:lineRule="auto"/>
              <w:jc w:val="center"/>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2020</w:t>
            </w:r>
          </w:p>
        </w:tc>
        <w:tc>
          <w:tcPr>
            <w:tcW w:w="900" w:type="dxa"/>
            <w:tcBorders>
              <w:top w:val="nil"/>
              <w:left w:val="nil"/>
              <w:bottom w:val="nil"/>
              <w:right w:val="nil"/>
            </w:tcBorders>
            <w:shd w:val="clear" w:color="000000" w:fill="BFBFBF"/>
            <w:vAlign w:val="center"/>
            <w:hideMark/>
          </w:tcPr>
          <w:p w14:paraId="66E5CA5E" w14:textId="77777777" w:rsidR="00C2434C" w:rsidRPr="00E20480" w:rsidRDefault="00C2434C" w:rsidP="00151F12">
            <w:pPr>
              <w:spacing w:after="0" w:line="240" w:lineRule="auto"/>
              <w:jc w:val="center"/>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 xml:space="preserve"> v tis. eur</w:t>
            </w:r>
          </w:p>
        </w:tc>
        <w:tc>
          <w:tcPr>
            <w:tcW w:w="758" w:type="dxa"/>
            <w:tcBorders>
              <w:top w:val="nil"/>
              <w:left w:val="nil"/>
              <w:bottom w:val="nil"/>
              <w:right w:val="nil"/>
            </w:tcBorders>
            <w:shd w:val="clear" w:color="000000" w:fill="BFBFBF"/>
            <w:vAlign w:val="center"/>
            <w:hideMark/>
          </w:tcPr>
          <w:p w14:paraId="189169D1" w14:textId="77777777" w:rsidR="00C2434C" w:rsidRPr="00E20480" w:rsidRDefault="00C2434C" w:rsidP="00151F12">
            <w:pPr>
              <w:spacing w:after="0" w:line="240" w:lineRule="auto"/>
              <w:jc w:val="center"/>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v %</w:t>
            </w:r>
          </w:p>
        </w:tc>
      </w:tr>
      <w:tr w:rsidR="00C2434C" w:rsidRPr="00E20480" w14:paraId="4C4ADAAC" w14:textId="77777777" w:rsidTr="004C05E1">
        <w:trPr>
          <w:trHeight w:val="127"/>
        </w:trPr>
        <w:tc>
          <w:tcPr>
            <w:tcW w:w="3686" w:type="dxa"/>
            <w:tcBorders>
              <w:top w:val="nil"/>
              <w:left w:val="nil"/>
              <w:bottom w:val="single" w:sz="8" w:space="0" w:color="auto"/>
              <w:right w:val="nil"/>
            </w:tcBorders>
            <w:shd w:val="clear" w:color="000000" w:fill="BFBFBF"/>
            <w:vAlign w:val="center"/>
            <w:hideMark/>
          </w:tcPr>
          <w:p w14:paraId="01B03EC1" w14:textId="77777777" w:rsidR="00C2434C" w:rsidRPr="00E20480" w:rsidRDefault="00C2434C" w:rsidP="00151F12">
            <w:pPr>
              <w:spacing w:after="0" w:line="240" w:lineRule="auto"/>
              <w:rPr>
                <w:rFonts w:eastAsia="Times New Roman" w:cs="Times New Roman"/>
                <w:b/>
                <w:bCs/>
                <w:color w:val="FFFFFF"/>
                <w:sz w:val="18"/>
                <w:szCs w:val="18"/>
                <w:lang w:eastAsia="sk-SK"/>
              </w:rPr>
            </w:pPr>
            <w:r w:rsidRPr="00E20480">
              <w:rPr>
                <w:rFonts w:eastAsia="Times New Roman" w:cs="Times New Roman"/>
                <w:b/>
                <w:bCs/>
                <w:color w:val="FFFFFF"/>
                <w:sz w:val="18"/>
                <w:szCs w:val="18"/>
                <w:lang w:eastAsia="sk-SK"/>
              </w:rPr>
              <w:t> </w:t>
            </w:r>
          </w:p>
        </w:tc>
        <w:tc>
          <w:tcPr>
            <w:tcW w:w="980" w:type="dxa"/>
            <w:tcBorders>
              <w:top w:val="nil"/>
              <w:left w:val="nil"/>
              <w:bottom w:val="single" w:sz="8" w:space="0" w:color="auto"/>
              <w:right w:val="nil"/>
            </w:tcBorders>
            <w:shd w:val="clear" w:color="000000" w:fill="BFBFBF"/>
            <w:vAlign w:val="center"/>
            <w:hideMark/>
          </w:tcPr>
          <w:p w14:paraId="61641E05" w14:textId="77777777" w:rsidR="00C2434C" w:rsidRPr="00E20480" w:rsidRDefault="00C2434C" w:rsidP="00151F12">
            <w:pPr>
              <w:spacing w:after="0" w:line="240" w:lineRule="auto"/>
              <w:jc w:val="center"/>
              <w:rPr>
                <w:rFonts w:eastAsia="Times New Roman" w:cs="Times New Roman"/>
                <w:b/>
                <w:bCs/>
                <w:sz w:val="18"/>
                <w:szCs w:val="18"/>
                <w:lang w:eastAsia="sk-SK"/>
              </w:rPr>
            </w:pPr>
            <w:r w:rsidRPr="00E20480">
              <w:rPr>
                <w:rFonts w:eastAsia="Times New Roman" w:cs="Times New Roman"/>
                <w:b/>
                <w:bCs/>
                <w:sz w:val="18"/>
                <w:szCs w:val="18"/>
                <w:lang w:eastAsia="sk-SK"/>
              </w:rPr>
              <w:t>1</w:t>
            </w:r>
          </w:p>
        </w:tc>
        <w:tc>
          <w:tcPr>
            <w:tcW w:w="940" w:type="dxa"/>
            <w:tcBorders>
              <w:top w:val="nil"/>
              <w:left w:val="nil"/>
              <w:bottom w:val="single" w:sz="8" w:space="0" w:color="auto"/>
              <w:right w:val="nil"/>
            </w:tcBorders>
            <w:shd w:val="clear" w:color="000000" w:fill="BFBFBF"/>
            <w:vAlign w:val="center"/>
            <w:hideMark/>
          </w:tcPr>
          <w:p w14:paraId="58E09097" w14:textId="77777777" w:rsidR="00C2434C" w:rsidRPr="00E20480" w:rsidRDefault="00C2434C" w:rsidP="00151F12">
            <w:pPr>
              <w:spacing w:after="0" w:line="240" w:lineRule="auto"/>
              <w:jc w:val="center"/>
              <w:rPr>
                <w:rFonts w:eastAsia="Times New Roman" w:cs="Times New Roman"/>
                <w:b/>
                <w:bCs/>
                <w:sz w:val="18"/>
                <w:szCs w:val="18"/>
                <w:lang w:eastAsia="sk-SK"/>
              </w:rPr>
            </w:pPr>
            <w:r w:rsidRPr="00E20480">
              <w:rPr>
                <w:rFonts w:eastAsia="Times New Roman" w:cs="Times New Roman"/>
                <w:b/>
                <w:bCs/>
                <w:sz w:val="18"/>
                <w:szCs w:val="18"/>
                <w:lang w:eastAsia="sk-SK"/>
              </w:rPr>
              <w:t>2</w:t>
            </w:r>
          </w:p>
        </w:tc>
        <w:tc>
          <w:tcPr>
            <w:tcW w:w="940" w:type="dxa"/>
            <w:tcBorders>
              <w:top w:val="nil"/>
              <w:left w:val="nil"/>
              <w:bottom w:val="single" w:sz="8" w:space="0" w:color="auto"/>
              <w:right w:val="nil"/>
            </w:tcBorders>
            <w:shd w:val="clear" w:color="000000" w:fill="BFBFBF"/>
            <w:vAlign w:val="center"/>
            <w:hideMark/>
          </w:tcPr>
          <w:p w14:paraId="3A17DB7B" w14:textId="77777777" w:rsidR="00C2434C" w:rsidRPr="00E20480" w:rsidRDefault="00C2434C" w:rsidP="00151F12">
            <w:pPr>
              <w:spacing w:after="0" w:line="240" w:lineRule="auto"/>
              <w:jc w:val="center"/>
              <w:rPr>
                <w:rFonts w:eastAsia="Times New Roman" w:cs="Times New Roman"/>
                <w:b/>
                <w:bCs/>
                <w:sz w:val="18"/>
                <w:szCs w:val="18"/>
                <w:lang w:eastAsia="sk-SK"/>
              </w:rPr>
            </w:pPr>
            <w:r w:rsidRPr="00E20480">
              <w:rPr>
                <w:rFonts w:eastAsia="Times New Roman" w:cs="Times New Roman"/>
                <w:b/>
                <w:bCs/>
                <w:sz w:val="18"/>
                <w:szCs w:val="18"/>
                <w:lang w:eastAsia="sk-SK"/>
              </w:rPr>
              <w:t>3</w:t>
            </w:r>
          </w:p>
        </w:tc>
        <w:tc>
          <w:tcPr>
            <w:tcW w:w="1060" w:type="dxa"/>
            <w:tcBorders>
              <w:top w:val="nil"/>
              <w:left w:val="nil"/>
              <w:bottom w:val="single" w:sz="8" w:space="0" w:color="auto"/>
              <w:right w:val="nil"/>
            </w:tcBorders>
            <w:shd w:val="clear" w:color="000000" w:fill="BFBFBF"/>
            <w:vAlign w:val="center"/>
            <w:hideMark/>
          </w:tcPr>
          <w:p w14:paraId="404BC35E" w14:textId="77777777" w:rsidR="00C2434C" w:rsidRPr="00E20480" w:rsidRDefault="00C2434C" w:rsidP="00151F12">
            <w:pPr>
              <w:spacing w:after="0" w:line="240" w:lineRule="auto"/>
              <w:jc w:val="center"/>
              <w:rPr>
                <w:rFonts w:eastAsia="Times New Roman" w:cs="Times New Roman"/>
                <w:b/>
                <w:bCs/>
                <w:sz w:val="18"/>
                <w:szCs w:val="18"/>
                <w:lang w:eastAsia="sk-SK"/>
              </w:rPr>
            </w:pPr>
            <w:r w:rsidRPr="00E20480">
              <w:rPr>
                <w:rFonts w:eastAsia="Times New Roman" w:cs="Times New Roman"/>
                <w:b/>
                <w:bCs/>
                <w:sz w:val="18"/>
                <w:szCs w:val="18"/>
                <w:lang w:eastAsia="sk-SK"/>
              </w:rPr>
              <w:t>4</w:t>
            </w:r>
          </w:p>
        </w:tc>
        <w:tc>
          <w:tcPr>
            <w:tcW w:w="900" w:type="dxa"/>
            <w:tcBorders>
              <w:top w:val="nil"/>
              <w:left w:val="nil"/>
              <w:bottom w:val="single" w:sz="8" w:space="0" w:color="auto"/>
              <w:right w:val="nil"/>
            </w:tcBorders>
            <w:shd w:val="clear" w:color="000000" w:fill="BFBFBF"/>
            <w:vAlign w:val="center"/>
            <w:hideMark/>
          </w:tcPr>
          <w:p w14:paraId="3592C424" w14:textId="77777777" w:rsidR="00C2434C" w:rsidRPr="00E20480" w:rsidRDefault="00C2434C" w:rsidP="00151F12">
            <w:pPr>
              <w:spacing w:after="0" w:line="240" w:lineRule="auto"/>
              <w:jc w:val="center"/>
              <w:rPr>
                <w:rFonts w:eastAsia="Times New Roman" w:cs="Times New Roman"/>
                <w:b/>
                <w:bCs/>
                <w:sz w:val="18"/>
                <w:szCs w:val="18"/>
                <w:lang w:eastAsia="sk-SK"/>
              </w:rPr>
            </w:pPr>
            <w:r w:rsidRPr="00E20480">
              <w:rPr>
                <w:rFonts w:eastAsia="Times New Roman" w:cs="Times New Roman"/>
                <w:b/>
                <w:bCs/>
                <w:sz w:val="18"/>
                <w:szCs w:val="18"/>
                <w:lang w:eastAsia="sk-SK"/>
              </w:rPr>
              <w:t>5=4-3</w:t>
            </w:r>
          </w:p>
        </w:tc>
        <w:tc>
          <w:tcPr>
            <w:tcW w:w="758" w:type="dxa"/>
            <w:tcBorders>
              <w:top w:val="nil"/>
              <w:left w:val="nil"/>
              <w:bottom w:val="single" w:sz="8" w:space="0" w:color="auto"/>
              <w:right w:val="nil"/>
            </w:tcBorders>
            <w:shd w:val="clear" w:color="000000" w:fill="BFBFBF"/>
            <w:vAlign w:val="center"/>
            <w:hideMark/>
          </w:tcPr>
          <w:p w14:paraId="5A7B6E7F" w14:textId="77777777" w:rsidR="00C2434C" w:rsidRPr="00E20480" w:rsidRDefault="00C2434C" w:rsidP="00151F12">
            <w:pPr>
              <w:spacing w:after="0" w:line="240" w:lineRule="auto"/>
              <w:jc w:val="center"/>
              <w:rPr>
                <w:rFonts w:eastAsia="Times New Roman" w:cs="Times New Roman"/>
                <w:b/>
                <w:bCs/>
                <w:sz w:val="18"/>
                <w:szCs w:val="18"/>
                <w:lang w:eastAsia="sk-SK"/>
              </w:rPr>
            </w:pPr>
            <w:r w:rsidRPr="00E20480">
              <w:rPr>
                <w:rFonts w:eastAsia="Times New Roman" w:cs="Times New Roman"/>
                <w:b/>
                <w:bCs/>
                <w:sz w:val="18"/>
                <w:szCs w:val="18"/>
                <w:lang w:eastAsia="sk-SK"/>
              </w:rPr>
              <w:t>6=4-3</w:t>
            </w:r>
          </w:p>
        </w:tc>
      </w:tr>
      <w:tr w:rsidR="00C2434C" w:rsidRPr="00E20480" w14:paraId="20B81C48" w14:textId="77777777" w:rsidTr="004C05E1">
        <w:trPr>
          <w:trHeight w:val="330"/>
        </w:trPr>
        <w:tc>
          <w:tcPr>
            <w:tcW w:w="3686" w:type="dxa"/>
            <w:tcBorders>
              <w:top w:val="nil"/>
              <w:left w:val="nil"/>
              <w:bottom w:val="nil"/>
              <w:right w:val="nil"/>
            </w:tcBorders>
            <w:shd w:val="clear" w:color="000000" w:fill="FFFFFF"/>
            <w:noWrap/>
            <w:vAlign w:val="center"/>
            <w:hideMark/>
          </w:tcPr>
          <w:p w14:paraId="6EB3DED5" w14:textId="77777777" w:rsidR="00C2434C" w:rsidRPr="00E20480" w:rsidRDefault="00C2434C" w:rsidP="00151F12">
            <w:pPr>
              <w:spacing w:after="0" w:line="240" w:lineRule="auto"/>
              <w:rPr>
                <w:rFonts w:eastAsia="Times New Roman" w:cs="Times New Roman"/>
                <w:color w:val="000000"/>
                <w:sz w:val="18"/>
                <w:szCs w:val="18"/>
                <w:lang w:eastAsia="sk-SK"/>
              </w:rPr>
            </w:pPr>
            <w:r w:rsidRPr="00E20480">
              <w:rPr>
                <w:rFonts w:eastAsia="Times New Roman" w:cs="Times New Roman"/>
                <w:color w:val="000000"/>
                <w:sz w:val="18"/>
                <w:szCs w:val="18"/>
                <w:lang w:eastAsia="sk-SK"/>
              </w:rPr>
              <w:t>Príjmy z podnikania a z vlastníctva majetku</w:t>
            </w:r>
          </w:p>
        </w:tc>
        <w:tc>
          <w:tcPr>
            <w:tcW w:w="980" w:type="dxa"/>
            <w:tcBorders>
              <w:top w:val="nil"/>
              <w:left w:val="nil"/>
              <w:bottom w:val="nil"/>
              <w:right w:val="nil"/>
            </w:tcBorders>
            <w:shd w:val="clear" w:color="000000" w:fill="FFFFFF"/>
            <w:noWrap/>
            <w:vAlign w:val="bottom"/>
            <w:hideMark/>
          </w:tcPr>
          <w:p w14:paraId="0578963B"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451 113</w:t>
            </w:r>
          </w:p>
        </w:tc>
        <w:tc>
          <w:tcPr>
            <w:tcW w:w="940" w:type="dxa"/>
            <w:tcBorders>
              <w:top w:val="nil"/>
              <w:left w:val="nil"/>
              <w:bottom w:val="nil"/>
              <w:right w:val="nil"/>
            </w:tcBorders>
            <w:shd w:val="clear" w:color="000000" w:fill="FFFFFF"/>
            <w:noWrap/>
            <w:vAlign w:val="bottom"/>
            <w:hideMark/>
          </w:tcPr>
          <w:p w14:paraId="7E280ADB"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516 837</w:t>
            </w:r>
          </w:p>
        </w:tc>
        <w:tc>
          <w:tcPr>
            <w:tcW w:w="940" w:type="dxa"/>
            <w:tcBorders>
              <w:top w:val="nil"/>
              <w:left w:val="nil"/>
              <w:bottom w:val="nil"/>
              <w:right w:val="nil"/>
            </w:tcBorders>
            <w:shd w:val="clear" w:color="000000" w:fill="FFFFFF"/>
            <w:noWrap/>
            <w:vAlign w:val="bottom"/>
            <w:hideMark/>
          </w:tcPr>
          <w:p w14:paraId="613560F4"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448 184</w:t>
            </w:r>
          </w:p>
        </w:tc>
        <w:tc>
          <w:tcPr>
            <w:tcW w:w="1060" w:type="dxa"/>
            <w:tcBorders>
              <w:top w:val="nil"/>
              <w:left w:val="nil"/>
              <w:bottom w:val="nil"/>
              <w:right w:val="nil"/>
            </w:tcBorders>
            <w:shd w:val="clear" w:color="000000" w:fill="BFBFBF"/>
            <w:noWrap/>
            <w:vAlign w:val="bottom"/>
            <w:hideMark/>
          </w:tcPr>
          <w:p w14:paraId="57D551F9"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434 268</w:t>
            </w:r>
          </w:p>
        </w:tc>
        <w:tc>
          <w:tcPr>
            <w:tcW w:w="900" w:type="dxa"/>
            <w:tcBorders>
              <w:top w:val="nil"/>
              <w:left w:val="nil"/>
              <w:bottom w:val="nil"/>
              <w:right w:val="nil"/>
            </w:tcBorders>
            <w:shd w:val="clear" w:color="000000" w:fill="FFFFFF"/>
            <w:vAlign w:val="bottom"/>
            <w:hideMark/>
          </w:tcPr>
          <w:p w14:paraId="2DB6956D"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-13 916</w:t>
            </w:r>
          </w:p>
        </w:tc>
        <w:tc>
          <w:tcPr>
            <w:tcW w:w="758" w:type="dxa"/>
            <w:tcBorders>
              <w:top w:val="nil"/>
              <w:left w:val="nil"/>
              <w:bottom w:val="nil"/>
              <w:right w:val="nil"/>
            </w:tcBorders>
            <w:shd w:val="clear" w:color="000000" w:fill="FFFFFF"/>
            <w:vAlign w:val="bottom"/>
            <w:hideMark/>
          </w:tcPr>
          <w:p w14:paraId="508F3384"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-3,1</w:t>
            </w:r>
          </w:p>
        </w:tc>
      </w:tr>
      <w:tr w:rsidR="00C2434C" w:rsidRPr="00E20480" w14:paraId="49E48318" w14:textId="77777777" w:rsidTr="004C05E1">
        <w:trPr>
          <w:trHeight w:val="330"/>
        </w:trPr>
        <w:tc>
          <w:tcPr>
            <w:tcW w:w="3686" w:type="dxa"/>
            <w:tcBorders>
              <w:top w:val="nil"/>
              <w:left w:val="nil"/>
              <w:bottom w:val="nil"/>
              <w:right w:val="nil"/>
            </w:tcBorders>
            <w:shd w:val="clear" w:color="000000" w:fill="FFFFFF"/>
            <w:noWrap/>
            <w:vAlign w:val="center"/>
            <w:hideMark/>
          </w:tcPr>
          <w:p w14:paraId="5221BB04" w14:textId="77777777" w:rsidR="00C2434C" w:rsidRPr="00E20480" w:rsidRDefault="00C2434C" w:rsidP="00151F12">
            <w:pPr>
              <w:spacing w:after="0" w:line="240" w:lineRule="auto"/>
              <w:rPr>
                <w:rFonts w:eastAsia="Times New Roman" w:cs="Times New Roman"/>
                <w:color w:val="000000"/>
                <w:sz w:val="18"/>
                <w:szCs w:val="18"/>
                <w:lang w:eastAsia="sk-SK"/>
              </w:rPr>
            </w:pPr>
            <w:r w:rsidRPr="00E20480">
              <w:rPr>
                <w:rFonts w:eastAsia="Times New Roman" w:cs="Times New Roman"/>
                <w:color w:val="000000"/>
                <w:sz w:val="18"/>
                <w:szCs w:val="18"/>
                <w:lang w:eastAsia="sk-SK"/>
              </w:rPr>
              <w:t xml:space="preserve">   v tom: dividendy</w:t>
            </w:r>
          </w:p>
        </w:tc>
        <w:tc>
          <w:tcPr>
            <w:tcW w:w="980" w:type="dxa"/>
            <w:tcBorders>
              <w:top w:val="nil"/>
              <w:left w:val="nil"/>
              <w:bottom w:val="nil"/>
              <w:right w:val="nil"/>
            </w:tcBorders>
            <w:shd w:val="clear" w:color="000000" w:fill="FFFFFF"/>
            <w:noWrap/>
            <w:vAlign w:val="bottom"/>
            <w:hideMark/>
          </w:tcPr>
          <w:p w14:paraId="73105F84"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438 596</w:t>
            </w:r>
          </w:p>
        </w:tc>
        <w:tc>
          <w:tcPr>
            <w:tcW w:w="940" w:type="dxa"/>
            <w:tcBorders>
              <w:top w:val="nil"/>
              <w:left w:val="nil"/>
              <w:bottom w:val="nil"/>
              <w:right w:val="nil"/>
            </w:tcBorders>
            <w:shd w:val="clear" w:color="000000" w:fill="FFFFFF"/>
            <w:noWrap/>
            <w:vAlign w:val="bottom"/>
            <w:hideMark/>
          </w:tcPr>
          <w:p w14:paraId="562D4DB4"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504 450</w:t>
            </w:r>
          </w:p>
        </w:tc>
        <w:tc>
          <w:tcPr>
            <w:tcW w:w="940" w:type="dxa"/>
            <w:tcBorders>
              <w:top w:val="nil"/>
              <w:left w:val="nil"/>
              <w:bottom w:val="nil"/>
              <w:right w:val="nil"/>
            </w:tcBorders>
            <w:shd w:val="clear" w:color="000000" w:fill="FFFFFF"/>
            <w:noWrap/>
            <w:vAlign w:val="bottom"/>
            <w:hideMark/>
          </w:tcPr>
          <w:p w14:paraId="230ACAE2"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442 434</w:t>
            </w:r>
          </w:p>
        </w:tc>
        <w:tc>
          <w:tcPr>
            <w:tcW w:w="1060" w:type="dxa"/>
            <w:tcBorders>
              <w:top w:val="nil"/>
              <w:left w:val="nil"/>
              <w:bottom w:val="nil"/>
              <w:right w:val="nil"/>
            </w:tcBorders>
            <w:shd w:val="clear" w:color="000000" w:fill="BFBFBF"/>
            <w:noWrap/>
            <w:vAlign w:val="bottom"/>
            <w:hideMark/>
          </w:tcPr>
          <w:p w14:paraId="7016076E"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428 129</w:t>
            </w:r>
          </w:p>
        </w:tc>
        <w:tc>
          <w:tcPr>
            <w:tcW w:w="900" w:type="dxa"/>
            <w:tcBorders>
              <w:top w:val="nil"/>
              <w:left w:val="nil"/>
              <w:bottom w:val="nil"/>
              <w:right w:val="nil"/>
            </w:tcBorders>
            <w:shd w:val="clear" w:color="000000" w:fill="FFFFFF"/>
            <w:vAlign w:val="bottom"/>
            <w:hideMark/>
          </w:tcPr>
          <w:p w14:paraId="1828042B"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-14 305</w:t>
            </w:r>
          </w:p>
        </w:tc>
        <w:tc>
          <w:tcPr>
            <w:tcW w:w="758" w:type="dxa"/>
            <w:tcBorders>
              <w:top w:val="nil"/>
              <w:left w:val="nil"/>
              <w:bottom w:val="nil"/>
              <w:right w:val="nil"/>
            </w:tcBorders>
            <w:shd w:val="clear" w:color="000000" w:fill="FFFFFF"/>
            <w:vAlign w:val="bottom"/>
            <w:hideMark/>
          </w:tcPr>
          <w:p w14:paraId="5234AD2D"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-3,2</w:t>
            </w:r>
          </w:p>
        </w:tc>
      </w:tr>
      <w:tr w:rsidR="00C2434C" w:rsidRPr="00E20480" w14:paraId="0EA0FD5F" w14:textId="77777777" w:rsidTr="004C05E1">
        <w:trPr>
          <w:trHeight w:val="330"/>
        </w:trPr>
        <w:tc>
          <w:tcPr>
            <w:tcW w:w="3686" w:type="dxa"/>
            <w:tcBorders>
              <w:top w:val="nil"/>
              <w:left w:val="nil"/>
              <w:bottom w:val="nil"/>
              <w:right w:val="nil"/>
            </w:tcBorders>
            <w:shd w:val="clear" w:color="000000" w:fill="FFFFFF"/>
            <w:noWrap/>
            <w:vAlign w:val="center"/>
            <w:hideMark/>
          </w:tcPr>
          <w:p w14:paraId="5E861133" w14:textId="77777777" w:rsidR="00C2434C" w:rsidRPr="00E20480" w:rsidRDefault="00C2434C" w:rsidP="00151F12">
            <w:pPr>
              <w:spacing w:after="0" w:line="240" w:lineRule="auto"/>
              <w:rPr>
                <w:rFonts w:eastAsia="Times New Roman" w:cs="Times New Roman"/>
                <w:color w:val="000000"/>
                <w:sz w:val="18"/>
                <w:szCs w:val="18"/>
                <w:lang w:eastAsia="sk-SK"/>
              </w:rPr>
            </w:pPr>
            <w:r w:rsidRPr="00E20480">
              <w:rPr>
                <w:rFonts w:eastAsia="Times New Roman" w:cs="Times New Roman"/>
                <w:color w:val="000000"/>
                <w:sz w:val="18"/>
                <w:szCs w:val="18"/>
                <w:lang w:eastAsia="sk-SK"/>
              </w:rPr>
              <w:t>Administratívne poplatky a iné poplatky a platby</w:t>
            </w:r>
          </w:p>
        </w:tc>
        <w:tc>
          <w:tcPr>
            <w:tcW w:w="980" w:type="dxa"/>
            <w:tcBorders>
              <w:top w:val="nil"/>
              <w:left w:val="nil"/>
              <w:bottom w:val="nil"/>
              <w:right w:val="nil"/>
            </w:tcBorders>
            <w:shd w:val="clear" w:color="000000" w:fill="FFFFFF"/>
            <w:noWrap/>
            <w:vAlign w:val="bottom"/>
            <w:hideMark/>
          </w:tcPr>
          <w:p w14:paraId="584EB76E"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345 641</w:t>
            </w:r>
          </w:p>
        </w:tc>
        <w:tc>
          <w:tcPr>
            <w:tcW w:w="940" w:type="dxa"/>
            <w:tcBorders>
              <w:top w:val="nil"/>
              <w:left w:val="nil"/>
              <w:bottom w:val="nil"/>
              <w:right w:val="nil"/>
            </w:tcBorders>
            <w:shd w:val="clear" w:color="000000" w:fill="FFFFFF"/>
            <w:noWrap/>
            <w:vAlign w:val="bottom"/>
            <w:hideMark/>
          </w:tcPr>
          <w:p w14:paraId="5EDFD1FF"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386 557</w:t>
            </w:r>
          </w:p>
        </w:tc>
        <w:tc>
          <w:tcPr>
            <w:tcW w:w="940" w:type="dxa"/>
            <w:tcBorders>
              <w:top w:val="nil"/>
              <w:left w:val="nil"/>
              <w:bottom w:val="nil"/>
              <w:right w:val="nil"/>
            </w:tcBorders>
            <w:shd w:val="clear" w:color="000000" w:fill="FFFFFF"/>
            <w:noWrap/>
            <w:vAlign w:val="bottom"/>
            <w:hideMark/>
          </w:tcPr>
          <w:p w14:paraId="4B881813"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310 208</w:t>
            </w:r>
          </w:p>
        </w:tc>
        <w:tc>
          <w:tcPr>
            <w:tcW w:w="1060" w:type="dxa"/>
            <w:tcBorders>
              <w:top w:val="nil"/>
              <w:left w:val="nil"/>
              <w:bottom w:val="nil"/>
              <w:right w:val="nil"/>
            </w:tcBorders>
            <w:shd w:val="clear" w:color="000000" w:fill="BFBFBF"/>
            <w:noWrap/>
            <w:vAlign w:val="bottom"/>
            <w:hideMark/>
          </w:tcPr>
          <w:p w14:paraId="3F107515"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387 962</w:t>
            </w:r>
          </w:p>
        </w:tc>
        <w:tc>
          <w:tcPr>
            <w:tcW w:w="900" w:type="dxa"/>
            <w:tcBorders>
              <w:top w:val="nil"/>
              <w:left w:val="nil"/>
              <w:bottom w:val="nil"/>
              <w:right w:val="nil"/>
            </w:tcBorders>
            <w:shd w:val="clear" w:color="000000" w:fill="FFFFFF"/>
            <w:vAlign w:val="bottom"/>
            <w:hideMark/>
          </w:tcPr>
          <w:p w14:paraId="75687AD8"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77 754</w:t>
            </w:r>
          </w:p>
        </w:tc>
        <w:tc>
          <w:tcPr>
            <w:tcW w:w="758" w:type="dxa"/>
            <w:tcBorders>
              <w:top w:val="nil"/>
              <w:left w:val="nil"/>
              <w:bottom w:val="nil"/>
              <w:right w:val="nil"/>
            </w:tcBorders>
            <w:shd w:val="clear" w:color="000000" w:fill="FFFFFF"/>
            <w:vAlign w:val="bottom"/>
            <w:hideMark/>
          </w:tcPr>
          <w:p w14:paraId="443DB6F7"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25,1</w:t>
            </w:r>
          </w:p>
        </w:tc>
      </w:tr>
      <w:tr w:rsidR="00C2434C" w:rsidRPr="00E20480" w14:paraId="62069656" w14:textId="77777777" w:rsidTr="004C05E1">
        <w:trPr>
          <w:trHeight w:val="330"/>
        </w:trPr>
        <w:tc>
          <w:tcPr>
            <w:tcW w:w="3686" w:type="dxa"/>
            <w:tcBorders>
              <w:top w:val="nil"/>
              <w:left w:val="nil"/>
              <w:bottom w:val="nil"/>
              <w:right w:val="nil"/>
            </w:tcBorders>
            <w:shd w:val="clear" w:color="000000" w:fill="FFFFFF"/>
            <w:noWrap/>
            <w:vAlign w:val="center"/>
            <w:hideMark/>
          </w:tcPr>
          <w:p w14:paraId="5124DE9B" w14:textId="77777777" w:rsidR="00C2434C" w:rsidRPr="00E20480" w:rsidRDefault="00C2434C" w:rsidP="00151F12">
            <w:pPr>
              <w:spacing w:after="0" w:line="240" w:lineRule="auto"/>
              <w:rPr>
                <w:rFonts w:eastAsia="Times New Roman" w:cs="Times New Roman"/>
                <w:color w:val="000000"/>
                <w:sz w:val="18"/>
                <w:szCs w:val="18"/>
                <w:lang w:eastAsia="sk-SK"/>
              </w:rPr>
            </w:pPr>
            <w:r w:rsidRPr="00E20480">
              <w:rPr>
                <w:rFonts w:eastAsia="Times New Roman" w:cs="Times New Roman"/>
                <w:color w:val="000000"/>
                <w:sz w:val="18"/>
                <w:szCs w:val="18"/>
                <w:lang w:eastAsia="sk-SK"/>
              </w:rPr>
              <w:t xml:space="preserve">   v tom: ostatné poplatky</w:t>
            </w:r>
          </w:p>
        </w:tc>
        <w:tc>
          <w:tcPr>
            <w:tcW w:w="980" w:type="dxa"/>
            <w:tcBorders>
              <w:top w:val="nil"/>
              <w:left w:val="nil"/>
              <w:bottom w:val="nil"/>
              <w:right w:val="nil"/>
            </w:tcBorders>
            <w:shd w:val="clear" w:color="000000" w:fill="FFFFFF"/>
            <w:noWrap/>
            <w:vAlign w:val="bottom"/>
            <w:hideMark/>
          </w:tcPr>
          <w:p w14:paraId="0E7CC9E3"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224 022</w:t>
            </w:r>
          </w:p>
        </w:tc>
        <w:tc>
          <w:tcPr>
            <w:tcW w:w="940" w:type="dxa"/>
            <w:tcBorders>
              <w:top w:val="nil"/>
              <w:left w:val="nil"/>
              <w:bottom w:val="nil"/>
              <w:right w:val="nil"/>
            </w:tcBorders>
            <w:shd w:val="clear" w:color="000000" w:fill="FFFFFF"/>
            <w:noWrap/>
            <w:vAlign w:val="bottom"/>
            <w:hideMark/>
          </w:tcPr>
          <w:p w14:paraId="6459BA51"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261 942</w:t>
            </w:r>
          </w:p>
        </w:tc>
        <w:tc>
          <w:tcPr>
            <w:tcW w:w="940" w:type="dxa"/>
            <w:tcBorders>
              <w:top w:val="nil"/>
              <w:left w:val="nil"/>
              <w:bottom w:val="nil"/>
              <w:right w:val="nil"/>
            </w:tcBorders>
            <w:shd w:val="clear" w:color="000000" w:fill="FFFFFF"/>
            <w:noWrap/>
            <w:vAlign w:val="bottom"/>
            <w:hideMark/>
          </w:tcPr>
          <w:p w14:paraId="614D9FBF"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204 573</w:t>
            </w:r>
          </w:p>
        </w:tc>
        <w:tc>
          <w:tcPr>
            <w:tcW w:w="1060" w:type="dxa"/>
            <w:tcBorders>
              <w:top w:val="nil"/>
              <w:left w:val="nil"/>
              <w:bottom w:val="nil"/>
              <w:right w:val="nil"/>
            </w:tcBorders>
            <w:shd w:val="clear" w:color="000000" w:fill="BFBFBF"/>
            <w:noWrap/>
            <w:vAlign w:val="bottom"/>
            <w:hideMark/>
          </w:tcPr>
          <w:p w14:paraId="79F658EC"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191 808</w:t>
            </w:r>
          </w:p>
        </w:tc>
        <w:tc>
          <w:tcPr>
            <w:tcW w:w="900" w:type="dxa"/>
            <w:tcBorders>
              <w:top w:val="nil"/>
              <w:left w:val="nil"/>
              <w:bottom w:val="nil"/>
              <w:right w:val="nil"/>
            </w:tcBorders>
            <w:shd w:val="clear" w:color="000000" w:fill="FFFFFF"/>
            <w:vAlign w:val="bottom"/>
            <w:hideMark/>
          </w:tcPr>
          <w:p w14:paraId="7ABE3D35"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-12 765</w:t>
            </w:r>
          </w:p>
        </w:tc>
        <w:tc>
          <w:tcPr>
            <w:tcW w:w="758" w:type="dxa"/>
            <w:tcBorders>
              <w:top w:val="nil"/>
              <w:left w:val="nil"/>
              <w:bottom w:val="nil"/>
              <w:right w:val="nil"/>
            </w:tcBorders>
            <w:shd w:val="clear" w:color="000000" w:fill="FFFFFF"/>
            <w:vAlign w:val="bottom"/>
            <w:hideMark/>
          </w:tcPr>
          <w:p w14:paraId="6F3F149C"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-6,2</w:t>
            </w:r>
          </w:p>
        </w:tc>
      </w:tr>
      <w:tr w:rsidR="00C2434C" w:rsidRPr="00E20480" w14:paraId="75DEFD71" w14:textId="77777777" w:rsidTr="004C05E1">
        <w:trPr>
          <w:trHeight w:val="330"/>
        </w:trPr>
        <w:tc>
          <w:tcPr>
            <w:tcW w:w="3686" w:type="dxa"/>
            <w:tcBorders>
              <w:top w:val="nil"/>
              <w:left w:val="nil"/>
              <w:bottom w:val="nil"/>
              <w:right w:val="nil"/>
            </w:tcBorders>
            <w:shd w:val="clear" w:color="000000" w:fill="FFFFFF"/>
            <w:noWrap/>
            <w:vAlign w:val="center"/>
            <w:hideMark/>
          </w:tcPr>
          <w:p w14:paraId="31C25036" w14:textId="77777777" w:rsidR="00C2434C" w:rsidRPr="00E20480" w:rsidRDefault="00C2434C" w:rsidP="00151F12">
            <w:pPr>
              <w:spacing w:after="0" w:line="240" w:lineRule="auto"/>
              <w:rPr>
                <w:rFonts w:eastAsia="Times New Roman" w:cs="Times New Roman"/>
                <w:color w:val="000000"/>
                <w:sz w:val="18"/>
                <w:szCs w:val="18"/>
                <w:lang w:eastAsia="sk-SK"/>
              </w:rPr>
            </w:pPr>
            <w:r w:rsidRPr="00E20480">
              <w:rPr>
                <w:rFonts w:eastAsia="Times New Roman" w:cs="Times New Roman"/>
                <w:color w:val="000000"/>
                <w:sz w:val="18"/>
                <w:szCs w:val="18"/>
                <w:lang w:eastAsia="sk-SK"/>
              </w:rPr>
              <w:t xml:space="preserve">               pokuty, penále a iné sankcie </w:t>
            </w:r>
          </w:p>
        </w:tc>
        <w:tc>
          <w:tcPr>
            <w:tcW w:w="980" w:type="dxa"/>
            <w:tcBorders>
              <w:top w:val="nil"/>
              <w:left w:val="nil"/>
              <w:bottom w:val="nil"/>
              <w:right w:val="nil"/>
            </w:tcBorders>
            <w:shd w:val="clear" w:color="000000" w:fill="FFFFFF"/>
            <w:noWrap/>
            <w:vAlign w:val="bottom"/>
            <w:hideMark/>
          </w:tcPr>
          <w:p w14:paraId="068C01D6"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68 147</w:t>
            </w:r>
          </w:p>
        </w:tc>
        <w:tc>
          <w:tcPr>
            <w:tcW w:w="940" w:type="dxa"/>
            <w:tcBorders>
              <w:top w:val="nil"/>
              <w:left w:val="nil"/>
              <w:bottom w:val="nil"/>
              <w:right w:val="nil"/>
            </w:tcBorders>
            <w:shd w:val="clear" w:color="000000" w:fill="FFFFFF"/>
            <w:noWrap/>
            <w:vAlign w:val="bottom"/>
            <w:hideMark/>
          </w:tcPr>
          <w:p w14:paraId="442F1687"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67 163</w:t>
            </w:r>
          </w:p>
        </w:tc>
        <w:tc>
          <w:tcPr>
            <w:tcW w:w="940" w:type="dxa"/>
            <w:tcBorders>
              <w:top w:val="nil"/>
              <w:left w:val="nil"/>
              <w:bottom w:val="nil"/>
              <w:right w:val="nil"/>
            </w:tcBorders>
            <w:shd w:val="clear" w:color="000000" w:fill="FFFFFF"/>
            <w:noWrap/>
            <w:vAlign w:val="bottom"/>
            <w:hideMark/>
          </w:tcPr>
          <w:p w14:paraId="5D802430"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52 499</w:t>
            </w:r>
          </w:p>
        </w:tc>
        <w:tc>
          <w:tcPr>
            <w:tcW w:w="1060" w:type="dxa"/>
            <w:tcBorders>
              <w:top w:val="nil"/>
              <w:left w:val="nil"/>
              <w:bottom w:val="nil"/>
              <w:right w:val="nil"/>
            </w:tcBorders>
            <w:shd w:val="clear" w:color="000000" w:fill="BFBFBF"/>
            <w:noWrap/>
            <w:vAlign w:val="bottom"/>
            <w:hideMark/>
          </w:tcPr>
          <w:p w14:paraId="17F93BE7"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56 748</w:t>
            </w:r>
          </w:p>
        </w:tc>
        <w:tc>
          <w:tcPr>
            <w:tcW w:w="900" w:type="dxa"/>
            <w:tcBorders>
              <w:top w:val="nil"/>
              <w:left w:val="nil"/>
              <w:bottom w:val="nil"/>
              <w:right w:val="nil"/>
            </w:tcBorders>
            <w:shd w:val="clear" w:color="000000" w:fill="FFFFFF"/>
            <w:vAlign w:val="bottom"/>
            <w:hideMark/>
          </w:tcPr>
          <w:p w14:paraId="4F7BC710"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4 249</w:t>
            </w:r>
          </w:p>
        </w:tc>
        <w:tc>
          <w:tcPr>
            <w:tcW w:w="758" w:type="dxa"/>
            <w:tcBorders>
              <w:top w:val="nil"/>
              <w:left w:val="nil"/>
              <w:bottom w:val="nil"/>
              <w:right w:val="nil"/>
            </w:tcBorders>
            <w:shd w:val="clear" w:color="000000" w:fill="FFFFFF"/>
            <w:vAlign w:val="bottom"/>
            <w:hideMark/>
          </w:tcPr>
          <w:p w14:paraId="5A9088DA"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8,1</w:t>
            </w:r>
          </w:p>
        </w:tc>
      </w:tr>
      <w:tr w:rsidR="00C2434C" w:rsidRPr="00E20480" w14:paraId="78EBC4F6" w14:textId="77777777" w:rsidTr="004C05E1">
        <w:trPr>
          <w:trHeight w:val="330"/>
        </w:trPr>
        <w:tc>
          <w:tcPr>
            <w:tcW w:w="3686" w:type="dxa"/>
            <w:tcBorders>
              <w:top w:val="nil"/>
              <w:left w:val="nil"/>
              <w:bottom w:val="nil"/>
              <w:right w:val="nil"/>
            </w:tcBorders>
            <w:shd w:val="clear" w:color="000000" w:fill="FFFFFF"/>
            <w:noWrap/>
            <w:vAlign w:val="center"/>
            <w:hideMark/>
          </w:tcPr>
          <w:p w14:paraId="06ADC79F" w14:textId="77777777" w:rsidR="00C2434C" w:rsidRPr="00E20480" w:rsidRDefault="00C2434C" w:rsidP="004C05E1">
            <w:pPr>
              <w:spacing w:after="0" w:line="240" w:lineRule="auto"/>
              <w:jc w:val="left"/>
              <w:rPr>
                <w:rFonts w:eastAsia="Times New Roman" w:cs="Times New Roman"/>
                <w:color w:val="000000"/>
                <w:sz w:val="18"/>
                <w:szCs w:val="18"/>
                <w:lang w:eastAsia="sk-SK"/>
              </w:rPr>
            </w:pPr>
            <w:r w:rsidRPr="00E20480">
              <w:rPr>
                <w:rFonts w:eastAsia="Times New Roman" w:cs="Times New Roman"/>
                <w:color w:val="000000"/>
                <w:sz w:val="18"/>
                <w:szCs w:val="18"/>
                <w:lang w:eastAsia="sk-SK"/>
              </w:rPr>
              <w:t xml:space="preserve">               poplatky a platby z </w:t>
            </w:r>
            <w:proofErr w:type="spellStart"/>
            <w:r w:rsidRPr="00E20480">
              <w:rPr>
                <w:rFonts w:eastAsia="Times New Roman" w:cs="Times New Roman"/>
                <w:color w:val="000000"/>
                <w:sz w:val="18"/>
                <w:szCs w:val="18"/>
                <w:lang w:eastAsia="sk-SK"/>
              </w:rPr>
              <w:t>nepr</w:t>
            </w:r>
            <w:proofErr w:type="spellEnd"/>
            <w:r w:rsidRPr="00E20480">
              <w:rPr>
                <w:rFonts w:eastAsia="Times New Roman" w:cs="Times New Roman"/>
                <w:color w:val="000000"/>
                <w:sz w:val="18"/>
                <w:szCs w:val="18"/>
                <w:lang w:eastAsia="sk-SK"/>
              </w:rPr>
              <w:t>. a náhod. predaja</w:t>
            </w:r>
          </w:p>
        </w:tc>
        <w:tc>
          <w:tcPr>
            <w:tcW w:w="980" w:type="dxa"/>
            <w:tcBorders>
              <w:top w:val="nil"/>
              <w:left w:val="nil"/>
              <w:bottom w:val="nil"/>
              <w:right w:val="nil"/>
            </w:tcBorders>
            <w:shd w:val="clear" w:color="000000" w:fill="FFFFFF"/>
            <w:noWrap/>
            <w:vAlign w:val="bottom"/>
            <w:hideMark/>
          </w:tcPr>
          <w:p w14:paraId="53CFE412"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52 627</w:t>
            </w:r>
          </w:p>
        </w:tc>
        <w:tc>
          <w:tcPr>
            <w:tcW w:w="940" w:type="dxa"/>
            <w:tcBorders>
              <w:top w:val="nil"/>
              <w:left w:val="nil"/>
              <w:bottom w:val="nil"/>
              <w:right w:val="nil"/>
            </w:tcBorders>
            <w:shd w:val="clear" w:color="000000" w:fill="FFFFFF"/>
            <w:noWrap/>
            <w:vAlign w:val="bottom"/>
            <w:hideMark/>
          </w:tcPr>
          <w:p w14:paraId="696D610D"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56 372</w:t>
            </w:r>
          </w:p>
        </w:tc>
        <w:tc>
          <w:tcPr>
            <w:tcW w:w="940" w:type="dxa"/>
            <w:tcBorders>
              <w:top w:val="nil"/>
              <w:left w:val="nil"/>
              <w:bottom w:val="nil"/>
              <w:right w:val="nil"/>
            </w:tcBorders>
            <w:shd w:val="clear" w:color="000000" w:fill="FFFFFF"/>
            <w:noWrap/>
            <w:vAlign w:val="bottom"/>
            <w:hideMark/>
          </w:tcPr>
          <w:p w14:paraId="243119C0"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52 356</w:t>
            </w:r>
          </w:p>
        </w:tc>
        <w:tc>
          <w:tcPr>
            <w:tcW w:w="1060" w:type="dxa"/>
            <w:tcBorders>
              <w:top w:val="nil"/>
              <w:left w:val="nil"/>
              <w:bottom w:val="nil"/>
              <w:right w:val="nil"/>
            </w:tcBorders>
            <w:shd w:val="clear" w:color="000000" w:fill="BFBFBF"/>
            <w:noWrap/>
            <w:vAlign w:val="bottom"/>
            <w:hideMark/>
          </w:tcPr>
          <w:p w14:paraId="0AB58F0E"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111 807</w:t>
            </w:r>
          </w:p>
        </w:tc>
        <w:tc>
          <w:tcPr>
            <w:tcW w:w="900" w:type="dxa"/>
            <w:tcBorders>
              <w:top w:val="nil"/>
              <w:left w:val="nil"/>
              <w:bottom w:val="nil"/>
              <w:right w:val="nil"/>
            </w:tcBorders>
            <w:shd w:val="clear" w:color="000000" w:fill="FFFFFF"/>
            <w:vAlign w:val="bottom"/>
            <w:hideMark/>
          </w:tcPr>
          <w:p w14:paraId="723DB751"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59 451</w:t>
            </w:r>
          </w:p>
        </w:tc>
        <w:tc>
          <w:tcPr>
            <w:tcW w:w="758" w:type="dxa"/>
            <w:tcBorders>
              <w:top w:val="nil"/>
              <w:left w:val="nil"/>
              <w:bottom w:val="nil"/>
              <w:right w:val="nil"/>
            </w:tcBorders>
            <w:shd w:val="clear" w:color="000000" w:fill="FFFFFF"/>
            <w:vAlign w:val="bottom"/>
            <w:hideMark/>
          </w:tcPr>
          <w:p w14:paraId="44AE9736"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113,6</w:t>
            </w:r>
          </w:p>
        </w:tc>
      </w:tr>
      <w:tr w:rsidR="00C2434C" w:rsidRPr="00E20480" w14:paraId="2065CEAF" w14:textId="77777777" w:rsidTr="004C05E1">
        <w:trPr>
          <w:trHeight w:val="330"/>
        </w:trPr>
        <w:tc>
          <w:tcPr>
            <w:tcW w:w="3686" w:type="dxa"/>
            <w:tcBorders>
              <w:top w:val="nil"/>
              <w:left w:val="nil"/>
              <w:bottom w:val="nil"/>
              <w:right w:val="nil"/>
            </w:tcBorders>
            <w:shd w:val="clear" w:color="000000" w:fill="FFFFFF"/>
            <w:noWrap/>
            <w:vAlign w:val="center"/>
            <w:hideMark/>
          </w:tcPr>
          <w:p w14:paraId="07F0031D" w14:textId="77777777" w:rsidR="00C2434C" w:rsidRPr="00E20480" w:rsidRDefault="00C2434C" w:rsidP="00151F12">
            <w:pPr>
              <w:spacing w:after="0" w:line="240" w:lineRule="auto"/>
              <w:rPr>
                <w:rFonts w:eastAsia="Times New Roman" w:cs="Times New Roman"/>
                <w:color w:val="000000"/>
                <w:sz w:val="18"/>
                <w:szCs w:val="18"/>
                <w:lang w:eastAsia="sk-SK"/>
              </w:rPr>
            </w:pPr>
            <w:r w:rsidRPr="00E20480">
              <w:rPr>
                <w:rFonts w:eastAsia="Times New Roman" w:cs="Times New Roman"/>
                <w:color w:val="000000"/>
                <w:sz w:val="18"/>
                <w:szCs w:val="18"/>
                <w:lang w:eastAsia="sk-SK"/>
              </w:rPr>
              <w:t>Kapitálové príjmy</w:t>
            </w:r>
          </w:p>
        </w:tc>
        <w:tc>
          <w:tcPr>
            <w:tcW w:w="980" w:type="dxa"/>
            <w:tcBorders>
              <w:top w:val="nil"/>
              <w:left w:val="nil"/>
              <w:bottom w:val="nil"/>
              <w:right w:val="nil"/>
            </w:tcBorders>
            <w:shd w:val="clear" w:color="000000" w:fill="FFFFFF"/>
            <w:noWrap/>
            <w:vAlign w:val="bottom"/>
            <w:hideMark/>
          </w:tcPr>
          <w:p w14:paraId="1DB418D3"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10 630</w:t>
            </w:r>
          </w:p>
        </w:tc>
        <w:tc>
          <w:tcPr>
            <w:tcW w:w="940" w:type="dxa"/>
            <w:tcBorders>
              <w:top w:val="nil"/>
              <w:left w:val="nil"/>
              <w:bottom w:val="nil"/>
              <w:right w:val="nil"/>
            </w:tcBorders>
            <w:shd w:val="clear" w:color="000000" w:fill="FFFFFF"/>
            <w:noWrap/>
            <w:vAlign w:val="bottom"/>
            <w:hideMark/>
          </w:tcPr>
          <w:p w14:paraId="21290D5A"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11 959</w:t>
            </w:r>
          </w:p>
        </w:tc>
        <w:tc>
          <w:tcPr>
            <w:tcW w:w="940" w:type="dxa"/>
            <w:tcBorders>
              <w:top w:val="nil"/>
              <w:left w:val="nil"/>
              <w:bottom w:val="nil"/>
              <w:right w:val="nil"/>
            </w:tcBorders>
            <w:shd w:val="clear" w:color="000000" w:fill="FFFFFF"/>
            <w:noWrap/>
            <w:vAlign w:val="bottom"/>
            <w:hideMark/>
          </w:tcPr>
          <w:p w14:paraId="3EF20019"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13 159</w:t>
            </w:r>
          </w:p>
        </w:tc>
        <w:tc>
          <w:tcPr>
            <w:tcW w:w="1060" w:type="dxa"/>
            <w:tcBorders>
              <w:top w:val="nil"/>
              <w:left w:val="nil"/>
              <w:bottom w:val="nil"/>
              <w:right w:val="nil"/>
            </w:tcBorders>
            <w:shd w:val="clear" w:color="000000" w:fill="BFBFBF"/>
            <w:noWrap/>
            <w:vAlign w:val="bottom"/>
            <w:hideMark/>
          </w:tcPr>
          <w:p w14:paraId="64FAA715"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12 438</w:t>
            </w:r>
          </w:p>
        </w:tc>
        <w:tc>
          <w:tcPr>
            <w:tcW w:w="900" w:type="dxa"/>
            <w:tcBorders>
              <w:top w:val="nil"/>
              <w:left w:val="nil"/>
              <w:bottom w:val="nil"/>
              <w:right w:val="nil"/>
            </w:tcBorders>
            <w:shd w:val="clear" w:color="000000" w:fill="FFFFFF"/>
            <w:vAlign w:val="bottom"/>
            <w:hideMark/>
          </w:tcPr>
          <w:p w14:paraId="7EE8AEF6"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-721</w:t>
            </w:r>
          </w:p>
        </w:tc>
        <w:tc>
          <w:tcPr>
            <w:tcW w:w="758" w:type="dxa"/>
            <w:tcBorders>
              <w:top w:val="nil"/>
              <w:left w:val="nil"/>
              <w:bottom w:val="nil"/>
              <w:right w:val="nil"/>
            </w:tcBorders>
            <w:shd w:val="clear" w:color="000000" w:fill="FFFFFF"/>
            <w:vAlign w:val="bottom"/>
            <w:hideMark/>
          </w:tcPr>
          <w:p w14:paraId="3F8D0782"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-5,5</w:t>
            </w:r>
          </w:p>
        </w:tc>
      </w:tr>
      <w:tr w:rsidR="00C2434C" w:rsidRPr="00E20480" w14:paraId="6C4A08EC" w14:textId="77777777" w:rsidTr="004C05E1">
        <w:trPr>
          <w:trHeight w:val="480"/>
        </w:trPr>
        <w:tc>
          <w:tcPr>
            <w:tcW w:w="3686" w:type="dxa"/>
            <w:tcBorders>
              <w:top w:val="nil"/>
              <w:left w:val="nil"/>
              <w:bottom w:val="nil"/>
              <w:right w:val="nil"/>
            </w:tcBorders>
            <w:shd w:val="clear" w:color="000000" w:fill="FFFFFF"/>
            <w:vAlign w:val="center"/>
            <w:hideMark/>
          </w:tcPr>
          <w:p w14:paraId="7CB6DBD9" w14:textId="515D588E" w:rsidR="00C2434C" w:rsidRPr="00E20480" w:rsidRDefault="00C2434C" w:rsidP="004C05E1">
            <w:pPr>
              <w:spacing w:after="0" w:line="240" w:lineRule="auto"/>
              <w:jc w:val="left"/>
              <w:rPr>
                <w:rFonts w:eastAsia="Times New Roman" w:cs="Times New Roman"/>
                <w:color w:val="000000"/>
                <w:sz w:val="18"/>
                <w:szCs w:val="18"/>
                <w:lang w:eastAsia="sk-SK"/>
              </w:rPr>
            </w:pPr>
            <w:r w:rsidRPr="00E20480">
              <w:rPr>
                <w:rFonts w:eastAsia="Times New Roman" w:cs="Times New Roman"/>
                <w:color w:val="000000"/>
                <w:sz w:val="18"/>
                <w:szCs w:val="18"/>
                <w:lang w:eastAsia="sk-SK"/>
              </w:rPr>
              <w:t xml:space="preserve">Úroky z tuzemských a zahraničných úverov, </w:t>
            </w:r>
            <w:proofErr w:type="spellStart"/>
            <w:r w:rsidRPr="00E20480">
              <w:rPr>
                <w:rFonts w:eastAsia="Times New Roman" w:cs="Times New Roman"/>
                <w:color w:val="000000"/>
                <w:sz w:val="18"/>
                <w:szCs w:val="18"/>
                <w:lang w:eastAsia="sk-SK"/>
              </w:rPr>
              <w:t>pôžičiek,NFV</w:t>
            </w:r>
            <w:proofErr w:type="spellEnd"/>
          </w:p>
        </w:tc>
        <w:tc>
          <w:tcPr>
            <w:tcW w:w="980" w:type="dxa"/>
            <w:tcBorders>
              <w:top w:val="nil"/>
              <w:left w:val="nil"/>
              <w:bottom w:val="nil"/>
              <w:right w:val="nil"/>
            </w:tcBorders>
            <w:shd w:val="clear" w:color="000000" w:fill="FFFFFF"/>
            <w:noWrap/>
            <w:vAlign w:val="bottom"/>
            <w:hideMark/>
          </w:tcPr>
          <w:p w14:paraId="0E1D1097"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8 050</w:t>
            </w:r>
          </w:p>
        </w:tc>
        <w:tc>
          <w:tcPr>
            <w:tcW w:w="940" w:type="dxa"/>
            <w:tcBorders>
              <w:top w:val="nil"/>
              <w:left w:val="nil"/>
              <w:bottom w:val="nil"/>
              <w:right w:val="nil"/>
            </w:tcBorders>
            <w:shd w:val="clear" w:color="000000" w:fill="FFFFFF"/>
            <w:noWrap/>
            <w:vAlign w:val="bottom"/>
            <w:hideMark/>
          </w:tcPr>
          <w:p w14:paraId="0C1234F8"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7 632</w:t>
            </w:r>
          </w:p>
        </w:tc>
        <w:tc>
          <w:tcPr>
            <w:tcW w:w="940" w:type="dxa"/>
            <w:tcBorders>
              <w:top w:val="nil"/>
              <w:left w:val="nil"/>
              <w:bottom w:val="nil"/>
              <w:right w:val="nil"/>
            </w:tcBorders>
            <w:shd w:val="clear" w:color="000000" w:fill="FFFFFF"/>
            <w:noWrap/>
            <w:vAlign w:val="bottom"/>
            <w:hideMark/>
          </w:tcPr>
          <w:p w14:paraId="3186C5D7"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6 473</w:t>
            </w:r>
          </w:p>
        </w:tc>
        <w:tc>
          <w:tcPr>
            <w:tcW w:w="1060" w:type="dxa"/>
            <w:tcBorders>
              <w:top w:val="nil"/>
              <w:left w:val="nil"/>
              <w:bottom w:val="nil"/>
              <w:right w:val="nil"/>
            </w:tcBorders>
            <w:shd w:val="clear" w:color="000000" w:fill="BFBFBF"/>
            <w:noWrap/>
            <w:vAlign w:val="bottom"/>
            <w:hideMark/>
          </w:tcPr>
          <w:p w14:paraId="1A60A858" w14:textId="4C7CE8E3" w:rsidR="00C2434C" w:rsidRPr="00E20480" w:rsidRDefault="00C2434C" w:rsidP="008B1FB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8 88</w:t>
            </w:r>
            <w:r w:rsidR="008B1FB2">
              <w:rPr>
                <w:rFonts w:eastAsia="Times New Roman" w:cs="Times New Roman"/>
                <w:color w:val="000000"/>
                <w:sz w:val="18"/>
                <w:szCs w:val="18"/>
                <w:lang w:eastAsia="sk-SK"/>
              </w:rPr>
              <w:t>3</w:t>
            </w:r>
          </w:p>
        </w:tc>
        <w:tc>
          <w:tcPr>
            <w:tcW w:w="900" w:type="dxa"/>
            <w:tcBorders>
              <w:top w:val="nil"/>
              <w:left w:val="nil"/>
              <w:bottom w:val="nil"/>
              <w:right w:val="nil"/>
            </w:tcBorders>
            <w:shd w:val="clear" w:color="000000" w:fill="FFFFFF"/>
            <w:vAlign w:val="bottom"/>
            <w:hideMark/>
          </w:tcPr>
          <w:p w14:paraId="0926E647"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2 411</w:t>
            </w:r>
          </w:p>
        </w:tc>
        <w:tc>
          <w:tcPr>
            <w:tcW w:w="758" w:type="dxa"/>
            <w:tcBorders>
              <w:top w:val="nil"/>
              <w:left w:val="nil"/>
              <w:bottom w:val="nil"/>
              <w:right w:val="nil"/>
            </w:tcBorders>
            <w:shd w:val="clear" w:color="000000" w:fill="FFFFFF"/>
            <w:vAlign w:val="bottom"/>
            <w:hideMark/>
          </w:tcPr>
          <w:p w14:paraId="345CEF03"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37,2</w:t>
            </w:r>
          </w:p>
        </w:tc>
      </w:tr>
      <w:tr w:rsidR="00C2434C" w:rsidRPr="00E20480" w14:paraId="0B6B183C" w14:textId="77777777" w:rsidTr="004C05E1">
        <w:trPr>
          <w:trHeight w:val="330"/>
        </w:trPr>
        <w:tc>
          <w:tcPr>
            <w:tcW w:w="3686" w:type="dxa"/>
            <w:tcBorders>
              <w:top w:val="nil"/>
              <w:left w:val="nil"/>
              <w:bottom w:val="nil"/>
              <w:right w:val="nil"/>
            </w:tcBorders>
            <w:shd w:val="clear" w:color="000000" w:fill="FFFFFF"/>
            <w:noWrap/>
            <w:vAlign w:val="center"/>
            <w:hideMark/>
          </w:tcPr>
          <w:p w14:paraId="6F4546D5" w14:textId="77777777" w:rsidR="00C2434C" w:rsidRPr="00E20480" w:rsidRDefault="00C2434C" w:rsidP="00151F12">
            <w:pPr>
              <w:spacing w:after="0" w:line="240" w:lineRule="auto"/>
              <w:rPr>
                <w:rFonts w:eastAsia="Times New Roman" w:cs="Times New Roman"/>
                <w:color w:val="000000"/>
                <w:sz w:val="18"/>
                <w:szCs w:val="18"/>
                <w:lang w:eastAsia="sk-SK"/>
              </w:rPr>
            </w:pPr>
            <w:r w:rsidRPr="00E20480">
              <w:rPr>
                <w:rFonts w:eastAsia="Times New Roman" w:cs="Times New Roman"/>
                <w:color w:val="000000"/>
                <w:sz w:val="18"/>
                <w:szCs w:val="18"/>
                <w:lang w:eastAsia="sk-SK"/>
              </w:rPr>
              <w:t>Iné nedaňové príjmy</w:t>
            </w:r>
          </w:p>
        </w:tc>
        <w:tc>
          <w:tcPr>
            <w:tcW w:w="980" w:type="dxa"/>
            <w:tcBorders>
              <w:top w:val="nil"/>
              <w:left w:val="nil"/>
              <w:bottom w:val="nil"/>
              <w:right w:val="nil"/>
            </w:tcBorders>
            <w:shd w:val="clear" w:color="000000" w:fill="FFFFFF"/>
            <w:noWrap/>
            <w:vAlign w:val="bottom"/>
            <w:hideMark/>
          </w:tcPr>
          <w:p w14:paraId="4FBB5862"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396 163</w:t>
            </w:r>
          </w:p>
        </w:tc>
        <w:tc>
          <w:tcPr>
            <w:tcW w:w="940" w:type="dxa"/>
            <w:tcBorders>
              <w:top w:val="nil"/>
              <w:left w:val="nil"/>
              <w:bottom w:val="nil"/>
              <w:right w:val="nil"/>
            </w:tcBorders>
            <w:shd w:val="clear" w:color="000000" w:fill="FFFFFF"/>
            <w:noWrap/>
            <w:vAlign w:val="bottom"/>
            <w:hideMark/>
          </w:tcPr>
          <w:p w14:paraId="613A7CF1"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404 531</w:t>
            </w:r>
          </w:p>
        </w:tc>
        <w:tc>
          <w:tcPr>
            <w:tcW w:w="940" w:type="dxa"/>
            <w:tcBorders>
              <w:top w:val="nil"/>
              <w:left w:val="nil"/>
              <w:bottom w:val="nil"/>
              <w:right w:val="nil"/>
            </w:tcBorders>
            <w:shd w:val="clear" w:color="000000" w:fill="FFFFFF"/>
            <w:noWrap/>
            <w:vAlign w:val="bottom"/>
            <w:hideMark/>
          </w:tcPr>
          <w:p w14:paraId="1BD8257C"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325 318</w:t>
            </w:r>
          </w:p>
        </w:tc>
        <w:tc>
          <w:tcPr>
            <w:tcW w:w="1060" w:type="dxa"/>
            <w:tcBorders>
              <w:top w:val="nil"/>
              <w:left w:val="nil"/>
              <w:bottom w:val="nil"/>
              <w:right w:val="nil"/>
            </w:tcBorders>
            <w:shd w:val="clear" w:color="000000" w:fill="BFBFBF"/>
            <w:noWrap/>
            <w:vAlign w:val="bottom"/>
            <w:hideMark/>
          </w:tcPr>
          <w:p w14:paraId="4E22CA28"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453 075</w:t>
            </w:r>
          </w:p>
        </w:tc>
        <w:tc>
          <w:tcPr>
            <w:tcW w:w="900" w:type="dxa"/>
            <w:tcBorders>
              <w:top w:val="nil"/>
              <w:left w:val="nil"/>
              <w:bottom w:val="nil"/>
              <w:right w:val="nil"/>
            </w:tcBorders>
            <w:shd w:val="clear" w:color="000000" w:fill="FFFFFF"/>
            <w:vAlign w:val="bottom"/>
            <w:hideMark/>
          </w:tcPr>
          <w:p w14:paraId="27B23EA5"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127 757</w:t>
            </w:r>
          </w:p>
        </w:tc>
        <w:tc>
          <w:tcPr>
            <w:tcW w:w="758" w:type="dxa"/>
            <w:tcBorders>
              <w:top w:val="nil"/>
              <w:left w:val="nil"/>
              <w:bottom w:val="nil"/>
              <w:right w:val="nil"/>
            </w:tcBorders>
            <w:shd w:val="clear" w:color="000000" w:fill="FFFFFF"/>
            <w:vAlign w:val="bottom"/>
            <w:hideMark/>
          </w:tcPr>
          <w:p w14:paraId="7C19F8CF"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39,3</w:t>
            </w:r>
          </w:p>
        </w:tc>
      </w:tr>
      <w:tr w:rsidR="00C2434C" w:rsidRPr="00E20480" w14:paraId="341B9400" w14:textId="77777777" w:rsidTr="004C05E1">
        <w:trPr>
          <w:trHeight w:val="330"/>
        </w:trPr>
        <w:tc>
          <w:tcPr>
            <w:tcW w:w="3686" w:type="dxa"/>
            <w:tcBorders>
              <w:top w:val="nil"/>
              <w:left w:val="nil"/>
              <w:bottom w:val="nil"/>
              <w:right w:val="nil"/>
            </w:tcBorders>
            <w:shd w:val="clear" w:color="000000" w:fill="FFFFFF"/>
            <w:noWrap/>
            <w:vAlign w:val="center"/>
            <w:hideMark/>
          </w:tcPr>
          <w:p w14:paraId="268D732A" w14:textId="77777777" w:rsidR="00C2434C" w:rsidRPr="00E20480" w:rsidRDefault="00C2434C" w:rsidP="00151F12">
            <w:pPr>
              <w:spacing w:after="0" w:line="240" w:lineRule="auto"/>
              <w:rPr>
                <w:rFonts w:eastAsia="Times New Roman" w:cs="Times New Roman"/>
                <w:color w:val="000000"/>
                <w:sz w:val="18"/>
                <w:szCs w:val="18"/>
                <w:lang w:eastAsia="sk-SK"/>
              </w:rPr>
            </w:pPr>
            <w:r w:rsidRPr="00E20480">
              <w:rPr>
                <w:rFonts w:eastAsia="Times New Roman" w:cs="Times New Roman"/>
                <w:color w:val="000000"/>
                <w:sz w:val="18"/>
                <w:szCs w:val="18"/>
                <w:lang w:eastAsia="sk-SK"/>
              </w:rPr>
              <w:t xml:space="preserve">   v tom: odvod z hazardných hier</w:t>
            </w:r>
          </w:p>
        </w:tc>
        <w:tc>
          <w:tcPr>
            <w:tcW w:w="980" w:type="dxa"/>
            <w:tcBorders>
              <w:top w:val="nil"/>
              <w:left w:val="nil"/>
              <w:bottom w:val="nil"/>
              <w:right w:val="nil"/>
            </w:tcBorders>
            <w:shd w:val="clear" w:color="000000" w:fill="FFFFFF"/>
            <w:noWrap/>
            <w:vAlign w:val="bottom"/>
            <w:hideMark/>
          </w:tcPr>
          <w:p w14:paraId="1B87E308"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224 374</w:t>
            </w:r>
          </w:p>
        </w:tc>
        <w:tc>
          <w:tcPr>
            <w:tcW w:w="940" w:type="dxa"/>
            <w:tcBorders>
              <w:top w:val="nil"/>
              <w:left w:val="nil"/>
              <w:bottom w:val="nil"/>
              <w:right w:val="nil"/>
            </w:tcBorders>
            <w:shd w:val="clear" w:color="000000" w:fill="FFFFFF"/>
            <w:noWrap/>
            <w:vAlign w:val="bottom"/>
            <w:hideMark/>
          </w:tcPr>
          <w:p w14:paraId="471D7C67"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248 924</w:t>
            </w:r>
          </w:p>
        </w:tc>
        <w:tc>
          <w:tcPr>
            <w:tcW w:w="940" w:type="dxa"/>
            <w:tcBorders>
              <w:top w:val="nil"/>
              <w:left w:val="nil"/>
              <w:bottom w:val="nil"/>
              <w:right w:val="nil"/>
            </w:tcBorders>
            <w:shd w:val="clear" w:color="000000" w:fill="FFFFFF"/>
            <w:noWrap/>
            <w:vAlign w:val="bottom"/>
            <w:hideMark/>
          </w:tcPr>
          <w:p w14:paraId="513A54BB"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174 000</w:t>
            </w:r>
          </w:p>
        </w:tc>
        <w:tc>
          <w:tcPr>
            <w:tcW w:w="1060" w:type="dxa"/>
            <w:tcBorders>
              <w:top w:val="nil"/>
              <w:left w:val="nil"/>
              <w:bottom w:val="nil"/>
              <w:right w:val="nil"/>
            </w:tcBorders>
            <w:shd w:val="clear" w:color="000000" w:fill="BFBFBF"/>
            <w:noWrap/>
            <w:vAlign w:val="bottom"/>
            <w:hideMark/>
          </w:tcPr>
          <w:p w14:paraId="45D1778E"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212 590</w:t>
            </w:r>
          </w:p>
        </w:tc>
        <w:tc>
          <w:tcPr>
            <w:tcW w:w="900" w:type="dxa"/>
            <w:tcBorders>
              <w:top w:val="nil"/>
              <w:left w:val="nil"/>
              <w:bottom w:val="nil"/>
              <w:right w:val="nil"/>
            </w:tcBorders>
            <w:shd w:val="clear" w:color="000000" w:fill="FFFFFF"/>
            <w:vAlign w:val="bottom"/>
            <w:hideMark/>
          </w:tcPr>
          <w:p w14:paraId="0FE45276"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38 590</w:t>
            </w:r>
          </w:p>
        </w:tc>
        <w:tc>
          <w:tcPr>
            <w:tcW w:w="758" w:type="dxa"/>
            <w:tcBorders>
              <w:top w:val="nil"/>
              <w:left w:val="nil"/>
              <w:bottom w:val="nil"/>
              <w:right w:val="nil"/>
            </w:tcBorders>
            <w:shd w:val="clear" w:color="000000" w:fill="FFFFFF"/>
            <w:vAlign w:val="bottom"/>
            <w:hideMark/>
          </w:tcPr>
          <w:p w14:paraId="453C4478"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22,2</w:t>
            </w:r>
          </w:p>
        </w:tc>
      </w:tr>
      <w:tr w:rsidR="00C2434C" w:rsidRPr="00E20480" w14:paraId="13136CBB" w14:textId="77777777" w:rsidTr="004C05E1">
        <w:trPr>
          <w:trHeight w:val="330"/>
        </w:trPr>
        <w:tc>
          <w:tcPr>
            <w:tcW w:w="3686" w:type="dxa"/>
            <w:tcBorders>
              <w:top w:val="nil"/>
              <w:left w:val="nil"/>
              <w:bottom w:val="nil"/>
              <w:right w:val="nil"/>
            </w:tcBorders>
            <w:shd w:val="clear" w:color="000000" w:fill="FFFFFF"/>
            <w:noWrap/>
            <w:vAlign w:val="center"/>
            <w:hideMark/>
          </w:tcPr>
          <w:p w14:paraId="210986C3" w14:textId="77777777" w:rsidR="00C2434C" w:rsidRPr="00E20480" w:rsidRDefault="00C2434C" w:rsidP="00151F12">
            <w:pPr>
              <w:spacing w:after="0" w:line="240" w:lineRule="auto"/>
              <w:rPr>
                <w:rFonts w:eastAsia="Times New Roman" w:cs="Times New Roman"/>
                <w:color w:val="000000"/>
                <w:sz w:val="18"/>
                <w:szCs w:val="18"/>
                <w:lang w:eastAsia="sk-SK"/>
              </w:rPr>
            </w:pPr>
            <w:r w:rsidRPr="00E20480">
              <w:rPr>
                <w:rFonts w:eastAsia="Times New Roman" w:cs="Times New Roman"/>
                <w:color w:val="000000"/>
                <w:sz w:val="18"/>
                <w:szCs w:val="18"/>
                <w:lang w:eastAsia="sk-SK"/>
              </w:rPr>
              <w:t xml:space="preserve">               ostatné príjmy - iné</w:t>
            </w:r>
          </w:p>
        </w:tc>
        <w:tc>
          <w:tcPr>
            <w:tcW w:w="980" w:type="dxa"/>
            <w:tcBorders>
              <w:top w:val="nil"/>
              <w:left w:val="nil"/>
              <w:bottom w:val="nil"/>
              <w:right w:val="nil"/>
            </w:tcBorders>
            <w:shd w:val="clear" w:color="000000" w:fill="FFFFFF"/>
            <w:noWrap/>
            <w:vAlign w:val="bottom"/>
            <w:hideMark/>
          </w:tcPr>
          <w:p w14:paraId="0583BA9D"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96 002</w:t>
            </w:r>
          </w:p>
        </w:tc>
        <w:tc>
          <w:tcPr>
            <w:tcW w:w="940" w:type="dxa"/>
            <w:tcBorders>
              <w:top w:val="nil"/>
              <w:left w:val="nil"/>
              <w:bottom w:val="nil"/>
              <w:right w:val="nil"/>
            </w:tcBorders>
            <w:shd w:val="clear" w:color="000000" w:fill="FFFFFF"/>
            <w:noWrap/>
            <w:vAlign w:val="bottom"/>
            <w:hideMark/>
          </w:tcPr>
          <w:p w14:paraId="299ACF5C"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97 756</w:t>
            </w:r>
          </w:p>
        </w:tc>
        <w:tc>
          <w:tcPr>
            <w:tcW w:w="940" w:type="dxa"/>
            <w:tcBorders>
              <w:top w:val="nil"/>
              <w:left w:val="nil"/>
              <w:bottom w:val="nil"/>
              <w:right w:val="nil"/>
            </w:tcBorders>
            <w:shd w:val="clear" w:color="000000" w:fill="FFFFFF"/>
            <w:noWrap/>
            <w:vAlign w:val="bottom"/>
            <w:hideMark/>
          </w:tcPr>
          <w:p w14:paraId="3311CA59"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88 552</w:t>
            </w:r>
          </w:p>
        </w:tc>
        <w:tc>
          <w:tcPr>
            <w:tcW w:w="1060" w:type="dxa"/>
            <w:tcBorders>
              <w:top w:val="nil"/>
              <w:left w:val="nil"/>
              <w:bottom w:val="nil"/>
              <w:right w:val="nil"/>
            </w:tcBorders>
            <w:shd w:val="clear" w:color="000000" w:fill="BFBFBF"/>
            <w:noWrap/>
            <w:vAlign w:val="bottom"/>
            <w:hideMark/>
          </w:tcPr>
          <w:p w14:paraId="4C8C8E93"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169 469</w:t>
            </w:r>
          </w:p>
        </w:tc>
        <w:tc>
          <w:tcPr>
            <w:tcW w:w="900" w:type="dxa"/>
            <w:tcBorders>
              <w:top w:val="nil"/>
              <w:left w:val="nil"/>
              <w:bottom w:val="nil"/>
              <w:right w:val="nil"/>
            </w:tcBorders>
            <w:shd w:val="clear" w:color="000000" w:fill="FFFFFF"/>
            <w:vAlign w:val="bottom"/>
            <w:hideMark/>
          </w:tcPr>
          <w:p w14:paraId="474679DD"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80 917</w:t>
            </w:r>
          </w:p>
        </w:tc>
        <w:tc>
          <w:tcPr>
            <w:tcW w:w="758" w:type="dxa"/>
            <w:tcBorders>
              <w:top w:val="nil"/>
              <w:left w:val="nil"/>
              <w:bottom w:val="nil"/>
              <w:right w:val="nil"/>
            </w:tcBorders>
            <w:shd w:val="clear" w:color="000000" w:fill="FFFFFF"/>
            <w:vAlign w:val="bottom"/>
            <w:hideMark/>
          </w:tcPr>
          <w:p w14:paraId="75BDF2AA"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91,4</w:t>
            </w:r>
          </w:p>
        </w:tc>
      </w:tr>
      <w:tr w:rsidR="00C2434C" w:rsidRPr="00E20480" w14:paraId="075BBE4C" w14:textId="77777777" w:rsidTr="004C05E1">
        <w:trPr>
          <w:trHeight w:val="345"/>
        </w:trPr>
        <w:tc>
          <w:tcPr>
            <w:tcW w:w="3686" w:type="dxa"/>
            <w:tcBorders>
              <w:top w:val="single" w:sz="4" w:space="0" w:color="auto"/>
              <w:left w:val="nil"/>
              <w:bottom w:val="single" w:sz="8" w:space="0" w:color="auto"/>
              <w:right w:val="nil"/>
            </w:tcBorders>
            <w:shd w:val="clear" w:color="000000" w:fill="FFFFFF"/>
            <w:noWrap/>
            <w:vAlign w:val="center"/>
            <w:hideMark/>
          </w:tcPr>
          <w:p w14:paraId="6B3EF6E8" w14:textId="77777777" w:rsidR="00C2434C" w:rsidRPr="00E20480" w:rsidRDefault="00C2434C" w:rsidP="00151F12">
            <w:pPr>
              <w:spacing w:after="0" w:line="240" w:lineRule="auto"/>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Spolu</w:t>
            </w:r>
          </w:p>
        </w:tc>
        <w:tc>
          <w:tcPr>
            <w:tcW w:w="980" w:type="dxa"/>
            <w:tcBorders>
              <w:top w:val="single" w:sz="4" w:space="0" w:color="auto"/>
              <w:left w:val="nil"/>
              <w:bottom w:val="single" w:sz="8" w:space="0" w:color="auto"/>
              <w:right w:val="nil"/>
            </w:tcBorders>
            <w:shd w:val="clear" w:color="000000" w:fill="FFFFFF"/>
            <w:noWrap/>
            <w:vAlign w:val="center"/>
            <w:hideMark/>
          </w:tcPr>
          <w:p w14:paraId="69930C3A" w14:textId="77777777" w:rsidR="00C2434C" w:rsidRPr="00E20480" w:rsidRDefault="00C2434C" w:rsidP="00151F12">
            <w:pPr>
              <w:spacing w:after="0" w:line="240" w:lineRule="auto"/>
              <w:jc w:val="right"/>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1 211 597</w:t>
            </w:r>
          </w:p>
        </w:tc>
        <w:tc>
          <w:tcPr>
            <w:tcW w:w="940" w:type="dxa"/>
            <w:tcBorders>
              <w:top w:val="single" w:sz="4" w:space="0" w:color="auto"/>
              <w:left w:val="nil"/>
              <w:bottom w:val="single" w:sz="8" w:space="0" w:color="auto"/>
              <w:right w:val="nil"/>
            </w:tcBorders>
            <w:shd w:val="clear" w:color="000000" w:fill="FFFFFF"/>
            <w:noWrap/>
            <w:vAlign w:val="center"/>
            <w:hideMark/>
          </w:tcPr>
          <w:p w14:paraId="49490747" w14:textId="77777777" w:rsidR="00C2434C" w:rsidRPr="00E20480" w:rsidRDefault="00C2434C" w:rsidP="00151F12">
            <w:pPr>
              <w:spacing w:after="0" w:line="240" w:lineRule="auto"/>
              <w:jc w:val="right"/>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1 327 516</w:t>
            </w:r>
          </w:p>
        </w:tc>
        <w:tc>
          <w:tcPr>
            <w:tcW w:w="940" w:type="dxa"/>
            <w:tcBorders>
              <w:top w:val="single" w:sz="4" w:space="0" w:color="auto"/>
              <w:left w:val="nil"/>
              <w:bottom w:val="single" w:sz="8" w:space="0" w:color="auto"/>
              <w:right w:val="nil"/>
            </w:tcBorders>
            <w:shd w:val="clear" w:color="000000" w:fill="FFFFFF"/>
            <w:noWrap/>
            <w:vAlign w:val="center"/>
            <w:hideMark/>
          </w:tcPr>
          <w:p w14:paraId="11A91273" w14:textId="77777777" w:rsidR="00C2434C" w:rsidRPr="00E20480" w:rsidRDefault="00C2434C" w:rsidP="00151F12">
            <w:pPr>
              <w:spacing w:after="0" w:line="240" w:lineRule="auto"/>
              <w:jc w:val="right"/>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1 103 342</w:t>
            </w:r>
          </w:p>
        </w:tc>
        <w:tc>
          <w:tcPr>
            <w:tcW w:w="1060" w:type="dxa"/>
            <w:tcBorders>
              <w:top w:val="single" w:sz="4" w:space="0" w:color="auto"/>
              <w:left w:val="nil"/>
              <w:bottom w:val="single" w:sz="8" w:space="0" w:color="auto"/>
              <w:right w:val="nil"/>
            </w:tcBorders>
            <w:shd w:val="clear" w:color="000000" w:fill="BFBFBF"/>
            <w:noWrap/>
            <w:vAlign w:val="center"/>
            <w:hideMark/>
          </w:tcPr>
          <w:p w14:paraId="1E358F96" w14:textId="2206E0A6" w:rsidR="00C2434C" w:rsidRPr="00E20480" w:rsidRDefault="00C2434C" w:rsidP="007871F0">
            <w:pPr>
              <w:spacing w:after="0" w:line="240" w:lineRule="auto"/>
              <w:jc w:val="right"/>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1 296 62</w:t>
            </w:r>
            <w:r w:rsidR="007871F0">
              <w:rPr>
                <w:rFonts w:eastAsia="Times New Roman" w:cs="Times New Roman"/>
                <w:b/>
                <w:bCs/>
                <w:color w:val="000000"/>
                <w:sz w:val="18"/>
                <w:szCs w:val="18"/>
                <w:lang w:eastAsia="sk-SK"/>
              </w:rPr>
              <w:t>6</w:t>
            </w:r>
          </w:p>
        </w:tc>
        <w:tc>
          <w:tcPr>
            <w:tcW w:w="900" w:type="dxa"/>
            <w:tcBorders>
              <w:top w:val="single" w:sz="4" w:space="0" w:color="auto"/>
              <w:left w:val="nil"/>
              <w:bottom w:val="single" w:sz="8" w:space="0" w:color="auto"/>
              <w:right w:val="nil"/>
            </w:tcBorders>
            <w:shd w:val="clear" w:color="000000" w:fill="FFFFFF"/>
            <w:noWrap/>
            <w:vAlign w:val="center"/>
            <w:hideMark/>
          </w:tcPr>
          <w:p w14:paraId="07D21DC0" w14:textId="77777777" w:rsidR="00C2434C" w:rsidRPr="00E20480" w:rsidRDefault="00C2434C" w:rsidP="00151F12">
            <w:pPr>
              <w:spacing w:after="0" w:line="240" w:lineRule="auto"/>
              <w:jc w:val="right"/>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193 285</w:t>
            </w:r>
          </w:p>
        </w:tc>
        <w:tc>
          <w:tcPr>
            <w:tcW w:w="758" w:type="dxa"/>
            <w:tcBorders>
              <w:top w:val="single" w:sz="4" w:space="0" w:color="auto"/>
              <w:left w:val="nil"/>
              <w:bottom w:val="single" w:sz="8" w:space="0" w:color="auto"/>
              <w:right w:val="nil"/>
            </w:tcBorders>
            <w:shd w:val="clear" w:color="000000" w:fill="FFFFFF"/>
            <w:noWrap/>
            <w:vAlign w:val="center"/>
            <w:hideMark/>
          </w:tcPr>
          <w:p w14:paraId="22CC0154" w14:textId="77777777" w:rsidR="00C2434C" w:rsidRPr="00E20480" w:rsidRDefault="00C2434C" w:rsidP="00151F12">
            <w:pPr>
              <w:spacing w:after="0" w:line="240" w:lineRule="auto"/>
              <w:jc w:val="right"/>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17,5</w:t>
            </w:r>
          </w:p>
        </w:tc>
      </w:tr>
    </w:tbl>
    <w:p w14:paraId="65A027B9" w14:textId="72B93FDD" w:rsidR="00C2434C" w:rsidRPr="00CF4D78" w:rsidRDefault="00C2434C" w:rsidP="00C2434C">
      <w:pPr>
        <w:ind w:left="6372" w:firstLine="708"/>
      </w:pPr>
      <w:r w:rsidRPr="00CF4D78">
        <w:rPr>
          <w:sz w:val="18"/>
          <w:szCs w:val="18"/>
        </w:rPr>
        <w:t xml:space="preserve"> </w:t>
      </w:r>
      <w:r w:rsidR="00E653E5">
        <w:rPr>
          <w:sz w:val="18"/>
          <w:szCs w:val="18"/>
        </w:rPr>
        <w:t xml:space="preserve">       </w:t>
      </w:r>
      <w:r w:rsidR="00C26DDF">
        <w:rPr>
          <w:sz w:val="18"/>
          <w:szCs w:val="18"/>
        </w:rPr>
        <w:t xml:space="preserve">               </w:t>
      </w:r>
      <w:r w:rsidR="006C7EB3">
        <w:rPr>
          <w:sz w:val="18"/>
          <w:szCs w:val="18"/>
        </w:rPr>
        <w:t xml:space="preserve"> </w:t>
      </w:r>
      <w:r w:rsidRPr="00CF4D78">
        <w:rPr>
          <w:sz w:val="18"/>
          <w:szCs w:val="18"/>
        </w:rPr>
        <w:t>Zdroj: MF SR</w:t>
      </w:r>
    </w:p>
    <w:p w14:paraId="4C20D44D" w14:textId="72A943C8" w:rsidR="00C2434C" w:rsidRPr="008E6BBC" w:rsidRDefault="00C2434C" w:rsidP="001665F3">
      <w:pPr>
        <w:tabs>
          <w:tab w:val="left" w:pos="284"/>
        </w:tabs>
        <w:spacing w:line="240" w:lineRule="auto"/>
        <w:rPr>
          <w:color w:val="000000" w:themeColor="text1"/>
          <w:sz w:val="24"/>
          <w:szCs w:val="24"/>
        </w:rPr>
      </w:pPr>
      <w:r w:rsidRPr="008E6BBC">
        <w:rPr>
          <w:b/>
          <w:color w:val="000000" w:themeColor="text1"/>
          <w:sz w:val="24"/>
          <w:szCs w:val="24"/>
        </w:rPr>
        <w:t>Príjmy z podnikania a z vlastníctva majetku</w:t>
      </w:r>
      <w:r w:rsidRPr="008E6BBC">
        <w:rPr>
          <w:color w:val="000000" w:themeColor="text1"/>
          <w:sz w:val="24"/>
          <w:szCs w:val="24"/>
        </w:rPr>
        <w:t xml:space="preserve"> sú svojou výškou dôležitou časťou nedaňových príjmov. Z tejto sumy najpodstatnejšiu časť tvoria </w:t>
      </w:r>
      <w:r w:rsidRPr="008E6BBC">
        <w:rPr>
          <w:b/>
          <w:i/>
          <w:color w:val="000000" w:themeColor="text1"/>
          <w:sz w:val="24"/>
          <w:szCs w:val="24"/>
        </w:rPr>
        <w:t>prijaté dividendy</w:t>
      </w:r>
      <w:r w:rsidRPr="008E6BBC">
        <w:rPr>
          <w:b/>
          <w:color w:val="000000" w:themeColor="text1"/>
          <w:sz w:val="24"/>
          <w:szCs w:val="24"/>
        </w:rPr>
        <w:t xml:space="preserve"> </w:t>
      </w:r>
      <w:r w:rsidRPr="008E6BBC">
        <w:rPr>
          <w:color w:val="000000" w:themeColor="text1"/>
          <w:sz w:val="24"/>
          <w:szCs w:val="24"/>
        </w:rPr>
        <w:t>z obchodných spoločností štátu, ktoré vyinkasovali vybrané kapitoly štátneho rozpočtu reálne v roku 2020</w:t>
      </w:r>
      <w:r w:rsidR="00C75512" w:rsidRPr="008E6BBC">
        <w:rPr>
          <w:color w:val="000000" w:themeColor="text1"/>
          <w:sz w:val="24"/>
          <w:szCs w:val="24"/>
        </w:rPr>
        <w:t xml:space="preserve"> (najčastejšie rozdelené z výsledkov hospodárenia pre</w:t>
      </w:r>
      <w:r w:rsidR="000858FD">
        <w:rPr>
          <w:color w:val="000000" w:themeColor="text1"/>
          <w:sz w:val="24"/>
          <w:szCs w:val="24"/>
        </w:rPr>
        <w:t>d</w:t>
      </w:r>
      <w:r w:rsidR="00C75512" w:rsidRPr="008E6BBC">
        <w:rPr>
          <w:color w:val="000000" w:themeColor="text1"/>
          <w:sz w:val="24"/>
          <w:szCs w:val="24"/>
        </w:rPr>
        <w:t>chádzajúcich období)</w:t>
      </w:r>
      <w:r w:rsidRPr="008E6BBC">
        <w:rPr>
          <w:color w:val="000000" w:themeColor="text1"/>
          <w:sz w:val="24"/>
          <w:szCs w:val="24"/>
        </w:rPr>
        <w:t xml:space="preserve">. </w:t>
      </w:r>
    </w:p>
    <w:p w14:paraId="3A75168D" w14:textId="77777777" w:rsidR="00C2434C" w:rsidRPr="008E6BBC" w:rsidRDefault="00C2434C" w:rsidP="001665F3">
      <w:pPr>
        <w:spacing w:line="240" w:lineRule="auto"/>
        <w:rPr>
          <w:sz w:val="24"/>
          <w:szCs w:val="24"/>
        </w:rPr>
      </w:pPr>
      <w:r w:rsidRPr="008E6BBC">
        <w:rPr>
          <w:sz w:val="24"/>
          <w:szCs w:val="24"/>
        </w:rPr>
        <w:t>Súhrnný prehľad prijatých dividend na hotovostnom princípe podľa kapitol ŠR poskytuje nasledovná tabuľka:</w:t>
      </w:r>
    </w:p>
    <w:tbl>
      <w:tblPr>
        <w:tblW w:w="9296" w:type="dxa"/>
        <w:tblInd w:w="-10" w:type="dxa"/>
        <w:tblCellMar>
          <w:left w:w="70" w:type="dxa"/>
          <w:right w:w="70" w:type="dxa"/>
        </w:tblCellMar>
        <w:tblLook w:val="04A0" w:firstRow="1" w:lastRow="0" w:firstColumn="1" w:lastColumn="0" w:noHBand="0" w:noVBand="1"/>
      </w:tblPr>
      <w:tblGrid>
        <w:gridCol w:w="3828"/>
        <w:gridCol w:w="900"/>
        <w:gridCol w:w="840"/>
        <w:gridCol w:w="964"/>
        <w:gridCol w:w="1027"/>
        <w:gridCol w:w="880"/>
        <w:gridCol w:w="857"/>
      </w:tblGrid>
      <w:tr w:rsidR="00B8297D" w:rsidRPr="00E20480" w14:paraId="1028E496" w14:textId="77777777" w:rsidTr="000858FD">
        <w:trPr>
          <w:trHeight w:val="330"/>
        </w:trPr>
        <w:tc>
          <w:tcPr>
            <w:tcW w:w="9296" w:type="dxa"/>
            <w:gridSpan w:val="7"/>
            <w:tcBorders>
              <w:top w:val="nil"/>
              <w:left w:val="single" w:sz="8" w:space="0" w:color="auto"/>
              <w:bottom w:val="nil"/>
              <w:right w:val="nil"/>
            </w:tcBorders>
            <w:shd w:val="clear" w:color="000000" w:fill="000000"/>
            <w:vAlign w:val="center"/>
            <w:hideMark/>
          </w:tcPr>
          <w:p w14:paraId="447679BB" w14:textId="6B3B6647" w:rsidR="00B8297D" w:rsidRPr="00E20480" w:rsidRDefault="00B8297D" w:rsidP="00B8297D">
            <w:pPr>
              <w:spacing w:after="0" w:line="240" w:lineRule="auto"/>
              <w:jc w:val="left"/>
              <w:rPr>
                <w:rFonts w:eastAsia="Times New Roman" w:cs="Times New Roman"/>
                <w:b/>
                <w:bCs/>
                <w:color w:val="FFFFFF"/>
                <w:sz w:val="18"/>
                <w:szCs w:val="18"/>
                <w:lang w:eastAsia="sk-SK"/>
              </w:rPr>
            </w:pPr>
            <w:bookmarkStart w:id="40" w:name="RANGE!B5:H29"/>
            <w:r w:rsidRPr="00E20480">
              <w:rPr>
                <w:rFonts w:eastAsia="Times New Roman" w:cs="Times New Roman"/>
                <w:b/>
                <w:bCs/>
                <w:color w:val="FFFFFF"/>
                <w:sz w:val="18"/>
                <w:szCs w:val="18"/>
                <w:lang w:eastAsia="sk-SK"/>
              </w:rPr>
              <w:t>Príjem dividend podľa kapitol ŠR</w:t>
            </w:r>
            <w:bookmarkEnd w:id="40"/>
            <w:r w:rsidRPr="00E20480">
              <w:rPr>
                <w:rFonts w:eastAsia="Times New Roman" w:cs="Times New Roman"/>
                <w:b/>
                <w:bCs/>
                <w:color w:val="FFFFFF"/>
                <w:sz w:val="18"/>
                <w:szCs w:val="18"/>
                <w:lang w:eastAsia="sk-SK"/>
              </w:rPr>
              <w:t xml:space="preserve">                                                                                                                                 v tis. eur</w:t>
            </w:r>
          </w:p>
        </w:tc>
      </w:tr>
      <w:tr w:rsidR="00C2434C" w:rsidRPr="00E20480" w14:paraId="31AECFEA" w14:textId="77777777" w:rsidTr="000858FD">
        <w:trPr>
          <w:trHeight w:val="510"/>
        </w:trPr>
        <w:tc>
          <w:tcPr>
            <w:tcW w:w="3828" w:type="dxa"/>
            <w:tcBorders>
              <w:top w:val="nil"/>
              <w:left w:val="nil"/>
              <w:bottom w:val="nil"/>
              <w:right w:val="nil"/>
            </w:tcBorders>
            <w:shd w:val="clear" w:color="000000" w:fill="BFBFBF"/>
            <w:vAlign w:val="center"/>
            <w:hideMark/>
          </w:tcPr>
          <w:p w14:paraId="0BD60651" w14:textId="77777777" w:rsidR="00C2434C" w:rsidRPr="00E20480" w:rsidRDefault="00C2434C" w:rsidP="00151F12">
            <w:pPr>
              <w:spacing w:after="0" w:line="240" w:lineRule="auto"/>
              <w:rPr>
                <w:rFonts w:eastAsia="Times New Roman" w:cs="Times New Roman"/>
                <w:b/>
                <w:bCs/>
                <w:color w:val="FFFFFF"/>
                <w:sz w:val="18"/>
                <w:szCs w:val="18"/>
                <w:lang w:eastAsia="sk-SK"/>
              </w:rPr>
            </w:pPr>
            <w:r w:rsidRPr="00E20480">
              <w:rPr>
                <w:rFonts w:eastAsia="Times New Roman" w:cs="Times New Roman"/>
                <w:b/>
                <w:bCs/>
                <w:color w:val="FFFFFF"/>
                <w:sz w:val="18"/>
                <w:szCs w:val="18"/>
                <w:lang w:eastAsia="sk-SK"/>
              </w:rPr>
              <w:t> </w:t>
            </w:r>
          </w:p>
        </w:tc>
        <w:tc>
          <w:tcPr>
            <w:tcW w:w="1740" w:type="dxa"/>
            <w:gridSpan w:val="2"/>
            <w:tcBorders>
              <w:top w:val="nil"/>
              <w:left w:val="nil"/>
              <w:bottom w:val="nil"/>
              <w:right w:val="nil"/>
            </w:tcBorders>
            <w:shd w:val="clear" w:color="000000" w:fill="BFBFBF"/>
            <w:vAlign w:val="center"/>
            <w:hideMark/>
          </w:tcPr>
          <w:p w14:paraId="2CBD1144" w14:textId="77777777" w:rsidR="00C2434C" w:rsidRPr="00E20480" w:rsidRDefault="00C2434C" w:rsidP="00151F12">
            <w:pPr>
              <w:spacing w:after="0" w:line="240" w:lineRule="auto"/>
              <w:jc w:val="center"/>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Skutočnosť</w:t>
            </w:r>
          </w:p>
        </w:tc>
        <w:tc>
          <w:tcPr>
            <w:tcW w:w="964" w:type="dxa"/>
            <w:tcBorders>
              <w:top w:val="nil"/>
              <w:left w:val="nil"/>
              <w:bottom w:val="nil"/>
              <w:right w:val="nil"/>
            </w:tcBorders>
            <w:shd w:val="clear" w:color="000000" w:fill="BFBFBF"/>
            <w:vAlign w:val="center"/>
            <w:hideMark/>
          </w:tcPr>
          <w:p w14:paraId="6C4C2E40" w14:textId="77777777" w:rsidR="00C2434C" w:rsidRPr="00E20480" w:rsidRDefault="00C2434C" w:rsidP="00151F12">
            <w:pPr>
              <w:spacing w:after="0" w:line="240" w:lineRule="auto"/>
              <w:jc w:val="center"/>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Rozpočet</w:t>
            </w:r>
          </w:p>
        </w:tc>
        <w:tc>
          <w:tcPr>
            <w:tcW w:w="1027" w:type="dxa"/>
            <w:tcBorders>
              <w:top w:val="nil"/>
              <w:left w:val="nil"/>
              <w:bottom w:val="nil"/>
              <w:right w:val="nil"/>
            </w:tcBorders>
            <w:shd w:val="clear" w:color="000000" w:fill="BFBFBF"/>
            <w:vAlign w:val="center"/>
            <w:hideMark/>
          </w:tcPr>
          <w:p w14:paraId="41973134" w14:textId="77777777" w:rsidR="00C2434C" w:rsidRPr="00E20480" w:rsidRDefault="00C2434C" w:rsidP="00151F12">
            <w:pPr>
              <w:spacing w:after="0" w:line="240" w:lineRule="auto"/>
              <w:jc w:val="center"/>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Skutočnosť</w:t>
            </w:r>
          </w:p>
        </w:tc>
        <w:tc>
          <w:tcPr>
            <w:tcW w:w="1737" w:type="dxa"/>
            <w:gridSpan w:val="2"/>
            <w:tcBorders>
              <w:top w:val="nil"/>
              <w:left w:val="nil"/>
              <w:bottom w:val="nil"/>
              <w:right w:val="nil"/>
            </w:tcBorders>
            <w:shd w:val="clear" w:color="000000" w:fill="BFBFBF"/>
            <w:vAlign w:val="center"/>
            <w:hideMark/>
          </w:tcPr>
          <w:p w14:paraId="60477DB7" w14:textId="77777777" w:rsidR="00C2434C" w:rsidRPr="00E20480" w:rsidRDefault="00C2434C" w:rsidP="00151F12">
            <w:pPr>
              <w:spacing w:after="0" w:line="240" w:lineRule="auto"/>
              <w:jc w:val="center"/>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Rozdiel</w:t>
            </w:r>
          </w:p>
        </w:tc>
      </w:tr>
      <w:tr w:rsidR="00C2434C" w:rsidRPr="00E20480" w14:paraId="46771AF1" w14:textId="77777777" w:rsidTr="000858FD">
        <w:trPr>
          <w:trHeight w:val="330"/>
        </w:trPr>
        <w:tc>
          <w:tcPr>
            <w:tcW w:w="3828" w:type="dxa"/>
            <w:tcBorders>
              <w:top w:val="nil"/>
              <w:left w:val="nil"/>
              <w:bottom w:val="nil"/>
              <w:right w:val="nil"/>
            </w:tcBorders>
            <w:shd w:val="clear" w:color="000000" w:fill="BFBFBF"/>
            <w:vAlign w:val="center"/>
            <w:hideMark/>
          </w:tcPr>
          <w:p w14:paraId="1A6B1635" w14:textId="77777777" w:rsidR="00C2434C" w:rsidRPr="00E20480" w:rsidRDefault="00C2434C" w:rsidP="00151F12">
            <w:pPr>
              <w:spacing w:after="0" w:line="240" w:lineRule="auto"/>
              <w:jc w:val="center"/>
              <w:rPr>
                <w:rFonts w:eastAsia="Times New Roman" w:cs="Times New Roman"/>
                <w:b/>
                <w:bCs/>
                <w:sz w:val="18"/>
                <w:szCs w:val="18"/>
                <w:lang w:eastAsia="sk-SK"/>
              </w:rPr>
            </w:pPr>
            <w:r w:rsidRPr="00E20480">
              <w:rPr>
                <w:rFonts w:eastAsia="Times New Roman" w:cs="Times New Roman"/>
                <w:b/>
                <w:bCs/>
                <w:sz w:val="18"/>
                <w:szCs w:val="18"/>
                <w:lang w:eastAsia="sk-SK"/>
              </w:rPr>
              <w:t> </w:t>
            </w:r>
          </w:p>
        </w:tc>
        <w:tc>
          <w:tcPr>
            <w:tcW w:w="900" w:type="dxa"/>
            <w:tcBorders>
              <w:top w:val="nil"/>
              <w:left w:val="nil"/>
              <w:bottom w:val="nil"/>
              <w:right w:val="nil"/>
            </w:tcBorders>
            <w:shd w:val="clear" w:color="000000" w:fill="BFBFBF"/>
            <w:vAlign w:val="center"/>
            <w:hideMark/>
          </w:tcPr>
          <w:p w14:paraId="193FACB3" w14:textId="77777777" w:rsidR="00C2434C" w:rsidRPr="00E20480" w:rsidRDefault="00C2434C" w:rsidP="00151F12">
            <w:pPr>
              <w:spacing w:after="0" w:line="240" w:lineRule="auto"/>
              <w:jc w:val="center"/>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2018</w:t>
            </w:r>
          </w:p>
        </w:tc>
        <w:tc>
          <w:tcPr>
            <w:tcW w:w="840" w:type="dxa"/>
            <w:tcBorders>
              <w:top w:val="nil"/>
              <w:left w:val="nil"/>
              <w:bottom w:val="nil"/>
              <w:right w:val="nil"/>
            </w:tcBorders>
            <w:shd w:val="clear" w:color="000000" w:fill="BFBFBF"/>
            <w:vAlign w:val="center"/>
            <w:hideMark/>
          </w:tcPr>
          <w:p w14:paraId="3AD10068" w14:textId="77777777" w:rsidR="00C2434C" w:rsidRPr="00E20480" w:rsidRDefault="00C2434C" w:rsidP="00151F12">
            <w:pPr>
              <w:spacing w:after="0" w:line="240" w:lineRule="auto"/>
              <w:jc w:val="center"/>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2019</w:t>
            </w:r>
          </w:p>
        </w:tc>
        <w:tc>
          <w:tcPr>
            <w:tcW w:w="964" w:type="dxa"/>
            <w:tcBorders>
              <w:top w:val="nil"/>
              <w:left w:val="nil"/>
              <w:bottom w:val="nil"/>
              <w:right w:val="nil"/>
            </w:tcBorders>
            <w:shd w:val="clear" w:color="000000" w:fill="BFBFBF"/>
            <w:vAlign w:val="center"/>
            <w:hideMark/>
          </w:tcPr>
          <w:p w14:paraId="7F096427" w14:textId="77777777" w:rsidR="00C2434C" w:rsidRPr="00E20480" w:rsidRDefault="00C2434C" w:rsidP="00151F12">
            <w:pPr>
              <w:spacing w:after="0" w:line="240" w:lineRule="auto"/>
              <w:jc w:val="center"/>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2020</w:t>
            </w:r>
          </w:p>
        </w:tc>
        <w:tc>
          <w:tcPr>
            <w:tcW w:w="1027" w:type="dxa"/>
            <w:tcBorders>
              <w:top w:val="nil"/>
              <w:left w:val="nil"/>
              <w:bottom w:val="nil"/>
              <w:right w:val="nil"/>
            </w:tcBorders>
            <w:shd w:val="clear" w:color="000000" w:fill="BFBFBF"/>
            <w:vAlign w:val="center"/>
            <w:hideMark/>
          </w:tcPr>
          <w:p w14:paraId="26542C39" w14:textId="77777777" w:rsidR="00C2434C" w:rsidRPr="00E20480" w:rsidRDefault="00C2434C" w:rsidP="00151F12">
            <w:pPr>
              <w:spacing w:after="0" w:line="240" w:lineRule="auto"/>
              <w:jc w:val="center"/>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2020</w:t>
            </w:r>
          </w:p>
        </w:tc>
        <w:tc>
          <w:tcPr>
            <w:tcW w:w="880" w:type="dxa"/>
            <w:tcBorders>
              <w:top w:val="nil"/>
              <w:left w:val="nil"/>
              <w:bottom w:val="nil"/>
              <w:right w:val="nil"/>
            </w:tcBorders>
            <w:shd w:val="clear" w:color="000000" w:fill="BFBFBF"/>
            <w:vAlign w:val="center"/>
            <w:hideMark/>
          </w:tcPr>
          <w:p w14:paraId="06314A85" w14:textId="77777777" w:rsidR="00C2434C" w:rsidRPr="00E20480" w:rsidRDefault="00C2434C" w:rsidP="00151F12">
            <w:pPr>
              <w:spacing w:after="0" w:line="240" w:lineRule="auto"/>
              <w:jc w:val="center"/>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 xml:space="preserve"> v tis. eur</w:t>
            </w:r>
          </w:p>
        </w:tc>
        <w:tc>
          <w:tcPr>
            <w:tcW w:w="857" w:type="dxa"/>
            <w:tcBorders>
              <w:top w:val="nil"/>
              <w:left w:val="nil"/>
              <w:bottom w:val="nil"/>
              <w:right w:val="nil"/>
            </w:tcBorders>
            <w:shd w:val="clear" w:color="000000" w:fill="BFBFBF"/>
            <w:vAlign w:val="center"/>
            <w:hideMark/>
          </w:tcPr>
          <w:p w14:paraId="2C04928E" w14:textId="77777777" w:rsidR="00C2434C" w:rsidRPr="00E20480" w:rsidRDefault="00C2434C" w:rsidP="00151F12">
            <w:pPr>
              <w:spacing w:after="0" w:line="240" w:lineRule="auto"/>
              <w:jc w:val="center"/>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v %</w:t>
            </w:r>
          </w:p>
        </w:tc>
      </w:tr>
      <w:tr w:rsidR="00C2434C" w:rsidRPr="00E20480" w14:paraId="27B09074" w14:textId="77777777" w:rsidTr="000858FD">
        <w:trPr>
          <w:trHeight w:val="345"/>
        </w:trPr>
        <w:tc>
          <w:tcPr>
            <w:tcW w:w="3828" w:type="dxa"/>
            <w:tcBorders>
              <w:top w:val="nil"/>
              <w:left w:val="nil"/>
              <w:bottom w:val="single" w:sz="8" w:space="0" w:color="auto"/>
              <w:right w:val="nil"/>
            </w:tcBorders>
            <w:shd w:val="clear" w:color="000000" w:fill="BFBFBF"/>
            <w:vAlign w:val="center"/>
            <w:hideMark/>
          </w:tcPr>
          <w:p w14:paraId="625162B8" w14:textId="77777777" w:rsidR="00C2434C" w:rsidRPr="00E20480" w:rsidRDefault="00C2434C" w:rsidP="00151F12">
            <w:pPr>
              <w:spacing w:after="0" w:line="240" w:lineRule="auto"/>
              <w:rPr>
                <w:rFonts w:eastAsia="Times New Roman" w:cs="Times New Roman"/>
                <w:b/>
                <w:bCs/>
                <w:color w:val="FFFFFF"/>
                <w:sz w:val="18"/>
                <w:szCs w:val="18"/>
                <w:lang w:eastAsia="sk-SK"/>
              </w:rPr>
            </w:pPr>
            <w:r w:rsidRPr="00E20480">
              <w:rPr>
                <w:rFonts w:eastAsia="Times New Roman" w:cs="Times New Roman"/>
                <w:b/>
                <w:bCs/>
                <w:color w:val="FFFFFF"/>
                <w:sz w:val="18"/>
                <w:szCs w:val="18"/>
                <w:lang w:eastAsia="sk-SK"/>
              </w:rPr>
              <w:t> </w:t>
            </w:r>
          </w:p>
        </w:tc>
        <w:tc>
          <w:tcPr>
            <w:tcW w:w="900" w:type="dxa"/>
            <w:tcBorders>
              <w:top w:val="nil"/>
              <w:left w:val="nil"/>
              <w:bottom w:val="single" w:sz="8" w:space="0" w:color="auto"/>
              <w:right w:val="nil"/>
            </w:tcBorders>
            <w:shd w:val="clear" w:color="000000" w:fill="BFBFBF"/>
            <w:vAlign w:val="center"/>
            <w:hideMark/>
          </w:tcPr>
          <w:p w14:paraId="67451E82" w14:textId="77777777" w:rsidR="00C2434C" w:rsidRPr="00E20480" w:rsidRDefault="00C2434C" w:rsidP="00151F12">
            <w:pPr>
              <w:spacing w:after="0" w:line="240" w:lineRule="auto"/>
              <w:jc w:val="center"/>
              <w:rPr>
                <w:rFonts w:eastAsia="Times New Roman" w:cs="Times New Roman"/>
                <w:b/>
                <w:bCs/>
                <w:sz w:val="18"/>
                <w:szCs w:val="18"/>
                <w:lang w:eastAsia="sk-SK"/>
              </w:rPr>
            </w:pPr>
            <w:r w:rsidRPr="00E20480">
              <w:rPr>
                <w:rFonts w:eastAsia="Times New Roman" w:cs="Times New Roman"/>
                <w:b/>
                <w:bCs/>
                <w:sz w:val="18"/>
                <w:szCs w:val="18"/>
                <w:lang w:eastAsia="sk-SK"/>
              </w:rPr>
              <w:t>1</w:t>
            </w:r>
          </w:p>
        </w:tc>
        <w:tc>
          <w:tcPr>
            <w:tcW w:w="840" w:type="dxa"/>
            <w:tcBorders>
              <w:top w:val="nil"/>
              <w:left w:val="nil"/>
              <w:bottom w:val="single" w:sz="8" w:space="0" w:color="auto"/>
              <w:right w:val="nil"/>
            </w:tcBorders>
            <w:shd w:val="clear" w:color="000000" w:fill="BFBFBF"/>
            <w:vAlign w:val="center"/>
            <w:hideMark/>
          </w:tcPr>
          <w:p w14:paraId="61B0501E" w14:textId="77777777" w:rsidR="00C2434C" w:rsidRPr="00E20480" w:rsidRDefault="00C2434C" w:rsidP="00151F12">
            <w:pPr>
              <w:spacing w:after="0" w:line="240" w:lineRule="auto"/>
              <w:jc w:val="center"/>
              <w:rPr>
                <w:rFonts w:eastAsia="Times New Roman" w:cs="Times New Roman"/>
                <w:b/>
                <w:bCs/>
                <w:sz w:val="18"/>
                <w:szCs w:val="18"/>
                <w:lang w:eastAsia="sk-SK"/>
              </w:rPr>
            </w:pPr>
            <w:r w:rsidRPr="00E20480">
              <w:rPr>
                <w:rFonts w:eastAsia="Times New Roman" w:cs="Times New Roman"/>
                <w:b/>
                <w:bCs/>
                <w:sz w:val="18"/>
                <w:szCs w:val="18"/>
                <w:lang w:eastAsia="sk-SK"/>
              </w:rPr>
              <w:t>2</w:t>
            </w:r>
          </w:p>
        </w:tc>
        <w:tc>
          <w:tcPr>
            <w:tcW w:w="964" w:type="dxa"/>
            <w:tcBorders>
              <w:top w:val="nil"/>
              <w:left w:val="nil"/>
              <w:bottom w:val="single" w:sz="8" w:space="0" w:color="auto"/>
              <w:right w:val="nil"/>
            </w:tcBorders>
            <w:shd w:val="clear" w:color="000000" w:fill="BFBFBF"/>
            <w:vAlign w:val="center"/>
            <w:hideMark/>
          </w:tcPr>
          <w:p w14:paraId="43FE8882" w14:textId="77777777" w:rsidR="00C2434C" w:rsidRPr="00E20480" w:rsidRDefault="00C2434C" w:rsidP="00151F12">
            <w:pPr>
              <w:spacing w:after="0" w:line="240" w:lineRule="auto"/>
              <w:jc w:val="center"/>
              <w:rPr>
                <w:rFonts w:eastAsia="Times New Roman" w:cs="Times New Roman"/>
                <w:b/>
                <w:bCs/>
                <w:sz w:val="18"/>
                <w:szCs w:val="18"/>
                <w:lang w:eastAsia="sk-SK"/>
              </w:rPr>
            </w:pPr>
            <w:r w:rsidRPr="00E20480">
              <w:rPr>
                <w:rFonts w:eastAsia="Times New Roman" w:cs="Times New Roman"/>
                <w:b/>
                <w:bCs/>
                <w:sz w:val="18"/>
                <w:szCs w:val="18"/>
                <w:lang w:eastAsia="sk-SK"/>
              </w:rPr>
              <w:t>3</w:t>
            </w:r>
          </w:p>
        </w:tc>
        <w:tc>
          <w:tcPr>
            <w:tcW w:w="1027" w:type="dxa"/>
            <w:tcBorders>
              <w:top w:val="nil"/>
              <w:left w:val="nil"/>
              <w:bottom w:val="single" w:sz="8" w:space="0" w:color="auto"/>
              <w:right w:val="nil"/>
            </w:tcBorders>
            <w:shd w:val="clear" w:color="000000" w:fill="BFBFBF"/>
            <w:vAlign w:val="center"/>
            <w:hideMark/>
          </w:tcPr>
          <w:p w14:paraId="16C7B580" w14:textId="77777777" w:rsidR="00C2434C" w:rsidRPr="00E20480" w:rsidRDefault="00C2434C" w:rsidP="00151F12">
            <w:pPr>
              <w:spacing w:after="0" w:line="240" w:lineRule="auto"/>
              <w:jc w:val="center"/>
              <w:rPr>
                <w:rFonts w:eastAsia="Times New Roman" w:cs="Times New Roman"/>
                <w:b/>
                <w:bCs/>
                <w:sz w:val="18"/>
                <w:szCs w:val="18"/>
                <w:lang w:eastAsia="sk-SK"/>
              </w:rPr>
            </w:pPr>
            <w:r w:rsidRPr="00E20480">
              <w:rPr>
                <w:rFonts w:eastAsia="Times New Roman" w:cs="Times New Roman"/>
                <w:b/>
                <w:bCs/>
                <w:sz w:val="18"/>
                <w:szCs w:val="18"/>
                <w:lang w:eastAsia="sk-SK"/>
              </w:rPr>
              <w:t>4</w:t>
            </w:r>
          </w:p>
        </w:tc>
        <w:tc>
          <w:tcPr>
            <w:tcW w:w="880" w:type="dxa"/>
            <w:tcBorders>
              <w:top w:val="nil"/>
              <w:left w:val="nil"/>
              <w:bottom w:val="single" w:sz="8" w:space="0" w:color="auto"/>
              <w:right w:val="nil"/>
            </w:tcBorders>
            <w:shd w:val="clear" w:color="000000" w:fill="BFBFBF"/>
            <w:vAlign w:val="center"/>
            <w:hideMark/>
          </w:tcPr>
          <w:p w14:paraId="068AB3EA" w14:textId="77777777" w:rsidR="00C2434C" w:rsidRPr="00E20480" w:rsidRDefault="00C2434C" w:rsidP="00151F12">
            <w:pPr>
              <w:spacing w:after="0" w:line="240" w:lineRule="auto"/>
              <w:jc w:val="center"/>
              <w:rPr>
                <w:rFonts w:eastAsia="Times New Roman" w:cs="Times New Roman"/>
                <w:b/>
                <w:bCs/>
                <w:sz w:val="18"/>
                <w:szCs w:val="18"/>
                <w:lang w:eastAsia="sk-SK"/>
              </w:rPr>
            </w:pPr>
            <w:r w:rsidRPr="00E20480">
              <w:rPr>
                <w:rFonts w:eastAsia="Times New Roman" w:cs="Times New Roman"/>
                <w:b/>
                <w:bCs/>
                <w:sz w:val="18"/>
                <w:szCs w:val="18"/>
                <w:lang w:eastAsia="sk-SK"/>
              </w:rPr>
              <w:t>5=4-3</w:t>
            </w:r>
          </w:p>
        </w:tc>
        <w:tc>
          <w:tcPr>
            <w:tcW w:w="857" w:type="dxa"/>
            <w:tcBorders>
              <w:top w:val="nil"/>
              <w:left w:val="nil"/>
              <w:bottom w:val="single" w:sz="8" w:space="0" w:color="auto"/>
              <w:right w:val="nil"/>
            </w:tcBorders>
            <w:shd w:val="clear" w:color="000000" w:fill="BFBFBF"/>
            <w:vAlign w:val="center"/>
            <w:hideMark/>
          </w:tcPr>
          <w:p w14:paraId="1224C545" w14:textId="77777777" w:rsidR="00C2434C" w:rsidRPr="00E20480" w:rsidRDefault="00C2434C" w:rsidP="00151F12">
            <w:pPr>
              <w:spacing w:after="0" w:line="240" w:lineRule="auto"/>
              <w:jc w:val="center"/>
              <w:rPr>
                <w:rFonts w:eastAsia="Times New Roman" w:cs="Times New Roman"/>
                <w:b/>
                <w:bCs/>
                <w:sz w:val="18"/>
                <w:szCs w:val="18"/>
                <w:lang w:eastAsia="sk-SK"/>
              </w:rPr>
            </w:pPr>
            <w:r w:rsidRPr="00E20480">
              <w:rPr>
                <w:rFonts w:eastAsia="Times New Roman" w:cs="Times New Roman"/>
                <w:b/>
                <w:bCs/>
                <w:sz w:val="18"/>
                <w:szCs w:val="18"/>
                <w:lang w:eastAsia="sk-SK"/>
              </w:rPr>
              <w:t>6=4-3</w:t>
            </w:r>
          </w:p>
        </w:tc>
      </w:tr>
      <w:tr w:rsidR="00D93C66" w:rsidRPr="00E20480" w14:paraId="669E540B" w14:textId="77777777" w:rsidTr="000858FD">
        <w:trPr>
          <w:trHeight w:val="330"/>
        </w:trPr>
        <w:tc>
          <w:tcPr>
            <w:tcW w:w="3828" w:type="dxa"/>
            <w:tcBorders>
              <w:top w:val="nil"/>
              <w:left w:val="nil"/>
              <w:bottom w:val="nil"/>
              <w:right w:val="nil"/>
            </w:tcBorders>
            <w:shd w:val="clear" w:color="000000" w:fill="FFFFFF"/>
            <w:vAlign w:val="center"/>
            <w:hideMark/>
          </w:tcPr>
          <w:p w14:paraId="1F68DFB5" w14:textId="77777777" w:rsidR="00D93C66" w:rsidRPr="00E20480" w:rsidRDefault="00D93C66" w:rsidP="00B950A2">
            <w:pPr>
              <w:spacing w:after="0" w:line="240" w:lineRule="auto"/>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Všeobecná pokladničná správa</w:t>
            </w:r>
          </w:p>
        </w:tc>
        <w:tc>
          <w:tcPr>
            <w:tcW w:w="900" w:type="dxa"/>
            <w:tcBorders>
              <w:top w:val="nil"/>
              <w:left w:val="nil"/>
              <w:bottom w:val="nil"/>
              <w:right w:val="nil"/>
            </w:tcBorders>
            <w:shd w:val="clear" w:color="000000" w:fill="FFFFFF"/>
            <w:noWrap/>
            <w:vAlign w:val="center"/>
            <w:hideMark/>
          </w:tcPr>
          <w:p w14:paraId="155AED89" w14:textId="77777777" w:rsidR="00D93C66" w:rsidRPr="00E20480" w:rsidRDefault="00D93C66" w:rsidP="00B950A2">
            <w:pPr>
              <w:spacing w:after="0" w:line="240" w:lineRule="auto"/>
              <w:jc w:val="right"/>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362 631</w:t>
            </w:r>
          </w:p>
        </w:tc>
        <w:tc>
          <w:tcPr>
            <w:tcW w:w="840" w:type="dxa"/>
            <w:tcBorders>
              <w:top w:val="nil"/>
              <w:left w:val="nil"/>
              <w:bottom w:val="nil"/>
              <w:right w:val="nil"/>
            </w:tcBorders>
            <w:shd w:val="clear" w:color="000000" w:fill="FFFFFF"/>
            <w:noWrap/>
            <w:vAlign w:val="center"/>
            <w:hideMark/>
          </w:tcPr>
          <w:p w14:paraId="5C575EE2" w14:textId="77777777" w:rsidR="00D93C66" w:rsidRPr="00E20480" w:rsidRDefault="00D93C66" w:rsidP="00B950A2">
            <w:pPr>
              <w:spacing w:after="0" w:line="240" w:lineRule="auto"/>
              <w:jc w:val="right"/>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437 471</w:t>
            </w:r>
          </w:p>
        </w:tc>
        <w:tc>
          <w:tcPr>
            <w:tcW w:w="964" w:type="dxa"/>
            <w:tcBorders>
              <w:top w:val="nil"/>
              <w:left w:val="nil"/>
              <w:bottom w:val="nil"/>
              <w:right w:val="nil"/>
            </w:tcBorders>
            <w:shd w:val="clear" w:color="auto" w:fill="auto"/>
            <w:noWrap/>
            <w:vAlign w:val="center"/>
            <w:hideMark/>
          </w:tcPr>
          <w:p w14:paraId="1EDFF432" w14:textId="77777777" w:rsidR="00D93C66" w:rsidRPr="00E20480" w:rsidRDefault="00D93C66" w:rsidP="00B950A2">
            <w:pPr>
              <w:spacing w:after="0" w:line="240" w:lineRule="auto"/>
              <w:jc w:val="right"/>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418 035</w:t>
            </w:r>
          </w:p>
        </w:tc>
        <w:tc>
          <w:tcPr>
            <w:tcW w:w="1027" w:type="dxa"/>
            <w:tcBorders>
              <w:top w:val="nil"/>
              <w:left w:val="nil"/>
              <w:bottom w:val="nil"/>
              <w:right w:val="nil"/>
            </w:tcBorders>
            <w:shd w:val="clear" w:color="000000" w:fill="BFBFBF"/>
            <w:noWrap/>
            <w:vAlign w:val="center"/>
            <w:hideMark/>
          </w:tcPr>
          <w:p w14:paraId="10A7F1D1" w14:textId="77777777" w:rsidR="00D93C66" w:rsidRPr="00E20480" w:rsidRDefault="00D93C66" w:rsidP="00B950A2">
            <w:pPr>
              <w:spacing w:after="0" w:line="240" w:lineRule="auto"/>
              <w:jc w:val="right"/>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418 035</w:t>
            </w:r>
          </w:p>
        </w:tc>
        <w:tc>
          <w:tcPr>
            <w:tcW w:w="880" w:type="dxa"/>
            <w:tcBorders>
              <w:top w:val="nil"/>
              <w:left w:val="nil"/>
              <w:bottom w:val="nil"/>
              <w:right w:val="nil"/>
            </w:tcBorders>
            <w:shd w:val="clear" w:color="000000" w:fill="FFFFFF"/>
            <w:vAlign w:val="center"/>
            <w:hideMark/>
          </w:tcPr>
          <w:p w14:paraId="15F495A0"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0</w:t>
            </w:r>
          </w:p>
        </w:tc>
        <w:tc>
          <w:tcPr>
            <w:tcW w:w="857" w:type="dxa"/>
            <w:tcBorders>
              <w:top w:val="nil"/>
              <w:left w:val="nil"/>
              <w:bottom w:val="nil"/>
              <w:right w:val="nil"/>
            </w:tcBorders>
            <w:shd w:val="clear" w:color="000000" w:fill="FFFFFF"/>
            <w:vAlign w:val="center"/>
            <w:hideMark/>
          </w:tcPr>
          <w:p w14:paraId="631CE587"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0,0</w:t>
            </w:r>
          </w:p>
        </w:tc>
      </w:tr>
      <w:tr w:rsidR="00D93C66" w:rsidRPr="00E20480" w14:paraId="28B8CF17" w14:textId="77777777" w:rsidTr="000858FD">
        <w:trPr>
          <w:trHeight w:val="330"/>
        </w:trPr>
        <w:tc>
          <w:tcPr>
            <w:tcW w:w="3828" w:type="dxa"/>
            <w:tcBorders>
              <w:top w:val="nil"/>
              <w:left w:val="nil"/>
              <w:bottom w:val="nil"/>
              <w:right w:val="nil"/>
            </w:tcBorders>
            <w:shd w:val="clear" w:color="000000" w:fill="FFFFFF"/>
            <w:noWrap/>
            <w:vAlign w:val="center"/>
            <w:hideMark/>
          </w:tcPr>
          <w:p w14:paraId="630B0854" w14:textId="77777777" w:rsidR="00D93C66" w:rsidRPr="00E20480" w:rsidRDefault="00D93C66" w:rsidP="00B950A2">
            <w:pPr>
              <w:spacing w:after="0" w:line="240" w:lineRule="auto"/>
              <w:rPr>
                <w:rFonts w:eastAsia="Times New Roman" w:cs="Times New Roman"/>
                <w:color w:val="000000"/>
                <w:sz w:val="18"/>
                <w:szCs w:val="18"/>
                <w:lang w:eastAsia="sk-SK"/>
              </w:rPr>
            </w:pPr>
            <w:r w:rsidRPr="00E20480">
              <w:rPr>
                <w:rFonts w:eastAsia="Times New Roman" w:cs="Times New Roman"/>
                <w:color w:val="000000"/>
                <w:sz w:val="18"/>
                <w:szCs w:val="18"/>
                <w:lang w:eastAsia="sk-SK"/>
              </w:rPr>
              <w:t xml:space="preserve">   Slovenský plynárenský priemysel, a.s.</w:t>
            </w:r>
          </w:p>
        </w:tc>
        <w:tc>
          <w:tcPr>
            <w:tcW w:w="900" w:type="dxa"/>
            <w:tcBorders>
              <w:top w:val="nil"/>
              <w:left w:val="nil"/>
              <w:bottom w:val="nil"/>
              <w:right w:val="nil"/>
            </w:tcBorders>
            <w:shd w:val="clear" w:color="000000" w:fill="FFFFFF"/>
            <w:noWrap/>
            <w:vAlign w:val="center"/>
            <w:hideMark/>
          </w:tcPr>
          <w:p w14:paraId="394B72A8"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300 000</w:t>
            </w:r>
          </w:p>
        </w:tc>
        <w:tc>
          <w:tcPr>
            <w:tcW w:w="840" w:type="dxa"/>
            <w:tcBorders>
              <w:top w:val="nil"/>
              <w:left w:val="nil"/>
              <w:bottom w:val="nil"/>
              <w:right w:val="nil"/>
            </w:tcBorders>
            <w:shd w:val="clear" w:color="000000" w:fill="FFFFFF"/>
            <w:noWrap/>
            <w:vAlign w:val="center"/>
            <w:hideMark/>
          </w:tcPr>
          <w:p w14:paraId="1E7A5F57"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370 000</w:t>
            </w:r>
          </w:p>
        </w:tc>
        <w:tc>
          <w:tcPr>
            <w:tcW w:w="964" w:type="dxa"/>
            <w:tcBorders>
              <w:top w:val="nil"/>
              <w:left w:val="nil"/>
              <w:bottom w:val="nil"/>
              <w:right w:val="nil"/>
            </w:tcBorders>
            <w:shd w:val="clear" w:color="000000" w:fill="FFFFFF"/>
            <w:noWrap/>
            <w:vAlign w:val="center"/>
            <w:hideMark/>
          </w:tcPr>
          <w:p w14:paraId="57A84AF2"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250 000</w:t>
            </w:r>
          </w:p>
        </w:tc>
        <w:tc>
          <w:tcPr>
            <w:tcW w:w="1027" w:type="dxa"/>
            <w:tcBorders>
              <w:top w:val="nil"/>
              <w:left w:val="nil"/>
              <w:bottom w:val="nil"/>
              <w:right w:val="nil"/>
            </w:tcBorders>
            <w:shd w:val="clear" w:color="000000" w:fill="BFBFBF"/>
            <w:noWrap/>
            <w:vAlign w:val="center"/>
            <w:hideMark/>
          </w:tcPr>
          <w:p w14:paraId="6E50048C"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250 000</w:t>
            </w:r>
          </w:p>
        </w:tc>
        <w:tc>
          <w:tcPr>
            <w:tcW w:w="880" w:type="dxa"/>
            <w:tcBorders>
              <w:top w:val="nil"/>
              <w:left w:val="nil"/>
              <w:bottom w:val="nil"/>
              <w:right w:val="nil"/>
            </w:tcBorders>
            <w:shd w:val="clear" w:color="000000" w:fill="FFFFFF"/>
            <w:vAlign w:val="center"/>
            <w:hideMark/>
          </w:tcPr>
          <w:p w14:paraId="0ECB5883"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0</w:t>
            </w:r>
          </w:p>
        </w:tc>
        <w:tc>
          <w:tcPr>
            <w:tcW w:w="857" w:type="dxa"/>
            <w:tcBorders>
              <w:top w:val="nil"/>
              <w:left w:val="nil"/>
              <w:bottom w:val="nil"/>
              <w:right w:val="nil"/>
            </w:tcBorders>
            <w:shd w:val="clear" w:color="000000" w:fill="FFFFFF"/>
            <w:vAlign w:val="center"/>
            <w:hideMark/>
          </w:tcPr>
          <w:p w14:paraId="2A0F5190"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0,0</w:t>
            </w:r>
          </w:p>
        </w:tc>
      </w:tr>
      <w:tr w:rsidR="00D93C66" w:rsidRPr="00E20480" w14:paraId="20F09AE9" w14:textId="77777777" w:rsidTr="000858FD">
        <w:trPr>
          <w:trHeight w:val="330"/>
        </w:trPr>
        <w:tc>
          <w:tcPr>
            <w:tcW w:w="3828" w:type="dxa"/>
            <w:tcBorders>
              <w:top w:val="nil"/>
              <w:left w:val="nil"/>
              <w:bottom w:val="nil"/>
              <w:right w:val="nil"/>
            </w:tcBorders>
            <w:shd w:val="clear" w:color="000000" w:fill="FFFFFF"/>
            <w:noWrap/>
            <w:vAlign w:val="center"/>
            <w:hideMark/>
          </w:tcPr>
          <w:p w14:paraId="54ED6DA9" w14:textId="77777777" w:rsidR="00D93C66" w:rsidRPr="00E20480" w:rsidRDefault="00D93C66" w:rsidP="00B950A2">
            <w:pPr>
              <w:spacing w:after="0" w:line="240" w:lineRule="auto"/>
              <w:rPr>
                <w:rFonts w:eastAsia="Times New Roman" w:cs="Times New Roman"/>
                <w:color w:val="000000"/>
                <w:sz w:val="18"/>
                <w:szCs w:val="18"/>
                <w:lang w:eastAsia="sk-SK"/>
              </w:rPr>
            </w:pPr>
            <w:r w:rsidRPr="00E20480">
              <w:rPr>
                <w:rFonts w:eastAsia="Times New Roman" w:cs="Times New Roman"/>
                <w:color w:val="000000"/>
                <w:sz w:val="18"/>
                <w:szCs w:val="18"/>
                <w:lang w:eastAsia="sk-SK"/>
              </w:rPr>
              <w:t xml:space="preserve">   Západoslovenská energetika, a. s.</w:t>
            </w:r>
          </w:p>
        </w:tc>
        <w:tc>
          <w:tcPr>
            <w:tcW w:w="900" w:type="dxa"/>
            <w:tcBorders>
              <w:top w:val="nil"/>
              <w:left w:val="nil"/>
              <w:bottom w:val="nil"/>
              <w:right w:val="nil"/>
            </w:tcBorders>
            <w:shd w:val="clear" w:color="000000" w:fill="FFFFFF"/>
            <w:noWrap/>
            <w:vAlign w:val="center"/>
            <w:hideMark/>
          </w:tcPr>
          <w:p w14:paraId="3394D119"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35 950</w:t>
            </w:r>
          </w:p>
        </w:tc>
        <w:tc>
          <w:tcPr>
            <w:tcW w:w="840" w:type="dxa"/>
            <w:tcBorders>
              <w:top w:val="nil"/>
              <w:left w:val="nil"/>
              <w:bottom w:val="nil"/>
              <w:right w:val="nil"/>
            </w:tcBorders>
            <w:shd w:val="clear" w:color="000000" w:fill="FFFFFF"/>
            <w:noWrap/>
            <w:vAlign w:val="center"/>
            <w:hideMark/>
          </w:tcPr>
          <w:p w14:paraId="6F268AB7"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32 553</w:t>
            </w:r>
          </w:p>
        </w:tc>
        <w:tc>
          <w:tcPr>
            <w:tcW w:w="964" w:type="dxa"/>
            <w:tcBorders>
              <w:top w:val="nil"/>
              <w:left w:val="nil"/>
              <w:bottom w:val="nil"/>
              <w:right w:val="nil"/>
            </w:tcBorders>
            <w:shd w:val="clear" w:color="000000" w:fill="FFFFFF"/>
            <w:noWrap/>
            <w:vAlign w:val="center"/>
            <w:hideMark/>
          </w:tcPr>
          <w:p w14:paraId="34A47821"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37 808</w:t>
            </w:r>
          </w:p>
        </w:tc>
        <w:tc>
          <w:tcPr>
            <w:tcW w:w="1027" w:type="dxa"/>
            <w:tcBorders>
              <w:top w:val="nil"/>
              <w:left w:val="nil"/>
              <w:bottom w:val="nil"/>
              <w:right w:val="nil"/>
            </w:tcBorders>
            <w:shd w:val="clear" w:color="000000" w:fill="BFBFBF"/>
            <w:noWrap/>
            <w:vAlign w:val="center"/>
            <w:hideMark/>
          </w:tcPr>
          <w:p w14:paraId="24A16853"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37 808</w:t>
            </w:r>
          </w:p>
        </w:tc>
        <w:tc>
          <w:tcPr>
            <w:tcW w:w="880" w:type="dxa"/>
            <w:tcBorders>
              <w:top w:val="nil"/>
              <w:left w:val="nil"/>
              <w:bottom w:val="nil"/>
              <w:right w:val="nil"/>
            </w:tcBorders>
            <w:shd w:val="clear" w:color="000000" w:fill="FFFFFF"/>
            <w:vAlign w:val="center"/>
            <w:hideMark/>
          </w:tcPr>
          <w:p w14:paraId="5F2C05ED"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0</w:t>
            </w:r>
          </w:p>
        </w:tc>
        <w:tc>
          <w:tcPr>
            <w:tcW w:w="857" w:type="dxa"/>
            <w:tcBorders>
              <w:top w:val="nil"/>
              <w:left w:val="nil"/>
              <w:bottom w:val="nil"/>
              <w:right w:val="nil"/>
            </w:tcBorders>
            <w:shd w:val="clear" w:color="000000" w:fill="FFFFFF"/>
            <w:vAlign w:val="center"/>
            <w:hideMark/>
          </w:tcPr>
          <w:p w14:paraId="36EC43C5"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0,0</w:t>
            </w:r>
          </w:p>
        </w:tc>
      </w:tr>
      <w:tr w:rsidR="00D93C66" w:rsidRPr="00E20480" w14:paraId="5AF0A365" w14:textId="77777777" w:rsidTr="000858FD">
        <w:trPr>
          <w:trHeight w:val="330"/>
        </w:trPr>
        <w:tc>
          <w:tcPr>
            <w:tcW w:w="3828" w:type="dxa"/>
            <w:tcBorders>
              <w:top w:val="nil"/>
              <w:left w:val="nil"/>
              <w:bottom w:val="nil"/>
              <w:right w:val="nil"/>
            </w:tcBorders>
            <w:shd w:val="clear" w:color="000000" w:fill="FFFFFF"/>
            <w:noWrap/>
            <w:vAlign w:val="center"/>
            <w:hideMark/>
          </w:tcPr>
          <w:p w14:paraId="497394EA" w14:textId="77777777" w:rsidR="00D93C66" w:rsidRPr="00E20480" w:rsidRDefault="00D93C66" w:rsidP="00B950A2">
            <w:pPr>
              <w:spacing w:after="0" w:line="240" w:lineRule="auto"/>
              <w:rPr>
                <w:rFonts w:eastAsia="Times New Roman" w:cs="Times New Roman"/>
                <w:color w:val="000000"/>
                <w:sz w:val="18"/>
                <w:szCs w:val="18"/>
                <w:lang w:eastAsia="sk-SK"/>
              </w:rPr>
            </w:pPr>
            <w:r w:rsidRPr="00E20480">
              <w:rPr>
                <w:rFonts w:eastAsia="Times New Roman" w:cs="Times New Roman"/>
                <w:color w:val="000000"/>
                <w:sz w:val="18"/>
                <w:szCs w:val="18"/>
                <w:lang w:eastAsia="sk-SK"/>
              </w:rPr>
              <w:t xml:space="preserve">   Stredoslovenská energetika, a s.</w:t>
            </w:r>
          </w:p>
        </w:tc>
        <w:tc>
          <w:tcPr>
            <w:tcW w:w="900" w:type="dxa"/>
            <w:tcBorders>
              <w:top w:val="nil"/>
              <w:left w:val="nil"/>
              <w:bottom w:val="nil"/>
              <w:right w:val="nil"/>
            </w:tcBorders>
            <w:shd w:val="clear" w:color="000000" w:fill="FFFFFF"/>
            <w:noWrap/>
            <w:vAlign w:val="center"/>
            <w:hideMark/>
          </w:tcPr>
          <w:p w14:paraId="7224BEA7"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3 270</w:t>
            </w:r>
          </w:p>
        </w:tc>
        <w:tc>
          <w:tcPr>
            <w:tcW w:w="840" w:type="dxa"/>
            <w:tcBorders>
              <w:top w:val="nil"/>
              <w:left w:val="nil"/>
              <w:bottom w:val="nil"/>
              <w:right w:val="nil"/>
            </w:tcBorders>
            <w:shd w:val="clear" w:color="000000" w:fill="FFFFFF"/>
            <w:noWrap/>
            <w:vAlign w:val="center"/>
            <w:hideMark/>
          </w:tcPr>
          <w:p w14:paraId="06B31138"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4 586</w:t>
            </w:r>
          </w:p>
        </w:tc>
        <w:tc>
          <w:tcPr>
            <w:tcW w:w="964" w:type="dxa"/>
            <w:tcBorders>
              <w:top w:val="nil"/>
              <w:left w:val="nil"/>
              <w:bottom w:val="nil"/>
              <w:right w:val="nil"/>
            </w:tcBorders>
            <w:shd w:val="clear" w:color="000000" w:fill="FFFFFF"/>
            <w:noWrap/>
            <w:vAlign w:val="center"/>
            <w:hideMark/>
          </w:tcPr>
          <w:p w14:paraId="1EA85143"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96 204</w:t>
            </w:r>
          </w:p>
        </w:tc>
        <w:tc>
          <w:tcPr>
            <w:tcW w:w="1027" w:type="dxa"/>
            <w:tcBorders>
              <w:top w:val="nil"/>
              <w:left w:val="nil"/>
              <w:bottom w:val="nil"/>
              <w:right w:val="nil"/>
            </w:tcBorders>
            <w:shd w:val="clear" w:color="000000" w:fill="BFBFBF"/>
            <w:noWrap/>
            <w:vAlign w:val="center"/>
            <w:hideMark/>
          </w:tcPr>
          <w:p w14:paraId="3A42287E"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96 204</w:t>
            </w:r>
          </w:p>
        </w:tc>
        <w:tc>
          <w:tcPr>
            <w:tcW w:w="880" w:type="dxa"/>
            <w:tcBorders>
              <w:top w:val="nil"/>
              <w:left w:val="nil"/>
              <w:bottom w:val="nil"/>
              <w:right w:val="nil"/>
            </w:tcBorders>
            <w:shd w:val="clear" w:color="000000" w:fill="FFFFFF"/>
            <w:vAlign w:val="center"/>
            <w:hideMark/>
          </w:tcPr>
          <w:p w14:paraId="1718499C"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0</w:t>
            </w:r>
          </w:p>
        </w:tc>
        <w:tc>
          <w:tcPr>
            <w:tcW w:w="857" w:type="dxa"/>
            <w:tcBorders>
              <w:top w:val="nil"/>
              <w:left w:val="nil"/>
              <w:bottom w:val="nil"/>
              <w:right w:val="nil"/>
            </w:tcBorders>
            <w:shd w:val="clear" w:color="000000" w:fill="FFFFFF"/>
            <w:vAlign w:val="center"/>
            <w:hideMark/>
          </w:tcPr>
          <w:p w14:paraId="19CCA55D"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0,0</w:t>
            </w:r>
          </w:p>
        </w:tc>
      </w:tr>
      <w:tr w:rsidR="00D93C66" w:rsidRPr="00E20480" w14:paraId="3C79DA28" w14:textId="77777777" w:rsidTr="000858FD">
        <w:trPr>
          <w:trHeight w:val="330"/>
        </w:trPr>
        <w:tc>
          <w:tcPr>
            <w:tcW w:w="3828" w:type="dxa"/>
            <w:tcBorders>
              <w:top w:val="nil"/>
              <w:left w:val="nil"/>
              <w:bottom w:val="nil"/>
              <w:right w:val="nil"/>
            </w:tcBorders>
            <w:shd w:val="clear" w:color="000000" w:fill="FFFFFF"/>
            <w:noWrap/>
            <w:vAlign w:val="center"/>
            <w:hideMark/>
          </w:tcPr>
          <w:p w14:paraId="5CB945E3" w14:textId="77777777" w:rsidR="00D93C66" w:rsidRPr="00E20480" w:rsidRDefault="00D93C66" w:rsidP="00B950A2">
            <w:pPr>
              <w:spacing w:after="0" w:line="240" w:lineRule="auto"/>
              <w:rPr>
                <w:rFonts w:eastAsia="Times New Roman" w:cs="Times New Roman"/>
                <w:color w:val="000000"/>
                <w:sz w:val="18"/>
                <w:szCs w:val="18"/>
                <w:lang w:eastAsia="sk-SK"/>
              </w:rPr>
            </w:pPr>
            <w:r w:rsidRPr="00E20480">
              <w:rPr>
                <w:rFonts w:eastAsia="Times New Roman" w:cs="Times New Roman"/>
                <w:color w:val="000000"/>
                <w:sz w:val="18"/>
                <w:szCs w:val="18"/>
                <w:lang w:eastAsia="sk-SK"/>
              </w:rPr>
              <w:t xml:space="preserve">   Východoslovenská energetika HOLDING, a.s.</w:t>
            </w:r>
          </w:p>
        </w:tc>
        <w:tc>
          <w:tcPr>
            <w:tcW w:w="900" w:type="dxa"/>
            <w:tcBorders>
              <w:top w:val="nil"/>
              <w:left w:val="nil"/>
              <w:bottom w:val="nil"/>
              <w:right w:val="nil"/>
            </w:tcBorders>
            <w:shd w:val="clear" w:color="000000" w:fill="FFFFFF"/>
            <w:noWrap/>
            <w:vAlign w:val="center"/>
            <w:hideMark/>
          </w:tcPr>
          <w:p w14:paraId="4ABAFA65"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23 411</w:t>
            </w:r>
          </w:p>
        </w:tc>
        <w:tc>
          <w:tcPr>
            <w:tcW w:w="840" w:type="dxa"/>
            <w:tcBorders>
              <w:top w:val="nil"/>
              <w:left w:val="nil"/>
              <w:bottom w:val="nil"/>
              <w:right w:val="nil"/>
            </w:tcBorders>
            <w:shd w:val="clear" w:color="000000" w:fill="FFFFFF"/>
            <w:noWrap/>
            <w:vAlign w:val="center"/>
            <w:hideMark/>
          </w:tcPr>
          <w:p w14:paraId="0224C1DF"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30 332</w:t>
            </w:r>
          </w:p>
        </w:tc>
        <w:tc>
          <w:tcPr>
            <w:tcW w:w="964" w:type="dxa"/>
            <w:tcBorders>
              <w:top w:val="nil"/>
              <w:left w:val="nil"/>
              <w:bottom w:val="nil"/>
              <w:right w:val="nil"/>
            </w:tcBorders>
            <w:shd w:val="clear" w:color="000000" w:fill="FFFFFF"/>
            <w:noWrap/>
            <w:vAlign w:val="center"/>
            <w:hideMark/>
          </w:tcPr>
          <w:p w14:paraId="572E3EEF"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34 023</w:t>
            </w:r>
          </w:p>
        </w:tc>
        <w:tc>
          <w:tcPr>
            <w:tcW w:w="1027" w:type="dxa"/>
            <w:tcBorders>
              <w:top w:val="nil"/>
              <w:left w:val="nil"/>
              <w:bottom w:val="nil"/>
              <w:right w:val="nil"/>
            </w:tcBorders>
            <w:shd w:val="clear" w:color="000000" w:fill="BFBFBF"/>
            <w:noWrap/>
            <w:vAlign w:val="center"/>
            <w:hideMark/>
          </w:tcPr>
          <w:p w14:paraId="24313623"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34 023</w:t>
            </w:r>
          </w:p>
        </w:tc>
        <w:tc>
          <w:tcPr>
            <w:tcW w:w="880" w:type="dxa"/>
            <w:tcBorders>
              <w:top w:val="nil"/>
              <w:left w:val="nil"/>
              <w:bottom w:val="nil"/>
              <w:right w:val="nil"/>
            </w:tcBorders>
            <w:shd w:val="clear" w:color="000000" w:fill="FFFFFF"/>
            <w:vAlign w:val="center"/>
            <w:hideMark/>
          </w:tcPr>
          <w:p w14:paraId="0EF6A8FF"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0</w:t>
            </w:r>
          </w:p>
        </w:tc>
        <w:tc>
          <w:tcPr>
            <w:tcW w:w="857" w:type="dxa"/>
            <w:tcBorders>
              <w:top w:val="nil"/>
              <w:left w:val="nil"/>
              <w:bottom w:val="nil"/>
              <w:right w:val="nil"/>
            </w:tcBorders>
            <w:shd w:val="clear" w:color="000000" w:fill="FFFFFF"/>
            <w:vAlign w:val="center"/>
            <w:hideMark/>
          </w:tcPr>
          <w:p w14:paraId="27BDEEAB"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0,0</w:t>
            </w:r>
          </w:p>
        </w:tc>
      </w:tr>
      <w:tr w:rsidR="00D93C66" w:rsidRPr="00E20480" w14:paraId="4E36E13B" w14:textId="77777777" w:rsidTr="000858FD">
        <w:trPr>
          <w:trHeight w:val="330"/>
        </w:trPr>
        <w:tc>
          <w:tcPr>
            <w:tcW w:w="3828" w:type="dxa"/>
            <w:tcBorders>
              <w:top w:val="nil"/>
              <w:left w:val="nil"/>
              <w:bottom w:val="nil"/>
              <w:right w:val="nil"/>
            </w:tcBorders>
            <w:shd w:val="clear" w:color="000000" w:fill="FFFFFF"/>
            <w:noWrap/>
            <w:vAlign w:val="center"/>
            <w:hideMark/>
          </w:tcPr>
          <w:p w14:paraId="5BDA7A8A" w14:textId="77777777" w:rsidR="00D93C66" w:rsidRPr="00E20480" w:rsidRDefault="00D93C66" w:rsidP="00B950A2">
            <w:pPr>
              <w:spacing w:after="0" w:line="240" w:lineRule="auto"/>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Ministerstvo financií SR</w:t>
            </w:r>
          </w:p>
        </w:tc>
        <w:tc>
          <w:tcPr>
            <w:tcW w:w="900" w:type="dxa"/>
            <w:tcBorders>
              <w:top w:val="nil"/>
              <w:left w:val="nil"/>
              <w:bottom w:val="nil"/>
              <w:right w:val="nil"/>
            </w:tcBorders>
            <w:shd w:val="clear" w:color="000000" w:fill="FFFFFF"/>
            <w:noWrap/>
            <w:vAlign w:val="center"/>
            <w:hideMark/>
          </w:tcPr>
          <w:p w14:paraId="679BE489" w14:textId="77777777" w:rsidR="00D93C66" w:rsidRPr="00E20480" w:rsidRDefault="00D93C66" w:rsidP="00B950A2">
            <w:pPr>
              <w:spacing w:after="0" w:line="240" w:lineRule="auto"/>
              <w:jc w:val="right"/>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69 092</w:t>
            </w:r>
          </w:p>
        </w:tc>
        <w:tc>
          <w:tcPr>
            <w:tcW w:w="840" w:type="dxa"/>
            <w:tcBorders>
              <w:top w:val="nil"/>
              <w:left w:val="nil"/>
              <w:bottom w:val="nil"/>
              <w:right w:val="nil"/>
            </w:tcBorders>
            <w:shd w:val="clear" w:color="000000" w:fill="FFFFFF"/>
            <w:noWrap/>
            <w:vAlign w:val="center"/>
            <w:hideMark/>
          </w:tcPr>
          <w:p w14:paraId="629B44E4" w14:textId="77777777" w:rsidR="00D93C66" w:rsidRPr="00E20480" w:rsidRDefault="00D93C66" w:rsidP="00B950A2">
            <w:pPr>
              <w:spacing w:after="0" w:line="240" w:lineRule="auto"/>
              <w:jc w:val="right"/>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60 982</w:t>
            </w:r>
          </w:p>
        </w:tc>
        <w:tc>
          <w:tcPr>
            <w:tcW w:w="964" w:type="dxa"/>
            <w:tcBorders>
              <w:top w:val="nil"/>
              <w:left w:val="nil"/>
              <w:bottom w:val="nil"/>
              <w:right w:val="nil"/>
            </w:tcBorders>
            <w:shd w:val="clear" w:color="000000" w:fill="FFFFFF"/>
            <w:noWrap/>
            <w:vAlign w:val="center"/>
            <w:hideMark/>
          </w:tcPr>
          <w:p w14:paraId="79AED8F5" w14:textId="77777777" w:rsidR="00D93C66" w:rsidRPr="00E20480" w:rsidRDefault="00D93C66" w:rsidP="00B950A2">
            <w:pPr>
              <w:spacing w:after="0" w:line="240" w:lineRule="auto"/>
              <w:jc w:val="right"/>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21 480</w:t>
            </w:r>
          </w:p>
        </w:tc>
        <w:tc>
          <w:tcPr>
            <w:tcW w:w="1027" w:type="dxa"/>
            <w:tcBorders>
              <w:top w:val="nil"/>
              <w:left w:val="nil"/>
              <w:bottom w:val="nil"/>
              <w:right w:val="nil"/>
            </w:tcBorders>
            <w:shd w:val="clear" w:color="000000" w:fill="BFBFBF"/>
            <w:noWrap/>
            <w:vAlign w:val="center"/>
            <w:hideMark/>
          </w:tcPr>
          <w:p w14:paraId="43C6320E" w14:textId="77777777" w:rsidR="00D93C66" w:rsidRPr="00E20480" w:rsidRDefault="00D93C66" w:rsidP="00B950A2">
            <w:pPr>
              <w:spacing w:after="0" w:line="240" w:lineRule="auto"/>
              <w:jc w:val="right"/>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6 444</w:t>
            </w:r>
          </w:p>
        </w:tc>
        <w:tc>
          <w:tcPr>
            <w:tcW w:w="880" w:type="dxa"/>
            <w:tcBorders>
              <w:top w:val="nil"/>
              <w:left w:val="nil"/>
              <w:bottom w:val="nil"/>
              <w:right w:val="nil"/>
            </w:tcBorders>
            <w:shd w:val="clear" w:color="000000" w:fill="FFFFFF"/>
            <w:vAlign w:val="center"/>
            <w:hideMark/>
          </w:tcPr>
          <w:p w14:paraId="257B1117"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-15 036</w:t>
            </w:r>
          </w:p>
        </w:tc>
        <w:tc>
          <w:tcPr>
            <w:tcW w:w="857" w:type="dxa"/>
            <w:tcBorders>
              <w:top w:val="nil"/>
              <w:left w:val="nil"/>
              <w:bottom w:val="nil"/>
              <w:right w:val="nil"/>
            </w:tcBorders>
            <w:shd w:val="clear" w:color="000000" w:fill="FFFFFF"/>
            <w:vAlign w:val="center"/>
            <w:hideMark/>
          </w:tcPr>
          <w:p w14:paraId="7D4B5633"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-70,0</w:t>
            </w:r>
          </w:p>
        </w:tc>
      </w:tr>
      <w:tr w:rsidR="00D93C66" w:rsidRPr="00E20480" w14:paraId="504EB45D" w14:textId="77777777" w:rsidTr="000858FD">
        <w:trPr>
          <w:trHeight w:val="330"/>
        </w:trPr>
        <w:tc>
          <w:tcPr>
            <w:tcW w:w="3828" w:type="dxa"/>
            <w:tcBorders>
              <w:top w:val="nil"/>
              <w:left w:val="nil"/>
              <w:bottom w:val="nil"/>
              <w:right w:val="nil"/>
            </w:tcBorders>
            <w:shd w:val="clear" w:color="000000" w:fill="FFFFFF"/>
            <w:noWrap/>
            <w:vAlign w:val="center"/>
            <w:hideMark/>
          </w:tcPr>
          <w:p w14:paraId="2A6B7445" w14:textId="77777777" w:rsidR="00D93C66" w:rsidRPr="00E20480" w:rsidRDefault="00D93C66" w:rsidP="00B950A2">
            <w:pPr>
              <w:spacing w:after="0" w:line="240" w:lineRule="auto"/>
              <w:rPr>
                <w:rFonts w:eastAsia="Times New Roman" w:cs="Times New Roman"/>
                <w:color w:val="000000"/>
                <w:sz w:val="18"/>
                <w:szCs w:val="18"/>
                <w:lang w:eastAsia="sk-SK"/>
              </w:rPr>
            </w:pPr>
            <w:r w:rsidRPr="00E20480">
              <w:rPr>
                <w:rFonts w:eastAsia="Times New Roman" w:cs="Times New Roman"/>
                <w:color w:val="000000"/>
                <w:sz w:val="18"/>
                <w:szCs w:val="18"/>
                <w:lang w:eastAsia="sk-SK"/>
              </w:rPr>
              <w:t xml:space="preserve">     Tipos, národná lotériová spoločnosť, a.s. </w:t>
            </w:r>
          </w:p>
        </w:tc>
        <w:tc>
          <w:tcPr>
            <w:tcW w:w="900" w:type="dxa"/>
            <w:tcBorders>
              <w:top w:val="nil"/>
              <w:left w:val="nil"/>
              <w:bottom w:val="nil"/>
              <w:right w:val="nil"/>
            </w:tcBorders>
            <w:shd w:val="clear" w:color="000000" w:fill="FFFFFF"/>
            <w:noWrap/>
            <w:vAlign w:val="center"/>
            <w:hideMark/>
          </w:tcPr>
          <w:p w14:paraId="77583AC1"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6 000</w:t>
            </w:r>
          </w:p>
        </w:tc>
        <w:tc>
          <w:tcPr>
            <w:tcW w:w="840" w:type="dxa"/>
            <w:tcBorders>
              <w:top w:val="nil"/>
              <w:left w:val="nil"/>
              <w:bottom w:val="nil"/>
              <w:right w:val="nil"/>
            </w:tcBorders>
            <w:shd w:val="clear" w:color="000000" w:fill="FFFFFF"/>
            <w:noWrap/>
            <w:vAlign w:val="center"/>
            <w:hideMark/>
          </w:tcPr>
          <w:p w14:paraId="0ED2E717"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2 000</w:t>
            </w:r>
          </w:p>
        </w:tc>
        <w:tc>
          <w:tcPr>
            <w:tcW w:w="964" w:type="dxa"/>
            <w:tcBorders>
              <w:top w:val="nil"/>
              <w:left w:val="nil"/>
              <w:bottom w:val="nil"/>
              <w:right w:val="nil"/>
            </w:tcBorders>
            <w:shd w:val="clear" w:color="000000" w:fill="FFFFFF"/>
            <w:noWrap/>
            <w:vAlign w:val="center"/>
            <w:hideMark/>
          </w:tcPr>
          <w:p w14:paraId="4BF82343"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3 000</w:t>
            </w:r>
          </w:p>
        </w:tc>
        <w:tc>
          <w:tcPr>
            <w:tcW w:w="1027" w:type="dxa"/>
            <w:tcBorders>
              <w:top w:val="nil"/>
              <w:left w:val="nil"/>
              <w:bottom w:val="nil"/>
              <w:right w:val="nil"/>
            </w:tcBorders>
            <w:shd w:val="clear" w:color="000000" w:fill="BFBFBF"/>
            <w:noWrap/>
            <w:vAlign w:val="center"/>
            <w:hideMark/>
          </w:tcPr>
          <w:p w14:paraId="096DAD3E"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3 300</w:t>
            </w:r>
          </w:p>
        </w:tc>
        <w:tc>
          <w:tcPr>
            <w:tcW w:w="880" w:type="dxa"/>
            <w:tcBorders>
              <w:top w:val="nil"/>
              <w:left w:val="nil"/>
              <w:bottom w:val="nil"/>
              <w:right w:val="nil"/>
            </w:tcBorders>
            <w:shd w:val="clear" w:color="000000" w:fill="FFFFFF"/>
            <w:vAlign w:val="center"/>
            <w:hideMark/>
          </w:tcPr>
          <w:p w14:paraId="4F9BC637"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300</w:t>
            </w:r>
          </w:p>
        </w:tc>
        <w:tc>
          <w:tcPr>
            <w:tcW w:w="857" w:type="dxa"/>
            <w:tcBorders>
              <w:top w:val="nil"/>
              <w:left w:val="nil"/>
              <w:bottom w:val="nil"/>
              <w:right w:val="nil"/>
            </w:tcBorders>
            <w:shd w:val="clear" w:color="000000" w:fill="FFFFFF"/>
            <w:vAlign w:val="center"/>
            <w:hideMark/>
          </w:tcPr>
          <w:p w14:paraId="261009A5"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10,0</w:t>
            </w:r>
          </w:p>
        </w:tc>
      </w:tr>
      <w:tr w:rsidR="00D93C66" w:rsidRPr="00E20480" w14:paraId="141BDB72" w14:textId="77777777" w:rsidTr="000858FD">
        <w:trPr>
          <w:trHeight w:val="330"/>
        </w:trPr>
        <w:tc>
          <w:tcPr>
            <w:tcW w:w="3828" w:type="dxa"/>
            <w:tcBorders>
              <w:top w:val="nil"/>
              <w:left w:val="nil"/>
              <w:bottom w:val="nil"/>
              <w:right w:val="nil"/>
            </w:tcBorders>
            <w:shd w:val="clear" w:color="000000" w:fill="FFFFFF"/>
            <w:noWrap/>
            <w:vAlign w:val="center"/>
            <w:hideMark/>
          </w:tcPr>
          <w:p w14:paraId="766A412D" w14:textId="77777777" w:rsidR="00D93C66" w:rsidRPr="00E20480" w:rsidRDefault="00D93C66" w:rsidP="00B950A2">
            <w:pPr>
              <w:spacing w:after="0" w:line="240" w:lineRule="auto"/>
              <w:rPr>
                <w:rFonts w:eastAsia="Times New Roman" w:cs="Times New Roman"/>
                <w:color w:val="000000"/>
                <w:sz w:val="18"/>
                <w:szCs w:val="18"/>
                <w:lang w:eastAsia="sk-SK"/>
              </w:rPr>
            </w:pPr>
            <w:r w:rsidRPr="00E20480">
              <w:rPr>
                <w:rFonts w:eastAsia="Times New Roman" w:cs="Times New Roman"/>
                <w:color w:val="000000"/>
                <w:sz w:val="18"/>
                <w:szCs w:val="18"/>
                <w:lang w:eastAsia="sk-SK"/>
              </w:rPr>
              <w:t xml:space="preserve">     Slovenská konsolidačná, a.s. </w:t>
            </w:r>
          </w:p>
        </w:tc>
        <w:tc>
          <w:tcPr>
            <w:tcW w:w="900" w:type="dxa"/>
            <w:tcBorders>
              <w:top w:val="nil"/>
              <w:left w:val="nil"/>
              <w:bottom w:val="nil"/>
              <w:right w:val="nil"/>
            </w:tcBorders>
            <w:shd w:val="clear" w:color="000000" w:fill="FFFFFF"/>
            <w:noWrap/>
            <w:vAlign w:val="center"/>
            <w:hideMark/>
          </w:tcPr>
          <w:p w14:paraId="6553630A"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1 742</w:t>
            </w:r>
          </w:p>
        </w:tc>
        <w:tc>
          <w:tcPr>
            <w:tcW w:w="840" w:type="dxa"/>
            <w:tcBorders>
              <w:top w:val="nil"/>
              <w:left w:val="nil"/>
              <w:bottom w:val="nil"/>
              <w:right w:val="nil"/>
            </w:tcBorders>
            <w:shd w:val="clear" w:color="000000" w:fill="FFFFFF"/>
            <w:noWrap/>
            <w:vAlign w:val="center"/>
            <w:hideMark/>
          </w:tcPr>
          <w:p w14:paraId="4B0B7509"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2 982</w:t>
            </w:r>
          </w:p>
        </w:tc>
        <w:tc>
          <w:tcPr>
            <w:tcW w:w="964" w:type="dxa"/>
            <w:tcBorders>
              <w:top w:val="nil"/>
              <w:left w:val="nil"/>
              <w:bottom w:val="nil"/>
              <w:right w:val="nil"/>
            </w:tcBorders>
            <w:shd w:val="clear" w:color="000000" w:fill="FFFFFF"/>
            <w:noWrap/>
            <w:vAlign w:val="center"/>
            <w:hideMark/>
          </w:tcPr>
          <w:p w14:paraId="1195C485"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2 914</w:t>
            </w:r>
          </w:p>
        </w:tc>
        <w:tc>
          <w:tcPr>
            <w:tcW w:w="1027" w:type="dxa"/>
            <w:tcBorders>
              <w:top w:val="nil"/>
              <w:left w:val="nil"/>
              <w:bottom w:val="nil"/>
              <w:right w:val="nil"/>
            </w:tcBorders>
            <w:shd w:val="clear" w:color="000000" w:fill="BFBFBF"/>
            <w:noWrap/>
            <w:vAlign w:val="center"/>
            <w:hideMark/>
          </w:tcPr>
          <w:p w14:paraId="39A0EB86"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3 144</w:t>
            </w:r>
          </w:p>
        </w:tc>
        <w:tc>
          <w:tcPr>
            <w:tcW w:w="880" w:type="dxa"/>
            <w:tcBorders>
              <w:top w:val="nil"/>
              <w:left w:val="nil"/>
              <w:bottom w:val="nil"/>
              <w:right w:val="nil"/>
            </w:tcBorders>
            <w:shd w:val="clear" w:color="000000" w:fill="FFFFFF"/>
            <w:vAlign w:val="center"/>
            <w:hideMark/>
          </w:tcPr>
          <w:p w14:paraId="6D7838E9"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230</w:t>
            </w:r>
          </w:p>
        </w:tc>
        <w:tc>
          <w:tcPr>
            <w:tcW w:w="857" w:type="dxa"/>
            <w:tcBorders>
              <w:top w:val="nil"/>
              <w:left w:val="nil"/>
              <w:bottom w:val="nil"/>
              <w:right w:val="nil"/>
            </w:tcBorders>
            <w:shd w:val="clear" w:color="000000" w:fill="FFFFFF"/>
            <w:vAlign w:val="center"/>
            <w:hideMark/>
          </w:tcPr>
          <w:p w14:paraId="382C3C8E"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7,9</w:t>
            </w:r>
          </w:p>
        </w:tc>
      </w:tr>
      <w:tr w:rsidR="00D93C66" w:rsidRPr="00E20480" w14:paraId="0ABC9E80" w14:textId="77777777" w:rsidTr="000858FD">
        <w:trPr>
          <w:trHeight w:val="330"/>
        </w:trPr>
        <w:tc>
          <w:tcPr>
            <w:tcW w:w="3828" w:type="dxa"/>
            <w:tcBorders>
              <w:top w:val="nil"/>
              <w:left w:val="nil"/>
              <w:bottom w:val="nil"/>
              <w:right w:val="nil"/>
            </w:tcBorders>
            <w:shd w:val="clear" w:color="000000" w:fill="FFFFFF"/>
            <w:noWrap/>
            <w:vAlign w:val="center"/>
            <w:hideMark/>
          </w:tcPr>
          <w:p w14:paraId="0BBE5F50" w14:textId="77777777" w:rsidR="00D93C66" w:rsidRPr="00E20480" w:rsidRDefault="00D93C66" w:rsidP="00B950A2">
            <w:pPr>
              <w:spacing w:after="0" w:line="240" w:lineRule="auto"/>
              <w:rPr>
                <w:rFonts w:eastAsia="Times New Roman" w:cs="Times New Roman"/>
                <w:color w:val="000000"/>
                <w:sz w:val="18"/>
                <w:szCs w:val="18"/>
                <w:lang w:eastAsia="sk-SK"/>
              </w:rPr>
            </w:pPr>
            <w:r w:rsidRPr="00E20480">
              <w:rPr>
                <w:rFonts w:eastAsia="Times New Roman" w:cs="Times New Roman"/>
                <w:color w:val="000000"/>
                <w:sz w:val="18"/>
                <w:szCs w:val="18"/>
                <w:lang w:eastAsia="sk-SK"/>
              </w:rPr>
              <w:t xml:space="preserve">     Slovenská záručná a rozvojová banka, a.s.</w:t>
            </w:r>
          </w:p>
        </w:tc>
        <w:tc>
          <w:tcPr>
            <w:tcW w:w="900" w:type="dxa"/>
            <w:tcBorders>
              <w:top w:val="nil"/>
              <w:left w:val="nil"/>
              <w:bottom w:val="nil"/>
              <w:right w:val="nil"/>
            </w:tcBorders>
            <w:shd w:val="clear" w:color="000000" w:fill="FFFFFF"/>
            <w:noWrap/>
            <w:vAlign w:val="center"/>
            <w:hideMark/>
          </w:tcPr>
          <w:p w14:paraId="215B2AB3"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2 350</w:t>
            </w:r>
          </w:p>
        </w:tc>
        <w:tc>
          <w:tcPr>
            <w:tcW w:w="840" w:type="dxa"/>
            <w:tcBorders>
              <w:top w:val="nil"/>
              <w:left w:val="nil"/>
              <w:bottom w:val="nil"/>
              <w:right w:val="nil"/>
            </w:tcBorders>
            <w:shd w:val="clear" w:color="000000" w:fill="FFFFFF"/>
            <w:noWrap/>
            <w:vAlign w:val="center"/>
            <w:hideMark/>
          </w:tcPr>
          <w:p w14:paraId="4181D611"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6 000</w:t>
            </w:r>
          </w:p>
        </w:tc>
        <w:tc>
          <w:tcPr>
            <w:tcW w:w="964" w:type="dxa"/>
            <w:tcBorders>
              <w:top w:val="nil"/>
              <w:left w:val="nil"/>
              <w:bottom w:val="nil"/>
              <w:right w:val="nil"/>
            </w:tcBorders>
            <w:shd w:val="clear" w:color="000000" w:fill="FFFFFF"/>
            <w:noWrap/>
            <w:vAlign w:val="center"/>
            <w:hideMark/>
          </w:tcPr>
          <w:p w14:paraId="2CFE1721"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850</w:t>
            </w:r>
          </w:p>
        </w:tc>
        <w:tc>
          <w:tcPr>
            <w:tcW w:w="1027" w:type="dxa"/>
            <w:tcBorders>
              <w:top w:val="nil"/>
              <w:left w:val="nil"/>
              <w:bottom w:val="nil"/>
              <w:right w:val="nil"/>
            </w:tcBorders>
            <w:shd w:val="clear" w:color="000000" w:fill="BFBFBF"/>
            <w:noWrap/>
            <w:vAlign w:val="center"/>
            <w:hideMark/>
          </w:tcPr>
          <w:p w14:paraId="2ACA155F"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0</w:t>
            </w:r>
          </w:p>
        </w:tc>
        <w:tc>
          <w:tcPr>
            <w:tcW w:w="880" w:type="dxa"/>
            <w:tcBorders>
              <w:top w:val="nil"/>
              <w:left w:val="nil"/>
              <w:bottom w:val="nil"/>
              <w:right w:val="nil"/>
            </w:tcBorders>
            <w:shd w:val="clear" w:color="000000" w:fill="FFFFFF"/>
            <w:vAlign w:val="center"/>
            <w:hideMark/>
          </w:tcPr>
          <w:p w14:paraId="25A2A2D3"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-850</w:t>
            </w:r>
          </w:p>
        </w:tc>
        <w:tc>
          <w:tcPr>
            <w:tcW w:w="857" w:type="dxa"/>
            <w:tcBorders>
              <w:top w:val="nil"/>
              <w:left w:val="nil"/>
              <w:bottom w:val="nil"/>
              <w:right w:val="nil"/>
            </w:tcBorders>
            <w:shd w:val="clear" w:color="000000" w:fill="FFFFFF"/>
            <w:vAlign w:val="center"/>
            <w:hideMark/>
          </w:tcPr>
          <w:p w14:paraId="6B4D2CCD"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-100,0</w:t>
            </w:r>
          </w:p>
        </w:tc>
      </w:tr>
      <w:tr w:rsidR="00D93C66" w:rsidRPr="00E20480" w14:paraId="4018ED51" w14:textId="77777777" w:rsidTr="000858FD">
        <w:trPr>
          <w:trHeight w:val="330"/>
        </w:trPr>
        <w:tc>
          <w:tcPr>
            <w:tcW w:w="3828" w:type="dxa"/>
            <w:tcBorders>
              <w:top w:val="nil"/>
              <w:left w:val="nil"/>
              <w:bottom w:val="nil"/>
              <w:right w:val="nil"/>
            </w:tcBorders>
            <w:shd w:val="clear" w:color="000000" w:fill="FFFFFF"/>
            <w:noWrap/>
            <w:vAlign w:val="center"/>
            <w:hideMark/>
          </w:tcPr>
          <w:p w14:paraId="011948E1" w14:textId="77777777" w:rsidR="00D93C66" w:rsidRPr="00E20480" w:rsidRDefault="00D93C66" w:rsidP="00B950A2">
            <w:pPr>
              <w:spacing w:after="0" w:line="240" w:lineRule="auto"/>
              <w:rPr>
                <w:rFonts w:eastAsia="Times New Roman" w:cs="Times New Roman"/>
                <w:color w:val="000000"/>
                <w:sz w:val="18"/>
                <w:szCs w:val="18"/>
                <w:lang w:eastAsia="sk-SK"/>
              </w:rPr>
            </w:pPr>
            <w:r w:rsidRPr="00E20480">
              <w:rPr>
                <w:rFonts w:eastAsia="Times New Roman" w:cs="Times New Roman"/>
                <w:color w:val="000000"/>
                <w:sz w:val="18"/>
                <w:szCs w:val="18"/>
                <w:lang w:eastAsia="sk-SK"/>
              </w:rPr>
              <w:t xml:space="preserve">     Slovenská elektrizačná prenosová sústava, a.s.</w:t>
            </w:r>
          </w:p>
        </w:tc>
        <w:tc>
          <w:tcPr>
            <w:tcW w:w="900" w:type="dxa"/>
            <w:tcBorders>
              <w:top w:val="nil"/>
              <w:left w:val="nil"/>
              <w:bottom w:val="nil"/>
              <w:right w:val="nil"/>
            </w:tcBorders>
            <w:shd w:val="clear" w:color="000000" w:fill="FFFFFF"/>
            <w:noWrap/>
            <w:vAlign w:val="center"/>
            <w:hideMark/>
          </w:tcPr>
          <w:p w14:paraId="420D91F1"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59 000</w:t>
            </w:r>
          </w:p>
        </w:tc>
        <w:tc>
          <w:tcPr>
            <w:tcW w:w="840" w:type="dxa"/>
            <w:tcBorders>
              <w:top w:val="nil"/>
              <w:left w:val="nil"/>
              <w:bottom w:val="nil"/>
              <w:right w:val="nil"/>
            </w:tcBorders>
            <w:shd w:val="clear" w:color="000000" w:fill="FFFFFF"/>
            <w:noWrap/>
            <w:vAlign w:val="center"/>
            <w:hideMark/>
          </w:tcPr>
          <w:p w14:paraId="1DA498DB"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50 000</w:t>
            </w:r>
          </w:p>
        </w:tc>
        <w:tc>
          <w:tcPr>
            <w:tcW w:w="964" w:type="dxa"/>
            <w:tcBorders>
              <w:top w:val="nil"/>
              <w:left w:val="nil"/>
              <w:bottom w:val="nil"/>
              <w:right w:val="nil"/>
            </w:tcBorders>
            <w:shd w:val="clear" w:color="000000" w:fill="FFFFFF"/>
            <w:noWrap/>
            <w:vAlign w:val="center"/>
            <w:hideMark/>
          </w:tcPr>
          <w:p w14:paraId="4E88C161"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14 716</w:t>
            </w:r>
          </w:p>
        </w:tc>
        <w:tc>
          <w:tcPr>
            <w:tcW w:w="1027" w:type="dxa"/>
            <w:tcBorders>
              <w:top w:val="nil"/>
              <w:left w:val="nil"/>
              <w:bottom w:val="nil"/>
              <w:right w:val="nil"/>
            </w:tcBorders>
            <w:shd w:val="clear" w:color="000000" w:fill="BFBFBF"/>
            <w:noWrap/>
            <w:vAlign w:val="center"/>
            <w:hideMark/>
          </w:tcPr>
          <w:p w14:paraId="6F6F8C70"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0</w:t>
            </w:r>
          </w:p>
        </w:tc>
        <w:tc>
          <w:tcPr>
            <w:tcW w:w="880" w:type="dxa"/>
            <w:tcBorders>
              <w:top w:val="nil"/>
              <w:left w:val="nil"/>
              <w:bottom w:val="nil"/>
              <w:right w:val="nil"/>
            </w:tcBorders>
            <w:shd w:val="clear" w:color="000000" w:fill="FFFFFF"/>
            <w:vAlign w:val="center"/>
            <w:hideMark/>
          </w:tcPr>
          <w:p w14:paraId="256B9B9A"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-14 716</w:t>
            </w:r>
          </w:p>
        </w:tc>
        <w:tc>
          <w:tcPr>
            <w:tcW w:w="857" w:type="dxa"/>
            <w:tcBorders>
              <w:top w:val="nil"/>
              <w:left w:val="nil"/>
              <w:bottom w:val="nil"/>
              <w:right w:val="nil"/>
            </w:tcBorders>
            <w:shd w:val="clear" w:color="000000" w:fill="FFFFFF"/>
            <w:vAlign w:val="center"/>
            <w:hideMark/>
          </w:tcPr>
          <w:p w14:paraId="2C3D209D"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-100,0</w:t>
            </w:r>
          </w:p>
        </w:tc>
      </w:tr>
      <w:tr w:rsidR="00D93C66" w:rsidRPr="00E20480" w14:paraId="6E2F6D37" w14:textId="77777777" w:rsidTr="000858FD">
        <w:trPr>
          <w:trHeight w:val="330"/>
        </w:trPr>
        <w:tc>
          <w:tcPr>
            <w:tcW w:w="3828" w:type="dxa"/>
            <w:tcBorders>
              <w:top w:val="nil"/>
              <w:left w:val="nil"/>
              <w:bottom w:val="nil"/>
              <w:right w:val="nil"/>
            </w:tcBorders>
            <w:shd w:val="clear" w:color="000000" w:fill="FFFFFF"/>
            <w:noWrap/>
            <w:vAlign w:val="center"/>
            <w:hideMark/>
          </w:tcPr>
          <w:p w14:paraId="2B546454" w14:textId="77777777" w:rsidR="00D93C66" w:rsidRPr="00E20480" w:rsidRDefault="00D93C66" w:rsidP="00B950A2">
            <w:pPr>
              <w:spacing w:after="0" w:line="240" w:lineRule="auto"/>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Ministerstvo hospodárstva SR</w:t>
            </w:r>
          </w:p>
        </w:tc>
        <w:tc>
          <w:tcPr>
            <w:tcW w:w="900" w:type="dxa"/>
            <w:tcBorders>
              <w:top w:val="nil"/>
              <w:left w:val="nil"/>
              <w:bottom w:val="nil"/>
              <w:right w:val="nil"/>
            </w:tcBorders>
            <w:shd w:val="clear" w:color="000000" w:fill="FFFFFF"/>
            <w:noWrap/>
            <w:vAlign w:val="center"/>
            <w:hideMark/>
          </w:tcPr>
          <w:p w14:paraId="5F99B8D0" w14:textId="77777777" w:rsidR="00D93C66" w:rsidRPr="00E20480" w:rsidRDefault="00D93C66" w:rsidP="00B950A2">
            <w:pPr>
              <w:spacing w:after="0" w:line="240" w:lineRule="auto"/>
              <w:jc w:val="right"/>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6 000</w:t>
            </w:r>
          </w:p>
        </w:tc>
        <w:tc>
          <w:tcPr>
            <w:tcW w:w="840" w:type="dxa"/>
            <w:tcBorders>
              <w:top w:val="nil"/>
              <w:left w:val="nil"/>
              <w:bottom w:val="nil"/>
              <w:right w:val="nil"/>
            </w:tcBorders>
            <w:shd w:val="clear" w:color="000000" w:fill="FFFFFF"/>
            <w:noWrap/>
            <w:vAlign w:val="center"/>
            <w:hideMark/>
          </w:tcPr>
          <w:p w14:paraId="2753FCA6" w14:textId="77777777" w:rsidR="00D93C66" w:rsidRPr="00E20480" w:rsidRDefault="00D93C66" w:rsidP="00B950A2">
            <w:pPr>
              <w:spacing w:after="0" w:line="240" w:lineRule="auto"/>
              <w:jc w:val="right"/>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4 960</w:t>
            </w:r>
          </w:p>
        </w:tc>
        <w:tc>
          <w:tcPr>
            <w:tcW w:w="964" w:type="dxa"/>
            <w:tcBorders>
              <w:top w:val="nil"/>
              <w:left w:val="nil"/>
              <w:bottom w:val="nil"/>
              <w:right w:val="nil"/>
            </w:tcBorders>
            <w:shd w:val="clear" w:color="auto" w:fill="auto"/>
            <w:noWrap/>
            <w:vAlign w:val="center"/>
            <w:hideMark/>
          </w:tcPr>
          <w:p w14:paraId="5C103429" w14:textId="77777777" w:rsidR="00D93C66" w:rsidRPr="00E20480" w:rsidRDefault="00D93C66" w:rsidP="00B950A2">
            <w:pPr>
              <w:spacing w:after="0" w:line="240" w:lineRule="auto"/>
              <w:jc w:val="right"/>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2 173</w:t>
            </w:r>
          </w:p>
        </w:tc>
        <w:tc>
          <w:tcPr>
            <w:tcW w:w="1027" w:type="dxa"/>
            <w:tcBorders>
              <w:top w:val="nil"/>
              <w:left w:val="nil"/>
              <w:bottom w:val="nil"/>
              <w:right w:val="nil"/>
            </w:tcBorders>
            <w:shd w:val="clear" w:color="000000" w:fill="BFBFBF"/>
            <w:noWrap/>
            <w:vAlign w:val="center"/>
            <w:hideMark/>
          </w:tcPr>
          <w:p w14:paraId="74ADEA26" w14:textId="77777777" w:rsidR="00D93C66" w:rsidRPr="00E20480" w:rsidRDefault="00D93C66" w:rsidP="00B950A2">
            <w:pPr>
              <w:spacing w:after="0" w:line="240" w:lineRule="auto"/>
              <w:jc w:val="right"/>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2 173</w:t>
            </w:r>
          </w:p>
        </w:tc>
        <w:tc>
          <w:tcPr>
            <w:tcW w:w="880" w:type="dxa"/>
            <w:tcBorders>
              <w:top w:val="nil"/>
              <w:left w:val="nil"/>
              <w:bottom w:val="nil"/>
              <w:right w:val="nil"/>
            </w:tcBorders>
            <w:shd w:val="clear" w:color="000000" w:fill="FFFFFF"/>
            <w:vAlign w:val="center"/>
            <w:hideMark/>
          </w:tcPr>
          <w:p w14:paraId="4EFCAB2A"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0</w:t>
            </w:r>
          </w:p>
        </w:tc>
        <w:tc>
          <w:tcPr>
            <w:tcW w:w="857" w:type="dxa"/>
            <w:tcBorders>
              <w:top w:val="nil"/>
              <w:left w:val="nil"/>
              <w:bottom w:val="nil"/>
              <w:right w:val="nil"/>
            </w:tcBorders>
            <w:shd w:val="clear" w:color="000000" w:fill="FFFFFF"/>
            <w:vAlign w:val="center"/>
            <w:hideMark/>
          </w:tcPr>
          <w:p w14:paraId="4E3F51BC"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0,0</w:t>
            </w:r>
          </w:p>
        </w:tc>
      </w:tr>
      <w:tr w:rsidR="00D93C66" w:rsidRPr="00E20480" w14:paraId="0ADE3A4E" w14:textId="77777777" w:rsidTr="000858FD">
        <w:trPr>
          <w:trHeight w:val="330"/>
        </w:trPr>
        <w:tc>
          <w:tcPr>
            <w:tcW w:w="3828" w:type="dxa"/>
            <w:tcBorders>
              <w:top w:val="nil"/>
              <w:left w:val="nil"/>
              <w:bottom w:val="nil"/>
              <w:right w:val="nil"/>
            </w:tcBorders>
            <w:shd w:val="clear" w:color="000000" w:fill="FFFFFF"/>
            <w:noWrap/>
            <w:vAlign w:val="center"/>
            <w:hideMark/>
          </w:tcPr>
          <w:p w14:paraId="2C7DC19B" w14:textId="77777777" w:rsidR="00D93C66" w:rsidRPr="00E20480" w:rsidRDefault="00D93C66" w:rsidP="00B950A2">
            <w:pPr>
              <w:spacing w:after="0" w:line="240" w:lineRule="auto"/>
              <w:rPr>
                <w:rFonts w:eastAsia="Times New Roman" w:cs="Times New Roman"/>
                <w:color w:val="000000"/>
                <w:sz w:val="18"/>
                <w:szCs w:val="18"/>
                <w:lang w:eastAsia="sk-SK"/>
              </w:rPr>
            </w:pPr>
            <w:r w:rsidRPr="00E20480">
              <w:rPr>
                <w:rFonts w:eastAsia="Times New Roman" w:cs="Times New Roman"/>
                <w:color w:val="000000"/>
                <w:sz w:val="18"/>
                <w:szCs w:val="18"/>
                <w:lang w:eastAsia="sk-SK"/>
              </w:rPr>
              <w:t xml:space="preserve">     JAVYS, a.s.</w:t>
            </w:r>
          </w:p>
        </w:tc>
        <w:tc>
          <w:tcPr>
            <w:tcW w:w="900" w:type="dxa"/>
            <w:tcBorders>
              <w:top w:val="nil"/>
              <w:left w:val="nil"/>
              <w:bottom w:val="nil"/>
              <w:right w:val="nil"/>
            </w:tcBorders>
            <w:shd w:val="clear" w:color="000000" w:fill="FFFFFF"/>
            <w:noWrap/>
            <w:vAlign w:val="center"/>
            <w:hideMark/>
          </w:tcPr>
          <w:p w14:paraId="6F791D10"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6 000</w:t>
            </w:r>
          </w:p>
        </w:tc>
        <w:tc>
          <w:tcPr>
            <w:tcW w:w="840" w:type="dxa"/>
            <w:tcBorders>
              <w:top w:val="nil"/>
              <w:left w:val="nil"/>
              <w:bottom w:val="nil"/>
              <w:right w:val="nil"/>
            </w:tcBorders>
            <w:shd w:val="clear" w:color="000000" w:fill="FFFFFF"/>
            <w:noWrap/>
            <w:vAlign w:val="center"/>
            <w:hideMark/>
          </w:tcPr>
          <w:p w14:paraId="145CF324"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4 960</w:t>
            </w:r>
          </w:p>
        </w:tc>
        <w:tc>
          <w:tcPr>
            <w:tcW w:w="964" w:type="dxa"/>
            <w:tcBorders>
              <w:top w:val="nil"/>
              <w:left w:val="nil"/>
              <w:bottom w:val="nil"/>
              <w:right w:val="nil"/>
            </w:tcBorders>
            <w:shd w:val="clear" w:color="000000" w:fill="FFFFFF"/>
            <w:noWrap/>
            <w:vAlign w:val="center"/>
            <w:hideMark/>
          </w:tcPr>
          <w:p w14:paraId="4CE85729"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2 173</w:t>
            </w:r>
          </w:p>
        </w:tc>
        <w:tc>
          <w:tcPr>
            <w:tcW w:w="1027" w:type="dxa"/>
            <w:tcBorders>
              <w:top w:val="nil"/>
              <w:left w:val="nil"/>
              <w:bottom w:val="nil"/>
              <w:right w:val="nil"/>
            </w:tcBorders>
            <w:shd w:val="clear" w:color="000000" w:fill="BFBFBF"/>
            <w:noWrap/>
            <w:vAlign w:val="center"/>
            <w:hideMark/>
          </w:tcPr>
          <w:p w14:paraId="0864AABF"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2 173</w:t>
            </w:r>
          </w:p>
        </w:tc>
        <w:tc>
          <w:tcPr>
            <w:tcW w:w="880" w:type="dxa"/>
            <w:tcBorders>
              <w:top w:val="nil"/>
              <w:left w:val="nil"/>
              <w:bottom w:val="nil"/>
              <w:right w:val="nil"/>
            </w:tcBorders>
            <w:shd w:val="clear" w:color="000000" w:fill="FFFFFF"/>
            <w:vAlign w:val="center"/>
            <w:hideMark/>
          </w:tcPr>
          <w:p w14:paraId="18F7159D"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0</w:t>
            </w:r>
          </w:p>
        </w:tc>
        <w:tc>
          <w:tcPr>
            <w:tcW w:w="857" w:type="dxa"/>
            <w:tcBorders>
              <w:top w:val="nil"/>
              <w:left w:val="nil"/>
              <w:bottom w:val="nil"/>
              <w:right w:val="nil"/>
            </w:tcBorders>
            <w:shd w:val="clear" w:color="000000" w:fill="FFFFFF"/>
            <w:vAlign w:val="center"/>
            <w:hideMark/>
          </w:tcPr>
          <w:p w14:paraId="5A04F2AA"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0,0</w:t>
            </w:r>
          </w:p>
        </w:tc>
      </w:tr>
      <w:tr w:rsidR="00D93C66" w:rsidRPr="00E20480" w14:paraId="3E7E6992" w14:textId="77777777" w:rsidTr="000858FD">
        <w:trPr>
          <w:trHeight w:val="330"/>
        </w:trPr>
        <w:tc>
          <w:tcPr>
            <w:tcW w:w="3828" w:type="dxa"/>
            <w:tcBorders>
              <w:top w:val="nil"/>
              <w:left w:val="nil"/>
              <w:bottom w:val="nil"/>
              <w:right w:val="nil"/>
            </w:tcBorders>
            <w:shd w:val="clear" w:color="000000" w:fill="FFFFFF"/>
            <w:noWrap/>
            <w:vAlign w:val="center"/>
            <w:hideMark/>
          </w:tcPr>
          <w:p w14:paraId="69E80359" w14:textId="43892740" w:rsidR="00D93C66" w:rsidRPr="00E20480" w:rsidRDefault="00D93C66" w:rsidP="00FC14C6">
            <w:pPr>
              <w:spacing w:after="0" w:line="240" w:lineRule="auto"/>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Ministerstvo dopravy a výstavby SR</w:t>
            </w:r>
          </w:p>
        </w:tc>
        <w:tc>
          <w:tcPr>
            <w:tcW w:w="900" w:type="dxa"/>
            <w:tcBorders>
              <w:top w:val="nil"/>
              <w:left w:val="nil"/>
              <w:bottom w:val="nil"/>
              <w:right w:val="nil"/>
            </w:tcBorders>
            <w:shd w:val="clear" w:color="000000" w:fill="FFFFFF"/>
            <w:noWrap/>
            <w:vAlign w:val="center"/>
            <w:hideMark/>
          </w:tcPr>
          <w:p w14:paraId="04D55D81" w14:textId="77777777" w:rsidR="00D93C66" w:rsidRPr="00E20480" w:rsidRDefault="00D93C66" w:rsidP="00B950A2">
            <w:pPr>
              <w:spacing w:after="0" w:line="240" w:lineRule="auto"/>
              <w:jc w:val="right"/>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597</w:t>
            </w:r>
          </w:p>
        </w:tc>
        <w:tc>
          <w:tcPr>
            <w:tcW w:w="840" w:type="dxa"/>
            <w:tcBorders>
              <w:top w:val="nil"/>
              <w:left w:val="nil"/>
              <w:bottom w:val="nil"/>
              <w:right w:val="nil"/>
            </w:tcBorders>
            <w:shd w:val="clear" w:color="000000" w:fill="FFFFFF"/>
            <w:noWrap/>
            <w:vAlign w:val="center"/>
            <w:hideMark/>
          </w:tcPr>
          <w:p w14:paraId="0870CE1F" w14:textId="77777777" w:rsidR="00D93C66" w:rsidRPr="00E20480" w:rsidRDefault="00D93C66" w:rsidP="00B950A2">
            <w:pPr>
              <w:spacing w:after="0" w:line="240" w:lineRule="auto"/>
              <w:jc w:val="right"/>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768</w:t>
            </w:r>
          </w:p>
        </w:tc>
        <w:tc>
          <w:tcPr>
            <w:tcW w:w="964" w:type="dxa"/>
            <w:tcBorders>
              <w:top w:val="nil"/>
              <w:left w:val="nil"/>
              <w:bottom w:val="nil"/>
              <w:right w:val="nil"/>
            </w:tcBorders>
            <w:shd w:val="clear" w:color="000000" w:fill="FFFFFF"/>
            <w:noWrap/>
            <w:vAlign w:val="center"/>
            <w:hideMark/>
          </w:tcPr>
          <w:p w14:paraId="6AA02DD6" w14:textId="77777777" w:rsidR="00D93C66" w:rsidRPr="00E20480" w:rsidRDefault="00D93C66" w:rsidP="00B950A2">
            <w:pPr>
              <w:spacing w:after="0" w:line="240" w:lineRule="auto"/>
              <w:jc w:val="right"/>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495</w:t>
            </w:r>
          </w:p>
        </w:tc>
        <w:tc>
          <w:tcPr>
            <w:tcW w:w="1027" w:type="dxa"/>
            <w:tcBorders>
              <w:top w:val="nil"/>
              <w:left w:val="nil"/>
              <w:bottom w:val="nil"/>
              <w:right w:val="nil"/>
            </w:tcBorders>
            <w:shd w:val="clear" w:color="000000" w:fill="BFBFBF"/>
            <w:noWrap/>
            <w:vAlign w:val="center"/>
            <w:hideMark/>
          </w:tcPr>
          <w:p w14:paraId="1E0B5BE3" w14:textId="77777777" w:rsidR="00D93C66" w:rsidRPr="00E20480" w:rsidRDefault="00D93C66" w:rsidP="00B950A2">
            <w:pPr>
              <w:spacing w:after="0" w:line="240" w:lineRule="auto"/>
              <w:jc w:val="right"/>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779</w:t>
            </w:r>
          </w:p>
        </w:tc>
        <w:tc>
          <w:tcPr>
            <w:tcW w:w="880" w:type="dxa"/>
            <w:tcBorders>
              <w:top w:val="nil"/>
              <w:left w:val="nil"/>
              <w:bottom w:val="nil"/>
              <w:right w:val="nil"/>
            </w:tcBorders>
            <w:shd w:val="clear" w:color="000000" w:fill="FFFFFF"/>
            <w:vAlign w:val="center"/>
            <w:hideMark/>
          </w:tcPr>
          <w:p w14:paraId="34D0D195"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284</w:t>
            </w:r>
          </w:p>
        </w:tc>
        <w:tc>
          <w:tcPr>
            <w:tcW w:w="857" w:type="dxa"/>
            <w:tcBorders>
              <w:top w:val="nil"/>
              <w:left w:val="nil"/>
              <w:bottom w:val="nil"/>
              <w:right w:val="nil"/>
            </w:tcBorders>
            <w:shd w:val="clear" w:color="000000" w:fill="FFFFFF"/>
            <w:vAlign w:val="center"/>
            <w:hideMark/>
          </w:tcPr>
          <w:p w14:paraId="4A050ADC"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57,4</w:t>
            </w:r>
          </w:p>
        </w:tc>
      </w:tr>
      <w:tr w:rsidR="00D93C66" w:rsidRPr="00E20480" w14:paraId="57AF058E" w14:textId="77777777" w:rsidTr="000858FD">
        <w:trPr>
          <w:trHeight w:val="330"/>
        </w:trPr>
        <w:tc>
          <w:tcPr>
            <w:tcW w:w="3828" w:type="dxa"/>
            <w:tcBorders>
              <w:top w:val="nil"/>
              <w:left w:val="nil"/>
              <w:bottom w:val="nil"/>
              <w:right w:val="nil"/>
            </w:tcBorders>
            <w:shd w:val="clear" w:color="000000" w:fill="FFFFFF"/>
            <w:vAlign w:val="center"/>
            <w:hideMark/>
          </w:tcPr>
          <w:p w14:paraId="12A4E31A" w14:textId="77777777" w:rsidR="00D93C66" w:rsidRPr="00E20480" w:rsidRDefault="00D93C66" w:rsidP="00B950A2">
            <w:pPr>
              <w:spacing w:after="0" w:line="240" w:lineRule="auto"/>
              <w:rPr>
                <w:rFonts w:eastAsia="Times New Roman" w:cs="Times New Roman"/>
                <w:color w:val="000000"/>
                <w:sz w:val="18"/>
                <w:szCs w:val="18"/>
                <w:lang w:eastAsia="sk-SK"/>
              </w:rPr>
            </w:pPr>
            <w:r w:rsidRPr="00E20480">
              <w:rPr>
                <w:rFonts w:eastAsia="Times New Roman" w:cs="Times New Roman"/>
                <w:color w:val="000000"/>
                <w:sz w:val="18"/>
                <w:szCs w:val="18"/>
                <w:lang w:eastAsia="sk-SK"/>
              </w:rPr>
              <w:t xml:space="preserve">    Letisko Košice - </w:t>
            </w:r>
            <w:proofErr w:type="spellStart"/>
            <w:r w:rsidRPr="00E20480">
              <w:rPr>
                <w:rFonts w:eastAsia="Times New Roman" w:cs="Times New Roman"/>
                <w:color w:val="000000"/>
                <w:sz w:val="18"/>
                <w:szCs w:val="18"/>
                <w:lang w:eastAsia="sk-SK"/>
              </w:rPr>
              <w:t>Airport</w:t>
            </w:r>
            <w:proofErr w:type="spellEnd"/>
            <w:r w:rsidRPr="00E20480">
              <w:rPr>
                <w:rFonts w:eastAsia="Times New Roman" w:cs="Times New Roman"/>
                <w:color w:val="000000"/>
                <w:sz w:val="18"/>
                <w:szCs w:val="18"/>
                <w:lang w:eastAsia="sk-SK"/>
              </w:rPr>
              <w:t xml:space="preserve"> Košice, a.s.</w:t>
            </w:r>
          </w:p>
        </w:tc>
        <w:tc>
          <w:tcPr>
            <w:tcW w:w="900" w:type="dxa"/>
            <w:tcBorders>
              <w:top w:val="nil"/>
              <w:left w:val="nil"/>
              <w:bottom w:val="nil"/>
              <w:right w:val="nil"/>
            </w:tcBorders>
            <w:shd w:val="clear" w:color="000000" w:fill="FFFFFF"/>
            <w:noWrap/>
            <w:vAlign w:val="center"/>
            <w:hideMark/>
          </w:tcPr>
          <w:p w14:paraId="5AA926D9"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570</w:t>
            </w:r>
          </w:p>
        </w:tc>
        <w:tc>
          <w:tcPr>
            <w:tcW w:w="840" w:type="dxa"/>
            <w:tcBorders>
              <w:top w:val="nil"/>
              <w:left w:val="nil"/>
              <w:bottom w:val="nil"/>
              <w:right w:val="nil"/>
            </w:tcBorders>
            <w:shd w:val="clear" w:color="000000" w:fill="FFFFFF"/>
            <w:noWrap/>
            <w:vAlign w:val="center"/>
            <w:hideMark/>
          </w:tcPr>
          <w:p w14:paraId="26443AD6"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757</w:t>
            </w:r>
          </w:p>
        </w:tc>
        <w:tc>
          <w:tcPr>
            <w:tcW w:w="964" w:type="dxa"/>
            <w:tcBorders>
              <w:top w:val="nil"/>
              <w:left w:val="nil"/>
              <w:bottom w:val="nil"/>
              <w:right w:val="nil"/>
            </w:tcBorders>
            <w:shd w:val="clear" w:color="000000" w:fill="FFFFFF"/>
            <w:noWrap/>
            <w:vAlign w:val="center"/>
            <w:hideMark/>
          </w:tcPr>
          <w:p w14:paraId="2291DBB7"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495</w:t>
            </w:r>
          </w:p>
        </w:tc>
        <w:tc>
          <w:tcPr>
            <w:tcW w:w="1027" w:type="dxa"/>
            <w:tcBorders>
              <w:top w:val="nil"/>
              <w:left w:val="nil"/>
              <w:bottom w:val="nil"/>
              <w:right w:val="nil"/>
            </w:tcBorders>
            <w:shd w:val="clear" w:color="000000" w:fill="BFBFBF"/>
            <w:noWrap/>
            <w:vAlign w:val="center"/>
            <w:hideMark/>
          </w:tcPr>
          <w:p w14:paraId="50A6C941"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779</w:t>
            </w:r>
          </w:p>
        </w:tc>
        <w:tc>
          <w:tcPr>
            <w:tcW w:w="880" w:type="dxa"/>
            <w:tcBorders>
              <w:top w:val="nil"/>
              <w:left w:val="nil"/>
              <w:bottom w:val="nil"/>
              <w:right w:val="nil"/>
            </w:tcBorders>
            <w:shd w:val="clear" w:color="000000" w:fill="FFFFFF"/>
            <w:vAlign w:val="center"/>
            <w:hideMark/>
          </w:tcPr>
          <w:p w14:paraId="2983B149"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284</w:t>
            </w:r>
          </w:p>
        </w:tc>
        <w:tc>
          <w:tcPr>
            <w:tcW w:w="857" w:type="dxa"/>
            <w:tcBorders>
              <w:top w:val="nil"/>
              <w:left w:val="nil"/>
              <w:bottom w:val="nil"/>
              <w:right w:val="nil"/>
            </w:tcBorders>
            <w:shd w:val="clear" w:color="000000" w:fill="FFFFFF"/>
            <w:vAlign w:val="center"/>
            <w:hideMark/>
          </w:tcPr>
          <w:p w14:paraId="3C34FBDC"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57,4</w:t>
            </w:r>
          </w:p>
        </w:tc>
      </w:tr>
      <w:tr w:rsidR="00D93C66" w:rsidRPr="00E20480" w14:paraId="7C297D1A" w14:textId="77777777" w:rsidTr="000858FD">
        <w:trPr>
          <w:trHeight w:val="330"/>
        </w:trPr>
        <w:tc>
          <w:tcPr>
            <w:tcW w:w="3828" w:type="dxa"/>
            <w:tcBorders>
              <w:top w:val="nil"/>
              <w:left w:val="nil"/>
              <w:bottom w:val="nil"/>
              <w:right w:val="nil"/>
            </w:tcBorders>
            <w:shd w:val="clear" w:color="000000" w:fill="FFFFFF"/>
            <w:vAlign w:val="center"/>
            <w:hideMark/>
          </w:tcPr>
          <w:p w14:paraId="7075023B" w14:textId="77777777" w:rsidR="00D93C66" w:rsidRPr="00E20480" w:rsidRDefault="00D93C66" w:rsidP="00B950A2">
            <w:pPr>
              <w:spacing w:after="0" w:line="240" w:lineRule="auto"/>
              <w:rPr>
                <w:rFonts w:eastAsia="Times New Roman" w:cs="Times New Roman"/>
                <w:color w:val="000000"/>
                <w:sz w:val="18"/>
                <w:szCs w:val="18"/>
                <w:lang w:eastAsia="sk-SK"/>
              </w:rPr>
            </w:pPr>
            <w:r w:rsidRPr="00E20480">
              <w:rPr>
                <w:rFonts w:eastAsia="Times New Roman" w:cs="Times New Roman"/>
                <w:color w:val="000000"/>
                <w:sz w:val="18"/>
                <w:szCs w:val="18"/>
                <w:lang w:eastAsia="sk-SK"/>
              </w:rPr>
              <w:t xml:space="preserve">    Letisko Sliač, a.s.</w:t>
            </w:r>
          </w:p>
        </w:tc>
        <w:tc>
          <w:tcPr>
            <w:tcW w:w="900" w:type="dxa"/>
            <w:tcBorders>
              <w:top w:val="nil"/>
              <w:left w:val="nil"/>
              <w:bottom w:val="nil"/>
              <w:right w:val="nil"/>
            </w:tcBorders>
            <w:shd w:val="clear" w:color="000000" w:fill="FFFFFF"/>
            <w:noWrap/>
            <w:vAlign w:val="center"/>
            <w:hideMark/>
          </w:tcPr>
          <w:p w14:paraId="53E395FB"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20</w:t>
            </w:r>
          </w:p>
        </w:tc>
        <w:tc>
          <w:tcPr>
            <w:tcW w:w="840" w:type="dxa"/>
            <w:tcBorders>
              <w:top w:val="nil"/>
              <w:left w:val="nil"/>
              <w:bottom w:val="nil"/>
              <w:right w:val="nil"/>
            </w:tcBorders>
            <w:shd w:val="clear" w:color="000000" w:fill="FFFFFF"/>
            <w:noWrap/>
            <w:vAlign w:val="center"/>
            <w:hideMark/>
          </w:tcPr>
          <w:p w14:paraId="5CFDA476"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0</w:t>
            </w:r>
          </w:p>
        </w:tc>
        <w:tc>
          <w:tcPr>
            <w:tcW w:w="964" w:type="dxa"/>
            <w:tcBorders>
              <w:top w:val="nil"/>
              <w:left w:val="nil"/>
              <w:bottom w:val="nil"/>
              <w:right w:val="nil"/>
            </w:tcBorders>
            <w:shd w:val="clear" w:color="000000" w:fill="FFFFFF"/>
            <w:noWrap/>
            <w:vAlign w:val="center"/>
            <w:hideMark/>
          </w:tcPr>
          <w:p w14:paraId="099B1A63"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0</w:t>
            </w:r>
          </w:p>
        </w:tc>
        <w:tc>
          <w:tcPr>
            <w:tcW w:w="1027" w:type="dxa"/>
            <w:tcBorders>
              <w:top w:val="nil"/>
              <w:left w:val="nil"/>
              <w:bottom w:val="nil"/>
              <w:right w:val="nil"/>
            </w:tcBorders>
            <w:shd w:val="clear" w:color="000000" w:fill="BFBFBF"/>
            <w:noWrap/>
            <w:vAlign w:val="center"/>
            <w:hideMark/>
          </w:tcPr>
          <w:p w14:paraId="1E500170"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0</w:t>
            </w:r>
          </w:p>
        </w:tc>
        <w:tc>
          <w:tcPr>
            <w:tcW w:w="880" w:type="dxa"/>
            <w:tcBorders>
              <w:top w:val="nil"/>
              <w:left w:val="nil"/>
              <w:bottom w:val="nil"/>
              <w:right w:val="nil"/>
            </w:tcBorders>
            <w:shd w:val="clear" w:color="000000" w:fill="FFFFFF"/>
            <w:vAlign w:val="center"/>
            <w:hideMark/>
          </w:tcPr>
          <w:p w14:paraId="7E53E560"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0</w:t>
            </w:r>
          </w:p>
        </w:tc>
        <w:tc>
          <w:tcPr>
            <w:tcW w:w="857" w:type="dxa"/>
            <w:tcBorders>
              <w:top w:val="nil"/>
              <w:left w:val="nil"/>
              <w:bottom w:val="nil"/>
              <w:right w:val="nil"/>
            </w:tcBorders>
            <w:shd w:val="clear" w:color="000000" w:fill="FFFFFF"/>
            <w:vAlign w:val="center"/>
            <w:hideMark/>
          </w:tcPr>
          <w:p w14:paraId="73937CD9"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x</w:t>
            </w:r>
          </w:p>
        </w:tc>
      </w:tr>
      <w:tr w:rsidR="00D93C66" w:rsidRPr="00E20480" w14:paraId="0F4D50F1" w14:textId="77777777" w:rsidTr="000858FD">
        <w:trPr>
          <w:trHeight w:val="330"/>
        </w:trPr>
        <w:tc>
          <w:tcPr>
            <w:tcW w:w="3828" w:type="dxa"/>
            <w:tcBorders>
              <w:top w:val="nil"/>
              <w:left w:val="nil"/>
              <w:bottom w:val="nil"/>
              <w:right w:val="nil"/>
            </w:tcBorders>
            <w:shd w:val="clear" w:color="000000" w:fill="FFFFFF"/>
            <w:vAlign w:val="center"/>
            <w:hideMark/>
          </w:tcPr>
          <w:p w14:paraId="5EB13A6A" w14:textId="77777777" w:rsidR="00D93C66" w:rsidRPr="00E20480" w:rsidRDefault="00D93C66" w:rsidP="00B950A2">
            <w:pPr>
              <w:spacing w:after="0" w:line="240" w:lineRule="auto"/>
              <w:rPr>
                <w:rFonts w:eastAsia="Times New Roman" w:cs="Times New Roman"/>
                <w:color w:val="000000"/>
                <w:sz w:val="18"/>
                <w:szCs w:val="18"/>
                <w:lang w:eastAsia="sk-SK"/>
              </w:rPr>
            </w:pPr>
            <w:r w:rsidRPr="00E20480">
              <w:rPr>
                <w:rFonts w:eastAsia="Times New Roman" w:cs="Times New Roman"/>
                <w:color w:val="000000"/>
                <w:sz w:val="18"/>
                <w:szCs w:val="18"/>
                <w:lang w:eastAsia="sk-SK"/>
              </w:rPr>
              <w:t xml:space="preserve">    Poštová banka, a.s.</w:t>
            </w:r>
          </w:p>
        </w:tc>
        <w:tc>
          <w:tcPr>
            <w:tcW w:w="900" w:type="dxa"/>
            <w:tcBorders>
              <w:top w:val="nil"/>
              <w:left w:val="nil"/>
              <w:bottom w:val="nil"/>
              <w:right w:val="nil"/>
            </w:tcBorders>
            <w:shd w:val="clear" w:color="000000" w:fill="FFFFFF"/>
            <w:noWrap/>
            <w:vAlign w:val="center"/>
            <w:hideMark/>
          </w:tcPr>
          <w:p w14:paraId="501AEAF8"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7</w:t>
            </w:r>
          </w:p>
        </w:tc>
        <w:tc>
          <w:tcPr>
            <w:tcW w:w="840" w:type="dxa"/>
            <w:tcBorders>
              <w:top w:val="nil"/>
              <w:left w:val="nil"/>
              <w:bottom w:val="nil"/>
              <w:right w:val="nil"/>
            </w:tcBorders>
            <w:shd w:val="clear" w:color="000000" w:fill="FFFFFF"/>
            <w:noWrap/>
            <w:vAlign w:val="center"/>
            <w:hideMark/>
          </w:tcPr>
          <w:p w14:paraId="33B50C9A"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11</w:t>
            </w:r>
          </w:p>
        </w:tc>
        <w:tc>
          <w:tcPr>
            <w:tcW w:w="964" w:type="dxa"/>
            <w:tcBorders>
              <w:top w:val="nil"/>
              <w:left w:val="nil"/>
              <w:bottom w:val="nil"/>
              <w:right w:val="nil"/>
            </w:tcBorders>
            <w:shd w:val="clear" w:color="000000" w:fill="FFFFFF"/>
            <w:noWrap/>
            <w:vAlign w:val="center"/>
            <w:hideMark/>
          </w:tcPr>
          <w:p w14:paraId="43B147FC"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0</w:t>
            </w:r>
          </w:p>
        </w:tc>
        <w:tc>
          <w:tcPr>
            <w:tcW w:w="1027" w:type="dxa"/>
            <w:tcBorders>
              <w:top w:val="nil"/>
              <w:left w:val="nil"/>
              <w:bottom w:val="nil"/>
              <w:right w:val="nil"/>
            </w:tcBorders>
            <w:shd w:val="clear" w:color="000000" w:fill="BFBFBF"/>
            <w:noWrap/>
            <w:vAlign w:val="center"/>
            <w:hideMark/>
          </w:tcPr>
          <w:p w14:paraId="032378CD"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0</w:t>
            </w:r>
          </w:p>
        </w:tc>
        <w:tc>
          <w:tcPr>
            <w:tcW w:w="880" w:type="dxa"/>
            <w:tcBorders>
              <w:top w:val="nil"/>
              <w:left w:val="nil"/>
              <w:bottom w:val="nil"/>
              <w:right w:val="nil"/>
            </w:tcBorders>
            <w:shd w:val="clear" w:color="000000" w:fill="FFFFFF"/>
            <w:vAlign w:val="center"/>
            <w:hideMark/>
          </w:tcPr>
          <w:p w14:paraId="02DDF352"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0</w:t>
            </w:r>
          </w:p>
        </w:tc>
        <w:tc>
          <w:tcPr>
            <w:tcW w:w="857" w:type="dxa"/>
            <w:tcBorders>
              <w:top w:val="nil"/>
              <w:left w:val="nil"/>
              <w:bottom w:val="nil"/>
              <w:right w:val="nil"/>
            </w:tcBorders>
            <w:shd w:val="clear" w:color="000000" w:fill="FFFFFF"/>
            <w:vAlign w:val="center"/>
            <w:hideMark/>
          </w:tcPr>
          <w:p w14:paraId="17CC2FAA" w14:textId="77777777" w:rsidR="00D93C66" w:rsidRPr="00E20480" w:rsidRDefault="00D93C66" w:rsidP="00B950A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x</w:t>
            </w:r>
          </w:p>
        </w:tc>
      </w:tr>
      <w:tr w:rsidR="00C2434C" w:rsidRPr="00E20480" w14:paraId="1687B87E" w14:textId="77777777" w:rsidTr="000858FD">
        <w:trPr>
          <w:trHeight w:val="330"/>
        </w:trPr>
        <w:tc>
          <w:tcPr>
            <w:tcW w:w="3828" w:type="dxa"/>
            <w:tcBorders>
              <w:top w:val="nil"/>
              <w:left w:val="nil"/>
              <w:bottom w:val="nil"/>
              <w:right w:val="nil"/>
            </w:tcBorders>
            <w:shd w:val="clear" w:color="000000" w:fill="FFFFFF"/>
            <w:noWrap/>
            <w:vAlign w:val="center"/>
            <w:hideMark/>
          </w:tcPr>
          <w:p w14:paraId="3BA2884F" w14:textId="330DFEBB" w:rsidR="00C2434C" w:rsidRPr="00E20480" w:rsidRDefault="00C2434C" w:rsidP="000858FD">
            <w:pPr>
              <w:spacing w:after="0" w:line="240" w:lineRule="auto"/>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 xml:space="preserve">Ministerstvo </w:t>
            </w:r>
            <w:proofErr w:type="spellStart"/>
            <w:r w:rsidRPr="00E20480">
              <w:rPr>
                <w:rFonts w:eastAsia="Times New Roman" w:cs="Times New Roman"/>
                <w:b/>
                <w:bCs/>
                <w:color w:val="000000"/>
                <w:sz w:val="18"/>
                <w:szCs w:val="18"/>
                <w:lang w:eastAsia="sk-SK"/>
              </w:rPr>
              <w:t>zah</w:t>
            </w:r>
            <w:proofErr w:type="spellEnd"/>
            <w:r w:rsidRPr="00E20480">
              <w:rPr>
                <w:rFonts w:eastAsia="Times New Roman" w:cs="Times New Roman"/>
                <w:b/>
                <w:bCs/>
                <w:color w:val="000000"/>
                <w:sz w:val="18"/>
                <w:szCs w:val="18"/>
                <w:lang w:eastAsia="sk-SK"/>
              </w:rPr>
              <w:t>.</w:t>
            </w:r>
            <w:r w:rsidR="000858FD">
              <w:rPr>
                <w:rFonts w:eastAsia="Times New Roman" w:cs="Times New Roman"/>
                <w:b/>
                <w:bCs/>
                <w:color w:val="000000"/>
                <w:sz w:val="18"/>
                <w:szCs w:val="18"/>
                <w:lang w:eastAsia="sk-SK"/>
              </w:rPr>
              <w:t xml:space="preserve"> </w:t>
            </w:r>
            <w:r w:rsidRPr="00E20480">
              <w:rPr>
                <w:rFonts w:eastAsia="Times New Roman" w:cs="Times New Roman"/>
                <w:b/>
                <w:bCs/>
                <w:color w:val="000000"/>
                <w:sz w:val="18"/>
                <w:szCs w:val="18"/>
                <w:lang w:eastAsia="sk-SK"/>
              </w:rPr>
              <w:t>vecí a</w:t>
            </w:r>
            <w:r w:rsidR="001E7D83" w:rsidRPr="00E20480">
              <w:rPr>
                <w:rFonts w:eastAsia="Times New Roman" w:cs="Times New Roman"/>
                <w:b/>
                <w:bCs/>
                <w:color w:val="000000"/>
                <w:sz w:val="18"/>
                <w:szCs w:val="18"/>
                <w:lang w:eastAsia="sk-SK"/>
              </w:rPr>
              <w:t> </w:t>
            </w:r>
            <w:r w:rsidRPr="00E20480">
              <w:rPr>
                <w:rFonts w:eastAsia="Times New Roman" w:cs="Times New Roman"/>
                <w:b/>
                <w:bCs/>
                <w:color w:val="000000"/>
                <w:sz w:val="18"/>
                <w:szCs w:val="18"/>
                <w:lang w:eastAsia="sk-SK"/>
              </w:rPr>
              <w:t>európ</w:t>
            </w:r>
            <w:r w:rsidR="001E7D83" w:rsidRPr="00E20480">
              <w:rPr>
                <w:rFonts w:eastAsia="Times New Roman" w:cs="Times New Roman"/>
                <w:b/>
                <w:bCs/>
                <w:color w:val="000000"/>
                <w:sz w:val="18"/>
                <w:szCs w:val="18"/>
                <w:lang w:eastAsia="sk-SK"/>
              </w:rPr>
              <w:t>.</w:t>
            </w:r>
            <w:r w:rsidRPr="00E20480">
              <w:rPr>
                <w:rFonts w:eastAsia="Times New Roman" w:cs="Times New Roman"/>
                <w:b/>
                <w:bCs/>
                <w:color w:val="000000"/>
                <w:sz w:val="18"/>
                <w:szCs w:val="18"/>
                <w:lang w:eastAsia="sk-SK"/>
              </w:rPr>
              <w:t xml:space="preserve"> záležitostí SR</w:t>
            </w:r>
          </w:p>
        </w:tc>
        <w:tc>
          <w:tcPr>
            <w:tcW w:w="900" w:type="dxa"/>
            <w:tcBorders>
              <w:top w:val="nil"/>
              <w:left w:val="nil"/>
              <w:bottom w:val="nil"/>
              <w:right w:val="nil"/>
            </w:tcBorders>
            <w:shd w:val="clear" w:color="000000" w:fill="FFFFFF"/>
            <w:noWrap/>
            <w:vAlign w:val="center"/>
            <w:hideMark/>
          </w:tcPr>
          <w:p w14:paraId="65541431" w14:textId="77777777" w:rsidR="00C2434C" w:rsidRPr="00E20480" w:rsidRDefault="00C2434C" w:rsidP="00151F12">
            <w:pPr>
              <w:spacing w:after="0" w:line="240" w:lineRule="auto"/>
              <w:jc w:val="right"/>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213</w:t>
            </w:r>
          </w:p>
        </w:tc>
        <w:tc>
          <w:tcPr>
            <w:tcW w:w="840" w:type="dxa"/>
            <w:tcBorders>
              <w:top w:val="nil"/>
              <w:left w:val="nil"/>
              <w:bottom w:val="nil"/>
              <w:right w:val="nil"/>
            </w:tcBorders>
            <w:shd w:val="clear" w:color="000000" w:fill="FFFFFF"/>
            <w:noWrap/>
            <w:vAlign w:val="center"/>
            <w:hideMark/>
          </w:tcPr>
          <w:p w14:paraId="65977F4E" w14:textId="77777777" w:rsidR="00C2434C" w:rsidRPr="00E20480" w:rsidRDefault="00C2434C" w:rsidP="00151F12">
            <w:pPr>
              <w:spacing w:after="0" w:line="240" w:lineRule="auto"/>
              <w:jc w:val="right"/>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216</w:t>
            </w:r>
          </w:p>
        </w:tc>
        <w:tc>
          <w:tcPr>
            <w:tcW w:w="964" w:type="dxa"/>
            <w:tcBorders>
              <w:top w:val="nil"/>
              <w:left w:val="nil"/>
              <w:bottom w:val="nil"/>
              <w:right w:val="nil"/>
            </w:tcBorders>
            <w:shd w:val="clear" w:color="000000" w:fill="FFFFFF"/>
            <w:noWrap/>
            <w:vAlign w:val="center"/>
            <w:hideMark/>
          </w:tcPr>
          <w:p w14:paraId="7FFBB590" w14:textId="77777777" w:rsidR="00C2434C" w:rsidRPr="00E20480" w:rsidRDefault="00C2434C" w:rsidP="00151F12">
            <w:pPr>
              <w:spacing w:after="0" w:line="240" w:lineRule="auto"/>
              <w:jc w:val="right"/>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218</w:t>
            </w:r>
          </w:p>
        </w:tc>
        <w:tc>
          <w:tcPr>
            <w:tcW w:w="1027" w:type="dxa"/>
            <w:tcBorders>
              <w:top w:val="nil"/>
              <w:left w:val="nil"/>
              <w:bottom w:val="nil"/>
              <w:right w:val="nil"/>
            </w:tcBorders>
            <w:shd w:val="clear" w:color="000000" w:fill="BFBFBF"/>
            <w:noWrap/>
            <w:vAlign w:val="center"/>
            <w:hideMark/>
          </w:tcPr>
          <w:p w14:paraId="76715A88" w14:textId="77777777" w:rsidR="00C2434C" w:rsidRPr="00E20480" w:rsidRDefault="00C2434C" w:rsidP="00151F12">
            <w:pPr>
              <w:spacing w:after="0" w:line="240" w:lineRule="auto"/>
              <w:jc w:val="right"/>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698</w:t>
            </w:r>
          </w:p>
        </w:tc>
        <w:tc>
          <w:tcPr>
            <w:tcW w:w="880" w:type="dxa"/>
            <w:tcBorders>
              <w:top w:val="nil"/>
              <w:left w:val="nil"/>
              <w:bottom w:val="nil"/>
              <w:right w:val="nil"/>
            </w:tcBorders>
            <w:shd w:val="clear" w:color="000000" w:fill="FFFFFF"/>
            <w:vAlign w:val="center"/>
            <w:hideMark/>
          </w:tcPr>
          <w:p w14:paraId="75AB121B"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480</w:t>
            </w:r>
          </w:p>
        </w:tc>
        <w:tc>
          <w:tcPr>
            <w:tcW w:w="857" w:type="dxa"/>
            <w:tcBorders>
              <w:top w:val="nil"/>
              <w:left w:val="nil"/>
              <w:bottom w:val="nil"/>
              <w:right w:val="nil"/>
            </w:tcBorders>
            <w:shd w:val="clear" w:color="000000" w:fill="FFFFFF"/>
            <w:vAlign w:val="center"/>
            <w:hideMark/>
          </w:tcPr>
          <w:p w14:paraId="3EE29C01"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220,2</w:t>
            </w:r>
          </w:p>
        </w:tc>
      </w:tr>
      <w:tr w:rsidR="00C2434C" w:rsidRPr="00E20480" w14:paraId="20A76AE1" w14:textId="77777777" w:rsidTr="000858FD">
        <w:trPr>
          <w:trHeight w:val="330"/>
        </w:trPr>
        <w:tc>
          <w:tcPr>
            <w:tcW w:w="3828" w:type="dxa"/>
            <w:tcBorders>
              <w:top w:val="nil"/>
              <w:left w:val="nil"/>
              <w:bottom w:val="nil"/>
              <w:right w:val="nil"/>
            </w:tcBorders>
            <w:shd w:val="clear" w:color="000000" w:fill="FFFFFF"/>
            <w:noWrap/>
            <w:vAlign w:val="center"/>
            <w:hideMark/>
          </w:tcPr>
          <w:p w14:paraId="6FBD835A" w14:textId="77777777" w:rsidR="00C2434C" w:rsidRPr="00E20480" w:rsidRDefault="00C2434C" w:rsidP="00151F12">
            <w:pPr>
              <w:spacing w:after="0" w:line="240" w:lineRule="auto"/>
              <w:rPr>
                <w:rFonts w:eastAsia="Times New Roman" w:cs="Times New Roman"/>
                <w:color w:val="000000"/>
                <w:sz w:val="18"/>
                <w:szCs w:val="18"/>
                <w:lang w:eastAsia="sk-SK"/>
              </w:rPr>
            </w:pPr>
            <w:r w:rsidRPr="00E20480">
              <w:rPr>
                <w:rFonts w:eastAsia="Times New Roman" w:cs="Times New Roman"/>
                <w:color w:val="000000"/>
                <w:sz w:val="18"/>
                <w:szCs w:val="18"/>
                <w:lang w:eastAsia="sk-SK"/>
              </w:rPr>
              <w:t xml:space="preserve">     Správa služieb diplomatického zboru, a.s.</w:t>
            </w:r>
          </w:p>
        </w:tc>
        <w:tc>
          <w:tcPr>
            <w:tcW w:w="900" w:type="dxa"/>
            <w:tcBorders>
              <w:top w:val="nil"/>
              <w:left w:val="nil"/>
              <w:bottom w:val="nil"/>
              <w:right w:val="nil"/>
            </w:tcBorders>
            <w:shd w:val="clear" w:color="000000" w:fill="FFFFFF"/>
            <w:noWrap/>
            <w:vAlign w:val="center"/>
            <w:hideMark/>
          </w:tcPr>
          <w:p w14:paraId="5464FBC5"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213</w:t>
            </w:r>
          </w:p>
        </w:tc>
        <w:tc>
          <w:tcPr>
            <w:tcW w:w="840" w:type="dxa"/>
            <w:tcBorders>
              <w:top w:val="nil"/>
              <w:left w:val="nil"/>
              <w:bottom w:val="nil"/>
              <w:right w:val="nil"/>
            </w:tcBorders>
            <w:shd w:val="clear" w:color="000000" w:fill="FFFFFF"/>
            <w:noWrap/>
            <w:vAlign w:val="center"/>
            <w:hideMark/>
          </w:tcPr>
          <w:p w14:paraId="411B99F2"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216</w:t>
            </w:r>
          </w:p>
        </w:tc>
        <w:tc>
          <w:tcPr>
            <w:tcW w:w="964" w:type="dxa"/>
            <w:tcBorders>
              <w:top w:val="nil"/>
              <w:left w:val="nil"/>
              <w:bottom w:val="nil"/>
              <w:right w:val="nil"/>
            </w:tcBorders>
            <w:shd w:val="clear" w:color="000000" w:fill="FFFFFF"/>
            <w:noWrap/>
            <w:vAlign w:val="center"/>
            <w:hideMark/>
          </w:tcPr>
          <w:p w14:paraId="5AEDA989"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218</w:t>
            </w:r>
          </w:p>
        </w:tc>
        <w:tc>
          <w:tcPr>
            <w:tcW w:w="1027" w:type="dxa"/>
            <w:tcBorders>
              <w:top w:val="nil"/>
              <w:left w:val="nil"/>
              <w:bottom w:val="nil"/>
              <w:right w:val="nil"/>
            </w:tcBorders>
            <w:shd w:val="clear" w:color="000000" w:fill="BFBFBF"/>
            <w:noWrap/>
            <w:vAlign w:val="center"/>
            <w:hideMark/>
          </w:tcPr>
          <w:p w14:paraId="6A8DD7B1"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698</w:t>
            </w:r>
          </w:p>
        </w:tc>
        <w:tc>
          <w:tcPr>
            <w:tcW w:w="880" w:type="dxa"/>
            <w:tcBorders>
              <w:top w:val="nil"/>
              <w:left w:val="nil"/>
              <w:bottom w:val="nil"/>
              <w:right w:val="nil"/>
            </w:tcBorders>
            <w:shd w:val="clear" w:color="000000" w:fill="FFFFFF"/>
            <w:vAlign w:val="center"/>
            <w:hideMark/>
          </w:tcPr>
          <w:p w14:paraId="5E9882DB"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480</w:t>
            </w:r>
          </w:p>
        </w:tc>
        <w:tc>
          <w:tcPr>
            <w:tcW w:w="857" w:type="dxa"/>
            <w:tcBorders>
              <w:top w:val="nil"/>
              <w:left w:val="nil"/>
              <w:bottom w:val="nil"/>
              <w:right w:val="nil"/>
            </w:tcBorders>
            <w:shd w:val="clear" w:color="000000" w:fill="FFFFFF"/>
            <w:vAlign w:val="center"/>
            <w:hideMark/>
          </w:tcPr>
          <w:p w14:paraId="1BE0F86F"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220,2</w:t>
            </w:r>
          </w:p>
        </w:tc>
      </w:tr>
      <w:tr w:rsidR="00C2434C" w:rsidRPr="00E20480" w14:paraId="42E3CEBC" w14:textId="77777777" w:rsidTr="000858FD">
        <w:trPr>
          <w:trHeight w:val="330"/>
        </w:trPr>
        <w:tc>
          <w:tcPr>
            <w:tcW w:w="3828" w:type="dxa"/>
            <w:tcBorders>
              <w:top w:val="nil"/>
              <w:left w:val="nil"/>
              <w:bottom w:val="nil"/>
              <w:right w:val="nil"/>
            </w:tcBorders>
            <w:shd w:val="clear" w:color="000000" w:fill="FFFFFF"/>
            <w:noWrap/>
            <w:vAlign w:val="center"/>
            <w:hideMark/>
          </w:tcPr>
          <w:p w14:paraId="4EA299DA" w14:textId="77777777" w:rsidR="00C2434C" w:rsidRPr="00E20480" w:rsidRDefault="00C2434C" w:rsidP="00151F12">
            <w:pPr>
              <w:spacing w:after="0" w:line="240" w:lineRule="auto"/>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Ministerstvo práce, sociálnych vecí a rodiny SR</w:t>
            </w:r>
          </w:p>
        </w:tc>
        <w:tc>
          <w:tcPr>
            <w:tcW w:w="900" w:type="dxa"/>
            <w:tcBorders>
              <w:top w:val="nil"/>
              <w:left w:val="nil"/>
              <w:bottom w:val="nil"/>
              <w:right w:val="nil"/>
            </w:tcBorders>
            <w:shd w:val="clear" w:color="000000" w:fill="FFFFFF"/>
            <w:noWrap/>
            <w:vAlign w:val="center"/>
            <w:hideMark/>
          </w:tcPr>
          <w:p w14:paraId="4EF51025" w14:textId="77777777" w:rsidR="00C2434C" w:rsidRPr="00E20480" w:rsidRDefault="00C2434C" w:rsidP="00151F12">
            <w:pPr>
              <w:spacing w:after="0" w:line="240" w:lineRule="auto"/>
              <w:jc w:val="right"/>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63</w:t>
            </w:r>
          </w:p>
        </w:tc>
        <w:tc>
          <w:tcPr>
            <w:tcW w:w="840" w:type="dxa"/>
            <w:tcBorders>
              <w:top w:val="nil"/>
              <w:left w:val="nil"/>
              <w:bottom w:val="nil"/>
              <w:right w:val="nil"/>
            </w:tcBorders>
            <w:shd w:val="clear" w:color="000000" w:fill="FFFFFF"/>
            <w:noWrap/>
            <w:vAlign w:val="center"/>
            <w:hideMark/>
          </w:tcPr>
          <w:p w14:paraId="2A792E04" w14:textId="77777777" w:rsidR="00C2434C" w:rsidRPr="00E20480" w:rsidRDefault="00C2434C" w:rsidP="00151F12">
            <w:pPr>
              <w:spacing w:after="0" w:line="240" w:lineRule="auto"/>
              <w:jc w:val="right"/>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53</w:t>
            </w:r>
          </w:p>
        </w:tc>
        <w:tc>
          <w:tcPr>
            <w:tcW w:w="964" w:type="dxa"/>
            <w:tcBorders>
              <w:top w:val="nil"/>
              <w:left w:val="nil"/>
              <w:bottom w:val="nil"/>
              <w:right w:val="nil"/>
            </w:tcBorders>
            <w:shd w:val="clear" w:color="000000" w:fill="FFFFFF"/>
            <w:noWrap/>
            <w:vAlign w:val="center"/>
            <w:hideMark/>
          </w:tcPr>
          <w:p w14:paraId="05E70960" w14:textId="77777777" w:rsidR="00C2434C" w:rsidRPr="00E20480" w:rsidRDefault="00C2434C" w:rsidP="00151F12">
            <w:pPr>
              <w:spacing w:after="0" w:line="240" w:lineRule="auto"/>
              <w:jc w:val="right"/>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33</w:t>
            </w:r>
          </w:p>
        </w:tc>
        <w:tc>
          <w:tcPr>
            <w:tcW w:w="1027" w:type="dxa"/>
            <w:tcBorders>
              <w:top w:val="nil"/>
              <w:left w:val="nil"/>
              <w:bottom w:val="nil"/>
              <w:right w:val="nil"/>
            </w:tcBorders>
            <w:shd w:val="clear" w:color="000000" w:fill="BFBFBF"/>
            <w:noWrap/>
            <w:vAlign w:val="center"/>
            <w:hideMark/>
          </w:tcPr>
          <w:p w14:paraId="0B5F6B04" w14:textId="77777777" w:rsidR="00C2434C" w:rsidRPr="00E20480" w:rsidRDefault="00C2434C" w:rsidP="00151F12">
            <w:pPr>
              <w:spacing w:after="0" w:line="240" w:lineRule="auto"/>
              <w:jc w:val="right"/>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0</w:t>
            </w:r>
          </w:p>
        </w:tc>
        <w:tc>
          <w:tcPr>
            <w:tcW w:w="880" w:type="dxa"/>
            <w:tcBorders>
              <w:top w:val="nil"/>
              <w:left w:val="nil"/>
              <w:bottom w:val="nil"/>
              <w:right w:val="nil"/>
            </w:tcBorders>
            <w:shd w:val="clear" w:color="000000" w:fill="FFFFFF"/>
            <w:vAlign w:val="center"/>
            <w:hideMark/>
          </w:tcPr>
          <w:p w14:paraId="66992256"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-33</w:t>
            </w:r>
          </w:p>
        </w:tc>
        <w:tc>
          <w:tcPr>
            <w:tcW w:w="857" w:type="dxa"/>
            <w:tcBorders>
              <w:top w:val="nil"/>
              <w:left w:val="nil"/>
              <w:bottom w:val="nil"/>
              <w:right w:val="nil"/>
            </w:tcBorders>
            <w:shd w:val="clear" w:color="000000" w:fill="FFFFFF"/>
            <w:vAlign w:val="center"/>
            <w:hideMark/>
          </w:tcPr>
          <w:p w14:paraId="1BC72BB0"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-100,0</w:t>
            </w:r>
          </w:p>
        </w:tc>
      </w:tr>
      <w:tr w:rsidR="00C2434C" w:rsidRPr="00E20480" w14:paraId="045AB7B0" w14:textId="77777777" w:rsidTr="000858FD">
        <w:trPr>
          <w:trHeight w:val="330"/>
        </w:trPr>
        <w:tc>
          <w:tcPr>
            <w:tcW w:w="3828" w:type="dxa"/>
            <w:tcBorders>
              <w:top w:val="nil"/>
              <w:left w:val="nil"/>
              <w:bottom w:val="nil"/>
              <w:right w:val="nil"/>
            </w:tcBorders>
            <w:shd w:val="clear" w:color="000000" w:fill="FFFFFF"/>
            <w:noWrap/>
            <w:vAlign w:val="center"/>
            <w:hideMark/>
          </w:tcPr>
          <w:p w14:paraId="387EED4C" w14:textId="2FE2EE48" w:rsidR="00C2434C" w:rsidRPr="00E20480" w:rsidRDefault="00C2434C" w:rsidP="001E7D83">
            <w:pPr>
              <w:spacing w:after="0" w:line="240" w:lineRule="auto"/>
              <w:rPr>
                <w:rFonts w:eastAsia="Times New Roman" w:cs="Times New Roman"/>
                <w:color w:val="000000"/>
                <w:sz w:val="18"/>
                <w:szCs w:val="18"/>
                <w:lang w:eastAsia="sk-SK"/>
              </w:rPr>
            </w:pPr>
            <w:r w:rsidRPr="00E20480">
              <w:rPr>
                <w:rFonts w:eastAsia="Times New Roman" w:cs="Times New Roman"/>
                <w:color w:val="000000"/>
                <w:sz w:val="18"/>
                <w:szCs w:val="18"/>
                <w:lang w:eastAsia="sk-SK"/>
              </w:rPr>
              <w:t xml:space="preserve">     Technická inšpekcia, a.s. </w:t>
            </w:r>
          </w:p>
        </w:tc>
        <w:tc>
          <w:tcPr>
            <w:tcW w:w="900" w:type="dxa"/>
            <w:tcBorders>
              <w:top w:val="nil"/>
              <w:left w:val="nil"/>
              <w:bottom w:val="nil"/>
              <w:right w:val="nil"/>
            </w:tcBorders>
            <w:shd w:val="clear" w:color="000000" w:fill="FFFFFF"/>
            <w:noWrap/>
            <w:vAlign w:val="center"/>
            <w:hideMark/>
          </w:tcPr>
          <w:p w14:paraId="78623EC5"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63</w:t>
            </w:r>
          </w:p>
        </w:tc>
        <w:tc>
          <w:tcPr>
            <w:tcW w:w="840" w:type="dxa"/>
            <w:tcBorders>
              <w:top w:val="nil"/>
              <w:left w:val="nil"/>
              <w:bottom w:val="nil"/>
              <w:right w:val="nil"/>
            </w:tcBorders>
            <w:shd w:val="clear" w:color="000000" w:fill="FFFFFF"/>
            <w:noWrap/>
            <w:vAlign w:val="center"/>
            <w:hideMark/>
          </w:tcPr>
          <w:p w14:paraId="6C0EF450"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53</w:t>
            </w:r>
          </w:p>
        </w:tc>
        <w:tc>
          <w:tcPr>
            <w:tcW w:w="964" w:type="dxa"/>
            <w:tcBorders>
              <w:top w:val="nil"/>
              <w:left w:val="nil"/>
              <w:bottom w:val="nil"/>
              <w:right w:val="nil"/>
            </w:tcBorders>
            <w:shd w:val="clear" w:color="000000" w:fill="FFFFFF"/>
            <w:noWrap/>
            <w:vAlign w:val="center"/>
            <w:hideMark/>
          </w:tcPr>
          <w:p w14:paraId="14BF9EDF"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33</w:t>
            </w:r>
          </w:p>
        </w:tc>
        <w:tc>
          <w:tcPr>
            <w:tcW w:w="1027" w:type="dxa"/>
            <w:tcBorders>
              <w:top w:val="nil"/>
              <w:left w:val="nil"/>
              <w:bottom w:val="nil"/>
              <w:right w:val="nil"/>
            </w:tcBorders>
            <w:shd w:val="clear" w:color="000000" w:fill="BFBFBF"/>
            <w:noWrap/>
            <w:vAlign w:val="center"/>
            <w:hideMark/>
          </w:tcPr>
          <w:p w14:paraId="163E8397"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0</w:t>
            </w:r>
          </w:p>
        </w:tc>
        <w:tc>
          <w:tcPr>
            <w:tcW w:w="880" w:type="dxa"/>
            <w:tcBorders>
              <w:top w:val="nil"/>
              <w:left w:val="nil"/>
              <w:bottom w:val="nil"/>
              <w:right w:val="nil"/>
            </w:tcBorders>
            <w:shd w:val="clear" w:color="000000" w:fill="FFFFFF"/>
            <w:vAlign w:val="center"/>
            <w:hideMark/>
          </w:tcPr>
          <w:p w14:paraId="774B02A1"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-33</w:t>
            </w:r>
          </w:p>
        </w:tc>
        <w:tc>
          <w:tcPr>
            <w:tcW w:w="857" w:type="dxa"/>
            <w:tcBorders>
              <w:top w:val="nil"/>
              <w:left w:val="nil"/>
              <w:bottom w:val="nil"/>
              <w:right w:val="nil"/>
            </w:tcBorders>
            <w:shd w:val="clear" w:color="000000" w:fill="FFFFFF"/>
            <w:vAlign w:val="center"/>
            <w:hideMark/>
          </w:tcPr>
          <w:p w14:paraId="13B0E555" w14:textId="77777777" w:rsidR="00C2434C" w:rsidRPr="00E20480" w:rsidRDefault="00C2434C" w:rsidP="00151F12">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-100,0</w:t>
            </w:r>
          </w:p>
        </w:tc>
      </w:tr>
      <w:tr w:rsidR="00C2434C" w:rsidRPr="00E20480" w14:paraId="2A117B83" w14:textId="77777777" w:rsidTr="000858FD">
        <w:trPr>
          <w:trHeight w:val="345"/>
        </w:trPr>
        <w:tc>
          <w:tcPr>
            <w:tcW w:w="3828" w:type="dxa"/>
            <w:tcBorders>
              <w:top w:val="single" w:sz="4" w:space="0" w:color="auto"/>
              <w:left w:val="nil"/>
              <w:bottom w:val="single" w:sz="8" w:space="0" w:color="auto"/>
              <w:right w:val="nil"/>
            </w:tcBorders>
            <w:shd w:val="clear" w:color="000000" w:fill="FFFFFF"/>
            <w:noWrap/>
            <w:vAlign w:val="center"/>
            <w:hideMark/>
          </w:tcPr>
          <w:p w14:paraId="165092EC" w14:textId="77777777" w:rsidR="00C2434C" w:rsidRPr="00E20480" w:rsidRDefault="00C2434C" w:rsidP="00151F12">
            <w:pPr>
              <w:spacing w:after="0" w:line="240" w:lineRule="auto"/>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Spolu</w:t>
            </w:r>
          </w:p>
        </w:tc>
        <w:tc>
          <w:tcPr>
            <w:tcW w:w="900" w:type="dxa"/>
            <w:tcBorders>
              <w:top w:val="single" w:sz="4" w:space="0" w:color="auto"/>
              <w:left w:val="nil"/>
              <w:bottom w:val="single" w:sz="8" w:space="0" w:color="auto"/>
              <w:right w:val="nil"/>
            </w:tcBorders>
            <w:shd w:val="clear" w:color="000000" w:fill="FFFFFF"/>
            <w:noWrap/>
            <w:vAlign w:val="center"/>
            <w:hideMark/>
          </w:tcPr>
          <w:p w14:paraId="2C21209B" w14:textId="77777777" w:rsidR="00C2434C" w:rsidRPr="00E20480" w:rsidRDefault="00C2434C" w:rsidP="00151F12">
            <w:pPr>
              <w:spacing w:after="0" w:line="240" w:lineRule="auto"/>
              <w:jc w:val="right"/>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438 596</w:t>
            </w:r>
          </w:p>
        </w:tc>
        <w:tc>
          <w:tcPr>
            <w:tcW w:w="840" w:type="dxa"/>
            <w:tcBorders>
              <w:top w:val="single" w:sz="4" w:space="0" w:color="auto"/>
              <w:left w:val="nil"/>
              <w:bottom w:val="single" w:sz="8" w:space="0" w:color="auto"/>
              <w:right w:val="nil"/>
            </w:tcBorders>
            <w:shd w:val="clear" w:color="000000" w:fill="FFFFFF"/>
            <w:noWrap/>
            <w:vAlign w:val="center"/>
            <w:hideMark/>
          </w:tcPr>
          <w:p w14:paraId="0DECAEFB" w14:textId="77777777" w:rsidR="00C2434C" w:rsidRPr="00E20480" w:rsidRDefault="00C2434C" w:rsidP="00151F12">
            <w:pPr>
              <w:spacing w:after="0" w:line="240" w:lineRule="auto"/>
              <w:jc w:val="right"/>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504 450</w:t>
            </w:r>
          </w:p>
        </w:tc>
        <w:tc>
          <w:tcPr>
            <w:tcW w:w="964" w:type="dxa"/>
            <w:tcBorders>
              <w:top w:val="single" w:sz="4" w:space="0" w:color="auto"/>
              <w:left w:val="nil"/>
              <w:bottom w:val="single" w:sz="8" w:space="0" w:color="auto"/>
              <w:right w:val="nil"/>
            </w:tcBorders>
            <w:shd w:val="clear" w:color="000000" w:fill="FFFFFF"/>
            <w:noWrap/>
            <w:vAlign w:val="center"/>
            <w:hideMark/>
          </w:tcPr>
          <w:p w14:paraId="4C019066" w14:textId="77777777" w:rsidR="00C2434C" w:rsidRPr="00E20480" w:rsidRDefault="00C2434C" w:rsidP="00151F12">
            <w:pPr>
              <w:spacing w:after="0" w:line="240" w:lineRule="auto"/>
              <w:jc w:val="right"/>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442 434</w:t>
            </w:r>
          </w:p>
        </w:tc>
        <w:tc>
          <w:tcPr>
            <w:tcW w:w="1027" w:type="dxa"/>
            <w:tcBorders>
              <w:top w:val="single" w:sz="4" w:space="0" w:color="auto"/>
              <w:left w:val="nil"/>
              <w:bottom w:val="single" w:sz="8" w:space="0" w:color="auto"/>
              <w:right w:val="nil"/>
            </w:tcBorders>
            <w:shd w:val="clear" w:color="000000" w:fill="BFBFBF"/>
            <w:noWrap/>
            <w:vAlign w:val="center"/>
            <w:hideMark/>
          </w:tcPr>
          <w:p w14:paraId="730D8240" w14:textId="77777777" w:rsidR="00C2434C" w:rsidRPr="00E20480" w:rsidRDefault="00C2434C" w:rsidP="00151F12">
            <w:pPr>
              <w:spacing w:after="0" w:line="240" w:lineRule="auto"/>
              <w:jc w:val="right"/>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428 129</w:t>
            </w:r>
          </w:p>
        </w:tc>
        <w:tc>
          <w:tcPr>
            <w:tcW w:w="880" w:type="dxa"/>
            <w:tcBorders>
              <w:top w:val="single" w:sz="4" w:space="0" w:color="auto"/>
              <w:left w:val="nil"/>
              <w:bottom w:val="single" w:sz="8" w:space="0" w:color="auto"/>
              <w:right w:val="nil"/>
            </w:tcBorders>
            <w:shd w:val="clear" w:color="000000" w:fill="FFFFFF"/>
            <w:noWrap/>
            <w:vAlign w:val="center"/>
            <w:hideMark/>
          </w:tcPr>
          <w:p w14:paraId="684AD259" w14:textId="77777777" w:rsidR="00C2434C" w:rsidRPr="00E20480" w:rsidRDefault="00C2434C" w:rsidP="00151F12">
            <w:pPr>
              <w:spacing w:after="0" w:line="240" w:lineRule="auto"/>
              <w:jc w:val="right"/>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-14 305</w:t>
            </w:r>
          </w:p>
        </w:tc>
        <w:tc>
          <w:tcPr>
            <w:tcW w:w="857" w:type="dxa"/>
            <w:tcBorders>
              <w:top w:val="single" w:sz="4" w:space="0" w:color="auto"/>
              <w:left w:val="nil"/>
              <w:bottom w:val="single" w:sz="8" w:space="0" w:color="auto"/>
              <w:right w:val="nil"/>
            </w:tcBorders>
            <w:shd w:val="clear" w:color="000000" w:fill="FFFFFF"/>
            <w:noWrap/>
            <w:vAlign w:val="center"/>
            <w:hideMark/>
          </w:tcPr>
          <w:p w14:paraId="19749F57" w14:textId="77777777" w:rsidR="00C2434C" w:rsidRPr="00E20480" w:rsidRDefault="00C2434C" w:rsidP="00151F12">
            <w:pPr>
              <w:spacing w:after="0" w:line="240" w:lineRule="auto"/>
              <w:jc w:val="right"/>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-3,2</w:t>
            </w:r>
          </w:p>
        </w:tc>
      </w:tr>
    </w:tbl>
    <w:p w14:paraId="7BBC1F30" w14:textId="454E3654" w:rsidR="00C2434C" w:rsidRDefault="00E20480" w:rsidP="00C2434C">
      <w:pPr>
        <w:ind w:left="7080"/>
        <w:rPr>
          <w:sz w:val="18"/>
          <w:szCs w:val="18"/>
        </w:rPr>
      </w:pPr>
      <w:r>
        <w:rPr>
          <w:sz w:val="18"/>
          <w:szCs w:val="18"/>
        </w:rPr>
        <w:t xml:space="preserve">               </w:t>
      </w:r>
      <w:r w:rsidR="00C26DDF">
        <w:rPr>
          <w:sz w:val="18"/>
          <w:szCs w:val="18"/>
        </w:rPr>
        <w:t xml:space="preserve">        </w:t>
      </w:r>
      <w:r>
        <w:rPr>
          <w:sz w:val="18"/>
          <w:szCs w:val="18"/>
        </w:rPr>
        <w:t xml:space="preserve">  </w:t>
      </w:r>
      <w:r w:rsidR="00C2434C" w:rsidRPr="00CF4D78">
        <w:rPr>
          <w:sz w:val="18"/>
          <w:szCs w:val="18"/>
        </w:rPr>
        <w:t>Zdroj: MF SR</w:t>
      </w:r>
    </w:p>
    <w:p w14:paraId="7B056307" w14:textId="72A417FF" w:rsidR="00C2434C" w:rsidRPr="008E6BBC" w:rsidRDefault="00C2434C" w:rsidP="001665F3">
      <w:pPr>
        <w:tabs>
          <w:tab w:val="left" w:pos="284"/>
        </w:tabs>
        <w:spacing w:line="240" w:lineRule="auto"/>
        <w:rPr>
          <w:color w:val="000000" w:themeColor="text1"/>
          <w:sz w:val="24"/>
          <w:szCs w:val="24"/>
        </w:rPr>
      </w:pPr>
      <w:r w:rsidRPr="008E6BBC">
        <w:rPr>
          <w:color w:val="000000" w:themeColor="text1"/>
          <w:sz w:val="24"/>
          <w:szCs w:val="24"/>
        </w:rPr>
        <w:t xml:space="preserve">Celková výška prijatých dividend v roku 2020 bola v sume 428 129 tis. eur. Najvyšší príjem z dividend bol v kapitole </w:t>
      </w:r>
      <w:r w:rsidRPr="008E6BBC">
        <w:rPr>
          <w:color w:val="000000" w:themeColor="text1"/>
          <w:sz w:val="24"/>
          <w:szCs w:val="24"/>
          <w:u w:val="single"/>
        </w:rPr>
        <w:t>Všeobecná pokladničná správa</w:t>
      </w:r>
      <w:r w:rsidRPr="008E6BBC">
        <w:rPr>
          <w:color w:val="000000" w:themeColor="text1"/>
          <w:sz w:val="24"/>
          <w:szCs w:val="24"/>
        </w:rPr>
        <w:t xml:space="preserve"> v sume 418 035 tis. eur, do rozpočtu ktorej patria dividendy od Slovenského plynárenského priemyslu, a. s. a jednotlivých energetických spoločností. Druhý najvyšší príjem dosiahlo </w:t>
      </w:r>
      <w:r w:rsidRPr="0079276B">
        <w:rPr>
          <w:color w:val="000000" w:themeColor="text1"/>
          <w:sz w:val="24"/>
          <w:szCs w:val="24"/>
          <w:u w:val="single"/>
        </w:rPr>
        <w:t>Ministerstvo financií SR</w:t>
      </w:r>
      <w:r w:rsidRPr="008E6BBC">
        <w:rPr>
          <w:color w:val="000000" w:themeColor="text1"/>
          <w:sz w:val="24"/>
          <w:szCs w:val="24"/>
        </w:rPr>
        <w:t>, ktoré získalo z dividend 6 444 tis. eur, ale táto kapitola zaznamenala aj najvyšší medziročný pokles, a to až v sume 54 538 tis. eur.</w:t>
      </w:r>
      <w:r w:rsidRPr="008E6BBC">
        <w:rPr>
          <w:color w:val="FF0000"/>
          <w:sz w:val="24"/>
          <w:szCs w:val="24"/>
        </w:rPr>
        <w:t xml:space="preserve"> </w:t>
      </w:r>
      <w:r w:rsidRPr="008E6BBC">
        <w:rPr>
          <w:color w:val="000000" w:themeColor="text1"/>
          <w:sz w:val="24"/>
          <w:szCs w:val="24"/>
        </w:rPr>
        <w:t>Celkové príjmy z dividend v kapitole Ministerstva financií SR boli rozpočtované v objeme 21 480 tis. eur, avšak boli znížené rozpočtovým opatrením. Dôvodom bolo najmä neplnenie príjmov z dividend od Slovenskej elektrizačnej prenosovej sústavy, a. s., keďže riadne valné zhromaždenie spoločnosti schválilo preúčtovanie dosiahnutého zisku po zdanení za rok 2019 do nerozdeleného zisku. Schválený rozpočet dividend od tejto spoločnosti sa tak znížil o 14 716 tis. eur.</w:t>
      </w:r>
    </w:p>
    <w:p w14:paraId="73F30168" w14:textId="77777777" w:rsidR="00C2434C" w:rsidRPr="008E6BBC" w:rsidRDefault="00C2434C" w:rsidP="001665F3">
      <w:pPr>
        <w:tabs>
          <w:tab w:val="left" w:pos="284"/>
        </w:tabs>
        <w:spacing w:line="240" w:lineRule="auto"/>
        <w:rPr>
          <w:color w:val="000000" w:themeColor="text1"/>
          <w:sz w:val="24"/>
          <w:szCs w:val="24"/>
        </w:rPr>
      </w:pPr>
      <w:r w:rsidRPr="008E6BBC">
        <w:rPr>
          <w:b/>
          <w:i/>
          <w:color w:val="000000" w:themeColor="text1"/>
          <w:sz w:val="24"/>
          <w:szCs w:val="24"/>
        </w:rPr>
        <w:t>Príjmy z vlastníctva</w:t>
      </w:r>
      <w:r w:rsidRPr="008E6BBC">
        <w:rPr>
          <w:color w:val="000000" w:themeColor="text1"/>
          <w:sz w:val="24"/>
          <w:szCs w:val="24"/>
        </w:rPr>
        <w:t xml:space="preserve"> dosiahli 5 529 tis. eur, z toho najviac v rozpočte Ministerstva vnútra SR 1 339 tis. eur,</w:t>
      </w:r>
      <w:r w:rsidRPr="008E6BBC">
        <w:rPr>
          <w:color w:val="FF0000"/>
          <w:sz w:val="24"/>
          <w:szCs w:val="24"/>
        </w:rPr>
        <w:t xml:space="preserve"> </w:t>
      </w:r>
      <w:r w:rsidRPr="008E6BBC">
        <w:rPr>
          <w:color w:val="000000" w:themeColor="text1"/>
          <w:sz w:val="24"/>
          <w:szCs w:val="24"/>
        </w:rPr>
        <w:t>Ministerstva spravodlivosti SR 737 tis. eur, Ministerstva zdravotníctva SR 620 tis. eur a Ministerstva zahraničných vecí a európskych záležitostí SR 610 tis. eur. Z celkovej sumy tvorili najviac príjmy z prenájmu budov a priestorov 4 317 tis. eur a príjmy z prenájmu pozemkov 708 tis. eur.</w:t>
      </w:r>
    </w:p>
    <w:p w14:paraId="462338D2" w14:textId="7BC8295C" w:rsidR="000203FA" w:rsidRPr="008E6BBC" w:rsidRDefault="000203FA" w:rsidP="001665F3">
      <w:pPr>
        <w:tabs>
          <w:tab w:val="left" w:pos="284"/>
        </w:tabs>
        <w:spacing w:line="240" w:lineRule="auto"/>
        <w:rPr>
          <w:color w:val="000000" w:themeColor="text1"/>
          <w:sz w:val="24"/>
          <w:szCs w:val="24"/>
        </w:rPr>
      </w:pPr>
      <w:r w:rsidRPr="008E6BBC">
        <w:rPr>
          <w:b/>
          <w:i/>
          <w:color w:val="000000" w:themeColor="text1"/>
          <w:sz w:val="24"/>
          <w:szCs w:val="24"/>
        </w:rPr>
        <w:t>Iné príjmy z podnikania</w:t>
      </w:r>
      <w:r w:rsidRPr="008E6BBC">
        <w:rPr>
          <w:color w:val="000000" w:themeColor="text1"/>
          <w:sz w:val="24"/>
          <w:szCs w:val="24"/>
        </w:rPr>
        <w:t xml:space="preserve"> v celkovej sume 609 tis. eur sú oproti roku 2019 nižšie až o 5 008 tis. eur nakoľko v nich už nie je zahrnutý osobitný odvod zo zisku po zdanení, ktorý prijímalo v minulých rokoch Ministerstvo pôdohospodárstva a rozvoja vidieka SR od štátneho podniku Lesy SR, š. p.</w:t>
      </w:r>
      <w:r w:rsidRPr="008E6BBC">
        <w:rPr>
          <w:color w:val="FF0000"/>
          <w:sz w:val="24"/>
          <w:szCs w:val="24"/>
        </w:rPr>
        <w:t xml:space="preserve"> </w:t>
      </w:r>
      <w:r w:rsidRPr="008E6BBC">
        <w:rPr>
          <w:color w:val="000000" w:themeColor="text1"/>
          <w:sz w:val="24"/>
          <w:szCs w:val="24"/>
        </w:rPr>
        <w:t xml:space="preserve">Tieto prostriedky už za rok 2020 </w:t>
      </w:r>
      <w:r w:rsidR="000812C5" w:rsidRPr="008E6BBC">
        <w:rPr>
          <w:color w:val="000000" w:themeColor="text1"/>
          <w:sz w:val="24"/>
          <w:szCs w:val="24"/>
        </w:rPr>
        <w:t>boli</w:t>
      </w:r>
      <w:r w:rsidRPr="008E6BBC">
        <w:rPr>
          <w:color w:val="000000" w:themeColor="text1"/>
          <w:sz w:val="24"/>
          <w:szCs w:val="24"/>
        </w:rPr>
        <w:t xml:space="preserve"> ponechané priamo v podniku Lesy SR, š. p. ako posilnenie zdrojov na financovanie činností štátneho podniku. Z celkovo prijatej sumy iných príjmov z podnikania </w:t>
      </w:r>
      <w:r w:rsidRPr="0079276B">
        <w:rPr>
          <w:color w:val="000000" w:themeColor="text1"/>
          <w:sz w:val="24"/>
          <w:szCs w:val="24"/>
        </w:rPr>
        <w:t>dosiahlo Ministerstvo financií SR 250 tis. eur od Exportno-importnej banky SR, Ministerstvo životného prostredia SR 200 tis. eur</w:t>
      </w:r>
      <w:r w:rsidRPr="008E6BBC">
        <w:rPr>
          <w:color w:val="000000" w:themeColor="text1"/>
          <w:sz w:val="24"/>
          <w:szCs w:val="24"/>
        </w:rPr>
        <w:t xml:space="preserve"> od Vodohospodárskej výstavby, š. p. a Ministerstvo dopravy a výstavby SR čiastku 147 tis. eur ako podiel zo zisku plynúceho z výnosov z prenájmu odpočívadiel za rok 2019.</w:t>
      </w:r>
    </w:p>
    <w:p w14:paraId="4C89E306" w14:textId="77777777" w:rsidR="00C2434C" w:rsidRPr="008E6BBC" w:rsidRDefault="00C2434C" w:rsidP="001665F3">
      <w:pPr>
        <w:tabs>
          <w:tab w:val="left" w:pos="284"/>
        </w:tabs>
        <w:spacing w:line="240" w:lineRule="auto"/>
        <w:rPr>
          <w:color w:val="000000" w:themeColor="text1"/>
          <w:sz w:val="24"/>
          <w:szCs w:val="24"/>
        </w:rPr>
      </w:pPr>
      <w:r w:rsidRPr="008E6BBC">
        <w:rPr>
          <w:b/>
          <w:color w:val="000000" w:themeColor="text1"/>
          <w:sz w:val="24"/>
          <w:szCs w:val="24"/>
        </w:rPr>
        <w:t>Príjem z administratívnych poplatkov a iných poplatkov a platieb</w:t>
      </w:r>
      <w:r w:rsidRPr="008E6BBC">
        <w:rPr>
          <w:color w:val="000000" w:themeColor="text1"/>
          <w:sz w:val="24"/>
          <w:szCs w:val="24"/>
        </w:rPr>
        <w:t xml:space="preserve"> závisí od počtu jednotlivých konaní v priebehu roka. Schválený rozpočet vo výške 310 208 tis. eur dosiahol plnenie o 77 754 tis. eur vyššie (387 962 tis. eur), čo je za posledné tri roky najviac.</w:t>
      </w:r>
    </w:p>
    <w:p w14:paraId="60D73AEA" w14:textId="77777777" w:rsidR="00C2434C" w:rsidRDefault="00C2434C" w:rsidP="001665F3">
      <w:pPr>
        <w:spacing w:line="240" w:lineRule="auto"/>
      </w:pPr>
      <w:r w:rsidRPr="008E6BBC">
        <w:rPr>
          <w:sz w:val="24"/>
          <w:szCs w:val="24"/>
        </w:rPr>
        <w:t>Súhrnný prehľad o plnení administratívnych poplatkov a iných poplatkov a platieb poskytuje nasledovná tabuľka:</w:t>
      </w:r>
    </w:p>
    <w:tbl>
      <w:tblPr>
        <w:tblW w:w="9204" w:type="dxa"/>
        <w:tblLayout w:type="fixed"/>
        <w:tblCellMar>
          <w:left w:w="70" w:type="dxa"/>
          <w:right w:w="70" w:type="dxa"/>
        </w:tblCellMar>
        <w:tblLook w:val="04A0" w:firstRow="1" w:lastRow="0" w:firstColumn="1" w:lastColumn="0" w:noHBand="0" w:noVBand="1"/>
      </w:tblPr>
      <w:tblGrid>
        <w:gridCol w:w="3676"/>
        <w:gridCol w:w="992"/>
        <w:gridCol w:w="1134"/>
        <w:gridCol w:w="851"/>
        <w:gridCol w:w="1134"/>
        <w:gridCol w:w="708"/>
        <w:gridCol w:w="709"/>
      </w:tblGrid>
      <w:tr w:rsidR="004B5D5E" w:rsidRPr="00E20480" w14:paraId="408BC5AF" w14:textId="77777777" w:rsidTr="00414CFB">
        <w:trPr>
          <w:trHeight w:val="330"/>
        </w:trPr>
        <w:tc>
          <w:tcPr>
            <w:tcW w:w="9204" w:type="dxa"/>
            <w:gridSpan w:val="7"/>
            <w:tcBorders>
              <w:top w:val="nil"/>
              <w:left w:val="single" w:sz="8" w:space="0" w:color="auto"/>
              <w:bottom w:val="nil"/>
              <w:right w:val="nil"/>
            </w:tcBorders>
            <w:shd w:val="clear" w:color="000000" w:fill="000000"/>
            <w:vAlign w:val="center"/>
            <w:hideMark/>
          </w:tcPr>
          <w:p w14:paraId="0F7CC484" w14:textId="1BE77CF5" w:rsidR="004B5D5E" w:rsidRPr="00E20480" w:rsidRDefault="004B5D5E" w:rsidP="004B5D5E">
            <w:pPr>
              <w:spacing w:after="0" w:line="240" w:lineRule="auto"/>
              <w:jc w:val="left"/>
              <w:rPr>
                <w:rFonts w:eastAsia="Times New Roman" w:cs="Times New Roman"/>
                <w:b/>
                <w:bCs/>
                <w:color w:val="FFFFFF"/>
                <w:sz w:val="18"/>
                <w:szCs w:val="18"/>
                <w:lang w:eastAsia="sk-SK"/>
              </w:rPr>
            </w:pPr>
            <w:r w:rsidRPr="00E20480">
              <w:rPr>
                <w:rFonts w:eastAsia="Times New Roman" w:cs="Times New Roman"/>
                <w:b/>
                <w:bCs/>
                <w:color w:val="FFFFFF"/>
                <w:sz w:val="18"/>
                <w:szCs w:val="18"/>
                <w:lang w:eastAsia="sk-SK"/>
              </w:rPr>
              <w:t>Administratívne poplatky a iné poplatky a</w:t>
            </w:r>
            <w:r>
              <w:rPr>
                <w:rFonts w:eastAsia="Times New Roman" w:cs="Times New Roman"/>
                <w:b/>
                <w:bCs/>
                <w:color w:val="FFFFFF"/>
                <w:sz w:val="18"/>
                <w:szCs w:val="18"/>
                <w:lang w:eastAsia="sk-SK"/>
              </w:rPr>
              <w:t> </w:t>
            </w:r>
            <w:r w:rsidRPr="00E20480">
              <w:rPr>
                <w:rFonts w:eastAsia="Times New Roman" w:cs="Times New Roman"/>
                <w:b/>
                <w:bCs/>
                <w:color w:val="FFFFFF"/>
                <w:sz w:val="18"/>
                <w:szCs w:val="18"/>
                <w:lang w:eastAsia="sk-SK"/>
              </w:rPr>
              <w:t>platby</w:t>
            </w:r>
            <w:r>
              <w:rPr>
                <w:rFonts w:eastAsia="Times New Roman" w:cs="Times New Roman"/>
                <w:b/>
                <w:bCs/>
                <w:color w:val="FFFFFF"/>
                <w:sz w:val="18"/>
                <w:szCs w:val="18"/>
                <w:lang w:eastAsia="sk-SK"/>
              </w:rPr>
              <w:t xml:space="preserve">                                                                                                   </w:t>
            </w:r>
            <w:r w:rsidRPr="00E20480">
              <w:rPr>
                <w:rFonts w:eastAsia="Times New Roman" w:cs="Times New Roman"/>
                <w:b/>
                <w:bCs/>
                <w:color w:val="FFFFFF"/>
                <w:sz w:val="18"/>
                <w:szCs w:val="18"/>
                <w:lang w:eastAsia="sk-SK"/>
              </w:rPr>
              <w:t>v tis. eur</w:t>
            </w:r>
          </w:p>
        </w:tc>
      </w:tr>
      <w:tr w:rsidR="006C7EB3" w:rsidRPr="00E20480" w14:paraId="0F3977DD" w14:textId="77777777" w:rsidTr="004B5D5E">
        <w:trPr>
          <w:trHeight w:val="330"/>
        </w:trPr>
        <w:tc>
          <w:tcPr>
            <w:tcW w:w="3676" w:type="dxa"/>
            <w:tcBorders>
              <w:top w:val="nil"/>
              <w:left w:val="nil"/>
              <w:bottom w:val="nil"/>
              <w:right w:val="nil"/>
            </w:tcBorders>
            <w:shd w:val="clear" w:color="000000" w:fill="BFBFBF"/>
            <w:vAlign w:val="center"/>
            <w:hideMark/>
          </w:tcPr>
          <w:p w14:paraId="4D2B9A39" w14:textId="77777777" w:rsidR="006C7EB3" w:rsidRPr="00E20480" w:rsidRDefault="006C7EB3" w:rsidP="006C7EB3">
            <w:pPr>
              <w:spacing w:after="0" w:line="240" w:lineRule="auto"/>
              <w:jc w:val="left"/>
              <w:rPr>
                <w:rFonts w:eastAsia="Times New Roman" w:cs="Times New Roman"/>
                <w:b/>
                <w:bCs/>
                <w:color w:val="FFFFFF"/>
                <w:sz w:val="18"/>
                <w:szCs w:val="18"/>
                <w:lang w:eastAsia="sk-SK"/>
              </w:rPr>
            </w:pPr>
            <w:r w:rsidRPr="00E20480">
              <w:rPr>
                <w:rFonts w:eastAsia="Times New Roman" w:cs="Times New Roman"/>
                <w:b/>
                <w:bCs/>
                <w:color w:val="FFFFFF"/>
                <w:sz w:val="18"/>
                <w:szCs w:val="18"/>
                <w:lang w:eastAsia="sk-SK"/>
              </w:rPr>
              <w:t> </w:t>
            </w:r>
          </w:p>
        </w:tc>
        <w:tc>
          <w:tcPr>
            <w:tcW w:w="2126" w:type="dxa"/>
            <w:gridSpan w:val="2"/>
            <w:tcBorders>
              <w:top w:val="nil"/>
              <w:left w:val="nil"/>
              <w:bottom w:val="nil"/>
              <w:right w:val="nil"/>
            </w:tcBorders>
            <w:shd w:val="clear" w:color="000000" w:fill="BFBFBF"/>
            <w:vAlign w:val="center"/>
            <w:hideMark/>
          </w:tcPr>
          <w:p w14:paraId="1CC859C5" w14:textId="77777777" w:rsidR="006C7EB3" w:rsidRPr="00E20480" w:rsidRDefault="006C7EB3" w:rsidP="006C7EB3">
            <w:pPr>
              <w:spacing w:after="0" w:line="240" w:lineRule="auto"/>
              <w:jc w:val="center"/>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Skutočnosť</w:t>
            </w:r>
          </w:p>
        </w:tc>
        <w:tc>
          <w:tcPr>
            <w:tcW w:w="851" w:type="dxa"/>
            <w:tcBorders>
              <w:top w:val="nil"/>
              <w:left w:val="nil"/>
              <w:bottom w:val="nil"/>
              <w:right w:val="nil"/>
            </w:tcBorders>
            <w:shd w:val="clear" w:color="000000" w:fill="BFBFBF"/>
            <w:vAlign w:val="center"/>
            <w:hideMark/>
          </w:tcPr>
          <w:p w14:paraId="4D28A4F8" w14:textId="77777777" w:rsidR="006C7EB3" w:rsidRPr="00E20480" w:rsidRDefault="006C7EB3" w:rsidP="006C7EB3">
            <w:pPr>
              <w:spacing w:after="0" w:line="240" w:lineRule="auto"/>
              <w:jc w:val="center"/>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Rozpočet</w:t>
            </w:r>
          </w:p>
        </w:tc>
        <w:tc>
          <w:tcPr>
            <w:tcW w:w="1134" w:type="dxa"/>
            <w:tcBorders>
              <w:top w:val="nil"/>
              <w:left w:val="nil"/>
              <w:bottom w:val="nil"/>
              <w:right w:val="nil"/>
            </w:tcBorders>
            <w:shd w:val="clear" w:color="000000" w:fill="BFBFBF"/>
            <w:vAlign w:val="center"/>
            <w:hideMark/>
          </w:tcPr>
          <w:p w14:paraId="2B4DA619" w14:textId="77777777" w:rsidR="006C7EB3" w:rsidRPr="00E20480" w:rsidRDefault="006C7EB3" w:rsidP="006C7EB3">
            <w:pPr>
              <w:spacing w:after="0" w:line="240" w:lineRule="auto"/>
              <w:jc w:val="center"/>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Skutočnosť</w:t>
            </w:r>
          </w:p>
        </w:tc>
        <w:tc>
          <w:tcPr>
            <w:tcW w:w="1417" w:type="dxa"/>
            <w:gridSpan w:val="2"/>
            <w:tcBorders>
              <w:top w:val="nil"/>
              <w:left w:val="nil"/>
              <w:bottom w:val="nil"/>
              <w:right w:val="nil"/>
            </w:tcBorders>
            <w:shd w:val="clear" w:color="000000" w:fill="BFBFBF"/>
            <w:vAlign w:val="center"/>
            <w:hideMark/>
          </w:tcPr>
          <w:p w14:paraId="5CE9C50D" w14:textId="77777777" w:rsidR="006C7EB3" w:rsidRPr="00E20480" w:rsidRDefault="006C7EB3" w:rsidP="006C7EB3">
            <w:pPr>
              <w:spacing w:after="0" w:line="240" w:lineRule="auto"/>
              <w:jc w:val="center"/>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Rozdiel</w:t>
            </w:r>
          </w:p>
        </w:tc>
      </w:tr>
      <w:tr w:rsidR="006C7EB3" w:rsidRPr="00E20480" w14:paraId="4D201D65" w14:textId="77777777" w:rsidTr="004B5D5E">
        <w:trPr>
          <w:trHeight w:val="330"/>
        </w:trPr>
        <w:tc>
          <w:tcPr>
            <w:tcW w:w="3676" w:type="dxa"/>
            <w:tcBorders>
              <w:top w:val="nil"/>
              <w:left w:val="nil"/>
              <w:bottom w:val="nil"/>
              <w:right w:val="nil"/>
            </w:tcBorders>
            <w:shd w:val="clear" w:color="000000" w:fill="BFBFBF"/>
            <w:vAlign w:val="center"/>
            <w:hideMark/>
          </w:tcPr>
          <w:p w14:paraId="2AB82198" w14:textId="77777777" w:rsidR="006C7EB3" w:rsidRPr="00E20480" w:rsidRDefault="006C7EB3" w:rsidP="006C7EB3">
            <w:pPr>
              <w:spacing w:after="0" w:line="240" w:lineRule="auto"/>
              <w:jc w:val="center"/>
              <w:rPr>
                <w:rFonts w:eastAsia="Times New Roman" w:cs="Times New Roman"/>
                <w:b/>
                <w:bCs/>
                <w:sz w:val="18"/>
                <w:szCs w:val="18"/>
                <w:lang w:eastAsia="sk-SK"/>
              </w:rPr>
            </w:pPr>
            <w:r w:rsidRPr="00E20480">
              <w:rPr>
                <w:rFonts w:eastAsia="Times New Roman" w:cs="Times New Roman"/>
                <w:b/>
                <w:bCs/>
                <w:sz w:val="18"/>
                <w:szCs w:val="18"/>
                <w:lang w:eastAsia="sk-SK"/>
              </w:rPr>
              <w:t> </w:t>
            </w:r>
          </w:p>
        </w:tc>
        <w:tc>
          <w:tcPr>
            <w:tcW w:w="992" w:type="dxa"/>
            <w:tcBorders>
              <w:top w:val="nil"/>
              <w:left w:val="nil"/>
              <w:bottom w:val="nil"/>
              <w:right w:val="nil"/>
            </w:tcBorders>
            <w:shd w:val="clear" w:color="000000" w:fill="BFBFBF"/>
            <w:vAlign w:val="center"/>
            <w:hideMark/>
          </w:tcPr>
          <w:p w14:paraId="74ED828E" w14:textId="77777777" w:rsidR="006C7EB3" w:rsidRPr="00E20480" w:rsidRDefault="006C7EB3" w:rsidP="006C7EB3">
            <w:pPr>
              <w:spacing w:after="0" w:line="240" w:lineRule="auto"/>
              <w:jc w:val="center"/>
              <w:rPr>
                <w:rFonts w:eastAsia="Times New Roman" w:cs="Times New Roman"/>
                <w:b/>
                <w:bCs/>
                <w:sz w:val="18"/>
                <w:szCs w:val="18"/>
                <w:lang w:eastAsia="sk-SK"/>
              </w:rPr>
            </w:pPr>
            <w:r w:rsidRPr="00E20480">
              <w:rPr>
                <w:rFonts w:eastAsia="Times New Roman" w:cs="Times New Roman"/>
                <w:b/>
                <w:bCs/>
                <w:sz w:val="18"/>
                <w:szCs w:val="18"/>
                <w:lang w:eastAsia="sk-SK"/>
              </w:rPr>
              <w:t>2018</w:t>
            </w:r>
          </w:p>
        </w:tc>
        <w:tc>
          <w:tcPr>
            <w:tcW w:w="1134" w:type="dxa"/>
            <w:tcBorders>
              <w:top w:val="nil"/>
              <w:left w:val="nil"/>
              <w:bottom w:val="nil"/>
              <w:right w:val="nil"/>
            </w:tcBorders>
            <w:shd w:val="clear" w:color="000000" w:fill="BFBFBF"/>
            <w:vAlign w:val="center"/>
            <w:hideMark/>
          </w:tcPr>
          <w:p w14:paraId="56B68695" w14:textId="77777777" w:rsidR="006C7EB3" w:rsidRPr="00E20480" w:rsidRDefault="006C7EB3" w:rsidP="006C7EB3">
            <w:pPr>
              <w:spacing w:after="0" w:line="240" w:lineRule="auto"/>
              <w:jc w:val="center"/>
              <w:rPr>
                <w:rFonts w:eastAsia="Times New Roman" w:cs="Times New Roman"/>
                <w:b/>
                <w:bCs/>
                <w:sz w:val="18"/>
                <w:szCs w:val="18"/>
                <w:lang w:eastAsia="sk-SK"/>
              </w:rPr>
            </w:pPr>
            <w:r w:rsidRPr="00E20480">
              <w:rPr>
                <w:rFonts w:eastAsia="Times New Roman" w:cs="Times New Roman"/>
                <w:b/>
                <w:bCs/>
                <w:sz w:val="18"/>
                <w:szCs w:val="18"/>
                <w:lang w:eastAsia="sk-SK"/>
              </w:rPr>
              <w:t>2019</w:t>
            </w:r>
          </w:p>
        </w:tc>
        <w:tc>
          <w:tcPr>
            <w:tcW w:w="851" w:type="dxa"/>
            <w:tcBorders>
              <w:top w:val="nil"/>
              <w:left w:val="nil"/>
              <w:bottom w:val="nil"/>
              <w:right w:val="nil"/>
            </w:tcBorders>
            <w:shd w:val="clear" w:color="000000" w:fill="BFBFBF"/>
            <w:vAlign w:val="center"/>
            <w:hideMark/>
          </w:tcPr>
          <w:p w14:paraId="3355EBDB" w14:textId="77777777" w:rsidR="006C7EB3" w:rsidRPr="00E20480" w:rsidRDefault="006C7EB3" w:rsidP="006C7EB3">
            <w:pPr>
              <w:spacing w:after="0" w:line="240" w:lineRule="auto"/>
              <w:jc w:val="center"/>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2020</w:t>
            </w:r>
          </w:p>
        </w:tc>
        <w:tc>
          <w:tcPr>
            <w:tcW w:w="1134" w:type="dxa"/>
            <w:tcBorders>
              <w:top w:val="nil"/>
              <w:left w:val="nil"/>
              <w:bottom w:val="nil"/>
              <w:right w:val="nil"/>
            </w:tcBorders>
            <w:shd w:val="clear" w:color="000000" w:fill="BFBFBF"/>
            <w:vAlign w:val="center"/>
            <w:hideMark/>
          </w:tcPr>
          <w:p w14:paraId="0245EF5A" w14:textId="77777777" w:rsidR="006C7EB3" w:rsidRPr="00E20480" w:rsidRDefault="006C7EB3" w:rsidP="006C7EB3">
            <w:pPr>
              <w:spacing w:after="0" w:line="240" w:lineRule="auto"/>
              <w:jc w:val="center"/>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2020</w:t>
            </w:r>
          </w:p>
        </w:tc>
        <w:tc>
          <w:tcPr>
            <w:tcW w:w="708" w:type="dxa"/>
            <w:tcBorders>
              <w:top w:val="nil"/>
              <w:left w:val="nil"/>
              <w:bottom w:val="nil"/>
              <w:right w:val="nil"/>
            </w:tcBorders>
            <w:shd w:val="clear" w:color="000000" w:fill="BFBFBF"/>
            <w:vAlign w:val="center"/>
            <w:hideMark/>
          </w:tcPr>
          <w:p w14:paraId="4FFC0B6A" w14:textId="77777777" w:rsidR="006C7EB3" w:rsidRPr="00E20480" w:rsidRDefault="006C7EB3" w:rsidP="006C7EB3">
            <w:pPr>
              <w:spacing w:after="0" w:line="240" w:lineRule="auto"/>
              <w:jc w:val="center"/>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 xml:space="preserve"> v tis. eur</w:t>
            </w:r>
          </w:p>
        </w:tc>
        <w:tc>
          <w:tcPr>
            <w:tcW w:w="709" w:type="dxa"/>
            <w:tcBorders>
              <w:top w:val="nil"/>
              <w:left w:val="nil"/>
              <w:bottom w:val="nil"/>
              <w:right w:val="nil"/>
            </w:tcBorders>
            <w:shd w:val="clear" w:color="000000" w:fill="BFBFBF"/>
            <w:vAlign w:val="center"/>
            <w:hideMark/>
          </w:tcPr>
          <w:p w14:paraId="134EB270" w14:textId="77777777" w:rsidR="006C7EB3" w:rsidRPr="00E20480" w:rsidRDefault="006C7EB3" w:rsidP="006C7EB3">
            <w:pPr>
              <w:spacing w:after="0" w:line="240" w:lineRule="auto"/>
              <w:jc w:val="center"/>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v %</w:t>
            </w:r>
          </w:p>
        </w:tc>
      </w:tr>
      <w:tr w:rsidR="006C7EB3" w:rsidRPr="00E20480" w14:paraId="479B2E7E" w14:textId="77777777" w:rsidTr="004B5D5E">
        <w:trPr>
          <w:trHeight w:val="345"/>
        </w:trPr>
        <w:tc>
          <w:tcPr>
            <w:tcW w:w="3676" w:type="dxa"/>
            <w:tcBorders>
              <w:top w:val="nil"/>
              <w:left w:val="nil"/>
              <w:bottom w:val="single" w:sz="8" w:space="0" w:color="auto"/>
              <w:right w:val="nil"/>
            </w:tcBorders>
            <w:shd w:val="clear" w:color="000000" w:fill="BFBFBF"/>
            <w:vAlign w:val="center"/>
            <w:hideMark/>
          </w:tcPr>
          <w:p w14:paraId="64149A0F" w14:textId="77777777" w:rsidR="006C7EB3" w:rsidRPr="00E20480" w:rsidRDefault="006C7EB3" w:rsidP="006C7EB3">
            <w:pPr>
              <w:spacing w:after="0" w:line="240" w:lineRule="auto"/>
              <w:jc w:val="left"/>
              <w:rPr>
                <w:rFonts w:eastAsia="Times New Roman" w:cs="Times New Roman"/>
                <w:b/>
                <w:bCs/>
                <w:color w:val="FFFFFF"/>
                <w:sz w:val="18"/>
                <w:szCs w:val="18"/>
                <w:lang w:eastAsia="sk-SK"/>
              </w:rPr>
            </w:pPr>
            <w:r w:rsidRPr="00E20480">
              <w:rPr>
                <w:rFonts w:eastAsia="Times New Roman" w:cs="Times New Roman"/>
                <w:b/>
                <w:bCs/>
                <w:color w:val="FFFFFF"/>
                <w:sz w:val="18"/>
                <w:szCs w:val="18"/>
                <w:lang w:eastAsia="sk-SK"/>
              </w:rPr>
              <w:t> </w:t>
            </w:r>
          </w:p>
        </w:tc>
        <w:tc>
          <w:tcPr>
            <w:tcW w:w="992" w:type="dxa"/>
            <w:tcBorders>
              <w:top w:val="nil"/>
              <w:left w:val="nil"/>
              <w:bottom w:val="single" w:sz="8" w:space="0" w:color="auto"/>
              <w:right w:val="nil"/>
            </w:tcBorders>
            <w:shd w:val="clear" w:color="000000" w:fill="BFBFBF"/>
            <w:vAlign w:val="center"/>
            <w:hideMark/>
          </w:tcPr>
          <w:p w14:paraId="056720A6" w14:textId="77777777" w:rsidR="006C7EB3" w:rsidRPr="00E20480" w:rsidRDefault="006C7EB3" w:rsidP="006C7EB3">
            <w:pPr>
              <w:spacing w:after="0" w:line="240" w:lineRule="auto"/>
              <w:jc w:val="center"/>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1</w:t>
            </w:r>
          </w:p>
        </w:tc>
        <w:tc>
          <w:tcPr>
            <w:tcW w:w="1134" w:type="dxa"/>
            <w:tcBorders>
              <w:top w:val="nil"/>
              <w:left w:val="nil"/>
              <w:bottom w:val="single" w:sz="8" w:space="0" w:color="auto"/>
              <w:right w:val="nil"/>
            </w:tcBorders>
            <w:shd w:val="clear" w:color="000000" w:fill="BFBFBF"/>
            <w:vAlign w:val="center"/>
            <w:hideMark/>
          </w:tcPr>
          <w:p w14:paraId="605C22B2" w14:textId="77777777" w:rsidR="006C7EB3" w:rsidRPr="00E20480" w:rsidRDefault="006C7EB3" w:rsidP="006C7EB3">
            <w:pPr>
              <w:spacing w:after="0" w:line="240" w:lineRule="auto"/>
              <w:jc w:val="center"/>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2</w:t>
            </w:r>
          </w:p>
        </w:tc>
        <w:tc>
          <w:tcPr>
            <w:tcW w:w="851" w:type="dxa"/>
            <w:tcBorders>
              <w:top w:val="nil"/>
              <w:left w:val="nil"/>
              <w:bottom w:val="single" w:sz="8" w:space="0" w:color="auto"/>
              <w:right w:val="nil"/>
            </w:tcBorders>
            <w:shd w:val="clear" w:color="000000" w:fill="BFBFBF"/>
            <w:vAlign w:val="center"/>
            <w:hideMark/>
          </w:tcPr>
          <w:p w14:paraId="49ABEED0" w14:textId="77777777" w:rsidR="006C7EB3" w:rsidRPr="00E20480" w:rsidRDefault="006C7EB3" w:rsidP="006C7EB3">
            <w:pPr>
              <w:spacing w:after="0" w:line="240" w:lineRule="auto"/>
              <w:jc w:val="center"/>
              <w:rPr>
                <w:rFonts w:eastAsia="Times New Roman" w:cs="Times New Roman"/>
                <w:b/>
                <w:bCs/>
                <w:sz w:val="18"/>
                <w:szCs w:val="18"/>
                <w:lang w:eastAsia="sk-SK"/>
              </w:rPr>
            </w:pPr>
            <w:r w:rsidRPr="00E20480">
              <w:rPr>
                <w:rFonts w:eastAsia="Times New Roman" w:cs="Times New Roman"/>
                <w:b/>
                <w:bCs/>
                <w:sz w:val="18"/>
                <w:szCs w:val="18"/>
                <w:lang w:eastAsia="sk-SK"/>
              </w:rPr>
              <w:t>3</w:t>
            </w:r>
          </w:p>
        </w:tc>
        <w:tc>
          <w:tcPr>
            <w:tcW w:w="1134" w:type="dxa"/>
            <w:tcBorders>
              <w:top w:val="nil"/>
              <w:left w:val="nil"/>
              <w:bottom w:val="single" w:sz="8" w:space="0" w:color="auto"/>
              <w:right w:val="nil"/>
            </w:tcBorders>
            <w:shd w:val="clear" w:color="000000" w:fill="BFBFBF"/>
            <w:vAlign w:val="center"/>
            <w:hideMark/>
          </w:tcPr>
          <w:p w14:paraId="63F58DD5" w14:textId="77777777" w:rsidR="006C7EB3" w:rsidRPr="00E20480" w:rsidRDefault="006C7EB3" w:rsidP="006C7EB3">
            <w:pPr>
              <w:spacing w:after="0" w:line="240" w:lineRule="auto"/>
              <w:jc w:val="center"/>
              <w:rPr>
                <w:rFonts w:eastAsia="Times New Roman" w:cs="Times New Roman"/>
                <w:b/>
                <w:bCs/>
                <w:sz w:val="18"/>
                <w:szCs w:val="18"/>
                <w:lang w:eastAsia="sk-SK"/>
              </w:rPr>
            </w:pPr>
            <w:r w:rsidRPr="00E20480">
              <w:rPr>
                <w:rFonts w:eastAsia="Times New Roman" w:cs="Times New Roman"/>
                <w:b/>
                <w:bCs/>
                <w:sz w:val="18"/>
                <w:szCs w:val="18"/>
                <w:lang w:eastAsia="sk-SK"/>
              </w:rPr>
              <w:t>4</w:t>
            </w:r>
          </w:p>
        </w:tc>
        <w:tc>
          <w:tcPr>
            <w:tcW w:w="708" w:type="dxa"/>
            <w:tcBorders>
              <w:top w:val="nil"/>
              <w:left w:val="nil"/>
              <w:bottom w:val="single" w:sz="8" w:space="0" w:color="auto"/>
              <w:right w:val="nil"/>
            </w:tcBorders>
            <w:shd w:val="clear" w:color="000000" w:fill="BFBFBF"/>
            <w:vAlign w:val="center"/>
            <w:hideMark/>
          </w:tcPr>
          <w:p w14:paraId="5E4F1046" w14:textId="77777777" w:rsidR="006C7EB3" w:rsidRPr="00E20480" w:rsidRDefault="006C7EB3" w:rsidP="006C7EB3">
            <w:pPr>
              <w:spacing w:after="0" w:line="240" w:lineRule="auto"/>
              <w:jc w:val="center"/>
              <w:rPr>
                <w:rFonts w:eastAsia="Times New Roman" w:cs="Times New Roman"/>
                <w:b/>
                <w:bCs/>
                <w:sz w:val="18"/>
                <w:szCs w:val="18"/>
                <w:lang w:eastAsia="sk-SK"/>
              </w:rPr>
            </w:pPr>
            <w:r w:rsidRPr="00E20480">
              <w:rPr>
                <w:rFonts w:eastAsia="Times New Roman" w:cs="Times New Roman"/>
                <w:b/>
                <w:bCs/>
                <w:sz w:val="18"/>
                <w:szCs w:val="18"/>
                <w:lang w:eastAsia="sk-SK"/>
              </w:rPr>
              <w:t>5=4-3</w:t>
            </w:r>
          </w:p>
        </w:tc>
        <w:tc>
          <w:tcPr>
            <w:tcW w:w="709" w:type="dxa"/>
            <w:tcBorders>
              <w:top w:val="nil"/>
              <w:left w:val="nil"/>
              <w:bottom w:val="single" w:sz="8" w:space="0" w:color="auto"/>
              <w:right w:val="nil"/>
            </w:tcBorders>
            <w:shd w:val="clear" w:color="000000" w:fill="BFBFBF"/>
            <w:vAlign w:val="center"/>
            <w:hideMark/>
          </w:tcPr>
          <w:p w14:paraId="1A303CDA" w14:textId="77777777" w:rsidR="006C7EB3" w:rsidRPr="00E20480" w:rsidRDefault="006C7EB3" w:rsidP="006C7EB3">
            <w:pPr>
              <w:spacing w:after="0" w:line="240" w:lineRule="auto"/>
              <w:jc w:val="center"/>
              <w:rPr>
                <w:rFonts w:eastAsia="Times New Roman" w:cs="Times New Roman"/>
                <w:b/>
                <w:bCs/>
                <w:sz w:val="18"/>
                <w:szCs w:val="18"/>
                <w:lang w:eastAsia="sk-SK"/>
              </w:rPr>
            </w:pPr>
            <w:r w:rsidRPr="00E20480">
              <w:rPr>
                <w:rFonts w:eastAsia="Times New Roman" w:cs="Times New Roman"/>
                <w:b/>
                <w:bCs/>
                <w:sz w:val="18"/>
                <w:szCs w:val="18"/>
                <w:lang w:eastAsia="sk-SK"/>
              </w:rPr>
              <w:t>6=4-3</w:t>
            </w:r>
          </w:p>
        </w:tc>
      </w:tr>
      <w:tr w:rsidR="006C7EB3" w:rsidRPr="00E20480" w14:paraId="66EF825C" w14:textId="77777777" w:rsidTr="004B5D5E">
        <w:trPr>
          <w:trHeight w:val="330"/>
        </w:trPr>
        <w:tc>
          <w:tcPr>
            <w:tcW w:w="3676" w:type="dxa"/>
            <w:tcBorders>
              <w:top w:val="nil"/>
              <w:left w:val="nil"/>
              <w:bottom w:val="nil"/>
              <w:right w:val="nil"/>
            </w:tcBorders>
            <w:shd w:val="clear" w:color="000000" w:fill="FFFFFF"/>
            <w:noWrap/>
            <w:vAlign w:val="center"/>
            <w:hideMark/>
          </w:tcPr>
          <w:p w14:paraId="27537390" w14:textId="77777777" w:rsidR="006C7EB3" w:rsidRPr="00E20480" w:rsidRDefault="006C7EB3" w:rsidP="006C7EB3">
            <w:pPr>
              <w:spacing w:after="0" w:line="240" w:lineRule="auto"/>
              <w:jc w:val="left"/>
              <w:rPr>
                <w:rFonts w:eastAsia="Times New Roman" w:cs="Times New Roman"/>
                <w:color w:val="000000"/>
                <w:sz w:val="18"/>
                <w:szCs w:val="18"/>
                <w:lang w:eastAsia="sk-SK"/>
              </w:rPr>
            </w:pPr>
            <w:r w:rsidRPr="00E20480">
              <w:rPr>
                <w:rFonts w:eastAsia="Times New Roman" w:cs="Times New Roman"/>
                <w:color w:val="000000"/>
                <w:sz w:val="18"/>
                <w:szCs w:val="18"/>
                <w:lang w:eastAsia="sk-SK"/>
              </w:rPr>
              <w:t>Administratívne poplatky</w:t>
            </w:r>
          </w:p>
        </w:tc>
        <w:tc>
          <w:tcPr>
            <w:tcW w:w="992" w:type="dxa"/>
            <w:tcBorders>
              <w:top w:val="nil"/>
              <w:left w:val="nil"/>
              <w:bottom w:val="nil"/>
              <w:right w:val="nil"/>
            </w:tcBorders>
            <w:shd w:val="clear" w:color="000000" w:fill="FFFFFF"/>
            <w:noWrap/>
            <w:vAlign w:val="center"/>
            <w:hideMark/>
          </w:tcPr>
          <w:p w14:paraId="47852258" w14:textId="77777777" w:rsidR="006C7EB3" w:rsidRPr="00E20480" w:rsidRDefault="006C7EB3" w:rsidP="006C7EB3">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224 866</w:t>
            </w:r>
          </w:p>
        </w:tc>
        <w:tc>
          <w:tcPr>
            <w:tcW w:w="1134" w:type="dxa"/>
            <w:tcBorders>
              <w:top w:val="nil"/>
              <w:left w:val="nil"/>
              <w:bottom w:val="nil"/>
              <w:right w:val="nil"/>
            </w:tcBorders>
            <w:shd w:val="clear" w:color="000000" w:fill="FFFFFF"/>
            <w:noWrap/>
            <w:vAlign w:val="center"/>
            <w:hideMark/>
          </w:tcPr>
          <w:p w14:paraId="59836B4D" w14:textId="77777777" w:rsidR="006C7EB3" w:rsidRPr="00E20480" w:rsidRDefault="006C7EB3" w:rsidP="006C7EB3">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263 022</w:t>
            </w:r>
          </w:p>
        </w:tc>
        <w:tc>
          <w:tcPr>
            <w:tcW w:w="851" w:type="dxa"/>
            <w:tcBorders>
              <w:top w:val="nil"/>
              <w:left w:val="nil"/>
              <w:bottom w:val="nil"/>
              <w:right w:val="nil"/>
            </w:tcBorders>
            <w:shd w:val="clear" w:color="000000" w:fill="FFFFFF"/>
            <w:noWrap/>
            <w:vAlign w:val="center"/>
            <w:hideMark/>
          </w:tcPr>
          <w:p w14:paraId="21B840F1" w14:textId="77777777" w:rsidR="006C7EB3" w:rsidRPr="00E20480" w:rsidRDefault="006C7EB3" w:rsidP="006C7EB3">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205 352</w:t>
            </w:r>
          </w:p>
        </w:tc>
        <w:tc>
          <w:tcPr>
            <w:tcW w:w="1134" w:type="dxa"/>
            <w:tcBorders>
              <w:top w:val="nil"/>
              <w:left w:val="nil"/>
              <w:bottom w:val="nil"/>
              <w:right w:val="nil"/>
            </w:tcBorders>
            <w:shd w:val="clear" w:color="000000" w:fill="BFBFBF"/>
            <w:noWrap/>
            <w:vAlign w:val="center"/>
            <w:hideMark/>
          </w:tcPr>
          <w:p w14:paraId="34A01A78" w14:textId="77777777" w:rsidR="006C7EB3" w:rsidRPr="00E20480" w:rsidRDefault="006C7EB3" w:rsidP="006C7EB3">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219 407</w:t>
            </w:r>
          </w:p>
        </w:tc>
        <w:tc>
          <w:tcPr>
            <w:tcW w:w="708" w:type="dxa"/>
            <w:tcBorders>
              <w:top w:val="nil"/>
              <w:left w:val="nil"/>
              <w:bottom w:val="nil"/>
              <w:right w:val="nil"/>
            </w:tcBorders>
            <w:shd w:val="clear" w:color="000000" w:fill="FFFFFF"/>
            <w:noWrap/>
            <w:vAlign w:val="center"/>
            <w:hideMark/>
          </w:tcPr>
          <w:p w14:paraId="7D243AEB" w14:textId="77777777" w:rsidR="006C7EB3" w:rsidRPr="00E20480" w:rsidRDefault="006C7EB3" w:rsidP="006C7EB3">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14 055</w:t>
            </w:r>
          </w:p>
        </w:tc>
        <w:tc>
          <w:tcPr>
            <w:tcW w:w="709" w:type="dxa"/>
            <w:tcBorders>
              <w:top w:val="nil"/>
              <w:left w:val="nil"/>
              <w:bottom w:val="nil"/>
              <w:right w:val="nil"/>
            </w:tcBorders>
            <w:shd w:val="clear" w:color="000000" w:fill="FFFFFF"/>
            <w:vAlign w:val="center"/>
            <w:hideMark/>
          </w:tcPr>
          <w:p w14:paraId="71F53497" w14:textId="77777777" w:rsidR="006C7EB3" w:rsidRPr="00E20480" w:rsidRDefault="006C7EB3" w:rsidP="006C7EB3">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6,8</w:t>
            </w:r>
          </w:p>
        </w:tc>
      </w:tr>
      <w:tr w:rsidR="006C7EB3" w:rsidRPr="00E20480" w14:paraId="3428770F" w14:textId="77777777" w:rsidTr="004B5D5E">
        <w:trPr>
          <w:trHeight w:val="330"/>
        </w:trPr>
        <w:tc>
          <w:tcPr>
            <w:tcW w:w="3676" w:type="dxa"/>
            <w:tcBorders>
              <w:top w:val="nil"/>
              <w:left w:val="nil"/>
              <w:bottom w:val="nil"/>
              <w:right w:val="nil"/>
            </w:tcBorders>
            <w:shd w:val="clear" w:color="000000" w:fill="FFFFFF"/>
            <w:noWrap/>
            <w:vAlign w:val="center"/>
            <w:hideMark/>
          </w:tcPr>
          <w:p w14:paraId="0D68E6DB" w14:textId="77777777" w:rsidR="006C7EB3" w:rsidRPr="00E20480" w:rsidRDefault="006C7EB3" w:rsidP="006C7EB3">
            <w:pPr>
              <w:spacing w:after="0" w:line="240" w:lineRule="auto"/>
              <w:jc w:val="left"/>
              <w:rPr>
                <w:rFonts w:eastAsia="Times New Roman" w:cs="Times New Roman"/>
                <w:color w:val="000000"/>
                <w:sz w:val="18"/>
                <w:szCs w:val="18"/>
                <w:lang w:eastAsia="sk-SK"/>
              </w:rPr>
            </w:pPr>
            <w:r w:rsidRPr="00E20480">
              <w:rPr>
                <w:rFonts w:eastAsia="Times New Roman" w:cs="Times New Roman"/>
                <w:color w:val="000000"/>
                <w:sz w:val="18"/>
                <w:szCs w:val="18"/>
                <w:lang w:eastAsia="sk-SK"/>
              </w:rPr>
              <w:t xml:space="preserve">     z toho: súdne poplatky</w:t>
            </w:r>
          </w:p>
        </w:tc>
        <w:tc>
          <w:tcPr>
            <w:tcW w:w="992" w:type="dxa"/>
            <w:tcBorders>
              <w:top w:val="nil"/>
              <w:left w:val="nil"/>
              <w:bottom w:val="nil"/>
              <w:right w:val="nil"/>
            </w:tcBorders>
            <w:shd w:val="clear" w:color="000000" w:fill="FFFFFF"/>
            <w:noWrap/>
            <w:vAlign w:val="center"/>
            <w:hideMark/>
          </w:tcPr>
          <w:p w14:paraId="0C6D1476" w14:textId="38A9F799" w:rsidR="006C7EB3" w:rsidRPr="00E20480" w:rsidRDefault="00A81A8E" w:rsidP="006C7EB3">
            <w:pPr>
              <w:spacing w:after="0" w:line="240" w:lineRule="auto"/>
              <w:jc w:val="right"/>
              <w:rPr>
                <w:rFonts w:eastAsia="Times New Roman" w:cs="Times New Roman"/>
                <w:color w:val="000000"/>
                <w:sz w:val="18"/>
                <w:szCs w:val="18"/>
                <w:lang w:eastAsia="sk-SK"/>
              </w:rPr>
            </w:pPr>
            <w:r>
              <w:rPr>
                <w:rFonts w:eastAsia="Times New Roman" w:cs="Times New Roman"/>
                <w:color w:val="000000"/>
                <w:sz w:val="18"/>
                <w:szCs w:val="18"/>
                <w:lang w:eastAsia="sk-SK"/>
              </w:rPr>
              <w:t>24 438</w:t>
            </w:r>
          </w:p>
        </w:tc>
        <w:tc>
          <w:tcPr>
            <w:tcW w:w="1134" w:type="dxa"/>
            <w:tcBorders>
              <w:top w:val="nil"/>
              <w:left w:val="nil"/>
              <w:bottom w:val="nil"/>
              <w:right w:val="nil"/>
            </w:tcBorders>
            <w:shd w:val="clear" w:color="000000" w:fill="FFFFFF"/>
            <w:noWrap/>
            <w:vAlign w:val="center"/>
            <w:hideMark/>
          </w:tcPr>
          <w:p w14:paraId="4FB6AF7C" w14:textId="0759D61D" w:rsidR="006C7EB3" w:rsidRPr="00E20480" w:rsidRDefault="00A81A8E" w:rsidP="006C7EB3">
            <w:pPr>
              <w:spacing w:after="0" w:line="240" w:lineRule="auto"/>
              <w:jc w:val="right"/>
              <w:rPr>
                <w:rFonts w:eastAsia="Times New Roman" w:cs="Times New Roman"/>
                <w:color w:val="000000"/>
                <w:sz w:val="18"/>
                <w:szCs w:val="18"/>
                <w:lang w:eastAsia="sk-SK"/>
              </w:rPr>
            </w:pPr>
            <w:r>
              <w:rPr>
                <w:rFonts w:eastAsia="Times New Roman" w:cs="Times New Roman"/>
                <w:color w:val="000000"/>
                <w:sz w:val="18"/>
                <w:szCs w:val="18"/>
                <w:lang w:eastAsia="sk-SK"/>
              </w:rPr>
              <w:t>19 384</w:t>
            </w:r>
          </w:p>
        </w:tc>
        <w:tc>
          <w:tcPr>
            <w:tcW w:w="851" w:type="dxa"/>
            <w:tcBorders>
              <w:top w:val="nil"/>
              <w:left w:val="nil"/>
              <w:bottom w:val="nil"/>
              <w:right w:val="nil"/>
            </w:tcBorders>
            <w:shd w:val="clear" w:color="000000" w:fill="FFFFFF"/>
            <w:noWrap/>
            <w:vAlign w:val="center"/>
            <w:hideMark/>
          </w:tcPr>
          <w:p w14:paraId="2E76FFDD" w14:textId="77777777" w:rsidR="006C7EB3" w:rsidRPr="00E20480" w:rsidRDefault="006C7EB3" w:rsidP="006C7EB3">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9</w:t>
            </w:r>
          </w:p>
        </w:tc>
        <w:tc>
          <w:tcPr>
            <w:tcW w:w="1134" w:type="dxa"/>
            <w:tcBorders>
              <w:top w:val="nil"/>
              <w:left w:val="nil"/>
              <w:bottom w:val="nil"/>
              <w:right w:val="nil"/>
            </w:tcBorders>
            <w:shd w:val="clear" w:color="000000" w:fill="BFBFBF"/>
            <w:noWrap/>
            <w:vAlign w:val="center"/>
            <w:hideMark/>
          </w:tcPr>
          <w:p w14:paraId="264296A1" w14:textId="77777777" w:rsidR="006C7EB3" w:rsidRPr="00E20480" w:rsidRDefault="006C7EB3" w:rsidP="006C7EB3">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26 986</w:t>
            </w:r>
          </w:p>
        </w:tc>
        <w:tc>
          <w:tcPr>
            <w:tcW w:w="708" w:type="dxa"/>
            <w:tcBorders>
              <w:top w:val="nil"/>
              <w:left w:val="nil"/>
              <w:bottom w:val="nil"/>
              <w:right w:val="nil"/>
            </w:tcBorders>
            <w:shd w:val="clear" w:color="000000" w:fill="FFFFFF"/>
            <w:noWrap/>
            <w:vAlign w:val="center"/>
            <w:hideMark/>
          </w:tcPr>
          <w:p w14:paraId="6399740E" w14:textId="77777777" w:rsidR="006C7EB3" w:rsidRPr="00E20480" w:rsidRDefault="006C7EB3" w:rsidP="006C7EB3">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26 977</w:t>
            </w:r>
          </w:p>
        </w:tc>
        <w:tc>
          <w:tcPr>
            <w:tcW w:w="709" w:type="dxa"/>
            <w:tcBorders>
              <w:top w:val="nil"/>
              <w:left w:val="nil"/>
              <w:bottom w:val="nil"/>
              <w:right w:val="nil"/>
            </w:tcBorders>
            <w:shd w:val="clear" w:color="000000" w:fill="FFFFFF"/>
            <w:vAlign w:val="center"/>
            <w:hideMark/>
          </w:tcPr>
          <w:p w14:paraId="11062790" w14:textId="77777777" w:rsidR="006C7EB3" w:rsidRPr="00E20480" w:rsidRDefault="006C7EB3" w:rsidP="006C7EB3">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x</w:t>
            </w:r>
          </w:p>
        </w:tc>
      </w:tr>
      <w:tr w:rsidR="006C7EB3" w:rsidRPr="00E20480" w14:paraId="273E8FF1" w14:textId="77777777" w:rsidTr="004B5D5E">
        <w:trPr>
          <w:trHeight w:val="330"/>
        </w:trPr>
        <w:tc>
          <w:tcPr>
            <w:tcW w:w="3676" w:type="dxa"/>
            <w:tcBorders>
              <w:top w:val="nil"/>
              <w:left w:val="nil"/>
              <w:bottom w:val="nil"/>
              <w:right w:val="nil"/>
            </w:tcBorders>
            <w:shd w:val="clear" w:color="000000" w:fill="FFFFFF"/>
            <w:noWrap/>
            <w:vAlign w:val="center"/>
            <w:hideMark/>
          </w:tcPr>
          <w:p w14:paraId="0F6C59B0" w14:textId="77777777" w:rsidR="006C7EB3" w:rsidRPr="00E20480" w:rsidRDefault="006C7EB3" w:rsidP="006C7EB3">
            <w:pPr>
              <w:spacing w:after="0" w:line="240" w:lineRule="auto"/>
              <w:jc w:val="left"/>
              <w:rPr>
                <w:rFonts w:eastAsia="Times New Roman" w:cs="Times New Roman"/>
                <w:color w:val="000000"/>
                <w:sz w:val="18"/>
                <w:szCs w:val="18"/>
                <w:lang w:eastAsia="sk-SK"/>
              </w:rPr>
            </w:pPr>
            <w:r w:rsidRPr="00E20480">
              <w:rPr>
                <w:rFonts w:eastAsia="Times New Roman" w:cs="Times New Roman"/>
                <w:color w:val="000000"/>
                <w:sz w:val="18"/>
                <w:szCs w:val="18"/>
                <w:lang w:eastAsia="sk-SK"/>
              </w:rPr>
              <w:t>Pokuty, penále a iné sankcie</w:t>
            </w:r>
          </w:p>
        </w:tc>
        <w:tc>
          <w:tcPr>
            <w:tcW w:w="992" w:type="dxa"/>
            <w:tcBorders>
              <w:top w:val="nil"/>
              <w:left w:val="nil"/>
              <w:bottom w:val="nil"/>
              <w:right w:val="nil"/>
            </w:tcBorders>
            <w:shd w:val="clear" w:color="000000" w:fill="FFFFFF"/>
            <w:noWrap/>
            <w:vAlign w:val="center"/>
            <w:hideMark/>
          </w:tcPr>
          <w:p w14:paraId="4AB9633E" w14:textId="77777777" w:rsidR="006C7EB3" w:rsidRPr="00E20480" w:rsidRDefault="006C7EB3" w:rsidP="006C7EB3">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68 147</w:t>
            </w:r>
          </w:p>
        </w:tc>
        <w:tc>
          <w:tcPr>
            <w:tcW w:w="1134" w:type="dxa"/>
            <w:tcBorders>
              <w:top w:val="nil"/>
              <w:left w:val="nil"/>
              <w:bottom w:val="nil"/>
              <w:right w:val="nil"/>
            </w:tcBorders>
            <w:shd w:val="clear" w:color="000000" w:fill="FFFFFF"/>
            <w:noWrap/>
            <w:vAlign w:val="center"/>
            <w:hideMark/>
          </w:tcPr>
          <w:p w14:paraId="4521251A" w14:textId="77777777" w:rsidR="006C7EB3" w:rsidRPr="00E20480" w:rsidRDefault="006C7EB3" w:rsidP="006C7EB3">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67 163</w:t>
            </w:r>
          </w:p>
        </w:tc>
        <w:tc>
          <w:tcPr>
            <w:tcW w:w="851" w:type="dxa"/>
            <w:tcBorders>
              <w:top w:val="nil"/>
              <w:left w:val="nil"/>
              <w:bottom w:val="nil"/>
              <w:right w:val="nil"/>
            </w:tcBorders>
            <w:shd w:val="clear" w:color="000000" w:fill="FFFFFF"/>
            <w:noWrap/>
            <w:vAlign w:val="center"/>
            <w:hideMark/>
          </w:tcPr>
          <w:p w14:paraId="23993FA6" w14:textId="77777777" w:rsidR="006C7EB3" w:rsidRPr="00E20480" w:rsidRDefault="006C7EB3" w:rsidP="006C7EB3">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52 500</w:t>
            </w:r>
          </w:p>
        </w:tc>
        <w:tc>
          <w:tcPr>
            <w:tcW w:w="1134" w:type="dxa"/>
            <w:tcBorders>
              <w:top w:val="nil"/>
              <w:left w:val="nil"/>
              <w:bottom w:val="nil"/>
              <w:right w:val="nil"/>
            </w:tcBorders>
            <w:shd w:val="clear" w:color="000000" w:fill="BFBFBF"/>
            <w:noWrap/>
            <w:vAlign w:val="center"/>
            <w:hideMark/>
          </w:tcPr>
          <w:p w14:paraId="492B77AE" w14:textId="77777777" w:rsidR="006C7EB3" w:rsidRPr="00E20480" w:rsidRDefault="006C7EB3" w:rsidP="006C7EB3">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56 748</w:t>
            </w:r>
          </w:p>
        </w:tc>
        <w:tc>
          <w:tcPr>
            <w:tcW w:w="708" w:type="dxa"/>
            <w:tcBorders>
              <w:top w:val="nil"/>
              <w:left w:val="nil"/>
              <w:bottom w:val="nil"/>
              <w:right w:val="nil"/>
            </w:tcBorders>
            <w:shd w:val="clear" w:color="000000" w:fill="FFFFFF"/>
            <w:vAlign w:val="center"/>
            <w:hideMark/>
          </w:tcPr>
          <w:p w14:paraId="239B26C7" w14:textId="77777777" w:rsidR="006C7EB3" w:rsidRPr="00E20480" w:rsidRDefault="006C7EB3" w:rsidP="006C7EB3">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4 248</w:t>
            </w:r>
          </w:p>
        </w:tc>
        <w:tc>
          <w:tcPr>
            <w:tcW w:w="709" w:type="dxa"/>
            <w:tcBorders>
              <w:top w:val="nil"/>
              <w:left w:val="nil"/>
              <w:bottom w:val="nil"/>
              <w:right w:val="nil"/>
            </w:tcBorders>
            <w:shd w:val="clear" w:color="000000" w:fill="FFFFFF"/>
            <w:vAlign w:val="center"/>
            <w:hideMark/>
          </w:tcPr>
          <w:p w14:paraId="122B6E99" w14:textId="77777777" w:rsidR="006C7EB3" w:rsidRPr="00E20480" w:rsidRDefault="006C7EB3" w:rsidP="006C7EB3">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8,1</w:t>
            </w:r>
          </w:p>
        </w:tc>
      </w:tr>
      <w:tr w:rsidR="006C7EB3" w:rsidRPr="00E20480" w14:paraId="40874DA3" w14:textId="77777777" w:rsidTr="004B5D5E">
        <w:trPr>
          <w:trHeight w:val="330"/>
        </w:trPr>
        <w:tc>
          <w:tcPr>
            <w:tcW w:w="3676" w:type="dxa"/>
            <w:tcBorders>
              <w:top w:val="nil"/>
              <w:left w:val="nil"/>
              <w:bottom w:val="nil"/>
              <w:right w:val="nil"/>
            </w:tcBorders>
            <w:shd w:val="clear" w:color="000000" w:fill="FFFFFF"/>
            <w:noWrap/>
            <w:vAlign w:val="center"/>
            <w:hideMark/>
          </w:tcPr>
          <w:p w14:paraId="2624D869" w14:textId="77777777" w:rsidR="006C7EB3" w:rsidRPr="00E20480" w:rsidRDefault="006C7EB3" w:rsidP="006C7EB3">
            <w:pPr>
              <w:spacing w:after="0" w:line="240" w:lineRule="auto"/>
              <w:jc w:val="left"/>
              <w:rPr>
                <w:rFonts w:eastAsia="Times New Roman" w:cs="Times New Roman"/>
                <w:color w:val="000000"/>
                <w:sz w:val="18"/>
                <w:szCs w:val="18"/>
                <w:lang w:eastAsia="sk-SK"/>
              </w:rPr>
            </w:pPr>
            <w:r w:rsidRPr="00E20480">
              <w:rPr>
                <w:rFonts w:eastAsia="Times New Roman" w:cs="Times New Roman"/>
                <w:color w:val="000000"/>
                <w:sz w:val="18"/>
                <w:szCs w:val="18"/>
                <w:lang w:eastAsia="sk-SK"/>
              </w:rPr>
              <w:t>Poplatky a platby z nepriemyselného a náhod. predaja</w:t>
            </w:r>
          </w:p>
        </w:tc>
        <w:tc>
          <w:tcPr>
            <w:tcW w:w="992" w:type="dxa"/>
            <w:tcBorders>
              <w:top w:val="nil"/>
              <w:left w:val="nil"/>
              <w:bottom w:val="nil"/>
              <w:right w:val="nil"/>
            </w:tcBorders>
            <w:shd w:val="clear" w:color="000000" w:fill="FFFFFF"/>
            <w:noWrap/>
            <w:vAlign w:val="center"/>
            <w:hideMark/>
          </w:tcPr>
          <w:p w14:paraId="6E8EEF09" w14:textId="77777777" w:rsidR="006C7EB3" w:rsidRPr="00E20480" w:rsidRDefault="006C7EB3" w:rsidP="006C7EB3">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52 624</w:t>
            </w:r>
          </w:p>
        </w:tc>
        <w:tc>
          <w:tcPr>
            <w:tcW w:w="1134" w:type="dxa"/>
            <w:tcBorders>
              <w:top w:val="nil"/>
              <w:left w:val="nil"/>
              <w:bottom w:val="nil"/>
              <w:right w:val="nil"/>
            </w:tcBorders>
            <w:shd w:val="clear" w:color="000000" w:fill="FFFFFF"/>
            <w:noWrap/>
            <w:vAlign w:val="center"/>
            <w:hideMark/>
          </w:tcPr>
          <w:p w14:paraId="7C7523A0" w14:textId="77777777" w:rsidR="006C7EB3" w:rsidRPr="00E20480" w:rsidRDefault="006C7EB3" w:rsidP="006C7EB3">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56 372</w:t>
            </w:r>
          </w:p>
        </w:tc>
        <w:tc>
          <w:tcPr>
            <w:tcW w:w="851" w:type="dxa"/>
            <w:tcBorders>
              <w:top w:val="nil"/>
              <w:left w:val="nil"/>
              <w:bottom w:val="nil"/>
              <w:right w:val="nil"/>
            </w:tcBorders>
            <w:shd w:val="clear" w:color="000000" w:fill="FFFFFF"/>
            <w:noWrap/>
            <w:vAlign w:val="center"/>
            <w:hideMark/>
          </w:tcPr>
          <w:p w14:paraId="34E4BEF7" w14:textId="77777777" w:rsidR="006C7EB3" w:rsidRPr="00E20480" w:rsidRDefault="006C7EB3" w:rsidP="006C7EB3">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52 356</w:t>
            </w:r>
          </w:p>
        </w:tc>
        <w:tc>
          <w:tcPr>
            <w:tcW w:w="1134" w:type="dxa"/>
            <w:tcBorders>
              <w:top w:val="nil"/>
              <w:left w:val="nil"/>
              <w:bottom w:val="nil"/>
              <w:right w:val="nil"/>
            </w:tcBorders>
            <w:shd w:val="clear" w:color="000000" w:fill="BFBFBF"/>
            <w:noWrap/>
            <w:vAlign w:val="center"/>
            <w:hideMark/>
          </w:tcPr>
          <w:p w14:paraId="467EDDBA" w14:textId="77777777" w:rsidR="006C7EB3" w:rsidRPr="00E20480" w:rsidRDefault="006C7EB3" w:rsidP="006C7EB3">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111 807</w:t>
            </w:r>
          </w:p>
        </w:tc>
        <w:tc>
          <w:tcPr>
            <w:tcW w:w="708" w:type="dxa"/>
            <w:tcBorders>
              <w:top w:val="nil"/>
              <w:left w:val="nil"/>
              <w:bottom w:val="nil"/>
              <w:right w:val="nil"/>
            </w:tcBorders>
            <w:shd w:val="clear" w:color="000000" w:fill="FFFFFF"/>
            <w:vAlign w:val="center"/>
            <w:hideMark/>
          </w:tcPr>
          <w:p w14:paraId="0C0CF3CD" w14:textId="77777777" w:rsidR="006C7EB3" w:rsidRPr="00E20480" w:rsidRDefault="006C7EB3" w:rsidP="006C7EB3">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59 451</w:t>
            </w:r>
          </w:p>
        </w:tc>
        <w:tc>
          <w:tcPr>
            <w:tcW w:w="709" w:type="dxa"/>
            <w:tcBorders>
              <w:top w:val="nil"/>
              <w:left w:val="nil"/>
              <w:bottom w:val="nil"/>
              <w:right w:val="nil"/>
            </w:tcBorders>
            <w:shd w:val="clear" w:color="000000" w:fill="FFFFFF"/>
            <w:vAlign w:val="center"/>
            <w:hideMark/>
          </w:tcPr>
          <w:p w14:paraId="67F1C108" w14:textId="77777777" w:rsidR="006C7EB3" w:rsidRPr="00E20480" w:rsidRDefault="006C7EB3" w:rsidP="006C7EB3">
            <w:pPr>
              <w:spacing w:after="0" w:line="240" w:lineRule="auto"/>
              <w:jc w:val="right"/>
              <w:rPr>
                <w:rFonts w:eastAsia="Times New Roman" w:cs="Times New Roman"/>
                <w:color w:val="000000"/>
                <w:sz w:val="18"/>
                <w:szCs w:val="18"/>
                <w:lang w:eastAsia="sk-SK"/>
              </w:rPr>
            </w:pPr>
            <w:r w:rsidRPr="00E20480">
              <w:rPr>
                <w:rFonts w:eastAsia="Times New Roman" w:cs="Times New Roman"/>
                <w:color w:val="000000"/>
                <w:sz w:val="18"/>
                <w:szCs w:val="18"/>
                <w:lang w:eastAsia="sk-SK"/>
              </w:rPr>
              <w:t>113,6</w:t>
            </w:r>
          </w:p>
        </w:tc>
      </w:tr>
      <w:tr w:rsidR="006C7EB3" w:rsidRPr="00E20480" w14:paraId="20BF2BB0" w14:textId="77777777" w:rsidTr="004B5D5E">
        <w:trPr>
          <w:trHeight w:val="345"/>
        </w:trPr>
        <w:tc>
          <w:tcPr>
            <w:tcW w:w="3676" w:type="dxa"/>
            <w:tcBorders>
              <w:top w:val="single" w:sz="4" w:space="0" w:color="auto"/>
              <w:left w:val="nil"/>
              <w:bottom w:val="single" w:sz="8" w:space="0" w:color="auto"/>
              <w:right w:val="nil"/>
            </w:tcBorders>
            <w:shd w:val="clear" w:color="000000" w:fill="FFFFFF"/>
            <w:noWrap/>
            <w:vAlign w:val="center"/>
            <w:hideMark/>
          </w:tcPr>
          <w:p w14:paraId="21BA381D" w14:textId="77777777" w:rsidR="006C7EB3" w:rsidRPr="00E20480" w:rsidRDefault="006C7EB3" w:rsidP="006C7EB3">
            <w:pPr>
              <w:spacing w:after="0" w:line="240" w:lineRule="auto"/>
              <w:jc w:val="left"/>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Spolu</w:t>
            </w:r>
          </w:p>
        </w:tc>
        <w:tc>
          <w:tcPr>
            <w:tcW w:w="992" w:type="dxa"/>
            <w:tcBorders>
              <w:top w:val="single" w:sz="4" w:space="0" w:color="auto"/>
              <w:left w:val="nil"/>
              <w:bottom w:val="single" w:sz="8" w:space="0" w:color="auto"/>
              <w:right w:val="nil"/>
            </w:tcBorders>
            <w:shd w:val="clear" w:color="000000" w:fill="FFFFFF"/>
            <w:noWrap/>
            <w:vAlign w:val="center"/>
            <w:hideMark/>
          </w:tcPr>
          <w:p w14:paraId="00077878" w14:textId="77777777" w:rsidR="006C7EB3" w:rsidRPr="00E20480" w:rsidRDefault="006C7EB3" w:rsidP="006C7EB3">
            <w:pPr>
              <w:spacing w:after="0" w:line="240" w:lineRule="auto"/>
              <w:jc w:val="right"/>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345 637</w:t>
            </w:r>
          </w:p>
        </w:tc>
        <w:tc>
          <w:tcPr>
            <w:tcW w:w="1134" w:type="dxa"/>
            <w:tcBorders>
              <w:top w:val="single" w:sz="4" w:space="0" w:color="auto"/>
              <w:left w:val="nil"/>
              <w:bottom w:val="single" w:sz="8" w:space="0" w:color="auto"/>
              <w:right w:val="nil"/>
            </w:tcBorders>
            <w:shd w:val="clear" w:color="000000" w:fill="FFFFFF"/>
            <w:noWrap/>
            <w:vAlign w:val="center"/>
            <w:hideMark/>
          </w:tcPr>
          <w:p w14:paraId="39A55575" w14:textId="77777777" w:rsidR="006C7EB3" w:rsidRPr="00E20480" w:rsidRDefault="006C7EB3" w:rsidP="006C7EB3">
            <w:pPr>
              <w:spacing w:after="0" w:line="240" w:lineRule="auto"/>
              <w:jc w:val="right"/>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386 557</w:t>
            </w:r>
          </w:p>
        </w:tc>
        <w:tc>
          <w:tcPr>
            <w:tcW w:w="851" w:type="dxa"/>
            <w:tcBorders>
              <w:top w:val="single" w:sz="4" w:space="0" w:color="auto"/>
              <w:left w:val="nil"/>
              <w:bottom w:val="single" w:sz="8" w:space="0" w:color="auto"/>
              <w:right w:val="nil"/>
            </w:tcBorders>
            <w:shd w:val="clear" w:color="000000" w:fill="FFFFFF"/>
            <w:noWrap/>
            <w:vAlign w:val="center"/>
            <w:hideMark/>
          </w:tcPr>
          <w:p w14:paraId="16CC3662" w14:textId="77777777" w:rsidR="006C7EB3" w:rsidRPr="00E20480" w:rsidRDefault="006C7EB3" w:rsidP="006C7EB3">
            <w:pPr>
              <w:spacing w:after="0" w:line="240" w:lineRule="auto"/>
              <w:jc w:val="right"/>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310 208</w:t>
            </w:r>
          </w:p>
        </w:tc>
        <w:tc>
          <w:tcPr>
            <w:tcW w:w="1134" w:type="dxa"/>
            <w:tcBorders>
              <w:top w:val="single" w:sz="4" w:space="0" w:color="auto"/>
              <w:left w:val="nil"/>
              <w:bottom w:val="single" w:sz="8" w:space="0" w:color="auto"/>
              <w:right w:val="nil"/>
            </w:tcBorders>
            <w:shd w:val="clear" w:color="000000" w:fill="BFBFBF"/>
            <w:noWrap/>
            <w:vAlign w:val="center"/>
            <w:hideMark/>
          </w:tcPr>
          <w:p w14:paraId="334F1CA7" w14:textId="77777777" w:rsidR="006C7EB3" w:rsidRPr="00E20480" w:rsidRDefault="006C7EB3" w:rsidP="006C7EB3">
            <w:pPr>
              <w:spacing w:after="0" w:line="240" w:lineRule="auto"/>
              <w:jc w:val="right"/>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387 962</w:t>
            </w:r>
          </w:p>
        </w:tc>
        <w:tc>
          <w:tcPr>
            <w:tcW w:w="708" w:type="dxa"/>
            <w:tcBorders>
              <w:top w:val="single" w:sz="4" w:space="0" w:color="auto"/>
              <w:left w:val="nil"/>
              <w:bottom w:val="single" w:sz="8" w:space="0" w:color="auto"/>
              <w:right w:val="nil"/>
            </w:tcBorders>
            <w:shd w:val="clear" w:color="000000" w:fill="FFFFFF"/>
            <w:noWrap/>
            <w:vAlign w:val="center"/>
            <w:hideMark/>
          </w:tcPr>
          <w:p w14:paraId="7D0AFE58" w14:textId="77777777" w:rsidR="006C7EB3" w:rsidRPr="00E20480" w:rsidRDefault="006C7EB3" w:rsidP="006C7EB3">
            <w:pPr>
              <w:spacing w:after="0" w:line="240" w:lineRule="auto"/>
              <w:jc w:val="right"/>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77 754</w:t>
            </w:r>
          </w:p>
        </w:tc>
        <w:tc>
          <w:tcPr>
            <w:tcW w:w="709" w:type="dxa"/>
            <w:tcBorders>
              <w:top w:val="single" w:sz="4" w:space="0" w:color="auto"/>
              <w:left w:val="nil"/>
              <w:bottom w:val="single" w:sz="8" w:space="0" w:color="auto"/>
              <w:right w:val="nil"/>
            </w:tcBorders>
            <w:shd w:val="clear" w:color="000000" w:fill="FFFFFF"/>
            <w:noWrap/>
            <w:vAlign w:val="center"/>
            <w:hideMark/>
          </w:tcPr>
          <w:p w14:paraId="29CC6158" w14:textId="77777777" w:rsidR="006C7EB3" w:rsidRPr="00E20480" w:rsidRDefault="006C7EB3" w:rsidP="006C7EB3">
            <w:pPr>
              <w:spacing w:after="0" w:line="240" w:lineRule="auto"/>
              <w:jc w:val="right"/>
              <w:rPr>
                <w:rFonts w:eastAsia="Times New Roman" w:cs="Times New Roman"/>
                <w:b/>
                <w:bCs/>
                <w:color w:val="000000"/>
                <w:sz w:val="18"/>
                <w:szCs w:val="18"/>
                <w:lang w:eastAsia="sk-SK"/>
              </w:rPr>
            </w:pPr>
            <w:r w:rsidRPr="00E20480">
              <w:rPr>
                <w:rFonts w:eastAsia="Times New Roman" w:cs="Times New Roman"/>
                <w:b/>
                <w:bCs/>
                <w:color w:val="000000"/>
                <w:sz w:val="18"/>
                <w:szCs w:val="18"/>
                <w:lang w:eastAsia="sk-SK"/>
              </w:rPr>
              <w:t>25,1</w:t>
            </w:r>
          </w:p>
        </w:tc>
      </w:tr>
    </w:tbl>
    <w:p w14:paraId="4E75F31D" w14:textId="790009BB" w:rsidR="00C2434C" w:rsidRPr="006C7EB3" w:rsidRDefault="00C2434C" w:rsidP="00F47A62">
      <w:pPr>
        <w:jc w:val="right"/>
        <w:rPr>
          <w:sz w:val="18"/>
          <w:szCs w:val="18"/>
        </w:rPr>
      </w:pPr>
      <w:r>
        <w:rPr>
          <w:sz w:val="18"/>
          <w:szCs w:val="18"/>
        </w:rPr>
        <w:t>Zdroj: MF SR</w:t>
      </w:r>
    </w:p>
    <w:p w14:paraId="1DFC813E" w14:textId="77777777" w:rsidR="00C2434C" w:rsidRPr="00A357E5" w:rsidRDefault="00C2434C" w:rsidP="001665F3">
      <w:pPr>
        <w:tabs>
          <w:tab w:val="left" w:pos="284"/>
        </w:tabs>
        <w:spacing w:line="240" w:lineRule="auto"/>
        <w:rPr>
          <w:color w:val="000000" w:themeColor="text1"/>
          <w:sz w:val="24"/>
          <w:szCs w:val="24"/>
        </w:rPr>
      </w:pPr>
      <w:r w:rsidRPr="00A357E5">
        <w:rPr>
          <w:color w:val="000000" w:themeColor="text1"/>
          <w:sz w:val="24"/>
          <w:szCs w:val="24"/>
        </w:rPr>
        <w:t xml:space="preserve">V rámci tejto kategórie dosiahli najvyšší príjem </w:t>
      </w:r>
      <w:r w:rsidRPr="00A357E5">
        <w:rPr>
          <w:b/>
          <w:i/>
          <w:color w:val="000000" w:themeColor="text1"/>
          <w:sz w:val="24"/>
          <w:szCs w:val="24"/>
        </w:rPr>
        <w:t>ostatné administratívne poplatky</w:t>
      </w:r>
      <w:r w:rsidRPr="00A357E5">
        <w:rPr>
          <w:color w:val="000000" w:themeColor="text1"/>
          <w:sz w:val="24"/>
          <w:szCs w:val="24"/>
        </w:rPr>
        <w:t xml:space="preserve">, a to čiastku 191 808 tis. eur, z ktorých rozhodujúca suma plynie do rozpočtu kapitoly Všeobecnej pokladničnej správy (177 584 tis. eur). </w:t>
      </w:r>
    </w:p>
    <w:p w14:paraId="7AF6FBF7" w14:textId="3743A59C" w:rsidR="00C2434C" w:rsidRDefault="00C2434C" w:rsidP="001665F3">
      <w:pPr>
        <w:spacing w:line="240" w:lineRule="auto"/>
        <w:rPr>
          <w:rFonts w:cs="Times New Roman"/>
          <w:sz w:val="24"/>
          <w:szCs w:val="24"/>
        </w:rPr>
      </w:pPr>
      <w:r w:rsidRPr="00A357E5">
        <w:rPr>
          <w:b/>
          <w:i/>
          <w:color w:val="000000" w:themeColor="text1"/>
          <w:sz w:val="24"/>
          <w:szCs w:val="24"/>
        </w:rPr>
        <w:t>Súdne poplatky</w:t>
      </w:r>
      <w:r w:rsidRPr="00A357E5">
        <w:rPr>
          <w:color w:val="000000" w:themeColor="text1"/>
          <w:sz w:val="24"/>
          <w:szCs w:val="24"/>
        </w:rPr>
        <w:t xml:space="preserve"> </w:t>
      </w:r>
      <w:r w:rsidR="000812C5" w:rsidRPr="00A357E5">
        <w:rPr>
          <w:color w:val="000000" w:themeColor="text1"/>
          <w:sz w:val="24"/>
          <w:szCs w:val="24"/>
        </w:rPr>
        <w:t xml:space="preserve">rozpočtované v rámci ostatných poplatkov </w:t>
      </w:r>
      <w:r w:rsidRPr="00A357E5">
        <w:rPr>
          <w:color w:val="000000" w:themeColor="text1"/>
          <w:sz w:val="24"/>
          <w:szCs w:val="24"/>
        </w:rPr>
        <w:t xml:space="preserve">dosiahli skutočné plnenie vo výške 26 986 tis. eur, takmer v celej výške v kapitole Všeobecná pokladničná správa. </w:t>
      </w:r>
      <w:r w:rsidRPr="00A357E5">
        <w:rPr>
          <w:rFonts w:cs="Times New Roman"/>
          <w:sz w:val="24"/>
          <w:szCs w:val="24"/>
        </w:rPr>
        <w:t>V roku 2020 sa takmer všetky súdne poplatky platili prostredníctvom systému e</w:t>
      </w:r>
      <w:r w:rsidR="000812C5" w:rsidRPr="00A357E5">
        <w:rPr>
          <w:rFonts w:cs="Times New Roman"/>
          <w:sz w:val="24"/>
          <w:szCs w:val="24"/>
        </w:rPr>
        <w:t>-</w:t>
      </w:r>
      <w:r w:rsidRPr="00A357E5">
        <w:rPr>
          <w:rFonts w:cs="Times New Roman"/>
          <w:sz w:val="24"/>
          <w:szCs w:val="24"/>
        </w:rPr>
        <w:t>Kolok, tak ako aj všetky os</w:t>
      </w:r>
      <w:r w:rsidR="000812C5" w:rsidRPr="00A357E5">
        <w:rPr>
          <w:rFonts w:cs="Times New Roman"/>
          <w:sz w:val="24"/>
          <w:szCs w:val="24"/>
        </w:rPr>
        <w:t xml:space="preserve">tatné administratívne poplatky. </w:t>
      </w:r>
    </w:p>
    <w:p w14:paraId="702D27C4" w14:textId="0C18556B" w:rsidR="00C2434C" w:rsidRPr="00A357E5" w:rsidRDefault="00C2434C" w:rsidP="001665F3">
      <w:pPr>
        <w:spacing w:line="240" w:lineRule="auto"/>
        <w:rPr>
          <w:sz w:val="24"/>
          <w:szCs w:val="24"/>
        </w:rPr>
      </w:pPr>
      <w:r w:rsidRPr="00A357E5">
        <w:rPr>
          <w:b/>
          <w:i/>
          <w:color w:val="000000" w:themeColor="text1"/>
          <w:sz w:val="24"/>
          <w:szCs w:val="24"/>
        </w:rPr>
        <w:t xml:space="preserve">Pokuty, penále a iné sankcie </w:t>
      </w:r>
      <w:r w:rsidR="00A17C2A" w:rsidRPr="00A357E5">
        <w:rPr>
          <w:color w:val="000000" w:themeColor="text1"/>
          <w:sz w:val="24"/>
          <w:szCs w:val="24"/>
        </w:rPr>
        <w:t>dosiahli úhrnom 56 748 tis. eur,</w:t>
      </w:r>
      <w:r w:rsidRPr="00A357E5">
        <w:rPr>
          <w:color w:val="000000" w:themeColor="text1"/>
          <w:sz w:val="24"/>
          <w:szCs w:val="24"/>
        </w:rPr>
        <w:t xml:space="preserve"> a sú vyrubované zo strany štátnych úradov najmä v súvislosti s porušením daňových, colných, cenových a ostatných predpisov. Najväčší podiel tvorí kapitola </w:t>
      </w:r>
      <w:r w:rsidRPr="00A357E5">
        <w:rPr>
          <w:color w:val="000000" w:themeColor="text1"/>
          <w:sz w:val="24"/>
          <w:szCs w:val="24"/>
          <w:u w:val="single"/>
        </w:rPr>
        <w:t xml:space="preserve">Ministerstva vnútra SR </w:t>
      </w:r>
      <w:r w:rsidRPr="00A357E5">
        <w:rPr>
          <w:color w:val="000000" w:themeColor="text1"/>
          <w:sz w:val="24"/>
          <w:szCs w:val="24"/>
        </w:rPr>
        <w:t xml:space="preserve">(38 130 tis. eur), </w:t>
      </w:r>
      <w:r w:rsidRPr="00A357E5">
        <w:rPr>
          <w:sz w:val="24"/>
          <w:szCs w:val="24"/>
        </w:rPr>
        <w:t xml:space="preserve">kde išlo najmä o príjmy od fyzických osôb, právnických osôb alebo zahraničných </w:t>
      </w:r>
      <w:r w:rsidR="001B29DD" w:rsidRPr="00A357E5">
        <w:rPr>
          <w:sz w:val="24"/>
          <w:szCs w:val="24"/>
        </w:rPr>
        <w:t>osôb najmä za uložené pokuty za </w:t>
      </w:r>
      <w:r w:rsidRPr="00A357E5">
        <w:rPr>
          <w:sz w:val="24"/>
          <w:szCs w:val="24"/>
        </w:rPr>
        <w:t>dopravné priestupky (24 759 tis. eur), pokuty za neuhradené diaľničné známky a mýto (6 040 tis. eur), pokuty z tzv. objektívnej zodpovednosti (zodpovednosť držiteľa vozidl</w:t>
      </w:r>
      <w:r w:rsidR="001B29DD" w:rsidRPr="00A357E5">
        <w:rPr>
          <w:sz w:val="24"/>
          <w:szCs w:val="24"/>
        </w:rPr>
        <w:t>a za n</w:t>
      </w:r>
      <w:r w:rsidRPr="00A357E5">
        <w:rPr>
          <w:sz w:val="24"/>
          <w:szCs w:val="24"/>
        </w:rPr>
        <w:t xml:space="preserve">iektoré skutky vodiča) v sume 4 129 tis. eur a pokuty za chýbajúcu emisnú a technickú kontrolu motorových vozidiel (2 844 tis. eur). </w:t>
      </w:r>
    </w:p>
    <w:p w14:paraId="0F5B7FEB" w14:textId="77777777" w:rsidR="00C2434C" w:rsidRPr="00A357E5" w:rsidRDefault="00C2434C" w:rsidP="001665F3">
      <w:pPr>
        <w:spacing w:line="240" w:lineRule="auto"/>
        <w:rPr>
          <w:color w:val="000000" w:themeColor="text1"/>
          <w:sz w:val="24"/>
          <w:szCs w:val="24"/>
        </w:rPr>
      </w:pPr>
      <w:r w:rsidRPr="00A357E5">
        <w:rPr>
          <w:color w:val="000000" w:themeColor="text1"/>
          <w:sz w:val="24"/>
          <w:szCs w:val="24"/>
          <w:u w:val="single"/>
        </w:rPr>
        <w:t>Ministerstvo práce, sociálnych vecí a rodiny SR</w:t>
      </w:r>
      <w:r w:rsidRPr="00A357E5">
        <w:rPr>
          <w:color w:val="000000" w:themeColor="text1"/>
          <w:sz w:val="24"/>
          <w:szCs w:val="24"/>
        </w:rPr>
        <w:t xml:space="preserve"> prijalo za porušenie predpisov sumu 5 968 tis. eur vo forme blokových pokút a pokút za porušovanie pracovnoprávnych predpisov a predpisov na zaistenie bezpečnosti a ochrany zdravia pri práci (ukladané najmä inšpektorátmi práce) a odvodov za neplnenie povinného podielu zamestnávania občanov so zdravotným postihnutím podľa § 65 zákona č. 5/2004 Z. z. o službách zamestnanosti.</w:t>
      </w:r>
    </w:p>
    <w:p w14:paraId="44471BA2" w14:textId="11D3B9D4" w:rsidR="00C2434C" w:rsidRPr="00A357E5" w:rsidRDefault="00C2434C" w:rsidP="001665F3">
      <w:pPr>
        <w:spacing w:line="240" w:lineRule="auto"/>
        <w:rPr>
          <w:color w:val="000000" w:themeColor="text1"/>
          <w:sz w:val="24"/>
          <w:szCs w:val="24"/>
        </w:rPr>
      </w:pPr>
      <w:r w:rsidRPr="00A357E5">
        <w:rPr>
          <w:color w:val="000000" w:themeColor="text1"/>
          <w:sz w:val="24"/>
          <w:szCs w:val="24"/>
          <w:u w:val="single"/>
        </w:rPr>
        <w:t>Ministerstvo pôdohospodárstva a rozvoja vidieka SR</w:t>
      </w:r>
      <w:r w:rsidRPr="00A357E5">
        <w:rPr>
          <w:color w:val="000000" w:themeColor="text1"/>
          <w:sz w:val="24"/>
          <w:szCs w:val="24"/>
        </w:rPr>
        <w:t xml:space="preserve"> získalo príjmy za porušenie predpisov v celkovej výške 2 2</w:t>
      </w:r>
      <w:r w:rsidR="00CC1E89">
        <w:rPr>
          <w:color w:val="000000" w:themeColor="text1"/>
          <w:sz w:val="24"/>
          <w:szCs w:val="24"/>
        </w:rPr>
        <w:t>45</w:t>
      </w:r>
      <w:r w:rsidRPr="00A357E5">
        <w:rPr>
          <w:color w:val="000000" w:themeColor="text1"/>
          <w:sz w:val="24"/>
          <w:szCs w:val="24"/>
        </w:rPr>
        <w:t xml:space="preserve"> tis. eur. Najväčší objem príjmov (2 080 tis. eur) dosiahla Štátna veterinárna a potravinová správa SR spolu s regionálnymi úradmi veterinárnej a potravinovej správy, a to z pokút, ktoré boli uložené prevádzkovateľom v obchodných sieťach. </w:t>
      </w:r>
    </w:p>
    <w:p w14:paraId="76FBF7B4" w14:textId="6BE108CA" w:rsidR="00C2434C" w:rsidRPr="00A357E5" w:rsidRDefault="00C2434C" w:rsidP="001665F3">
      <w:pPr>
        <w:spacing w:line="240" w:lineRule="auto"/>
        <w:rPr>
          <w:color w:val="000000" w:themeColor="text1"/>
          <w:sz w:val="24"/>
          <w:szCs w:val="24"/>
        </w:rPr>
      </w:pPr>
      <w:r w:rsidRPr="00A357E5">
        <w:rPr>
          <w:color w:val="000000" w:themeColor="text1"/>
          <w:sz w:val="24"/>
          <w:szCs w:val="24"/>
          <w:u w:val="single"/>
        </w:rPr>
        <w:t>Protimonopolný úrad SR</w:t>
      </w:r>
      <w:r w:rsidR="000E4EE1" w:rsidRPr="00A357E5">
        <w:rPr>
          <w:color w:val="000000" w:themeColor="text1"/>
          <w:sz w:val="24"/>
          <w:szCs w:val="24"/>
        </w:rPr>
        <w:t xml:space="preserve"> dosiahol</w:t>
      </w:r>
      <w:r w:rsidRPr="00A357E5">
        <w:rPr>
          <w:color w:val="000000" w:themeColor="text1"/>
          <w:sz w:val="24"/>
          <w:szCs w:val="24"/>
        </w:rPr>
        <w:t xml:space="preserve"> príjem 2 125 tis. eur z pokút uložených podnikateľským subjektom v oblasti dodržiavania pravidiel hospodárskej súťaže.</w:t>
      </w:r>
      <w:r w:rsidRPr="00A357E5">
        <w:rPr>
          <w:color w:val="FF0000"/>
          <w:sz w:val="24"/>
          <w:szCs w:val="24"/>
        </w:rPr>
        <w:t xml:space="preserve"> </w:t>
      </w:r>
      <w:r w:rsidRPr="00A357E5">
        <w:rPr>
          <w:color w:val="000000" w:themeColor="text1"/>
          <w:sz w:val="24"/>
          <w:szCs w:val="24"/>
        </w:rPr>
        <w:t>Keďže počas roka 2020 boli uhradené aj pohľadávky z pokút uložených v minulých rokoch, skutočne dosiahnuté príjmy prekročili schválený rozpočet.</w:t>
      </w:r>
    </w:p>
    <w:p w14:paraId="3B5ABD23" w14:textId="607C24A1" w:rsidR="00C2434C" w:rsidRPr="00A357E5" w:rsidRDefault="00C2434C" w:rsidP="001665F3">
      <w:pPr>
        <w:spacing w:line="240" w:lineRule="auto"/>
        <w:rPr>
          <w:rFonts w:cs="Times New Roman"/>
          <w:color w:val="000000" w:themeColor="text1"/>
          <w:sz w:val="24"/>
          <w:szCs w:val="24"/>
        </w:rPr>
      </w:pPr>
      <w:r w:rsidRPr="00A357E5">
        <w:rPr>
          <w:rFonts w:cs="Times New Roman"/>
          <w:color w:val="000000" w:themeColor="text1"/>
          <w:sz w:val="24"/>
          <w:szCs w:val="24"/>
          <w:u w:val="single"/>
        </w:rPr>
        <w:t>Všeobecná pokladničná správ</w:t>
      </w:r>
      <w:r w:rsidRPr="00A357E5">
        <w:rPr>
          <w:rFonts w:cs="Times New Roman"/>
          <w:color w:val="000000" w:themeColor="text1"/>
          <w:sz w:val="24"/>
          <w:szCs w:val="24"/>
        </w:rPr>
        <w:t xml:space="preserve">a získala príjem z pokút v sume 2 072 tis. eur. Z toho Finančné riaditeľstvo SR vybralo pokuty za porušenie predpisov vo výške 1 022 tis. eur, Rada pre vysielanie a retransmisiu v sume 466 tis. eur, Úrad pre reguláciu hazardných hier v sume 236 tis. eur a Úrad na ochranu osobných údajov SR v sume 126 tis. eur. </w:t>
      </w:r>
      <w:r w:rsidRPr="00A357E5">
        <w:rPr>
          <w:rFonts w:cs="Times New Roman"/>
          <w:sz w:val="24"/>
          <w:szCs w:val="24"/>
        </w:rPr>
        <w:t>Čiastka 222 tis. eur bola pripísaná na účet samotnej kapitoly.</w:t>
      </w:r>
    </w:p>
    <w:p w14:paraId="2316AE39" w14:textId="065F65E0" w:rsidR="00C2434C" w:rsidRPr="00A357E5" w:rsidRDefault="00C2434C" w:rsidP="001665F3">
      <w:pPr>
        <w:spacing w:line="240" w:lineRule="auto"/>
        <w:rPr>
          <w:color w:val="000000" w:themeColor="text1"/>
          <w:sz w:val="24"/>
          <w:szCs w:val="24"/>
        </w:rPr>
      </w:pPr>
      <w:r w:rsidRPr="00A357E5">
        <w:rPr>
          <w:b/>
          <w:i/>
          <w:color w:val="000000" w:themeColor="text1"/>
          <w:sz w:val="24"/>
          <w:szCs w:val="24"/>
        </w:rPr>
        <w:t>Poplatky a platby z nepriemyselného a náhodného predaja</w:t>
      </w:r>
      <w:r w:rsidRPr="00A357E5">
        <w:rPr>
          <w:color w:val="000000" w:themeColor="text1"/>
          <w:sz w:val="24"/>
          <w:szCs w:val="24"/>
        </w:rPr>
        <w:t xml:space="preserve"> prijali kapitoly v celkovej čiastke 111 807 tis. eur, z toho takmer v celej výške za predaj výrobkov, tovarov a služieb (109 073 tis. eur). Oproti schválenému rozpočtu dosiahli tieto poplatky vyššie plnenie až o 113,6 %. Najvyššiu čiastku získalo </w:t>
      </w:r>
      <w:r w:rsidRPr="00A357E5">
        <w:rPr>
          <w:color w:val="000000" w:themeColor="text1"/>
          <w:sz w:val="24"/>
          <w:szCs w:val="24"/>
          <w:u w:val="single"/>
        </w:rPr>
        <w:t>Ministerstvo dopravy a výstavby SR</w:t>
      </w:r>
      <w:r w:rsidRPr="00A357E5">
        <w:rPr>
          <w:color w:val="000000" w:themeColor="text1"/>
          <w:sz w:val="24"/>
          <w:szCs w:val="24"/>
        </w:rPr>
        <w:t>, a to 76 858 tis. eur, pričom schválený rozpočet bol prekročený až o 62 824 tis. eur naj</w:t>
      </w:r>
      <w:r w:rsidR="006C12DA" w:rsidRPr="00A357E5">
        <w:rPr>
          <w:color w:val="000000" w:themeColor="text1"/>
          <w:sz w:val="24"/>
          <w:szCs w:val="24"/>
        </w:rPr>
        <w:t>mä z dôvodu, že príjmy z jednora</w:t>
      </w:r>
      <w:r w:rsidRPr="00A357E5">
        <w:rPr>
          <w:color w:val="000000" w:themeColor="text1"/>
          <w:sz w:val="24"/>
          <w:szCs w:val="24"/>
        </w:rPr>
        <w:t>zových úhrad sa nerozpočtujú. Išlo najmä o príjmy získané na základe výberového konania na pridelenie frekvencií z frekvenčných pásiem 700 MHz, 900 MHz a 1 800 MHz. Predmetné frekvencie boli pridelené pre budovanie tzv. 5G sietí – primárne frekvenčné pásmo 700 MHz. Ostatné dve frekvencie boli ponúkané ako zostávajúce k frekvenciám, ktoré už súčasní poskytovatelia celoplošných mobilných elektronických komunikačných služieb majú k dispozícii. Jednorazové platby za dané frekvencie za štyroch operátorov tvorili sumu 57 665 tis. eur (5G), suma 15 185 tis. eur bola úhrada za sprá</w:t>
      </w:r>
      <w:r w:rsidR="00C26DDF">
        <w:rPr>
          <w:color w:val="000000" w:themeColor="text1"/>
          <w:sz w:val="24"/>
          <w:szCs w:val="24"/>
        </w:rPr>
        <w:t>vu frekvencií a suma 1 295 tis. </w:t>
      </w:r>
      <w:r w:rsidRPr="00A357E5">
        <w:rPr>
          <w:color w:val="000000" w:themeColor="text1"/>
          <w:sz w:val="24"/>
          <w:szCs w:val="24"/>
        </w:rPr>
        <w:t>eur boli príjmy za oznamovaciu povinnosť. Ďalšiu sumu vo výške 2 608 tis. eur tvorili výnosy z mýta na koncesných cestách od Národnej diaľničnej spoločnosti, a.s.</w:t>
      </w:r>
    </w:p>
    <w:p w14:paraId="382697A0" w14:textId="389C5F18" w:rsidR="00C2434C" w:rsidRPr="00A357E5" w:rsidRDefault="00C2434C" w:rsidP="001665F3">
      <w:pPr>
        <w:spacing w:line="240" w:lineRule="auto"/>
        <w:rPr>
          <w:color w:val="000000" w:themeColor="text1"/>
          <w:sz w:val="24"/>
          <w:szCs w:val="24"/>
        </w:rPr>
      </w:pPr>
      <w:r w:rsidRPr="00A357E5">
        <w:rPr>
          <w:color w:val="000000" w:themeColor="text1"/>
          <w:sz w:val="24"/>
          <w:szCs w:val="24"/>
          <w:u w:val="single"/>
        </w:rPr>
        <w:t>Ministerstvo spravodlivosti SR</w:t>
      </w:r>
      <w:r w:rsidRPr="00A357E5">
        <w:rPr>
          <w:color w:val="000000" w:themeColor="text1"/>
          <w:sz w:val="24"/>
          <w:szCs w:val="24"/>
        </w:rPr>
        <w:t xml:space="preserve"> získalo čiastku 16 703 tis. eur najmä z vedľajšieho hospodárstva za predaj výrobkov, tovarov a služieb a za lekárske výkony v Zbore väzenskej a justičnej stráže, ďalej za právne služby, náhrady trov preddavkované zo štátneho rozpočtu (svedočné, znalecké a tlmočnícke úkony) a iné. </w:t>
      </w:r>
      <w:r w:rsidRPr="00A357E5">
        <w:rPr>
          <w:color w:val="000000" w:themeColor="text1"/>
          <w:sz w:val="24"/>
          <w:szCs w:val="24"/>
          <w:u w:val="single"/>
        </w:rPr>
        <w:t>Ministerstvo vnútra SR</w:t>
      </w:r>
      <w:r w:rsidRPr="00A357E5">
        <w:rPr>
          <w:color w:val="000000" w:themeColor="text1"/>
          <w:sz w:val="24"/>
          <w:szCs w:val="24"/>
        </w:rPr>
        <w:t xml:space="preserve"> prijalo čiastku 4 528 tis. eur, napríklad za napojenie na pulty centrálnej ochrany, za ochranu objektov spoločností Jadrová a vyraďovacia spoločnosť, a. s., služby policajného doprovodu pri ochrane osôb alebo peňazí a iné.</w:t>
      </w:r>
    </w:p>
    <w:p w14:paraId="3B93A393" w14:textId="77777777" w:rsidR="00C2434C" w:rsidRPr="00A357E5" w:rsidRDefault="00C2434C" w:rsidP="001665F3">
      <w:pPr>
        <w:spacing w:line="240" w:lineRule="auto"/>
        <w:rPr>
          <w:color w:val="000000" w:themeColor="text1"/>
          <w:sz w:val="24"/>
          <w:szCs w:val="24"/>
        </w:rPr>
      </w:pPr>
      <w:r w:rsidRPr="00A357E5">
        <w:rPr>
          <w:b/>
          <w:color w:val="000000" w:themeColor="text1"/>
          <w:sz w:val="24"/>
          <w:szCs w:val="24"/>
        </w:rPr>
        <w:t xml:space="preserve">Kapitálové príjmy </w:t>
      </w:r>
      <w:r w:rsidRPr="00A357E5">
        <w:rPr>
          <w:color w:val="000000" w:themeColor="text1"/>
          <w:sz w:val="24"/>
          <w:szCs w:val="24"/>
        </w:rPr>
        <w:t xml:space="preserve">sú príjmy z predaja hnuteľného aj nehnuteľného majetku štátu, ktorý je vyhlásený za prebytočný alebo neupotrebiteľný. Jednotlivé kapitoly štátneho rozpočtu sú zodpovedné za pravidelné vyhodnocovanie fyzického stavu majetku a rozhodnutie o jeho prebytočnosti alebo neupotrebiteľnosti. V návrhu rozpočtu sa premietajú zámery na odpredaj tohto majetku, pričom z dôvodu splnenia legislatívnych podmienok na predaj majetku štátu môže k plneniu tohto zámeru dôjsť až nasledujúce obdobie. Hotovostné plnenie kapitálových príjmov dosiahlo 12 438 tis. eur, z toho najviac predaj pozemkov 7 110 tis. eur a predaj kapitálových aktív 4 951 tis. eur. </w:t>
      </w:r>
    </w:p>
    <w:p w14:paraId="29F71F10" w14:textId="3AA32D1E" w:rsidR="00C2434C" w:rsidRPr="00A357E5" w:rsidRDefault="00C2434C" w:rsidP="001665F3">
      <w:pPr>
        <w:spacing w:line="240" w:lineRule="auto"/>
        <w:rPr>
          <w:rFonts w:eastAsia="Times New Roman" w:cs="Times New Roman"/>
          <w:color w:val="000000"/>
          <w:sz w:val="24"/>
          <w:szCs w:val="24"/>
        </w:rPr>
      </w:pPr>
      <w:r w:rsidRPr="00A357E5">
        <w:rPr>
          <w:rFonts w:cs="Times New Roman"/>
          <w:color w:val="000000" w:themeColor="text1"/>
          <w:sz w:val="24"/>
          <w:szCs w:val="24"/>
        </w:rPr>
        <w:t xml:space="preserve">Príjmy z predaja pozemkov boli dosiahnuté v najväčšom objeme v kapitole </w:t>
      </w:r>
      <w:r w:rsidRPr="00A357E5">
        <w:rPr>
          <w:rFonts w:cs="Times New Roman"/>
          <w:color w:val="000000" w:themeColor="text1"/>
          <w:sz w:val="24"/>
          <w:szCs w:val="24"/>
          <w:u w:val="single"/>
        </w:rPr>
        <w:t>Ministerstva vnútra SR</w:t>
      </w:r>
      <w:r w:rsidRPr="00A357E5">
        <w:rPr>
          <w:rFonts w:cs="Times New Roman"/>
          <w:color w:val="000000" w:themeColor="text1"/>
          <w:sz w:val="24"/>
          <w:szCs w:val="24"/>
        </w:rPr>
        <w:t xml:space="preserve"> (5 685 tis. eur). Išlo o príjmy z predaja pozemkov v súvislosti s predajom byto</w:t>
      </w:r>
      <w:r w:rsidR="000E4EE1" w:rsidRPr="00A357E5">
        <w:rPr>
          <w:rFonts w:cs="Times New Roman"/>
          <w:color w:val="000000" w:themeColor="text1"/>
          <w:sz w:val="24"/>
          <w:szCs w:val="24"/>
        </w:rPr>
        <w:t>v</w:t>
      </w:r>
      <w:r w:rsidRPr="00A357E5">
        <w:rPr>
          <w:rFonts w:cs="Times New Roman"/>
          <w:color w:val="000000" w:themeColor="text1"/>
          <w:sz w:val="24"/>
          <w:szCs w:val="24"/>
        </w:rPr>
        <w:t xml:space="preserve"> zamestnancom a pozemkov, ktoré boli identifikované ako prebytočné, teda ktoré neslúžili na plnenie úloh ministerstva. </w:t>
      </w:r>
      <w:r w:rsidRPr="00A357E5">
        <w:rPr>
          <w:rFonts w:cs="Times New Roman"/>
          <w:color w:val="000000" w:themeColor="text1"/>
          <w:sz w:val="24"/>
          <w:szCs w:val="24"/>
          <w:u w:val="single"/>
        </w:rPr>
        <w:t>Ministerstvo pôdohospodárstva a rozvoja vidieka SR</w:t>
      </w:r>
      <w:r w:rsidRPr="00A357E5">
        <w:rPr>
          <w:rFonts w:cs="Times New Roman"/>
          <w:color w:val="000000" w:themeColor="text1"/>
          <w:sz w:val="24"/>
          <w:szCs w:val="24"/>
        </w:rPr>
        <w:t xml:space="preserve"> dosiahlo sumu 1 130 tis. eur </w:t>
      </w:r>
      <w:r w:rsidRPr="00A357E5">
        <w:rPr>
          <w:rFonts w:eastAsia="Times New Roman" w:cs="Times New Roman"/>
          <w:color w:val="000000"/>
          <w:sz w:val="24"/>
          <w:szCs w:val="24"/>
        </w:rPr>
        <w:t>za predaj vybraných</w:t>
      </w:r>
      <w:r w:rsidR="00A17C2A" w:rsidRPr="00A357E5">
        <w:rPr>
          <w:rFonts w:eastAsia="Times New Roman" w:cs="Times New Roman"/>
          <w:color w:val="000000"/>
          <w:sz w:val="24"/>
          <w:szCs w:val="24"/>
        </w:rPr>
        <w:t xml:space="preserve"> budov </w:t>
      </w:r>
      <w:r w:rsidRPr="00A357E5">
        <w:rPr>
          <w:rFonts w:eastAsia="Times New Roman" w:cs="Times New Roman"/>
          <w:color w:val="000000"/>
          <w:sz w:val="24"/>
          <w:szCs w:val="24"/>
        </w:rPr>
        <w:t xml:space="preserve">s pozemkami </w:t>
      </w:r>
      <w:r w:rsidR="00A17C2A" w:rsidRPr="00A357E5">
        <w:rPr>
          <w:rFonts w:eastAsia="Times New Roman" w:cs="Times New Roman"/>
          <w:color w:val="000000"/>
          <w:sz w:val="24"/>
          <w:szCs w:val="24"/>
        </w:rPr>
        <w:t>v Bratislave</w:t>
      </w:r>
      <w:r w:rsidRPr="00A357E5">
        <w:rPr>
          <w:rFonts w:eastAsia="Times New Roman" w:cs="Times New Roman"/>
          <w:color w:val="000000"/>
          <w:sz w:val="24"/>
          <w:szCs w:val="24"/>
        </w:rPr>
        <w:t xml:space="preserve"> v správe Ústredného kontrolného a skúšobného ústavu poľnohospodárskeho. </w:t>
      </w:r>
    </w:p>
    <w:p w14:paraId="086F686E" w14:textId="17F77BAE" w:rsidR="00C2434C" w:rsidRPr="00A357E5" w:rsidRDefault="00C2434C" w:rsidP="001665F3">
      <w:pPr>
        <w:spacing w:line="240" w:lineRule="auto"/>
        <w:rPr>
          <w:rFonts w:eastAsia="Times New Roman" w:cs="Times New Roman"/>
          <w:color w:val="000000"/>
          <w:sz w:val="24"/>
          <w:szCs w:val="24"/>
        </w:rPr>
      </w:pPr>
      <w:r w:rsidRPr="00A357E5">
        <w:rPr>
          <w:color w:val="000000" w:themeColor="text1"/>
          <w:sz w:val="24"/>
          <w:szCs w:val="24"/>
        </w:rPr>
        <w:t xml:space="preserve">Objemovo najväčší rozpočet príjmov z predaja kapitálových aktív tak ako v predchádzajúcich rokoch predpokladala kapitola </w:t>
      </w:r>
      <w:r w:rsidRPr="00A357E5">
        <w:rPr>
          <w:color w:val="000000" w:themeColor="text1"/>
          <w:sz w:val="24"/>
          <w:szCs w:val="24"/>
          <w:u w:val="single"/>
        </w:rPr>
        <w:t>Ministerstva vnútra SR</w:t>
      </w:r>
      <w:r w:rsidRPr="00A357E5">
        <w:rPr>
          <w:color w:val="000000" w:themeColor="text1"/>
          <w:sz w:val="24"/>
          <w:szCs w:val="24"/>
        </w:rPr>
        <w:t xml:space="preserve"> (aj z dôvodu veľkého počtu rozpočtových organizácií v zriaďovateľskej pôsobnosti), a to v sume 4 149 tis. eur. Skutočné plnenie k 31. 12. 2020 dosiahla len v objeme 1 822 tis. eur a išlo v prevažnej miere</w:t>
      </w:r>
      <w:r w:rsidRPr="00A357E5">
        <w:rPr>
          <w:rFonts w:eastAsia="Times New Roman" w:cs="Times New Roman"/>
          <w:color w:val="000000" w:themeColor="text1"/>
          <w:sz w:val="24"/>
          <w:szCs w:val="24"/>
        </w:rPr>
        <w:t xml:space="preserve"> o </w:t>
      </w:r>
      <w:r w:rsidRPr="00A357E5">
        <w:rPr>
          <w:color w:val="000000" w:themeColor="text1"/>
          <w:sz w:val="24"/>
          <w:szCs w:val="24"/>
        </w:rPr>
        <w:t>úhradu zostatkových cien odpredaných bytov zamestnancom a v menšej miere o predaj prebytočného hnuteľného a</w:t>
      </w:r>
      <w:r w:rsidR="00A17C2A" w:rsidRPr="00A357E5">
        <w:rPr>
          <w:color w:val="000000" w:themeColor="text1"/>
          <w:sz w:val="24"/>
          <w:szCs w:val="24"/>
        </w:rPr>
        <w:t xml:space="preserve"> </w:t>
      </w:r>
      <w:r w:rsidRPr="00A357E5">
        <w:rPr>
          <w:color w:val="000000" w:themeColor="text1"/>
          <w:sz w:val="24"/>
          <w:szCs w:val="24"/>
        </w:rPr>
        <w:t>nehnuteľného majetku iným subjektom ako zamestnancom. Nižšie skutočné plnenie oproti schválenému rozpočtu bolo v dôsledku toho, že sa v roku 2020 nerealizovali nové</w:t>
      </w:r>
      <w:r w:rsidR="005F4E83" w:rsidRPr="00A357E5">
        <w:rPr>
          <w:color w:val="000000" w:themeColor="text1"/>
          <w:sz w:val="24"/>
          <w:szCs w:val="24"/>
        </w:rPr>
        <w:t xml:space="preserve"> odpredaje bytov zamestnancom. </w:t>
      </w:r>
    </w:p>
    <w:p w14:paraId="2D020F9F" w14:textId="6E4FDC1F" w:rsidR="00963754" w:rsidRDefault="00C2434C" w:rsidP="001665F3">
      <w:pPr>
        <w:tabs>
          <w:tab w:val="left" w:pos="284"/>
        </w:tabs>
        <w:spacing w:line="240" w:lineRule="auto"/>
        <w:rPr>
          <w:rFonts w:cs="Times New Roman"/>
          <w:sz w:val="24"/>
          <w:szCs w:val="24"/>
        </w:rPr>
      </w:pPr>
      <w:r w:rsidRPr="00A357E5">
        <w:rPr>
          <w:b/>
          <w:sz w:val="24"/>
          <w:szCs w:val="24"/>
        </w:rPr>
        <w:t xml:space="preserve">Úroky z tuzemských úverov, pôžičiek a návratných finančných výpomocí </w:t>
      </w:r>
      <w:r w:rsidRPr="00A357E5">
        <w:rPr>
          <w:sz w:val="24"/>
          <w:szCs w:val="24"/>
        </w:rPr>
        <w:t xml:space="preserve">dosiahli 8 883 tis. eur, pričom kapitola </w:t>
      </w:r>
      <w:r w:rsidRPr="00A357E5">
        <w:rPr>
          <w:sz w:val="24"/>
          <w:szCs w:val="24"/>
          <w:u w:val="single"/>
        </w:rPr>
        <w:t>Všeobecná pokladničná správa</w:t>
      </w:r>
      <w:r w:rsidRPr="00A357E5">
        <w:rPr>
          <w:sz w:val="24"/>
          <w:szCs w:val="24"/>
        </w:rPr>
        <w:t xml:space="preserve"> tvorí takmer 100 % týchto príjmov z dôvodu poskytnutých návratných finančných výpomocí v predchádzajúcich obdobiach a úročenia účtov finančného hospodárenia. </w:t>
      </w:r>
      <w:r w:rsidRPr="00963754">
        <w:rPr>
          <w:rFonts w:cs="Times New Roman"/>
          <w:i/>
          <w:sz w:val="24"/>
          <w:szCs w:val="24"/>
        </w:rPr>
        <w:t>Úroky z účtov finančného hospodárenia so Štátnou pokladnicou</w:t>
      </w:r>
      <w:r w:rsidRPr="00A357E5">
        <w:rPr>
          <w:rFonts w:cs="Times New Roman"/>
          <w:sz w:val="24"/>
          <w:szCs w:val="24"/>
        </w:rPr>
        <w:t xml:space="preserve"> dosiahli sumu 4 052 tis. eur, čo znamená prekročenie rozpočtovanej sumy</w:t>
      </w:r>
      <w:r>
        <w:rPr>
          <w:rFonts w:cs="Times New Roman"/>
        </w:rPr>
        <w:t xml:space="preserve"> </w:t>
      </w:r>
      <w:r w:rsidRPr="00A357E5">
        <w:rPr>
          <w:rFonts w:cs="Times New Roman"/>
          <w:sz w:val="24"/>
          <w:szCs w:val="24"/>
        </w:rPr>
        <w:t>o 1 295 tis. eur. Uvedené príjmy boli vyššie oproti rozpočtovaným z dôvodu vyšších priemerných zostatkov na účtoch štátnych finančných aktív, na účtoch prostriedkov Európskej únie, na účtoch štátnych príspevkových organiz</w:t>
      </w:r>
      <w:r w:rsidR="00963754">
        <w:rPr>
          <w:rFonts w:cs="Times New Roman"/>
          <w:sz w:val="24"/>
          <w:szCs w:val="24"/>
        </w:rPr>
        <w:t>ácií a verejných vysokých škôl.</w:t>
      </w:r>
      <w:r w:rsidR="00CC1E89" w:rsidRPr="00CC1E89">
        <w:rPr>
          <w:rFonts w:cs="Times New Roman"/>
          <w:sz w:val="24"/>
          <w:szCs w:val="24"/>
        </w:rPr>
        <w:t xml:space="preserve"> </w:t>
      </w:r>
      <w:r w:rsidR="00CC1E89" w:rsidRPr="00A357E5">
        <w:rPr>
          <w:rFonts w:cs="Times New Roman"/>
          <w:sz w:val="24"/>
          <w:szCs w:val="24"/>
        </w:rPr>
        <w:t>Plnenie príjmov bolo pozitívne ovplyvnené aj skutočnosťou, že Štátna pokladnica previedla do príjmov štátneho rozpočtu saldo kurzových rozdielov z konverzných operácií za rok 2020.</w:t>
      </w:r>
    </w:p>
    <w:p w14:paraId="213903A0" w14:textId="58FAA6F6" w:rsidR="00CC1E89" w:rsidRDefault="00CC1E89" w:rsidP="001665F3">
      <w:pPr>
        <w:tabs>
          <w:tab w:val="left" w:pos="284"/>
        </w:tabs>
        <w:spacing w:line="240" w:lineRule="auto"/>
        <w:rPr>
          <w:rFonts w:cs="Times New Roman"/>
          <w:sz w:val="24"/>
          <w:szCs w:val="24"/>
        </w:rPr>
      </w:pPr>
      <w:r w:rsidRPr="00CC1E89">
        <w:rPr>
          <w:rFonts w:cs="Times New Roman"/>
          <w:i/>
          <w:sz w:val="24"/>
          <w:szCs w:val="24"/>
        </w:rPr>
        <w:t>Úroky z návratných finančných výpomocí</w:t>
      </w:r>
      <w:r w:rsidRPr="00CC1E89">
        <w:rPr>
          <w:rFonts w:cs="Times New Roman"/>
          <w:sz w:val="24"/>
          <w:szCs w:val="24"/>
        </w:rPr>
        <w:t xml:space="preserve"> boli</w:t>
      </w:r>
      <w:r w:rsidR="00C26DDF">
        <w:rPr>
          <w:rFonts w:cs="Times New Roman"/>
          <w:sz w:val="24"/>
          <w:szCs w:val="24"/>
        </w:rPr>
        <w:t xml:space="preserve"> rozpočtované v sume 3 711 tis. </w:t>
      </w:r>
      <w:r w:rsidRPr="00CC1E89">
        <w:rPr>
          <w:rFonts w:cs="Times New Roman"/>
          <w:sz w:val="24"/>
          <w:szCs w:val="24"/>
        </w:rPr>
        <w:t>eur, a to za Agentúru pre núdzové zásoby ropy a ropných výrobkov. V skutočnosti dosiahli sumu 4</w:t>
      </w:r>
      <w:r w:rsidR="00C26DDF">
        <w:rPr>
          <w:rFonts w:cs="Times New Roman"/>
          <w:sz w:val="24"/>
          <w:szCs w:val="24"/>
        </w:rPr>
        <w:t> </w:t>
      </w:r>
      <w:r w:rsidRPr="00CC1E89">
        <w:rPr>
          <w:rFonts w:cs="Times New Roman"/>
          <w:sz w:val="24"/>
          <w:szCs w:val="24"/>
        </w:rPr>
        <w:t>830</w:t>
      </w:r>
      <w:r w:rsidR="00C26DDF">
        <w:rPr>
          <w:rFonts w:cs="Times New Roman"/>
          <w:sz w:val="24"/>
          <w:szCs w:val="24"/>
        </w:rPr>
        <w:t> </w:t>
      </w:r>
      <w:r w:rsidRPr="00CC1E89">
        <w:rPr>
          <w:rFonts w:cs="Times New Roman"/>
          <w:sz w:val="24"/>
          <w:szCs w:val="24"/>
        </w:rPr>
        <w:t>tis.</w:t>
      </w:r>
      <w:r w:rsidR="00C26DDF">
        <w:rPr>
          <w:rFonts w:cs="Times New Roman"/>
          <w:sz w:val="24"/>
          <w:szCs w:val="24"/>
        </w:rPr>
        <w:t> </w:t>
      </w:r>
      <w:r w:rsidRPr="00CC1E89">
        <w:rPr>
          <w:rFonts w:cs="Times New Roman"/>
          <w:sz w:val="24"/>
          <w:szCs w:val="24"/>
        </w:rPr>
        <w:t>eur. Plnenie rozpočtovaných príjmov z úrokov z návratnej finančnej výpomoci poskytnutej Agentúre pre núdzové zásoby ropy a ropných výrobkov je na úrovni 100,0 %. Nemocnica s poliklinikou Liptovský Mikuláš a Nemocnica s poli</w:t>
      </w:r>
      <w:r w:rsidR="00C26DDF">
        <w:rPr>
          <w:rFonts w:cs="Times New Roman"/>
          <w:sz w:val="24"/>
          <w:szCs w:val="24"/>
        </w:rPr>
        <w:t>klinikou Ilava uhradili úroky z </w:t>
      </w:r>
      <w:r w:rsidRPr="00CC1E89">
        <w:rPr>
          <w:rFonts w:cs="Times New Roman"/>
          <w:sz w:val="24"/>
          <w:szCs w:val="24"/>
        </w:rPr>
        <w:t xml:space="preserve">návratnej finančnej výpomoci poskytnutej zdravotníckym zariadeniam v roku 2009. Plnenie týchto príjmov bolo pozitívne ovplyvnené aj splácaním úrokov z návratnej finančnej výpomoci poskytnutej v roku 2018 spoločnosti GA </w:t>
      </w:r>
      <w:proofErr w:type="spellStart"/>
      <w:r w:rsidRPr="00CC1E89">
        <w:rPr>
          <w:rFonts w:cs="Times New Roman"/>
          <w:sz w:val="24"/>
          <w:szCs w:val="24"/>
        </w:rPr>
        <w:t>Drilling</w:t>
      </w:r>
      <w:proofErr w:type="spellEnd"/>
      <w:r w:rsidRPr="00CC1E89">
        <w:rPr>
          <w:rFonts w:cs="Times New Roman"/>
          <w:sz w:val="24"/>
          <w:szCs w:val="24"/>
        </w:rPr>
        <w:t>, a. s. a v roku 201</w:t>
      </w:r>
      <w:r w:rsidR="00EC3088">
        <w:rPr>
          <w:rFonts w:cs="Times New Roman"/>
          <w:sz w:val="24"/>
          <w:szCs w:val="24"/>
        </w:rPr>
        <w:t xml:space="preserve">9 spoločnosti </w:t>
      </w:r>
      <w:proofErr w:type="spellStart"/>
      <w:r w:rsidR="00EC3088">
        <w:rPr>
          <w:rFonts w:cs="Times New Roman"/>
          <w:sz w:val="24"/>
          <w:szCs w:val="24"/>
        </w:rPr>
        <w:t>Tachyum</w:t>
      </w:r>
      <w:proofErr w:type="spellEnd"/>
      <w:r w:rsidR="00EC3088">
        <w:rPr>
          <w:rFonts w:cs="Times New Roman"/>
          <w:sz w:val="24"/>
          <w:szCs w:val="24"/>
        </w:rPr>
        <w:t>, s. r. </w:t>
      </w:r>
      <w:r w:rsidRPr="00CC1E89">
        <w:rPr>
          <w:rFonts w:cs="Times New Roman"/>
          <w:sz w:val="24"/>
          <w:szCs w:val="24"/>
        </w:rPr>
        <w:t>o.</w:t>
      </w:r>
    </w:p>
    <w:p w14:paraId="422BA743" w14:textId="06966477" w:rsidR="00C2434C" w:rsidRPr="00A357E5" w:rsidRDefault="00C2434C" w:rsidP="001665F3">
      <w:pPr>
        <w:tabs>
          <w:tab w:val="left" w:pos="284"/>
        </w:tabs>
        <w:spacing w:line="240" w:lineRule="auto"/>
        <w:rPr>
          <w:sz w:val="24"/>
          <w:szCs w:val="24"/>
        </w:rPr>
      </w:pPr>
      <w:r w:rsidRPr="00A357E5">
        <w:rPr>
          <w:b/>
          <w:sz w:val="24"/>
          <w:szCs w:val="24"/>
        </w:rPr>
        <w:t>Iné nedaňové príjmy</w:t>
      </w:r>
      <w:r w:rsidR="00A17C2A" w:rsidRPr="00A357E5">
        <w:rPr>
          <w:sz w:val="24"/>
          <w:szCs w:val="24"/>
        </w:rPr>
        <w:t xml:space="preserve"> tvoria najmä </w:t>
      </w:r>
      <w:r w:rsidRPr="00A357E5">
        <w:rPr>
          <w:sz w:val="24"/>
          <w:szCs w:val="24"/>
        </w:rPr>
        <w:t>odvod z hazardných hier, odvod prevádzkovateľov distribučných sústav a prenosovej sústavy, ostatné od</w:t>
      </w:r>
      <w:r w:rsidR="00A17C2A" w:rsidRPr="00A357E5">
        <w:rPr>
          <w:sz w:val="24"/>
          <w:szCs w:val="24"/>
        </w:rPr>
        <w:t xml:space="preserve">vody a príjem z nezrovnalostí a </w:t>
      </w:r>
      <w:r w:rsidRPr="00A357E5">
        <w:rPr>
          <w:sz w:val="24"/>
          <w:szCs w:val="24"/>
        </w:rPr>
        <w:t xml:space="preserve">iných </w:t>
      </w:r>
      <w:proofErr w:type="spellStart"/>
      <w:r w:rsidRPr="00A357E5">
        <w:rPr>
          <w:sz w:val="24"/>
          <w:szCs w:val="24"/>
        </w:rPr>
        <w:t>vratiek</w:t>
      </w:r>
      <w:proofErr w:type="spellEnd"/>
      <w:r w:rsidRPr="00A357E5">
        <w:rPr>
          <w:sz w:val="24"/>
          <w:szCs w:val="24"/>
        </w:rPr>
        <w:t xml:space="preserve"> za prostriedky EÚ. K 31. 12. 2020 dosiahli tieto príjmy celkovú výšku 453 075 tis. eur. </w:t>
      </w:r>
    </w:p>
    <w:p w14:paraId="1FBC99E5" w14:textId="04C5C74B" w:rsidR="00C2434C" w:rsidRPr="00A357E5" w:rsidRDefault="00C2434C" w:rsidP="001665F3">
      <w:pPr>
        <w:spacing w:line="240" w:lineRule="auto"/>
        <w:rPr>
          <w:rFonts w:cs="Times New Roman"/>
          <w:color w:val="000000" w:themeColor="text1"/>
          <w:sz w:val="24"/>
          <w:szCs w:val="24"/>
        </w:rPr>
      </w:pPr>
      <w:r w:rsidRPr="00A357E5">
        <w:rPr>
          <w:b/>
          <w:i/>
          <w:sz w:val="24"/>
          <w:szCs w:val="24"/>
        </w:rPr>
        <w:t>Príjem z odvodu z hazardných hier</w:t>
      </w:r>
      <w:r w:rsidRPr="00A357E5">
        <w:rPr>
          <w:sz w:val="24"/>
          <w:szCs w:val="24"/>
        </w:rPr>
        <w:t xml:space="preserve"> je súčasťou rozpočtu kapitoly </w:t>
      </w:r>
      <w:r w:rsidRPr="00A357E5">
        <w:rPr>
          <w:sz w:val="24"/>
          <w:szCs w:val="24"/>
          <w:u w:val="single"/>
        </w:rPr>
        <w:t>Všeobecná pokladničná správa</w:t>
      </w:r>
      <w:r w:rsidRPr="00A357E5">
        <w:rPr>
          <w:sz w:val="24"/>
          <w:szCs w:val="24"/>
        </w:rPr>
        <w:t xml:space="preserve"> a dosiahol 212 590 tis. eur, čo predstavuje 122,2 % schváleného rozpočtu (prekročenie rozpo</w:t>
      </w:r>
      <w:r w:rsidR="005F4E83" w:rsidRPr="00A357E5">
        <w:rPr>
          <w:sz w:val="24"/>
          <w:szCs w:val="24"/>
        </w:rPr>
        <w:t>čtu o 38 590 tis. eur)</w:t>
      </w:r>
      <w:r w:rsidRPr="00A357E5">
        <w:rPr>
          <w:sz w:val="24"/>
          <w:szCs w:val="24"/>
        </w:rPr>
        <w:t xml:space="preserve"> a až 46,9 % celkových iných nedaňových príjmov. Tieto príjmy boli prekročené z dôvodu, že sa </w:t>
      </w:r>
      <w:r w:rsidRPr="00A357E5">
        <w:rPr>
          <w:rFonts w:cs="Times New Roman"/>
          <w:color w:val="000000" w:themeColor="text1"/>
          <w:sz w:val="24"/>
          <w:szCs w:val="24"/>
        </w:rPr>
        <w:t>oproti pôvodne rozpočtovanej sume v novele štátneho rozpočtu na rok 2020</w:t>
      </w:r>
      <w:r w:rsidR="0046030A" w:rsidRPr="00A357E5">
        <w:rPr>
          <w:rFonts w:cs="Times New Roman"/>
          <w:color w:val="000000" w:themeColor="text1"/>
          <w:sz w:val="24"/>
          <w:szCs w:val="24"/>
        </w:rPr>
        <w:t xml:space="preserve"> </w:t>
      </w:r>
      <w:r w:rsidR="0046030A" w:rsidRPr="00A357E5">
        <w:rPr>
          <w:sz w:val="24"/>
          <w:szCs w:val="24"/>
        </w:rPr>
        <w:t>predpokladal</w:t>
      </w:r>
      <w:r w:rsidRPr="00A357E5">
        <w:rPr>
          <w:rFonts w:cs="Times New Roman"/>
          <w:color w:val="000000" w:themeColor="text1"/>
          <w:sz w:val="24"/>
          <w:szCs w:val="24"/>
        </w:rPr>
        <w:t xml:space="preserve"> väčší výpadok týchto príjmov ako bola nakoniec skutočnosť.</w:t>
      </w:r>
    </w:p>
    <w:p w14:paraId="2168B6E4" w14:textId="46C80E56" w:rsidR="00C2434C" w:rsidRPr="00A357E5" w:rsidRDefault="00C2434C" w:rsidP="001665F3">
      <w:pPr>
        <w:tabs>
          <w:tab w:val="left" w:pos="284"/>
        </w:tabs>
        <w:spacing w:line="240" w:lineRule="auto"/>
        <w:rPr>
          <w:color w:val="000000" w:themeColor="text1"/>
          <w:sz w:val="24"/>
          <w:szCs w:val="24"/>
        </w:rPr>
      </w:pPr>
      <w:bookmarkStart w:id="41" w:name="_2et92p0" w:colFirst="0" w:colLast="0"/>
      <w:bookmarkEnd w:id="41"/>
      <w:r w:rsidRPr="00A357E5">
        <w:rPr>
          <w:b/>
          <w:i/>
          <w:sz w:val="24"/>
          <w:szCs w:val="24"/>
        </w:rPr>
        <w:t>Príjmy z odvodu</w:t>
      </w:r>
      <w:r w:rsidRPr="00A357E5">
        <w:rPr>
          <w:sz w:val="24"/>
          <w:szCs w:val="24"/>
        </w:rPr>
        <w:t xml:space="preserve"> tvorili</w:t>
      </w:r>
      <w:r w:rsidR="004437B3" w:rsidRPr="00A357E5">
        <w:rPr>
          <w:sz w:val="24"/>
          <w:szCs w:val="24"/>
        </w:rPr>
        <w:t xml:space="preserve"> </w:t>
      </w:r>
      <w:r w:rsidRPr="00A357E5">
        <w:rPr>
          <w:sz w:val="24"/>
          <w:szCs w:val="24"/>
        </w:rPr>
        <w:t xml:space="preserve">finančné prostriedky zo zúčtovania vzťahov so štátnym rozpočtom zo strany podnikateľských subjektov, príspevkových a rozpočtových organizácií, ústredných orgánov, neziskových organizácií, obcí a vyšších územných celkov, ktorým tieto prostriedky štátneho rozpočtu boli poskytnuté. V roku 2020 objem týchto odvodov dosiahol 31 125 tis. eur, z toho takmer 100% plnenia je súčasťou príjmov kapitoly </w:t>
      </w:r>
      <w:r w:rsidRPr="00A357E5">
        <w:rPr>
          <w:color w:val="000000" w:themeColor="text1"/>
          <w:sz w:val="24"/>
          <w:szCs w:val="24"/>
          <w:u w:val="single"/>
        </w:rPr>
        <w:t>Všeobecná pokladničná správa</w:t>
      </w:r>
      <w:r w:rsidRPr="00A357E5">
        <w:rPr>
          <w:color w:val="000000" w:themeColor="text1"/>
          <w:sz w:val="24"/>
          <w:szCs w:val="24"/>
        </w:rPr>
        <w:t>, ktorá vykonáva záverečné zúčtovanie s prijímateľmi prostriedkov štátneho rozpočtu. Najväčší podiel na tejto sume predstavuje príjem z finančného zúčtovania s Ministerstvom práce, sociálnych vecí a rodiny SR v sume 12 943 tis. eur, Ministerstvom dopravy a výstavby SR v sume 8 447 tis. eur, Ministerstvom zdravotníctva SR v sume 4 689 tis. eur, Ministerstvom školstva, vedy, výskumu a športu SR v sume 1 894 tis. eur a Ministerstvom vnútra SR v sume 988 tis. eur.</w:t>
      </w:r>
    </w:p>
    <w:p w14:paraId="493D145B" w14:textId="722F4FA5" w:rsidR="00C2434C" w:rsidRPr="00A357E5" w:rsidRDefault="00C2434C" w:rsidP="001665F3">
      <w:pPr>
        <w:spacing w:line="240" w:lineRule="auto"/>
        <w:rPr>
          <w:sz w:val="24"/>
          <w:szCs w:val="24"/>
        </w:rPr>
      </w:pPr>
      <w:r w:rsidRPr="00A357E5">
        <w:rPr>
          <w:b/>
          <w:i/>
          <w:sz w:val="24"/>
          <w:szCs w:val="24"/>
        </w:rPr>
        <w:t>Vrátené neoprávnene použité alebo zadržané finančné prostriedky</w:t>
      </w:r>
      <w:r w:rsidRPr="00A357E5">
        <w:rPr>
          <w:sz w:val="24"/>
          <w:szCs w:val="24"/>
        </w:rPr>
        <w:t xml:space="preserve"> sa rozpočtovali vo výške 322 tis. eur a v skutočnosti dosiahli 20 791 tis. eur. Tento rozdiel bol spôsobený najmä príjmami z nezrovnalostí a iných </w:t>
      </w:r>
      <w:proofErr w:type="spellStart"/>
      <w:r w:rsidRPr="00A357E5">
        <w:rPr>
          <w:sz w:val="24"/>
          <w:szCs w:val="24"/>
        </w:rPr>
        <w:t>vratiek</w:t>
      </w:r>
      <w:proofErr w:type="spellEnd"/>
      <w:r w:rsidRPr="00A357E5">
        <w:rPr>
          <w:sz w:val="24"/>
          <w:szCs w:val="24"/>
        </w:rPr>
        <w:t xml:space="preserve"> za prostriedky Európskej únie, ktoré pôvodne rozpočtované neboli a dosiahli skutočnosť 16 413 tis. eur a taktiež príjmami od fyzickej osoby s nárastom oproti schválenému rozpočtu v sume 3 636 tis. eur. Vrátenia za nezrovnalosti vznikli väčšinou nedodržaním zmluvy o poskytnutí nenávratného finančného príspevku pri realizácii projektov financovaných z prostriedkov EÚ zo strany prijímateľov. Najvyššiu sumu z tohto titulu získala kapitola </w:t>
      </w:r>
      <w:r w:rsidRPr="00A357E5">
        <w:rPr>
          <w:sz w:val="24"/>
          <w:szCs w:val="24"/>
          <w:u w:val="single"/>
        </w:rPr>
        <w:t>Ministerstva financií SR</w:t>
      </w:r>
      <w:r w:rsidRPr="00A357E5">
        <w:rPr>
          <w:sz w:val="24"/>
          <w:szCs w:val="24"/>
        </w:rPr>
        <w:t xml:space="preserve"> (6 713 tis. eur). </w:t>
      </w:r>
      <w:r w:rsidRPr="00A357E5">
        <w:rPr>
          <w:rFonts w:cs="Times New Roman"/>
          <w:color w:val="000000" w:themeColor="text1"/>
          <w:sz w:val="24"/>
          <w:szCs w:val="24"/>
        </w:rPr>
        <w:t>Išlo o príjmy na základe zistených nezrovnalostí najmä z titulu verejného obstarávania pri realizácii projektov OP</w:t>
      </w:r>
      <w:r w:rsidR="00963754">
        <w:rPr>
          <w:rFonts w:cs="Times New Roman"/>
          <w:color w:val="000000" w:themeColor="text1"/>
          <w:sz w:val="24"/>
          <w:szCs w:val="24"/>
        </w:rPr>
        <w:t xml:space="preserve"> </w:t>
      </w:r>
      <w:r w:rsidRPr="00A357E5">
        <w:rPr>
          <w:rFonts w:cs="Times New Roman"/>
          <w:color w:val="000000" w:themeColor="text1"/>
          <w:sz w:val="24"/>
          <w:szCs w:val="24"/>
        </w:rPr>
        <w:t xml:space="preserve">II. </w:t>
      </w:r>
      <w:r w:rsidRPr="00A357E5">
        <w:rPr>
          <w:sz w:val="24"/>
          <w:szCs w:val="24"/>
          <w:u w:val="single"/>
        </w:rPr>
        <w:t>Ministerstvo školstva, vedy, výskumu a športu SR</w:t>
      </w:r>
      <w:r w:rsidRPr="00A357E5">
        <w:rPr>
          <w:sz w:val="24"/>
          <w:szCs w:val="24"/>
        </w:rPr>
        <w:t xml:space="preserve"> dosiahlo príjmy z individuálnych nezrovnalostí a iných </w:t>
      </w:r>
      <w:proofErr w:type="spellStart"/>
      <w:r w:rsidRPr="00A357E5">
        <w:rPr>
          <w:sz w:val="24"/>
          <w:szCs w:val="24"/>
        </w:rPr>
        <w:t>vratiek</w:t>
      </w:r>
      <w:proofErr w:type="spellEnd"/>
      <w:r w:rsidRPr="00A357E5">
        <w:rPr>
          <w:sz w:val="24"/>
          <w:szCs w:val="24"/>
        </w:rPr>
        <w:t xml:space="preserve"> od prijímateľov za projekty </w:t>
      </w:r>
      <w:proofErr w:type="spellStart"/>
      <w:r w:rsidRPr="00A357E5">
        <w:rPr>
          <w:sz w:val="24"/>
          <w:szCs w:val="24"/>
        </w:rPr>
        <w:t>zazmluvnené</w:t>
      </w:r>
      <w:proofErr w:type="spellEnd"/>
      <w:r w:rsidRPr="00A357E5">
        <w:rPr>
          <w:sz w:val="24"/>
          <w:szCs w:val="24"/>
        </w:rPr>
        <w:t xml:space="preserve"> v rámci Európskeho sociálneho </w:t>
      </w:r>
      <w:r w:rsidRPr="00A357E5">
        <w:rPr>
          <w:color w:val="000000" w:themeColor="text1"/>
          <w:sz w:val="24"/>
          <w:szCs w:val="24"/>
        </w:rPr>
        <w:t xml:space="preserve">fondu </w:t>
      </w:r>
      <w:r w:rsidRPr="00A357E5">
        <w:rPr>
          <w:rFonts w:cs="Times New Roman"/>
          <w:color w:val="000000" w:themeColor="text1"/>
          <w:sz w:val="24"/>
          <w:szCs w:val="24"/>
        </w:rPr>
        <w:t xml:space="preserve">a Európskeho fondu regionálneho rozvoja </w:t>
      </w:r>
      <w:r w:rsidRPr="00A357E5">
        <w:rPr>
          <w:color w:val="000000" w:themeColor="text1"/>
          <w:sz w:val="24"/>
          <w:szCs w:val="24"/>
        </w:rPr>
        <w:t xml:space="preserve">v sume </w:t>
      </w:r>
      <w:r w:rsidRPr="00A357E5">
        <w:rPr>
          <w:sz w:val="24"/>
          <w:szCs w:val="24"/>
        </w:rPr>
        <w:t>2 525 tis. eur</w:t>
      </w:r>
      <w:r w:rsidRPr="00A357E5">
        <w:rPr>
          <w:rFonts w:cs="Times New Roman"/>
          <w:color w:val="1F497D"/>
          <w:sz w:val="24"/>
          <w:szCs w:val="24"/>
        </w:rPr>
        <w:t xml:space="preserve">. </w:t>
      </w:r>
      <w:r w:rsidRPr="00A357E5">
        <w:rPr>
          <w:rFonts w:cs="Times New Roman"/>
          <w:color w:val="000000" w:themeColor="text1"/>
          <w:sz w:val="24"/>
          <w:szCs w:val="24"/>
          <w:u w:val="single"/>
        </w:rPr>
        <w:t>Kapitola Ministerstva práce, sociálnych vecí a rodiny SR</w:t>
      </w:r>
      <w:r w:rsidRPr="00A357E5">
        <w:rPr>
          <w:rFonts w:cs="Times New Roman"/>
          <w:color w:val="000000" w:themeColor="text1"/>
          <w:sz w:val="24"/>
          <w:szCs w:val="24"/>
        </w:rPr>
        <w:t xml:space="preserve"> získala sumu 1 561 tis. eur </w:t>
      </w:r>
      <w:r w:rsidRPr="00A357E5">
        <w:rPr>
          <w:sz w:val="24"/>
          <w:szCs w:val="24"/>
        </w:rPr>
        <w:t xml:space="preserve">za Operačný program Ľudské zdroje a Operačný program Zamestnanosť a sociálna inklúzia. </w:t>
      </w:r>
      <w:r w:rsidRPr="00A357E5">
        <w:rPr>
          <w:sz w:val="24"/>
          <w:szCs w:val="24"/>
          <w:u w:val="single"/>
        </w:rPr>
        <w:t>Ministerstvo investícií, regionálneho rozvoja a informatizácie SR</w:t>
      </w:r>
      <w:r w:rsidRPr="00A357E5">
        <w:rPr>
          <w:sz w:val="24"/>
          <w:szCs w:val="24"/>
        </w:rPr>
        <w:t xml:space="preserve"> dosiahlo čiastku 1 385 tis. eur najmä z Operačného programu Technická pomoc za programové obdobie 2007-2013 a programové obdobie 2014-2020.</w:t>
      </w:r>
    </w:p>
    <w:p w14:paraId="4742C47E" w14:textId="77777777" w:rsidR="00C2434C" w:rsidRPr="00A357E5" w:rsidRDefault="00C2434C" w:rsidP="001665F3">
      <w:pPr>
        <w:tabs>
          <w:tab w:val="left" w:pos="284"/>
        </w:tabs>
        <w:spacing w:line="240" w:lineRule="auto"/>
        <w:rPr>
          <w:sz w:val="24"/>
          <w:szCs w:val="24"/>
        </w:rPr>
      </w:pPr>
      <w:r w:rsidRPr="00A357E5">
        <w:rPr>
          <w:sz w:val="24"/>
          <w:szCs w:val="24"/>
        </w:rPr>
        <w:t xml:space="preserve">Okrem nezrovnalostí a </w:t>
      </w:r>
      <w:proofErr w:type="spellStart"/>
      <w:r w:rsidRPr="00A357E5">
        <w:rPr>
          <w:sz w:val="24"/>
          <w:szCs w:val="24"/>
        </w:rPr>
        <w:t>vratiek</w:t>
      </w:r>
      <w:proofErr w:type="spellEnd"/>
      <w:r w:rsidRPr="00A357E5">
        <w:rPr>
          <w:sz w:val="24"/>
          <w:szCs w:val="24"/>
        </w:rPr>
        <w:t xml:space="preserve"> za prostriedky EÚ boli významným príjmom aj vrátené neoprávnene použité alebo zadržané finančné prostriedky od fyzických osôb v sume 3 667 tis. eur, z toho najviac v kapitole </w:t>
      </w:r>
      <w:r w:rsidRPr="00A357E5">
        <w:rPr>
          <w:sz w:val="24"/>
          <w:szCs w:val="24"/>
          <w:u w:val="single"/>
        </w:rPr>
        <w:t>Ministerstva práce, sociálnych vecí a rodiny SR</w:t>
      </w:r>
      <w:r w:rsidRPr="00A357E5">
        <w:rPr>
          <w:sz w:val="24"/>
          <w:szCs w:val="24"/>
        </w:rPr>
        <w:t xml:space="preserve"> (3 599 tis. eur). Išlo o </w:t>
      </w:r>
      <w:proofErr w:type="spellStart"/>
      <w:r w:rsidRPr="00A357E5">
        <w:rPr>
          <w:sz w:val="24"/>
          <w:szCs w:val="24"/>
        </w:rPr>
        <w:t>vratky</w:t>
      </w:r>
      <w:proofErr w:type="spellEnd"/>
      <w:r w:rsidRPr="00A357E5">
        <w:rPr>
          <w:sz w:val="24"/>
          <w:szCs w:val="24"/>
        </w:rPr>
        <w:t xml:space="preserve"> z poskytnutých dávok sociálnej pomoci a štátnych sociálnych dávok z minulých rokov od ich poberateľov, ktorým vznikla povinnosť ich vrátenia za určité obdobie, alebo len časti z vyplatenej sumy, keďže ich napríklad poberali dlhšie ako mali nárok.</w:t>
      </w:r>
    </w:p>
    <w:p w14:paraId="16485CB6" w14:textId="77777777" w:rsidR="00963754" w:rsidRDefault="00C2434C" w:rsidP="001665F3">
      <w:pPr>
        <w:spacing w:line="240" w:lineRule="auto"/>
        <w:rPr>
          <w:color w:val="000000" w:themeColor="text1"/>
          <w:sz w:val="24"/>
          <w:szCs w:val="24"/>
        </w:rPr>
      </w:pPr>
      <w:r w:rsidRPr="00A357E5">
        <w:rPr>
          <w:b/>
          <w:i/>
          <w:color w:val="000000" w:themeColor="text1"/>
          <w:sz w:val="24"/>
          <w:szCs w:val="24"/>
        </w:rPr>
        <w:t xml:space="preserve">Zvyšnú časť iných nedaňových príjmov </w:t>
      </w:r>
      <w:r w:rsidRPr="00A357E5">
        <w:rPr>
          <w:color w:val="000000" w:themeColor="text1"/>
          <w:sz w:val="24"/>
          <w:szCs w:val="24"/>
        </w:rPr>
        <w:t xml:space="preserve">v hodnote 169 469 tis. eur tvorili najmä príjmy kapitoly </w:t>
      </w:r>
      <w:r w:rsidRPr="00A357E5">
        <w:rPr>
          <w:color w:val="000000" w:themeColor="text1"/>
          <w:sz w:val="24"/>
          <w:szCs w:val="24"/>
          <w:u w:val="single"/>
        </w:rPr>
        <w:t>Ministerstva hospodárstva SR</w:t>
      </w:r>
      <w:r w:rsidRPr="00A357E5">
        <w:rPr>
          <w:color w:val="000000" w:themeColor="text1"/>
          <w:sz w:val="24"/>
          <w:szCs w:val="24"/>
        </w:rPr>
        <w:t xml:space="preserve"> v sume 104 255 tis. eur.</w:t>
      </w:r>
      <w:r w:rsidRPr="00A357E5">
        <w:rPr>
          <w:color w:val="FF0000"/>
          <w:sz w:val="24"/>
          <w:szCs w:val="24"/>
        </w:rPr>
        <w:t xml:space="preserve"> </w:t>
      </w:r>
      <w:r w:rsidRPr="00A357E5">
        <w:rPr>
          <w:color w:val="000000" w:themeColor="text1"/>
          <w:sz w:val="24"/>
          <w:szCs w:val="24"/>
        </w:rPr>
        <w:t xml:space="preserve">Išlo najmä o </w:t>
      </w:r>
      <w:r w:rsidRPr="00A357E5">
        <w:rPr>
          <w:i/>
          <w:color w:val="000000" w:themeColor="text1"/>
          <w:sz w:val="24"/>
          <w:szCs w:val="24"/>
        </w:rPr>
        <w:t>odvody prevádzkovateľov distribučných sústav a prenosovej sústavy</w:t>
      </w:r>
      <w:r w:rsidRPr="00A357E5">
        <w:rPr>
          <w:color w:val="000000" w:themeColor="text1"/>
          <w:sz w:val="24"/>
          <w:szCs w:val="24"/>
        </w:rPr>
        <w:t xml:space="preserve">, ktorí sú povinní odvádzať do štátneho rozpočtu odvod z množstva elektriny dodanej koncovým odberateľom elektriny (68 839 tis. eur) a príjem v sume 35 200 tis. eur ako </w:t>
      </w:r>
      <w:r w:rsidRPr="00A357E5">
        <w:rPr>
          <w:i/>
          <w:color w:val="000000" w:themeColor="text1"/>
          <w:sz w:val="24"/>
          <w:szCs w:val="24"/>
        </w:rPr>
        <w:t>kompenzáciu za neuplatnenie</w:t>
      </w:r>
      <w:r w:rsidRPr="00A357E5">
        <w:rPr>
          <w:color w:val="000000" w:themeColor="text1"/>
          <w:sz w:val="24"/>
          <w:szCs w:val="24"/>
        </w:rPr>
        <w:t xml:space="preserve"> </w:t>
      </w:r>
      <w:r w:rsidRPr="00A357E5">
        <w:rPr>
          <w:i/>
          <w:color w:val="000000" w:themeColor="text1"/>
          <w:sz w:val="24"/>
          <w:szCs w:val="24"/>
        </w:rPr>
        <w:t>predkupného práva štátu</w:t>
      </w:r>
      <w:r w:rsidRPr="00A357E5">
        <w:rPr>
          <w:color w:val="000000" w:themeColor="text1"/>
          <w:sz w:val="24"/>
          <w:szCs w:val="24"/>
        </w:rPr>
        <w:t xml:space="preserve"> na menšinový podiel zahraničného investora v spoločnosti Východoslo</w:t>
      </w:r>
      <w:r w:rsidR="00963754">
        <w:rPr>
          <w:color w:val="000000" w:themeColor="text1"/>
          <w:sz w:val="24"/>
          <w:szCs w:val="24"/>
        </w:rPr>
        <w:t>venská energetika Holding, a.s.</w:t>
      </w:r>
    </w:p>
    <w:p w14:paraId="67790304" w14:textId="71197780" w:rsidR="00C2434C" w:rsidRPr="00A357E5" w:rsidRDefault="00C2434C" w:rsidP="001665F3">
      <w:pPr>
        <w:spacing w:line="240" w:lineRule="auto"/>
        <w:rPr>
          <w:color w:val="000000" w:themeColor="text1"/>
          <w:sz w:val="24"/>
          <w:szCs w:val="24"/>
        </w:rPr>
      </w:pPr>
      <w:r w:rsidRPr="00A357E5">
        <w:rPr>
          <w:color w:val="000000" w:themeColor="text1"/>
          <w:sz w:val="24"/>
          <w:szCs w:val="24"/>
        </w:rPr>
        <w:t xml:space="preserve">Kapitola </w:t>
      </w:r>
      <w:r w:rsidRPr="00A357E5">
        <w:rPr>
          <w:color w:val="000000" w:themeColor="text1"/>
          <w:sz w:val="24"/>
          <w:szCs w:val="24"/>
          <w:u w:val="single"/>
        </w:rPr>
        <w:t>Všeobecná pokladničná správa</w:t>
      </w:r>
      <w:r w:rsidRPr="00A357E5">
        <w:rPr>
          <w:color w:val="000000" w:themeColor="text1"/>
          <w:sz w:val="24"/>
          <w:szCs w:val="24"/>
        </w:rPr>
        <w:t xml:space="preserve"> dosiahla príjmy vo výške 42 328 tis. eur, z toho čiastka 35 422 tis. eur bola príjmom súvisiacim s ukončením súdnych sporov medzi Slovenskou republikou (zastúpenou MF SR) a Devín bankou, a.s. Táto suma bola pôvodne rozpočtovaná v rámci príjmov z </w:t>
      </w:r>
      <w:proofErr w:type="spellStart"/>
      <w:r w:rsidRPr="00A357E5">
        <w:rPr>
          <w:color w:val="000000" w:themeColor="text1"/>
          <w:sz w:val="24"/>
          <w:szCs w:val="24"/>
        </w:rPr>
        <w:t>vratiek</w:t>
      </w:r>
      <w:proofErr w:type="spellEnd"/>
      <w:r w:rsidRPr="00A357E5">
        <w:rPr>
          <w:color w:val="000000" w:themeColor="text1"/>
          <w:sz w:val="24"/>
          <w:szCs w:val="24"/>
        </w:rPr>
        <w:t xml:space="preserve">. </w:t>
      </w:r>
    </w:p>
    <w:p w14:paraId="1AEB652A" w14:textId="77777777" w:rsidR="00963754" w:rsidRDefault="00C2434C" w:rsidP="001665F3">
      <w:pPr>
        <w:spacing w:line="240" w:lineRule="auto"/>
        <w:rPr>
          <w:color w:val="000000" w:themeColor="text1"/>
          <w:sz w:val="24"/>
          <w:szCs w:val="24"/>
        </w:rPr>
      </w:pPr>
      <w:r w:rsidRPr="00A357E5">
        <w:rPr>
          <w:color w:val="000000" w:themeColor="text1"/>
          <w:sz w:val="24"/>
          <w:szCs w:val="24"/>
          <w:u w:val="single"/>
        </w:rPr>
        <w:t>Ministerstvo spravodlivosti SR</w:t>
      </w:r>
      <w:r w:rsidRPr="00A357E5">
        <w:rPr>
          <w:color w:val="000000" w:themeColor="text1"/>
          <w:sz w:val="24"/>
          <w:szCs w:val="24"/>
        </w:rPr>
        <w:t xml:space="preserve"> získalo čiastku 9 993 tis. eur</w:t>
      </w:r>
      <w:r w:rsidRPr="00A357E5">
        <w:rPr>
          <w:color w:val="FF0000"/>
          <w:sz w:val="24"/>
          <w:szCs w:val="24"/>
        </w:rPr>
        <w:t xml:space="preserve"> </w:t>
      </w:r>
      <w:r w:rsidRPr="00A357E5">
        <w:rPr>
          <w:color w:val="000000" w:themeColor="text1"/>
          <w:sz w:val="24"/>
          <w:szCs w:val="24"/>
        </w:rPr>
        <w:t xml:space="preserve">najmä </w:t>
      </w:r>
      <w:r w:rsidRPr="00A357E5">
        <w:rPr>
          <w:i/>
          <w:color w:val="000000" w:themeColor="text1"/>
          <w:sz w:val="24"/>
          <w:szCs w:val="24"/>
        </w:rPr>
        <w:t>z úhrad trov konania a výkonu väzby</w:t>
      </w:r>
      <w:r w:rsidRPr="00A357E5">
        <w:rPr>
          <w:color w:val="000000" w:themeColor="text1"/>
          <w:sz w:val="24"/>
          <w:szCs w:val="24"/>
        </w:rPr>
        <w:t xml:space="preserve"> </w:t>
      </w:r>
      <w:r w:rsidRPr="00A357E5">
        <w:rPr>
          <w:i/>
          <w:color w:val="000000" w:themeColor="text1"/>
          <w:sz w:val="24"/>
          <w:szCs w:val="24"/>
        </w:rPr>
        <w:t>a výkonu trestu odňatia slobody, z úhrad pohľadávok obvinených a odsúdených, z prepadnutých kaucií, zábezpek, z prepísaných mánk a škôd</w:t>
      </w:r>
      <w:r w:rsidR="00963754">
        <w:rPr>
          <w:color w:val="000000" w:themeColor="text1"/>
          <w:sz w:val="24"/>
          <w:szCs w:val="24"/>
        </w:rPr>
        <w:t>.</w:t>
      </w:r>
    </w:p>
    <w:p w14:paraId="2875AA37" w14:textId="5394B7FA" w:rsidR="00C2434C" w:rsidRPr="00A357E5" w:rsidRDefault="00C2434C" w:rsidP="001665F3">
      <w:pPr>
        <w:spacing w:line="240" w:lineRule="auto"/>
        <w:rPr>
          <w:color w:val="000000" w:themeColor="text1"/>
          <w:sz w:val="24"/>
          <w:szCs w:val="24"/>
        </w:rPr>
      </w:pPr>
      <w:r w:rsidRPr="00A357E5">
        <w:rPr>
          <w:color w:val="000000" w:themeColor="text1"/>
          <w:sz w:val="24"/>
          <w:szCs w:val="24"/>
        </w:rPr>
        <w:t xml:space="preserve">Príjmy kapitoly </w:t>
      </w:r>
      <w:r w:rsidRPr="00A357E5">
        <w:rPr>
          <w:color w:val="000000" w:themeColor="text1"/>
          <w:sz w:val="24"/>
          <w:szCs w:val="24"/>
          <w:u w:val="single"/>
        </w:rPr>
        <w:t>Ministerstva vnútra SR</w:t>
      </w:r>
      <w:r w:rsidRPr="00A357E5">
        <w:rPr>
          <w:color w:val="000000" w:themeColor="text1"/>
          <w:sz w:val="24"/>
          <w:szCs w:val="24"/>
        </w:rPr>
        <w:t xml:space="preserve"> v sume 7 203 tis. eur tvorili odvody za odňatie poľnohospodárskej pôdy a lesnej pôdy, príjmy z predpísaných mánk a škôd, príjmy z trov konania, príjmy z dedičského konania, príjmy z poplatkov za obnovu evidencie pozemkov a iné. </w:t>
      </w:r>
    </w:p>
    <w:p w14:paraId="450FB9D3" w14:textId="343EFA86" w:rsidR="00671A62" w:rsidRPr="00963754" w:rsidRDefault="00C2434C" w:rsidP="001665F3">
      <w:pPr>
        <w:spacing w:line="240" w:lineRule="auto"/>
        <w:rPr>
          <w:b/>
          <w:i/>
        </w:rPr>
      </w:pPr>
      <w:r w:rsidRPr="00963754">
        <w:rPr>
          <w:b/>
          <w:i/>
        </w:rPr>
        <w:t>Podrobné údaje o plnení nedaňových príjmov štátneho rozpočtu v roku 2020 sú uvedené v tab. č. 3 tabuľkovej prílohy štátneho záverečného účtu.</w:t>
      </w:r>
    </w:p>
    <w:p w14:paraId="6F1DA578" w14:textId="77777777" w:rsidR="00671A62" w:rsidRDefault="00671A62" w:rsidP="00ED1E29">
      <w:pPr>
        <w:jc w:val="left"/>
        <w:rPr>
          <w:b/>
          <w:i/>
        </w:rPr>
      </w:pPr>
      <w:r>
        <w:rPr>
          <w:b/>
          <w:i/>
        </w:rPr>
        <w:br w:type="page"/>
      </w:r>
    </w:p>
    <w:p w14:paraId="091187D4" w14:textId="1C483C83" w:rsidR="00EA177A" w:rsidRDefault="00EA177A" w:rsidP="00ED1E29">
      <w:pPr>
        <w:pStyle w:val="Nadpis3"/>
        <w:spacing w:before="0"/>
      </w:pPr>
      <w:bookmarkStart w:id="42" w:name="_Toc6415644"/>
      <w:bookmarkStart w:id="43" w:name="_Toc70026095"/>
      <w:r>
        <w:t>Granty a</w:t>
      </w:r>
      <w:r w:rsidR="00870A07">
        <w:t> </w:t>
      </w:r>
      <w:r>
        <w:t>transfery</w:t>
      </w:r>
      <w:bookmarkEnd w:id="42"/>
      <w:bookmarkEnd w:id="43"/>
    </w:p>
    <w:p w14:paraId="6C4C3FB5" w14:textId="0F0BD12B" w:rsidR="00870A07" w:rsidRPr="00A357E5" w:rsidRDefault="00870A07" w:rsidP="001665F3">
      <w:pPr>
        <w:spacing w:line="240" w:lineRule="auto"/>
        <w:rPr>
          <w:sz w:val="24"/>
          <w:szCs w:val="24"/>
        </w:rPr>
      </w:pPr>
      <w:r w:rsidRPr="00A357E5">
        <w:rPr>
          <w:sz w:val="24"/>
          <w:szCs w:val="24"/>
        </w:rPr>
        <w:t>Granty a transfery boli na rok 2020 rozp</w:t>
      </w:r>
      <w:r w:rsidR="002B1F0F" w:rsidRPr="00A357E5">
        <w:rPr>
          <w:sz w:val="24"/>
          <w:szCs w:val="24"/>
        </w:rPr>
        <w:t>očtované v celkovej výške 1 716 461 </w:t>
      </w:r>
      <w:r w:rsidRPr="00A357E5">
        <w:rPr>
          <w:sz w:val="24"/>
          <w:szCs w:val="24"/>
        </w:rPr>
        <w:t xml:space="preserve">tis. eur, čo je </w:t>
      </w:r>
      <w:r w:rsidR="002B1F0F" w:rsidRPr="00A357E5">
        <w:rPr>
          <w:sz w:val="24"/>
          <w:szCs w:val="24"/>
        </w:rPr>
        <w:t>oproti roku 2019 viac len o 14 709 </w:t>
      </w:r>
      <w:r w:rsidRPr="00A357E5">
        <w:rPr>
          <w:sz w:val="24"/>
          <w:szCs w:val="24"/>
        </w:rPr>
        <w:t>tis. eur. Skutočné príjmy štátneho rozpočtu z grant</w:t>
      </w:r>
      <w:r w:rsidR="008D3444" w:rsidRPr="00A357E5">
        <w:rPr>
          <w:sz w:val="24"/>
          <w:szCs w:val="24"/>
        </w:rPr>
        <w:t>ov a transferov dosiahli sumu 2 588 586 </w:t>
      </w:r>
      <w:r w:rsidRPr="00A357E5">
        <w:rPr>
          <w:sz w:val="24"/>
          <w:szCs w:val="24"/>
        </w:rPr>
        <w:t>tis. eur a v porovnan</w:t>
      </w:r>
      <w:r w:rsidR="002B1F0F" w:rsidRPr="00A357E5">
        <w:rPr>
          <w:sz w:val="24"/>
          <w:szCs w:val="24"/>
        </w:rPr>
        <w:t>í s rokom 2019 je to viac o 427 </w:t>
      </w:r>
      <w:r w:rsidRPr="00A357E5">
        <w:rPr>
          <w:sz w:val="24"/>
          <w:szCs w:val="24"/>
        </w:rPr>
        <w:t xml:space="preserve">010 tis. eur. Rozhodujúcu časť týchto prostriedkov ako v rozpočte tak aj v skutočnom plnení tvoria </w:t>
      </w:r>
      <w:r w:rsidR="002E30AA" w:rsidRPr="00A357E5">
        <w:rPr>
          <w:sz w:val="24"/>
          <w:szCs w:val="24"/>
        </w:rPr>
        <w:t xml:space="preserve">každý rok </w:t>
      </w:r>
      <w:r w:rsidRPr="00A357E5">
        <w:rPr>
          <w:sz w:val="24"/>
          <w:szCs w:val="24"/>
        </w:rPr>
        <w:t>zdroje z rozpočtu EÚ</w:t>
      </w:r>
      <w:r w:rsidR="002E30AA" w:rsidRPr="00A357E5">
        <w:rPr>
          <w:sz w:val="24"/>
          <w:szCs w:val="24"/>
        </w:rPr>
        <w:t>,</w:t>
      </w:r>
      <w:r w:rsidRPr="00A357E5">
        <w:rPr>
          <w:sz w:val="24"/>
          <w:szCs w:val="24"/>
        </w:rPr>
        <w:t xml:space="preserve"> alokované a čerpané v rámci príslušných programových období (aktuálne ako aj dobiehajúce programové obdobia).</w:t>
      </w:r>
    </w:p>
    <w:p w14:paraId="213AAC84" w14:textId="4434F28C" w:rsidR="00870A07" w:rsidRPr="00A357E5" w:rsidRDefault="00870A07" w:rsidP="001665F3">
      <w:pPr>
        <w:spacing w:line="240" w:lineRule="auto"/>
        <w:rPr>
          <w:sz w:val="24"/>
          <w:szCs w:val="24"/>
        </w:rPr>
      </w:pPr>
      <w:r w:rsidRPr="00A357E5">
        <w:rPr>
          <w:sz w:val="24"/>
          <w:szCs w:val="24"/>
        </w:rPr>
        <w:t>Súhrnný prehľad o plnení grantov a transferov poskytuje nasledovná tabuľka:</w:t>
      </w:r>
    </w:p>
    <w:tbl>
      <w:tblPr>
        <w:tblW w:w="9204" w:type="dxa"/>
        <w:tblLayout w:type="fixed"/>
        <w:tblCellMar>
          <w:left w:w="70" w:type="dxa"/>
          <w:right w:w="70" w:type="dxa"/>
        </w:tblCellMar>
        <w:tblLook w:val="04A0" w:firstRow="1" w:lastRow="0" w:firstColumn="1" w:lastColumn="0" w:noHBand="0" w:noVBand="1"/>
      </w:tblPr>
      <w:tblGrid>
        <w:gridCol w:w="2967"/>
        <w:gridCol w:w="1134"/>
        <w:gridCol w:w="992"/>
        <w:gridCol w:w="1134"/>
        <w:gridCol w:w="1117"/>
        <w:gridCol w:w="867"/>
        <w:gridCol w:w="993"/>
      </w:tblGrid>
      <w:tr w:rsidR="00424B19" w:rsidRPr="004B5D5E" w14:paraId="43B293D9" w14:textId="77777777" w:rsidTr="004B5D5E">
        <w:trPr>
          <w:trHeight w:val="330"/>
        </w:trPr>
        <w:tc>
          <w:tcPr>
            <w:tcW w:w="9204" w:type="dxa"/>
            <w:gridSpan w:val="7"/>
            <w:tcBorders>
              <w:top w:val="nil"/>
              <w:left w:val="single" w:sz="8" w:space="0" w:color="auto"/>
              <w:bottom w:val="nil"/>
              <w:right w:val="nil"/>
            </w:tcBorders>
            <w:shd w:val="clear" w:color="000000" w:fill="000000"/>
            <w:vAlign w:val="center"/>
            <w:hideMark/>
          </w:tcPr>
          <w:p w14:paraId="76C6CCFA" w14:textId="391A4EAC" w:rsidR="00870A07" w:rsidRPr="004B5D5E" w:rsidRDefault="00870A07" w:rsidP="00424B19">
            <w:pPr>
              <w:spacing w:after="0" w:line="240" w:lineRule="auto"/>
              <w:jc w:val="left"/>
              <w:rPr>
                <w:rFonts w:eastAsia="Times New Roman" w:cs="Times New Roman"/>
                <w:b/>
                <w:bCs/>
                <w:color w:val="FFFFFF" w:themeColor="background1"/>
                <w:sz w:val="18"/>
                <w:szCs w:val="18"/>
                <w:lang w:eastAsia="sk-SK"/>
              </w:rPr>
            </w:pPr>
            <w:r w:rsidRPr="004B5D5E">
              <w:rPr>
                <w:rFonts w:eastAsia="Times New Roman" w:cs="Times New Roman"/>
                <w:b/>
                <w:bCs/>
                <w:color w:val="FFFFFF" w:themeColor="background1"/>
                <w:sz w:val="18"/>
                <w:szCs w:val="18"/>
                <w:lang w:eastAsia="sk-SK"/>
              </w:rPr>
              <w:t xml:space="preserve">Granty a transfery                                                                                                                        </w:t>
            </w:r>
            <w:r w:rsidR="004B5D5E">
              <w:rPr>
                <w:rFonts w:eastAsia="Times New Roman" w:cs="Times New Roman"/>
                <w:b/>
                <w:bCs/>
                <w:color w:val="FFFFFF" w:themeColor="background1"/>
                <w:sz w:val="18"/>
                <w:szCs w:val="18"/>
                <w:lang w:eastAsia="sk-SK"/>
              </w:rPr>
              <w:t xml:space="preserve">                          </w:t>
            </w:r>
            <w:r w:rsidR="0023537F">
              <w:rPr>
                <w:rFonts w:eastAsia="Times New Roman" w:cs="Times New Roman"/>
                <w:b/>
                <w:bCs/>
                <w:color w:val="FFFFFF" w:themeColor="background1"/>
                <w:sz w:val="18"/>
                <w:szCs w:val="18"/>
                <w:lang w:eastAsia="sk-SK"/>
              </w:rPr>
              <w:t xml:space="preserve">    </w:t>
            </w:r>
            <w:r w:rsidRPr="004B5D5E">
              <w:rPr>
                <w:rFonts w:eastAsia="Times New Roman" w:cs="Times New Roman"/>
                <w:b/>
                <w:bCs/>
                <w:color w:val="FFFFFF" w:themeColor="background1"/>
                <w:sz w:val="18"/>
                <w:szCs w:val="18"/>
                <w:lang w:eastAsia="sk-SK"/>
              </w:rPr>
              <w:t>v tis. eur</w:t>
            </w:r>
          </w:p>
        </w:tc>
      </w:tr>
      <w:tr w:rsidR="00870A07" w:rsidRPr="004B5D5E" w14:paraId="64870B58" w14:textId="77777777" w:rsidTr="004B5D5E">
        <w:tblPrEx>
          <w:tblCellMar>
            <w:left w:w="67" w:type="dxa"/>
            <w:right w:w="67" w:type="dxa"/>
          </w:tblCellMar>
        </w:tblPrEx>
        <w:trPr>
          <w:trHeight w:val="187"/>
        </w:trPr>
        <w:tc>
          <w:tcPr>
            <w:tcW w:w="2967" w:type="dxa"/>
            <w:tcBorders>
              <w:top w:val="nil"/>
              <w:left w:val="nil"/>
              <w:bottom w:val="nil"/>
              <w:right w:val="nil"/>
            </w:tcBorders>
            <w:shd w:val="clear" w:color="auto" w:fill="BFBFBF" w:themeFill="background1" w:themeFillShade="BF"/>
            <w:vAlign w:val="center"/>
            <w:hideMark/>
          </w:tcPr>
          <w:p w14:paraId="34DEBD94" w14:textId="77777777" w:rsidR="00870A07" w:rsidRPr="004B5D5E" w:rsidRDefault="00870A07" w:rsidP="00870A07">
            <w:pPr>
              <w:spacing w:after="0" w:line="240" w:lineRule="auto"/>
              <w:jc w:val="left"/>
              <w:rPr>
                <w:rFonts w:cs="Times New Roman"/>
                <w:b/>
                <w:bCs/>
                <w:color w:val="000000" w:themeColor="text1"/>
                <w:sz w:val="18"/>
                <w:szCs w:val="18"/>
                <w:lang w:eastAsia="sk-SK"/>
              </w:rPr>
            </w:pPr>
            <w:r w:rsidRPr="004B5D5E">
              <w:rPr>
                <w:rFonts w:cs="Times New Roman"/>
                <w:b/>
                <w:bCs/>
                <w:color w:val="000000" w:themeColor="text1"/>
                <w:sz w:val="18"/>
                <w:szCs w:val="18"/>
                <w:lang w:eastAsia="sk-SK"/>
              </w:rPr>
              <w:t> </w:t>
            </w:r>
          </w:p>
        </w:tc>
        <w:tc>
          <w:tcPr>
            <w:tcW w:w="2126" w:type="dxa"/>
            <w:gridSpan w:val="2"/>
            <w:tcBorders>
              <w:top w:val="nil"/>
              <w:left w:val="nil"/>
              <w:bottom w:val="nil"/>
              <w:right w:val="single" w:sz="4" w:space="0" w:color="BFBFBF" w:themeColor="background1" w:themeShade="BF"/>
            </w:tcBorders>
            <w:shd w:val="clear" w:color="auto" w:fill="BFBFBF" w:themeFill="background1" w:themeFillShade="BF"/>
            <w:vAlign w:val="center"/>
            <w:hideMark/>
          </w:tcPr>
          <w:p w14:paraId="601BB71F" w14:textId="77777777" w:rsidR="00870A07" w:rsidRPr="004B5D5E" w:rsidRDefault="00870A07" w:rsidP="00870A07">
            <w:pPr>
              <w:spacing w:after="0" w:line="240" w:lineRule="auto"/>
              <w:jc w:val="center"/>
              <w:rPr>
                <w:rFonts w:cs="Times New Roman"/>
                <w:b/>
                <w:bCs/>
                <w:color w:val="000000" w:themeColor="text1"/>
                <w:sz w:val="18"/>
                <w:szCs w:val="18"/>
                <w:lang w:eastAsia="sk-SK"/>
              </w:rPr>
            </w:pPr>
            <w:r w:rsidRPr="004B5D5E">
              <w:rPr>
                <w:rFonts w:cs="Times New Roman"/>
                <w:b/>
                <w:bCs/>
                <w:color w:val="000000" w:themeColor="text1"/>
                <w:sz w:val="18"/>
                <w:szCs w:val="18"/>
                <w:lang w:eastAsia="sk-SK"/>
              </w:rPr>
              <w:t>Skutočnosť</w:t>
            </w:r>
          </w:p>
        </w:tc>
        <w:tc>
          <w:tcPr>
            <w:tcW w:w="1134" w:type="dxa"/>
            <w:tcBorders>
              <w:top w:val="nil"/>
              <w:left w:val="single" w:sz="4" w:space="0" w:color="BFBFBF" w:themeColor="background1" w:themeShade="BF"/>
              <w:bottom w:val="nil"/>
              <w:right w:val="nil"/>
            </w:tcBorders>
            <w:shd w:val="clear" w:color="auto" w:fill="BFBFBF" w:themeFill="background1" w:themeFillShade="BF"/>
            <w:vAlign w:val="center"/>
            <w:hideMark/>
          </w:tcPr>
          <w:p w14:paraId="224D10BB" w14:textId="77777777" w:rsidR="00870A07" w:rsidRPr="004B5D5E" w:rsidRDefault="00870A07" w:rsidP="00870A07">
            <w:pPr>
              <w:spacing w:after="0" w:line="240" w:lineRule="auto"/>
              <w:jc w:val="center"/>
              <w:rPr>
                <w:rFonts w:cs="Times New Roman"/>
                <w:b/>
                <w:bCs/>
                <w:color w:val="000000" w:themeColor="text1"/>
                <w:sz w:val="18"/>
                <w:szCs w:val="18"/>
                <w:lang w:eastAsia="sk-SK"/>
              </w:rPr>
            </w:pPr>
            <w:r w:rsidRPr="004B5D5E">
              <w:rPr>
                <w:rFonts w:cs="Times New Roman"/>
                <w:b/>
                <w:bCs/>
                <w:color w:val="000000" w:themeColor="text1"/>
                <w:sz w:val="18"/>
                <w:szCs w:val="18"/>
                <w:lang w:eastAsia="sk-SK"/>
              </w:rPr>
              <w:t>Rozpočet</w:t>
            </w:r>
          </w:p>
        </w:tc>
        <w:tc>
          <w:tcPr>
            <w:tcW w:w="1117" w:type="dxa"/>
            <w:tcBorders>
              <w:top w:val="nil"/>
              <w:left w:val="nil"/>
              <w:bottom w:val="nil"/>
              <w:right w:val="nil"/>
            </w:tcBorders>
            <w:shd w:val="clear" w:color="auto" w:fill="BFBFBF" w:themeFill="background1" w:themeFillShade="BF"/>
            <w:vAlign w:val="center"/>
            <w:hideMark/>
          </w:tcPr>
          <w:p w14:paraId="0187A211" w14:textId="77777777" w:rsidR="00870A07" w:rsidRPr="004B5D5E" w:rsidRDefault="00870A07" w:rsidP="00870A07">
            <w:pPr>
              <w:spacing w:after="0" w:line="240" w:lineRule="auto"/>
              <w:jc w:val="center"/>
              <w:rPr>
                <w:rFonts w:cs="Times New Roman"/>
                <w:b/>
                <w:bCs/>
                <w:color w:val="000000" w:themeColor="text1"/>
                <w:sz w:val="18"/>
                <w:szCs w:val="18"/>
                <w:lang w:eastAsia="sk-SK"/>
              </w:rPr>
            </w:pPr>
            <w:r w:rsidRPr="004B5D5E">
              <w:rPr>
                <w:rFonts w:cs="Times New Roman"/>
                <w:b/>
                <w:bCs/>
                <w:color w:val="000000" w:themeColor="text1"/>
                <w:sz w:val="18"/>
                <w:szCs w:val="18"/>
                <w:lang w:eastAsia="sk-SK"/>
              </w:rPr>
              <w:t>Skutočnosť</w:t>
            </w:r>
          </w:p>
        </w:tc>
        <w:tc>
          <w:tcPr>
            <w:tcW w:w="1860" w:type="dxa"/>
            <w:gridSpan w:val="2"/>
            <w:tcBorders>
              <w:top w:val="nil"/>
              <w:left w:val="nil"/>
              <w:bottom w:val="nil"/>
              <w:right w:val="nil"/>
            </w:tcBorders>
            <w:shd w:val="clear" w:color="auto" w:fill="BFBFBF" w:themeFill="background1" w:themeFillShade="BF"/>
            <w:vAlign w:val="center"/>
            <w:hideMark/>
          </w:tcPr>
          <w:p w14:paraId="4B610845" w14:textId="77777777" w:rsidR="00870A07" w:rsidRPr="004B5D5E" w:rsidRDefault="00870A07" w:rsidP="00870A07">
            <w:pPr>
              <w:spacing w:after="0" w:line="240" w:lineRule="auto"/>
              <w:jc w:val="center"/>
              <w:rPr>
                <w:rFonts w:cs="Times New Roman"/>
                <w:b/>
                <w:bCs/>
                <w:color w:val="000000" w:themeColor="text1"/>
                <w:sz w:val="18"/>
                <w:szCs w:val="18"/>
                <w:lang w:eastAsia="sk-SK"/>
              </w:rPr>
            </w:pPr>
            <w:r w:rsidRPr="004B5D5E">
              <w:rPr>
                <w:rFonts w:cs="Times New Roman"/>
                <w:b/>
                <w:bCs/>
                <w:color w:val="000000" w:themeColor="text1"/>
                <w:sz w:val="18"/>
                <w:szCs w:val="18"/>
                <w:lang w:eastAsia="sk-SK"/>
              </w:rPr>
              <w:t>Rozdiel</w:t>
            </w:r>
          </w:p>
        </w:tc>
      </w:tr>
      <w:tr w:rsidR="00870A07" w:rsidRPr="004B5D5E" w14:paraId="075D0E2A" w14:textId="77777777" w:rsidTr="004B5D5E">
        <w:trPr>
          <w:trHeight w:val="277"/>
        </w:trPr>
        <w:tc>
          <w:tcPr>
            <w:tcW w:w="2967" w:type="dxa"/>
            <w:tcBorders>
              <w:top w:val="nil"/>
              <w:left w:val="nil"/>
              <w:bottom w:val="nil"/>
              <w:right w:val="nil"/>
            </w:tcBorders>
            <w:shd w:val="clear" w:color="auto" w:fill="BFBFBF" w:themeFill="background1" w:themeFillShade="BF"/>
            <w:vAlign w:val="center"/>
            <w:hideMark/>
          </w:tcPr>
          <w:p w14:paraId="2BCB10D4" w14:textId="77777777" w:rsidR="00870A07" w:rsidRPr="004B5D5E" w:rsidRDefault="00870A07" w:rsidP="00870A07">
            <w:pPr>
              <w:spacing w:after="0" w:line="240" w:lineRule="auto"/>
              <w:jc w:val="left"/>
              <w:rPr>
                <w:rFonts w:cs="Times New Roman"/>
                <w:b/>
                <w:bCs/>
                <w:color w:val="000000" w:themeColor="text1"/>
                <w:sz w:val="18"/>
                <w:szCs w:val="18"/>
                <w:lang w:eastAsia="sk-SK"/>
              </w:rPr>
            </w:pPr>
            <w:r w:rsidRPr="004B5D5E">
              <w:rPr>
                <w:rFonts w:cs="Times New Roman"/>
                <w:b/>
                <w:bCs/>
                <w:color w:val="000000" w:themeColor="text1"/>
                <w:sz w:val="18"/>
                <w:szCs w:val="18"/>
                <w:lang w:eastAsia="sk-SK"/>
              </w:rPr>
              <w:t> </w:t>
            </w:r>
          </w:p>
        </w:tc>
        <w:tc>
          <w:tcPr>
            <w:tcW w:w="1134" w:type="dxa"/>
            <w:tcBorders>
              <w:top w:val="nil"/>
              <w:left w:val="nil"/>
              <w:bottom w:val="nil"/>
              <w:right w:val="nil"/>
            </w:tcBorders>
            <w:shd w:val="clear" w:color="auto" w:fill="BFBFBF" w:themeFill="background1" w:themeFillShade="BF"/>
            <w:vAlign w:val="center"/>
            <w:hideMark/>
          </w:tcPr>
          <w:p w14:paraId="28515109" w14:textId="77777777" w:rsidR="00870A07" w:rsidRPr="004B5D5E" w:rsidRDefault="00870A07" w:rsidP="00870A07">
            <w:pPr>
              <w:spacing w:after="0" w:line="240" w:lineRule="auto"/>
              <w:jc w:val="center"/>
              <w:rPr>
                <w:rFonts w:cs="Times New Roman"/>
                <w:b/>
                <w:bCs/>
                <w:color w:val="000000" w:themeColor="text1"/>
                <w:sz w:val="18"/>
                <w:szCs w:val="18"/>
                <w:lang w:eastAsia="sk-SK"/>
              </w:rPr>
            </w:pPr>
            <w:r w:rsidRPr="004B5D5E">
              <w:rPr>
                <w:rFonts w:cs="Times New Roman"/>
                <w:b/>
                <w:bCs/>
                <w:color w:val="000000" w:themeColor="text1"/>
                <w:sz w:val="18"/>
                <w:szCs w:val="18"/>
                <w:lang w:eastAsia="sk-SK"/>
              </w:rPr>
              <w:t>2018</w:t>
            </w:r>
          </w:p>
        </w:tc>
        <w:tc>
          <w:tcPr>
            <w:tcW w:w="992" w:type="dxa"/>
            <w:tcBorders>
              <w:top w:val="nil"/>
              <w:left w:val="nil"/>
              <w:bottom w:val="nil"/>
              <w:right w:val="nil"/>
            </w:tcBorders>
            <w:shd w:val="clear" w:color="auto" w:fill="BFBFBF" w:themeFill="background1" w:themeFillShade="BF"/>
            <w:vAlign w:val="center"/>
            <w:hideMark/>
          </w:tcPr>
          <w:p w14:paraId="529E8CB4" w14:textId="77777777" w:rsidR="00870A07" w:rsidRPr="004B5D5E" w:rsidRDefault="00870A07" w:rsidP="00870A07">
            <w:pPr>
              <w:spacing w:after="0" w:line="240" w:lineRule="auto"/>
              <w:jc w:val="center"/>
              <w:rPr>
                <w:rFonts w:cs="Times New Roman"/>
                <w:b/>
                <w:bCs/>
                <w:color w:val="000000" w:themeColor="text1"/>
                <w:sz w:val="18"/>
                <w:szCs w:val="18"/>
                <w:lang w:eastAsia="sk-SK"/>
              </w:rPr>
            </w:pPr>
            <w:r w:rsidRPr="004B5D5E">
              <w:rPr>
                <w:rFonts w:cs="Times New Roman"/>
                <w:b/>
                <w:bCs/>
                <w:color w:val="000000" w:themeColor="text1"/>
                <w:sz w:val="18"/>
                <w:szCs w:val="18"/>
                <w:lang w:eastAsia="sk-SK"/>
              </w:rPr>
              <w:t>2019</w:t>
            </w:r>
          </w:p>
        </w:tc>
        <w:tc>
          <w:tcPr>
            <w:tcW w:w="1134" w:type="dxa"/>
            <w:tcBorders>
              <w:top w:val="nil"/>
              <w:left w:val="nil"/>
              <w:bottom w:val="nil"/>
              <w:right w:val="nil"/>
            </w:tcBorders>
            <w:shd w:val="clear" w:color="auto" w:fill="BFBFBF" w:themeFill="background1" w:themeFillShade="BF"/>
            <w:vAlign w:val="center"/>
            <w:hideMark/>
          </w:tcPr>
          <w:p w14:paraId="2788A557" w14:textId="77777777" w:rsidR="00870A07" w:rsidRPr="004B5D5E" w:rsidRDefault="00870A07" w:rsidP="00870A07">
            <w:pPr>
              <w:spacing w:after="0" w:line="240" w:lineRule="auto"/>
              <w:jc w:val="center"/>
              <w:rPr>
                <w:rFonts w:cs="Times New Roman"/>
                <w:b/>
                <w:bCs/>
                <w:color w:val="000000" w:themeColor="text1"/>
                <w:sz w:val="18"/>
                <w:szCs w:val="18"/>
                <w:lang w:eastAsia="sk-SK"/>
              </w:rPr>
            </w:pPr>
            <w:r w:rsidRPr="004B5D5E">
              <w:rPr>
                <w:rFonts w:cs="Times New Roman"/>
                <w:b/>
                <w:bCs/>
                <w:color w:val="000000" w:themeColor="text1"/>
                <w:sz w:val="18"/>
                <w:szCs w:val="18"/>
                <w:lang w:eastAsia="sk-SK"/>
              </w:rPr>
              <w:t>2020</w:t>
            </w:r>
          </w:p>
        </w:tc>
        <w:tc>
          <w:tcPr>
            <w:tcW w:w="1117" w:type="dxa"/>
            <w:tcBorders>
              <w:top w:val="nil"/>
              <w:left w:val="nil"/>
              <w:bottom w:val="nil"/>
              <w:right w:val="nil"/>
            </w:tcBorders>
            <w:shd w:val="clear" w:color="auto" w:fill="BFBFBF" w:themeFill="background1" w:themeFillShade="BF"/>
            <w:vAlign w:val="center"/>
            <w:hideMark/>
          </w:tcPr>
          <w:p w14:paraId="403BCD2D" w14:textId="77777777" w:rsidR="00870A07" w:rsidRPr="004B5D5E" w:rsidRDefault="00870A07" w:rsidP="00870A07">
            <w:pPr>
              <w:spacing w:after="0" w:line="240" w:lineRule="auto"/>
              <w:jc w:val="center"/>
              <w:rPr>
                <w:rFonts w:cs="Times New Roman"/>
                <w:b/>
                <w:bCs/>
                <w:color w:val="000000" w:themeColor="text1"/>
                <w:sz w:val="18"/>
                <w:szCs w:val="18"/>
                <w:lang w:eastAsia="sk-SK"/>
              </w:rPr>
            </w:pPr>
            <w:r w:rsidRPr="004B5D5E">
              <w:rPr>
                <w:rFonts w:cs="Times New Roman"/>
                <w:b/>
                <w:bCs/>
                <w:color w:val="000000" w:themeColor="text1"/>
                <w:sz w:val="18"/>
                <w:szCs w:val="18"/>
                <w:lang w:eastAsia="sk-SK"/>
              </w:rPr>
              <w:t>2020</w:t>
            </w:r>
          </w:p>
        </w:tc>
        <w:tc>
          <w:tcPr>
            <w:tcW w:w="867" w:type="dxa"/>
            <w:tcBorders>
              <w:top w:val="nil"/>
              <w:left w:val="nil"/>
              <w:bottom w:val="nil"/>
              <w:right w:val="nil"/>
            </w:tcBorders>
            <w:shd w:val="clear" w:color="auto" w:fill="BFBFBF" w:themeFill="background1" w:themeFillShade="BF"/>
            <w:vAlign w:val="center"/>
            <w:hideMark/>
          </w:tcPr>
          <w:p w14:paraId="513B17A1" w14:textId="77777777" w:rsidR="00870A07" w:rsidRPr="004B5D5E" w:rsidRDefault="00870A07" w:rsidP="00870A07">
            <w:pPr>
              <w:spacing w:after="0" w:line="240" w:lineRule="auto"/>
              <w:jc w:val="center"/>
              <w:rPr>
                <w:rFonts w:eastAsia="Times New Roman" w:cs="Times New Roman"/>
                <w:b/>
                <w:bCs/>
                <w:color w:val="000000" w:themeColor="text1"/>
                <w:sz w:val="18"/>
                <w:szCs w:val="18"/>
                <w:lang w:eastAsia="sk-SK"/>
              </w:rPr>
            </w:pPr>
            <w:r w:rsidRPr="004B5D5E">
              <w:rPr>
                <w:rFonts w:cs="Times New Roman"/>
                <w:b/>
                <w:bCs/>
                <w:color w:val="000000" w:themeColor="text1"/>
                <w:sz w:val="18"/>
                <w:szCs w:val="18"/>
                <w:lang w:eastAsia="sk-SK"/>
              </w:rPr>
              <w:t xml:space="preserve"> v tis. eur</w:t>
            </w:r>
          </w:p>
        </w:tc>
        <w:tc>
          <w:tcPr>
            <w:tcW w:w="993" w:type="dxa"/>
            <w:tcBorders>
              <w:top w:val="nil"/>
              <w:left w:val="nil"/>
              <w:bottom w:val="nil"/>
              <w:right w:val="nil"/>
            </w:tcBorders>
            <w:shd w:val="clear" w:color="auto" w:fill="BFBFBF" w:themeFill="background1" w:themeFillShade="BF"/>
            <w:vAlign w:val="center"/>
            <w:hideMark/>
          </w:tcPr>
          <w:p w14:paraId="630664FC" w14:textId="77777777" w:rsidR="00870A07" w:rsidRPr="004B5D5E" w:rsidRDefault="00870A07" w:rsidP="00870A07">
            <w:pPr>
              <w:spacing w:after="0" w:line="240" w:lineRule="auto"/>
              <w:jc w:val="center"/>
              <w:rPr>
                <w:rFonts w:cs="Times New Roman"/>
                <w:b/>
                <w:bCs/>
                <w:color w:val="000000" w:themeColor="text1"/>
                <w:sz w:val="18"/>
                <w:szCs w:val="18"/>
                <w:lang w:eastAsia="sk-SK"/>
              </w:rPr>
            </w:pPr>
            <w:r w:rsidRPr="004B5D5E">
              <w:rPr>
                <w:rFonts w:cs="Times New Roman"/>
                <w:b/>
                <w:bCs/>
                <w:color w:val="000000" w:themeColor="text1"/>
                <w:sz w:val="18"/>
                <w:szCs w:val="18"/>
                <w:lang w:eastAsia="sk-SK"/>
              </w:rPr>
              <w:t>v %</w:t>
            </w:r>
          </w:p>
        </w:tc>
      </w:tr>
      <w:tr w:rsidR="00870A07" w:rsidRPr="004B5D5E" w14:paraId="6EEDCE0D" w14:textId="77777777" w:rsidTr="004B5D5E">
        <w:trPr>
          <w:trHeight w:val="255"/>
        </w:trPr>
        <w:tc>
          <w:tcPr>
            <w:tcW w:w="2967" w:type="dxa"/>
            <w:tcBorders>
              <w:top w:val="nil"/>
              <w:left w:val="nil"/>
              <w:bottom w:val="single" w:sz="8" w:space="0" w:color="auto"/>
              <w:right w:val="nil"/>
            </w:tcBorders>
            <w:shd w:val="clear" w:color="000000" w:fill="BFBFBF"/>
            <w:vAlign w:val="center"/>
            <w:hideMark/>
          </w:tcPr>
          <w:p w14:paraId="17F502FA" w14:textId="77777777" w:rsidR="00870A07" w:rsidRPr="004B5D5E" w:rsidRDefault="00870A07" w:rsidP="00870A07">
            <w:pPr>
              <w:spacing w:after="0" w:line="240" w:lineRule="auto"/>
              <w:jc w:val="left"/>
              <w:rPr>
                <w:rFonts w:cs="Times New Roman"/>
                <w:b/>
                <w:bCs/>
                <w:color w:val="000000" w:themeColor="text1"/>
                <w:sz w:val="18"/>
                <w:szCs w:val="18"/>
                <w:lang w:eastAsia="sk-SK"/>
              </w:rPr>
            </w:pPr>
            <w:r w:rsidRPr="004B5D5E">
              <w:rPr>
                <w:rFonts w:cs="Times New Roman"/>
                <w:b/>
                <w:bCs/>
                <w:color w:val="000000" w:themeColor="text1"/>
                <w:sz w:val="18"/>
                <w:szCs w:val="18"/>
                <w:lang w:eastAsia="sk-SK"/>
              </w:rPr>
              <w:t> </w:t>
            </w:r>
          </w:p>
        </w:tc>
        <w:tc>
          <w:tcPr>
            <w:tcW w:w="1134" w:type="dxa"/>
            <w:tcBorders>
              <w:top w:val="nil"/>
              <w:left w:val="nil"/>
              <w:bottom w:val="single" w:sz="8" w:space="0" w:color="auto"/>
              <w:right w:val="nil"/>
            </w:tcBorders>
            <w:shd w:val="clear" w:color="000000" w:fill="BFBFBF"/>
            <w:vAlign w:val="center"/>
            <w:hideMark/>
          </w:tcPr>
          <w:p w14:paraId="2D80009F" w14:textId="77777777" w:rsidR="00870A07" w:rsidRPr="004B5D5E" w:rsidRDefault="00870A07" w:rsidP="00870A07">
            <w:pPr>
              <w:spacing w:after="0" w:line="240" w:lineRule="auto"/>
              <w:jc w:val="center"/>
              <w:rPr>
                <w:rFonts w:cs="Times New Roman"/>
                <w:b/>
                <w:bCs/>
                <w:color w:val="000000" w:themeColor="text1"/>
                <w:sz w:val="18"/>
                <w:szCs w:val="18"/>
                <w:lang w:eastAsia="sk-SK"/>
              </w:rPr>
            </w:pPr>
            <w:r w:rsidRPr="004B5D5E">
              <w:rPr>
                <w:rFonts w:cs="Times New Roman"/>
                <w:b/>
                <w:bCs/>
                <w:color w:val="000000" w:themeColor="text1"/>
                <w:sz w:val="18"/>
                <w:szCs w:val="18"/>
                <w:lang w:eastAsia="sk-SK"/>
              </w:rPr>
              <w:t>1</w:t>
            </w:r>
          </w:p>
        </w:tc>
        <w:tc>
          <w:tcPr>
            <w:tcW w:w="992" w:type="dxa"/>
            <w:tcBorders>
              <w:top w:val="nil"/>
              <w:left w:val="nil"/>
              <w:bottom w:val="single" w:sz="8" w:space="0" w:color="auto"/>
              <w:right w:val="nil"/>
            </w:tcBorders>
            <w:shd w:val="clear" w:color="000000" w:fill="BFBFBF"/>
            <w:vAlign w:val="center"/>
            <w:hideMark/>
          </w:tcPr>
          <w:p w14:paraId="22A49866" w14:textId="77777777" w:rsidR="00870A07" w:rsidRPr="004B5D5E" w:rsidRDefault="00870A07" w:rsidP="00870A07">
            <w:pPr>
              <w:spacing w:after="0" w:line="240" w:lineRule="auto"/>
              <w:jc w:val="center"/>
              <w:rPr>
                <w:rFonts w:cs="Times New Roman"/>
                <w:b/>
                <w:bCs/>
                <w:color w:val="000000" w:themeColor="text1"/>
                <w:sz w:val="18"/>
                <w:szCs w:val="18"/>
                <w:lang w:eastAsia="sk-SK"/>
              </w:rPr>
            </w:pPr>
            <w:r w:rsidRPr="004B5D5E">
              <w:rPr>
                <w:rFonts w:cs="Times New Roman"/>
                <w:b/>
                <w:bCs/>
                <w:color w:val="000000" w:themeColor="text1"/>
                <w:sz w:val="18"/>
                <w:szCs w:val="18"/>
                <w:lang w:eastAsia="sk-SK"/>
              </w:rPr>
              <w:t>2</w:t>
            </w:r>
          </w:p>
        </w:tc>
        <w:tc>
          <w:tcPr>
            <w:tcW w:w="1134" w:type="dxa"/>
            <w:tcBorders>
              <w:top w:val="nil"/>
              <w:left w:val="nil"/>
              <w:bottom w:val="single" w:sz="8" w:space="0" w:color="auto"/>
              <w:right w:val="nil"/>
            </w:tcBorders>
            <w:shd w:val="clear" w:color="000000" w:fill="BFBFBF"/>
            <w:vAlign w:val="center"/>
            <w:hideMark/>
          </w:tcPr>
          <w:p w14:paraId="1F774338" w14:textId="77777777" w:rsidR="00870A07" w:rsidRPr="004B5D5E" w:rsidRDefault="00870A07" w:rsidP="00870A07">
            <w:pPr>
              <w:spacing w:after="0" w:line="240" w:lineRule="auto"/>
              <w:jc w:val="center"/>
              <w:rPr>
                <w:rFonts w:cs="Times New Roman"/>
                <w:b/>
                <w:bCs/>
                <w:color w:val="000000" w:themeColor="text1"/>
                <w:sz w:val="18"/>
                <w:szCs w:val="18"/>
                <w:lang w:eastAsia="sk-SK"/>
              </w:rPr>
            </w:pPr>
            <w:r w:rsidRPr="004B5D5E">
              <w:rPr>
                <w:rFonts w:cs="Times New Roman"/>
                <w:b/>
                <w:bCs/>
                <w:color w:val="000000" w:themeColor="text1"/>
                <w:sz w:val="18"/>
                <w:szCs w:val="18"/>
                <w:lang w:eastAsia="sk-SK"/>
              </w:rPr>
              <w:t>3</w:t>
            </w:r>
          </w:p>
        </w:tc>
        <w:tc>
          <w:tcPr>
            <w:tcW w:w="1117" w:type="dxa"/>
            <w:tcBorders>
              <w:top w:val="nil"/>
              <w:left w:val="nil"/>
              <w:bottom w:val="single" w:sz="8" w:space="0" w:color="auto"/>
              <w:right w:val="nil"/>
            </w:tcBorders>
            <w:shd w:val="clear" w:color="000000" w:fill="BFBFBF"/>
            <w:vAlign w:val="center"/>
            <w:hideMark/>
          </w:tcPr>
          <w:p w14:paraId="3D5A7DBB" w14:textId="77777777" w:rsidR="00870A07" w:rsidRPr="004B5D5E" w:rsidRDefault="00870A07" w:rsidP="00870A07">
            <w:pPr>
              <w:spacing w:after="0" w:line="240" w:lineRule="auto"/>
              <w:jc w:val="center"/>
              <w:rPr>
                <w:rFonts w:cs="Times New Roman"/>
                <w:b/>
                <w:bCs/>
                <w:color w:val="000000" w:themeColor="text1"/>
                <w:sz w:val="18"/>
                <w:szCs w:val="18"/>
                <w:lang w:eastAsia="sk-SK"/>
              </w:rPr>
            </w:pPr>
            <w:r w:rsidRPr="004B5D5E">
              <w:rPr>
                <w:rFonts w:cs="Times New Roman"/>
                <w:b/>
                <w:bCs/>
                <w:color w:val="000000" w:themeColor="text1"/>
                <w:sz w:val="18"/>
                <w:szCs w:val="18"/>
                <w:lang w:eastAsia="sk-SK"/>
              </w:rPr>
              <w:t>4</w:t>
            </w:r>
          </w:p>
        </w:tc>
        <w:tc>
          <w:tcPr>
            <w:tcW w:w="867" w:type="dxa"/>
            <w:tcBorders>
              <w:top w:val="nil"/>
              <w:left w:val="nil"/>
              <w:bottom w:val="single" w:sz="8" w:space="0" w:color="auto"/>
              <w:right w:val="nil"/>
            </w:tcBorders>
            <w:shd w:val="clear" w:color="000000" w:fill="BFBFBF"/>
            <w:vAlign w:val="center"/>
            <w:hideMark/>
          </w:tcPr>
          <w:p w14:paraId="53964639" w14:textId="77777777" w:rsidR="00870A07" w:rsidRPr="004B5D5E" w:rsidRDefault="00870A07" w:rsidP="00870A07">
            <w:pPr>
              <w:spacing w:after="0" w:line="240" w:lineRule="auto"/>
              <w:jc w:val="center"/>
              <w:rPr>
                <w:rFonts w:cs="Times New Roman"/>
                <w:b/>
                <w:bCs/>
                <w:color w:val="000000" w:themeColor="text1"/>
                <w:sz w:val="18"/>
                <w:szCs w:val="18"/>
                <w:lang w:eastAsia="sk-SK"/>
              </w:rPr>
            </w:pPr>
            <w:r w:rsidRPr="004B5D5E">
              <w:rPr>
                <w:rFonts w:cs="Times New Roman"/>
                <w:b/>
                <w:bCs/>
                <w:color w:val="000000" w:themeColor="text1"/>
                <w:sz w:val="18"/>
                <w:szCs w:val="18"/>
                <w:lang w:eastAsia="sk-SK"/>
              </w:rPr>
              <w:t>5=4-3</w:t>
            </w:r>
          </w:p>
        </w:tc>
        <w:tc>
          <w:tcPr>
            <w:tcW w:w="993" w:type="dxa"/>
            <w:tcBorders>
              <w:top w:val="nil"/>
              <w:left w:val="nil"/>
              <w:bottom w:val="single" w:sz="8" w:space="0" w:color="auto"/>
              <w:right w:val="nil"/>
            </w:tcBorders>
            <w:shd w:val="clear" w:color="000000" w:fill="BFBFBF"/>
            <w:vAlign w:val="center"/>
            <w:hideMark/>
          </w:tcPr>
          <w:p w14:paraId="4710EA00" w14:textId="77777777" w:rsidR="00870A07" w:rsidRPr="004B5D5E" w:rsidRDefault="00870A07" w:rsidP="00870A07">
            <w:pPr>
              <w:spacing w:after="0" w:line="240" w:lineRule="auto"/>
              <w:jc w:val="center"/>
              <w:rPr>
                <w:rFonts w:cs="Times New Roman"/>
                <w:b/>
                <w:bCs/>
                <w:color w:val="000000" w:themeColor="text1"/>
                <w:sz w:val="18"/>
                <w:szCs w:val="18"/>
                <w:lang w:eastAsia="sk-SK"/>
              </w:rPr>
            </w:pPr>
            <w:r w:rsidRPr="004B5D5E">
              <w:rPr>
                <w:rFonts w:cs="Times New Roman"/>
                <w:b/>
                <w:bCs/>
                <w:color w:val="000000" w:themeColor="text1"/>
                <w:sz w:val="18"/>
                <w:szCs w:val="18"/>
                <w:lang w:eastAsia="sk-SK"/>
              </w:rPr>
              <w:t>6=4-3</w:t>
            </w:r>
          </w:p>
        </w:tc>
      </w:tr>
      <w:tr w:rsidR="00870A07" w:rsidRPr="004B5D5E" w14:paraId="5A8472E2" w14:textId="77777777" w:rsidTr="004B5D5E">
        <w:trPr>
          <w:trHeight w:val="330"/>
        </w:trPr>
        <w:tc>
          <w:tcPr>
            <w:tcW w:w="2967" w:type="dxa"/>
            <w:tcBorders>
              <w:top w:val="nil"/>
              <w:left w:val="nil"/>
              <w:bottom w:val="nil"/>
              <w:right w:val="nil"/>
            </w:tcBorders>
            <w:shd w:val="clear" w:color="000000" w:fill="FFFFFF"/>
            <w:noWrap/>
            <w:vAlign w:val="center"/>
            <w:hideMark/>
          </w:tcPr>
          <w:p w14:paraId="3406B093" w14:textId="77777777" w:rsidR="00870A07" w:rsidRPr="004B5D5E" w:rsidRDefault="00870A07" w:rsidP="00870A07">
            <w:pPr>
              <w:spacing w:after="0" w:line="240" w:lineRule="auto"/>
              <w:rPr>
                <w:rFonts w:eastAsia="Times New Roman" w:cs="Times New Roman"/>
                <w:color w:val="000000" w:themeColor="text1"/>
                <w:sz w:val="18"/>
                <w:szCs w:val="18"/>
                <w:lang w:eastAsia="sk-SK"/>
              </w:rPr>
            </w:pPr>
            <w:r w:rsidRPr="004B5D5E">
              <w:rPr>
                <w:rFonts w:eastAsia="Times New Roman" w:cs="Times New Roman"/>
                <w:color w:val="000000" w:themeColor="text1"/>
                <w:sz w:val="18"/>
                <w:szCs w:val="18"/>
                <w:lang w:eastAsia="sk-SK"/>
              </w:rPr>
              <w:t>Tuzemské granty a transfery</w:t>
            </w:r>
          </w:p>
        </w:tc>
        <w:tc>
          <w:tcPr>
            <w:tcW w:w="1134" w:type="dxa"/>
            <w:tcBorders>
              <w:top w:val="nil"/>
              <w:left w:val="nil"/>
              <w:bottom w:val="nil"/>
              <w:right w:val="nil"/>
            </w:tcBorders>
            <w:shd w:val="clear" w:color="000000" w:fill="FFFFFF"/>
            <w:noWrap/>
            <w:vAlign w:val="center"/>
          </w:tcPr>
          <w:p w14:paraId="7FB0C7F2" w14:textId="0849D8A9" w:rsidR="00870A07" w:rsidRPr="004B5D5E" w:rsidRDefault="002F4E72" w:rsidP="00870A07">
            <w:pPr>
              <w:spacing w:after="0" w:line="240" w:lineRule="auto"/>
              <w:jc w:val="right"/>
              <w:rPr>
                <w:rFonts w:eastAsia="Times New Roman" w:cs="Times New Roman"/>
                <w:color w:val="000000" w:themeColor="text1"/>
                <w:sz w:val="18"/>
                <w:szCs w:val="18"/>
                <w:lang w:eastAsia="sk-SK"/>
              </w:rPr>
            </w:pPr>
            <w:r w:rsidRPr="004B5D5E">
              <w:rPr>
                <w:rFonts w:eastAsia="Times New Roman" w:cs="Times New Roman"/>
                <w:color w:val="000000" w:themeColor="text1"/>
                <w:sz w:val="18"/>
                <w:szCs w:val="18"/>
                <w:lang w:eastAsia="sk-SK"/>
              </w:rPr>
              <w:t>33 </w:t>
            </w:r>
            <w:r w:rsidR="00870A07" w:rsidRPr="004B5D5E">
              <w:rPr>
                <w:rFonts w:eastAsia="Times New Roman" w:cs="Times New Roman"/>
                <w:color w:val="000000" w:themeColor="text1"/>
                <w:sz w:val="18"/>
                <w:szCs w:val="18"/>
                <w:lang w:eastAsia="sk-SK"/>
              </w:rPr>
              <w:t>861</w:t>
            </w:r>
          </w:p>
        </w:tc>
        <w:tc>
          <w:tcPr>
            <w:tcW w:w="992" w:type="dxa"/>
            <w:tcBorders>
              <w:top w:val="nil"/>
              <w:left w:val="nil"/>
              <w:bottom w:val="nil"/>
              <w:right w:val="nil"/>
            </w:tcBorders>
            <w:shd w:val="clear" w:color="000000" w:fill="FFFFFF"/>
            <w:noWrap/>
            <w:vAlign w:val="center"/>
          </w:tcPr>
          <w:p w14:paraId="3BF3993B" w14:textId="1AD58DBF" w:rsidR="00870A07" w:rsidRPr="004B5D5E" w:rsidRDefault="002F4E72" w:rsidP="00870A07">
            <w:pPr>
              <w:spacing w:after="0" w:line="240" w:lineRule="auto"/>
              <w:jc w:val="right"/>
              <w:rPr>
                <w:rFonts w:eastAsia="Times New Roman" w:cs="Times New Roman"/>
                <w:color w:val="000000" w:themeColor="text1"/>
                <w:sz w:val="18"/>
                <w:szCs w:val="18"/>
                <w:lang w:eastAsia="sk-SK"/>
              </w:rPr>
            </w:pPr>
            <w:r w:rsidRPr="004B5D5E">
              <w:rPr>
                <w:rFonts w:eastAsia="Times New Roman" w:cs="Times New Roman"/>
                <w:color w:val="000000" w:themeColor="text1"/>
                <w:sz w:val="18"/>
                <w:szCs w:val="18"/>
                <w:lang w:eastAsia="sk-SK"/>
              </w:rPr>
              <w:t>34 </w:t>
            </w:r>
            <w:r w:rsidR="00870A07" w:rsidRPr="004B5D5E">
              <w:rPr>
                <w:rFonts w:eastAsia="Times New Roman" w:cs="Times New Roman"/>
                <w:color w:val="000000" w:themeColor="text1"/>
                <w:sz w:val="18"/>
                <w:szCs w:val="18"/>
                <w:lang w:eastAsia="sk-SK"/>
              </w:rPr>
              <w:t>631</w:t>
            </w:r>
          </w:p>
        </w:tc>
        <w:tc>
          <w:tcPr>
            <w:tcW w:w="1134" w:type="dxa"/>
            <w:tcBorders>
              <w:top w:val="nil"/>
              <w:left w:val="nil"/>
              <w:bottom w:val="nil"/>
              <w:right w:val="nil"/>
            </w:tcBorders>
            <w:shd w:val="clear" w:color="000000" w:fill="FFFFFF"/>
            <w:noWrap/>
            <w:vAlign w:val="center"/>
          </w:tcPr>
          <w:p w14:paraId="0B4A5244" w14:textId="3902666B" w:rsidR="00870A07" w:rsidRPr="004B5D5E" w:rsidRDefault="002F4E72" w:rsidP="00870A07">
            <w:pPr>
              <w:spacing w:after="0" w:line="240" w:lineRule="auto"/>
              <w:jc w:val="right"/>
              <w:rPr>
                <w:rFonts w:eastAsia="Times New Roman" w:cs="Times New Roman"/>
                <w:color w:val="000000" w:themeColor="text1"/>
                <w:sz w:val="18"/>
                <w:szCs w:val="18"/>
                <w:lang w:eastAsia="sk-SK"/>
              </w:rPr>
            </w:pPr>
            <w:r w:rsidRPr="004B5D5E">
              <w:rPr>
                <w:rFonts w:eastAsia="Times New Roman" w:cs="Times New Roman"/>
                <w:color w:val="000000" w:themeColor="text1"/>
                <w:sz w:val="18"/>
                <w:szCs w:val="18"/>
                <w:lang w:eastAsia="sk-SK"/>
              </w:rPr>
              <w:t>38 </w:t>
            </w:r>
            <w:r w:rsidR="00870A07" w:rsidRPr="004B5D5E">
              <w:rPr>
                <w:rFonts w:eastAsia="Times New Roman" w:cs="Times New Roman"/>
                <w:color w:val="000000" w:themeColor="text1"/>
                <w:sz w:val="18"/>
                <w:szCs w:val="18"/>
                <w:lang w:eastAsia="sk-SK"/>
              </w:rPr>
              <w:t>772</w:t>
            </w:r>
          </w:p>
        </w:tc>
        <w:tc>
          <w:tcPr>
            <w:tcW w:w="1117" w:type="dxa"/>
            <w:tcBorders>
              <w:top w:val="nil"/>
              <w:left w:val="nil"/>
              <w:bottom w:val="nil"/>
              <w:right w:val="nil"/>
            </w:tcBorders>
            <w:shd w:val="clear" w:color="000000" w:fill="BFBFBF"/>
            <w:noWrap/>
            <w:vAlign w:val="center"/>
          </w:tcPr>
          <w:p w14:paraId="3D42A869" w14:textId="2B69CA7A" w:rsidR="00870A07" w:rsidRPr="004B5D5E" w:rsidRDefault="002F4E72" w:rsidP="00870A07">
            <w:pPr>
              <w:spacing w:after="0" w:line="240" w:lineRule="auto"/>
              <w:jc w:val="right"/>
              <w:rPr>
                <w:rFonts w:eastAsia="Times New Roman" w:cs="Times New Roman"/>
                <w:color w:val="000000" w:themeColor="text1"/>
                <w:sz w:val="18"/>
                <w:szCs w:val="18"/>
                <w:lang w:eastAsia="sk-SK"/>
              </w:rPr>
            </w:pPr>
            <w:r w:rsidRPr="004B5D5E">
              <w:rPr>
                <w:rFonts w:eastAsia="Times New Roman" w:cs="Times New Roman"/>
                <w:color w:val="000000" w:themeColor="text1"/>
                <w:sz w:val="18"/>
                <w:szCs w:val="18"/>
                <w:lang w:eastAsia="sk-SK"/>
              </w:rPr>
              <w:t>37 </w:t>
            </w:r>
            <w:r w:rsidR="00870A07" w:rsidRPr="004B5D5E">
              <w:rPr>
                <w:rFonts w:eastAsia="Times New Roman" w:cs="Times New Roman"/>
                <w:color w:val="000000" w:themeColor="text1"/>
                <w:sz w:val="18"/>
                <w:szCs w:val="18"/>
                <w:lang w:eastAsia="sk-SK"/>
              </w:rPr>
              <w:t>226</w:t>
            </w:r>
          </w:p>
        </w:tc>
        <w:tc>
          <w:tcPr>
            <w:tcW w:w="867" w:type="dxa"/>
            <w:tcBorders>
              <w:top w:val="nil"/>
              <w:left w:val="nil"/>
              <w:bottom w:val="nil"/>
              <w:right w:val="nil"/>
            </w:tcBorders>
            <w:shd w:val="clear" w:color="000000" w:fill="FFFFFF"/>
            <w:vAlign w:val="center"/>
          </w:tcPr>
          <w:p w14:paraId="41439657" w14:textId="78B460AE" w:rsidR="00870A07" w:rsidRPr="004B5D5E" w:rsidRDefault="002F4E72" w:rsidP="00870A07">
            <w:pPr>
              <w:spacing w:after="0" w:line="240" w:lineRule="auto"/>
              <w:jc w:val="right"/>
              <w:rPr>
                <w:rFonts w:eastAsia="Times New Roman" w:cs="Times New Roman"/>
                <w:color w:val="000000" w:themeColor="text1"/>
                <w:sz w:val="18"/>
                <w:szCs w:val="18"/>
                <w:lang w:eastAsia="sk-SK"/>
              </w:rPr>
            </w:pPr>
            <w:r w:rsidRPr="004B5D5E">
              <w:rPr>
                <w:rFonts w:eastAsia="Times New Roman" w:cs="Times New Roman"/>
                <w:color w:val="000000" w:themeColor="text1"/>
                <w:sz w:val="18"/>
                <w:szCs w:val="18"/>
                <w:lang w:eastAsia="sk-SK"/>
              </w:rPr>
              <w:t>-1 </w:t>
            </w:r>
            <w:r w:rsidR="00870A07" w:rsidRPr="004B5D5E">
              <w:rPr>
                <w:rFonts w:eastAsia="Times New Roman" w:cs="Times New Roman"/>
                <w:color w:val="000000" w:themeColor="text1"/>
                <w:sz w:val="18"/>
                <w:szCs w:val="18"/>
                <w:lang w:eastAsia="sk-SK"/>
              </w:rPr>
              <w:t>546</w:t>
            </w:r>
          </w:p>
        </w:tc>
        <w:tc>
          <w:tcPr>
            <w:tcW w:w="993" w:type="dxa"/>
            <w:tcBorders>
              <w:top w:val="nil"/>
              <w:left w:val="nil"/>
              <w:bottom w:val="nil"/>
              <w:right w:val="nil"/>
            </w:tcBorders>
            <w:shd w:val="clear" w:color="000000" w:fill="FFFFFF"/>
            <w:vAlign w:val="center"/>
          </w:tcPr>
          <w:p w14:paraId="58EB6B69" w14:textId="77777777" w:rsidR="00870A07" w:rsidRPr="004B5D5E" w:rsidRDefault="00870A07" w:rsidP="00870A07">
            <w:pPr>
              <w:spacing w:after="0" w:line="240" w:lineRule="auto"/>
              <w:jc w:val="right"/>
              <w:rPr>
                <w:rFonts w:eastAsia="Times New Roman" w:cs="Times New Roman"/>
                <w:color w:val="000000" w:themeColor="text1"/>
                <w:sz w:val="18"/>
                <w:szCs w:val="18"/>
                <w:lang w:eastAsia="sk-SK"/>
              </w:rPr>
            </w:pPr>
            <w:r w:rsidRPr="004B5D5E">
              <w:rPr>
                <w:rFonts w:eastAsia="Times New Roman" w:cs="Times New Roman"/>
                <w:color w:val="000000" w:themeColor="text1"/>
                <w:sz w:val="18"/>
                <w:szCs w:val="18"/>
                <w:lang w:eastAsia="sk-SK"/>
              </w:rPr>
              <w:t>-3,99</w:t>
            </w:r>
          </w:p>
        </w:tc>
      </w:tr>
      <w:tr w:rsidR="00870A07" w:rsidRPr="004B5D5E" w14:paraId="26CC24C6" w14:textId="77777777" w:rsidTr="004B5D5E">
        <w:trPr>
          <w:trHeight w:val="316"/>
        </w:trPr>
        <w:tc>
          <w:tcPr>
            <w:tcW w:w="2967" w:type="dxa"/>
            <w:tcBorders>
              <w:top w:val="nil"/>
              <w:left w:val="nil"/>
              <w:bottom w:val="nil"/>
              <w:right w:val="nil"/>
            </w:tcBorders>
            <w:shd w:val="clear" w:color="000000" w:fill="FFFFFF"/>
            <w:noWrap/>
            <w:vAlign w:val="center"/>
            <w:hideMark/>
          </w:tcPr>
          <w:p w14:paraId="26383CD7" w14:textId="77777777" w:rsidR="00870A07" w:rsidRPr="004B5D5E" w:rsidRDefault="00870A07" w:rsidP="00870A07">
            <w:pPr>
              <w:spacing w:after="0" w:line="240" w:lineRule="auto"/>
              <w:rPr>
                <w:rFonts w:eastAsia="Times New Roman" w:cs="Times New Roman"/>
                <w:color w:val="000000" w:themeColor="text1"/>
                <w:sz w:val="18"/>
                <w:szCs w:val="18"/>
                <w:lang w:eastAsia="sk-SK"/>
              </w:rPr>
            </w:pPr>
            <w:r w:rsidRPr="004B5D5E">
              <w:rPr>
                <w:rFonts w:eastAsia="Times New Roman" w:cs="Times New Roman"/>
                <w:color w:val="000000" w:themeColor="text1"/>
                <w:sz w:val="18"/>
                <w:szCs w:val="18"/>
                <w:lang w:eastAsia="sk-SK"/>
              </w:rPr>
              <w:t>Zahraničné granty a transfery</w:t>
            </w:r>
          </w:p>
        </w:tc>
        <w:tc>
          <w:tcPr>
            <w:tcW w:w="1134" w:type="dxa"/>
            <w:tcBorders>
              <w:top w:val="nil"/>
              <w:left w:val="nil"/>
              <w:bottom w:val="nil"/>
              <w:right w:val="nil"/>
            </w:tcBorders>
            <w:shd w:val="clear" w:color="000000" w:fill="FFFFFF"/>
            <w:noWrap/>
            <w:vAlign w:val="center"/>
          </w:tcPr>
          <w:p w14:paraId="5682DDCB" w14:textId="3F17103F" w:rsidR="00870A07" w:rsidRPr="004B5D5E" w:rsidRDefault="002F4E72" w:rsidP="00870A07">
            <w:pPr>
              <w:spacing w:after="0" w:line="240" w:lineRule="auto"/>
              <w:jc w:val="right"/>
              <w:rPr>
                <w:rFonts w:eastAsia="Times New Roman" w:cs="Times New Roman"/>
                <w:color w:val="000000" w:themeColor="text1"/>
                <w:sz w:val="18"/>
                <w:szCs w:val="18"/>
                <w:lang w:eastAsia="sk-SK"/>
              </w:rPr>
            </w:pPr>
            <w:r w:rsidRPr="004B5D5E">
              <w:rPr>
                <w:rFonts w:eastAsia="Times New Roman" w:cs="Times New Roman"/>
                <w:color w:val="000000" w:themeColor="text1"/>
                <w:sz w:val="18"/>
                <w:szCs w:val="18"/>
                <w:lang w:eastAsia="sk-SK"/>
              </w:rPr>
              <w:t>2 169 </w:t>
            </w:r>
            <w:r w:rsidR="00870A07" w:rsidRPr="004B5D5E">
              <w:rPr>
                <w:rFonts w:eastAsia="Times New Roman" w:cs="Times New Roman"/>
                <w:color w:val="000000" w:themeColor="text1"/>
                <w:sz w:val="18"/>
                <w:szCs w:val="18"/>
                <w:lang w:eastAsia="sk-SK"/>
              </w:rPr>
              <w:t>773</w:t>
            </w:r>
          </w:p>
        </w:tc>
        <w:tc>
          <w:tcPr>
            <w:tcW w:w="992" w:type="dxa"/>
            <w:tcBorders>
              <w:top w:val="nil"/>
              <w:left w:val="nil"/>
              <w:bottom w:val="nil"/>
              <w:right w:val="nil"/>
            </w:tcBorders>
            <w:shd w:val="clear" w:color="000000" w:fill="FFFFFF"/>
            <w:noWrap/>
            <w:vAlign w:val="center"/>
          </w:tcPr>
          <w:p w14:paraId="75839ED7" w14:textId="1FB658EF" w:rsidR="00870A07" w:rsidRPr="004B5D5E" w:rsidRDefault="002F4E72" w:rsidP="00870A07">
            <w:pPr>
              <w:spacing w:after="0" w:line="240" w:lineRule="auto"/>
              <w:jc w:val="right"/>
              <w:rPr>
                <w:rFonts w:eastAsia="Times New Roman" w:cs="Times New Roman"/>
                <w:color w:val="000000" w:themeColor="text1"/>
                <w:sz w:val="18"/>
                <w:szCs w:val="18"/>
                <w:lang w:eastAsia="sk-SK"/>
              </w:rPr>
            </w:pPr>
            <w:r w:rsidRPr="004B5D5E">
              <w:rPr>
                <w:rFonts w:eastAsia="Times New Roman" w:cs="Times New Roman"/>
                <w:color w:val="000000" w:themeColor="text1"/>
                <w:sz w:val="18"/>
                <w:szCs w:val="18"/>
                <w:lang w:eastAsia="sk-SK"/>
              </w:rPr>
              <w:t>2 126 </w:t>
            </w:r>
            <w:r w:rsidR="00870A07" w:rsidRPr="004B5D5E">
              <w:rPr>
                <w:rFonts w:eastAsia="Times New Roman" w:cs="Times New Roman"/>
                <w:color w:val="000000" w:themeColor="text1"/>
                <w:sz w:val="18"/>
                <w:szCs w:val="18"/>
                <w:lang w:eastAsia="sk-SK"/>
              </w:rPr>
              <w:t>944</w:t>
            </w:r>
          </w:p>
        </w:tc>
        <w:tc>
          <w:tcPr>
            <w:tcW w:w="1134" w:type="dxa"/>
            <w:tcBorders>
              <w:top w:val="nil"/>
              <w:left w:val="nil"/>
              <w:bottom w:val="nil"/>
              <w:right w:val="nil"/>
            </w:tcBorders>
            <w:shd w:val="clear" w:color="000000" w:fill="FFFFFF"/>
            <w:noWrap/>
            <w:vAlign w:val="center"/>
          </w:tcPr>
          <w:p w14:paraId="5571A619" w14:textId="180F6B7C" w:rsidR="00870A07" w:rsidRPr="004B5D5E" w:rsidRDefault="002F4E72" w:rsidP="00870A07">
            <w:pPr>
              <w:spacing w:after="0" w:line="240" w:lineRule="auto"/>
              <w:jc w:val="right"/>
              <w:rPr>
                <w:rFonts w:eastAsia="Times New Roman" w:cs="Times New Roman"/>
                <w:color w:val="000000" w:themeColor="text1"/>
                <w:sz w:val="18"/>
                <w:szCs w:val="18"/>
                <w:lang w:eastAsia="sk-SK"/>
              </w:rPr>
            </w:pPr>
            <w:r w:rsidRPr="004B5D5E">
              <w:rPr>
                <w:rFonts w:eastAsia="Times New Roman" w:cs="Times New Roman"/>
                <w:color w:val="000000" w:themeColor="text1"/>
                <w:sz w:val="18"/>
                <w:szCs w:val="18"/>
                <w:lang w:eastAsia="sk-SK"/>
              </w:rPr>
              <w:t>1 677 </w:t>
            </w:r>
            <w:r w:rsidR="00870A07" w:rsidRPr="004B5D5E">
              <w:rPr>
                <w:rFonts w:eastAsia="Times New Roman" w:cs="Times New Roman"/>
                <w:color w:val="000000" w:themeColor="text1"/>
                <w:sz w:val="18"/>
                <w:szCs w:val="18"/>
                <w:lang w:eastAsia="sk-SK"/>
              </w:rPr>
              <w:t>689</w:t>
            </w:r>
          </w:p>
        </w:tc>
        <w:tc>
          <w:tcPr>
            <w:tcW w:w="1117" w:type="dxa"/>
            <w:tcBorders>
              <w:top w:val="nil"/>
              <w:left w:val="nil"/>
              <w:bottom w:val="nil"/>
              <w:right w:val="nil"/>
            </w:tcBorders>
            <w:shd w:val="clear" w:color="000000" w:fill="BFBFBF"/>
            <w:noWrap/>
            <w:vAlign w:val="center"/>
          </w:tcPr>
          <w:p w14:paraId="03FE0100" w14:textId="33AF8513" w:rsidR="00870A07" w:rsidRPr="004B5D5E" w:rsidRDefault="002F4E72" w:rsidP="00870A07">
            <w:pPr>
              <w:spacing w:after="0" w:line="240" w:lineRule="auto"/>
              <w:jc w:val="right"/>
              <w:rPr>
                <w:rFonts w:eastAsia="Times New Roman" w:cs="Times New Roman"/>
                <w:color w:val="000000" w:themeColor="text1"/>
                <w:sz w:val="18"/>
                <w:szCs w:val="18"/>
                <w:lang w:eastAsia="sk-SK"/>
              </w:rPr>
            </w:pPr>
            <w:r w:rsidRPr="004B5D5E">
              <w:rPr>
                <w:rFonts w:eastAsia="Times New Roman" w:cs="Times New Roman"/>
                <w:color w:val="000000" w:themeColor="text1"/>
                <w:sz w:val="18"/>
                <w:szCs w:val="18"/>
                <w:lang w:eastAsia="sk-SK"/>
              </w:rPr>
              <w:t>2 551 </w:t>
            </w:r>
            <w:r w:rsidR="00870A07" w:rsidRPr="004B5D5E">
              <w:rPr>
                <w:rFonts w:eastAsia="Times New Roman" w:cs="Times New Roman"/>
                <w:color w:val="000000" w:themeColor="text1"/>
                <w:sz w:val="18"/>
                <w:szCs w:val="18"/>
                <w:lang w:eastAsia="sk-SK"/>
              </w:rPr>
              <w:t>360</w:t>
            </w:r>
          </w:p>
        </w:tc>
        <w:tc>
          <w:tcPr>
            <w:tcW w:w="867" w:type="dxa"/>
            <w:tcBorders>
              <w:top w:val="nil"/>
              <w:left w:val="nil"/>
              <w:bottom w:val="nil"/>
              <w:right w:val="nil"/>
            </w:tcBorders>
            <w:shd w:val="clear" w:color="000000" w:fill="FFFFFF"/>
            <w:vAlign w:val="center"/>
          </w:tcPr>
          <w:p w14:paraId="42791067" w14:textId="51EE45E0" w:rsidR="00870A07" w:rsidRPr="004B5D5E" w:rsidRDefault="002F4E72" w:rsidP="00870A07">
            <w:pPr>
              <w:spacing w:after="0" w:line="240" w:lineRule="auto"/>
              <w:jc w:val="right"/>
              <w:rPr>
                <w:rFonts w:eastAsia="Times New Roman" w:cs="Times New Roman"/>
                <w:color w:val="000000" w:themeColor="text1"/>
                <w:sz w:val="18"/>
                <w:szCs w:val="18"/>
                <w:lang w:eastAsia="sk-SK"/>
              </w:rPr>
            </w:pPr>
            <w:r w:rsidRPr="004B5D5E">
              <w:rPr>
                <w:rFonts w:eastAsia="Times New Roman" w:cs="Times New Roman"/>
                <w:color w:val="000000" w:themeColor="text1"/>
                <w:sz w:val="18"/>
                <w:szCs w:val="18"/>
                <w:lang w:eastAsia="sk-SK"/>
              </w:rPr>
              <w:t>873 </w:t>
            </w:r>
            <w:r w:rsidR="00870A07" w:rsidRPr="004B5D5E">
              <w:rPr>
                <w:rFonts w:eastAsia="Times New Roman" w:cs="Times New Roman"/>
                <w:color w:val="000000" w:themeColor="text1"/>
                <w:sz w:val="18"/>
                <w:szCs w:val="18"/>
                <w:lang w:eastAsia="sk-SK"/>
              </w:rPr>
              <w:t>671</w:t>
            </w:r>
          </w:p>
        </w:tc>
        <w:tc>
          <w:tcPr>
            <w:tcW w:w="993" w:type="dxa"/>
            <w:tcBorders>
              <w:top w:val="nil"/>
              <w:left w:val="nil"/>
              <w:bottom w:val="nil"/>
              <w:right w:val="nil"/>
            </w:tcBorders>
            <w:shd w:val="clear" w:color="000000" w:fill="FFFFFF"/>
            <w:vAlign w:val="center"/>
          </w:tcPr>
          <w:p w14:paraId="39770A1F" w14:textId="77777777" w:rsidR="00870A07" w:rsidRPr="004B5D5E" w:rsidRDefault="00870A07" w:rsidP="00870A07">
            <w:pPr>
              <w:spacing w:after="0" w:line="240" w:lineRule="auto"/>
              <w:jc w:val="right"/>
              <w:rPr>
                <w:rFonts w:eastAsia="Times New Roman" w:cs="Times New Roman"/>
                <w:color w:val="000000" w:themeColor="text1"/>
                <w:sz w:val="18"/>
                <w:szCs w:val="18"/>
                <w:lang w:eastAsia="sk-SK"/>
              </w:rPr>
            </w:pPr>
            <w:r w:rsidRPr="004B5D5E">
              <w:rPr>
                <w:rFonts w:eastAsia="Times New Roman" w:cs="Times New Roman"/>
                <w:color w:val="000000" w:themeColor="text1"/>
                <w:sz w:val="18"/>
                <w:szCs w:val="18"/>
                <w:lang w:eastAsia="sk-SK"/>
              </w:rPr>
              <w:t>52,08</w:t>
            </w:r>
          </w:p>
        </w:tc>
      </w:tr>
      <w:tr w:rsidR="00870A07" w:rsidRPr="004B5D5E" w14:paraId="7F400E59" w14:textId="77777777" w:rsidTr="004B5D5E">
        <w:trPr>
          <w:trHeight w:val="330"/>
        </w:trPr>
        <w:tc>
          <w:tcPr>
            <w:tcW w:w="2967" w:type="dxa"/>
            <w:tcBorders>
              <w:top w:val="nil"/>
              <w:left w:val="nil"/>
              <w:bottom w:val="nil"/>
              <w:right w:val="nil"/>
            </w:tcBorders>
            <w:shd w:val="clear" w:color="000000" w:fill="FFFFFF"/>
            <w:noWrap/>
            <w:vAlign w:val="center"/>
            <w:hideMark/>
          </w:tcPr>
          <w:p w14:paraId="00AB8DC9" w14:textId="77777777" w:rsidR="00870A07" w:rsidRPr="004B5D5E" w:rsidRDefault="00870A07" w:rsidP="00870A07">
            <w:pPr>
              <w:spacing w:after="0" w:line="240" w:lineRule="auto"/>
              <w:ind w:left="1054" w:hanging="1054"/>
              <w:rPr>
                <w:rFonts w:eastAsia="Times New Roman" w:cs="Times New Roman"/>
                <w:color w:val="000000" w:themeColor="text1"/>
                <w:sz w:val="18"/>
                <w:szCs w:val="18"/>
                <w:lang w:eastAsia="sk-SK"/>
              </w:rPr>
            </w:pPr>
            <w:r w:rsidRPr="004B5D5E">
              <w:rPr>
                <w:rFonts w:eastAsia="Times New Roman" w:cs="Times New Roman"/>
                <w:color w:val="000000" w:themeColor="text1"/>
                <w:sz w:val="18"/>
                <w:szCs w:val="18"/>
                <w:lang w:eastAsia="sk-SK"/>
              </w:rPr>
              <w:t xml:space="preserve">   z toho:</w:t>
            </w:r>
          </w:p>
          <w:p w14:paraId="506B00EE" w14:textId="77777777" w:rsidR="00870A07" w:rsidRPr="004B5D5E" w:rsidRDefault="00870A07" w:rsidP="00870A07">
            <w:pPr>
              <w:spacing w:after="0" w:line="240" w:lineRule="auto"/>
              <w:ind w:left="1054" w:hanging="1054"/>
              <w:rPr>
                <w:rFonts w:eastAsia="Times New Roman" w:cs="Times New Roman"/>
                <w:color w:val="000000" w:themeColor="text1"/>
                <w:sz w:val="18"/>
                <w:szCs w:val="18"/>
                <w:lang w:eastAsia="sk-SK"/>
              </w:rPr>
            </w:pPr>
            <w:r w:rsidRPr="004B5D5E">
              <w:rPr>
                <w:rFonts w:eastAsia="Times New Roman" w:cs="Times New Roman"/>
                <w:color w:val="000000" w:themeColor="text1"/>
                <w:sz w:val="18"/>
                <w:szCs w:val="18"/>
                <w:lang w:eastAsia="sk-SK"/>
              </w:rPr>
              <w:t xml:space="preserve">       prostriedky z rozpočtu EÚ</w:t>
            </w:r>
          </w:p>
        </w:tc>
        <w:tc>
          <w:tcPr>
            <w:tcW w:w="1134" w:type="dxa"/>
            <w:tcBorders>
              <w:top w:val="nil"/>
              <w:left w:val="nil"/>
              <w:bottom w:val="nil"/>
              <w:right w:val="nil"/>
            </w:tcBorders>
            <w:shd w:val="clear" w:color="000000" w:fill="FFFFFF"/>
            <w:noWrap/>
            <w:vAlign w:val="center"/>
          </w:tcPr>
          <w:p w14:paraId="340F8B0C" w14:textId="33BD9229" w:rsidR="00870A07" w:rsidRPr="004B5D5E" w:rsidRDefault="002F4E72" w:rsidP="00870A07">
            <w:pPr>
              <w:spacing w:after="0" w:line="240" w:lineRule="auto"/>
              <w:jc w:val="right"/>
              <w:rPr>
                <w:rFonts w:eastAsia="Times New Roman" w:cs="Times New Roman"/>
                <w:color w:val="000000" w:themeColor="text1"/>
                <w:sz w:val="18"/>
                <w:szCs w:val="18"/>
                <w:lang w:eastAsia="sk-SK"/>
              </w:rPr>
            </w:pPr>
            <w:r w:rsidRPr="004B5D5E">
              <w:rPr>
                <w:rFonts w:eastAsia="Times New Roman" w:cs="Times New Roman"/>
                <w:color w:val="000000" w:themeColor="text1"/>
                <w:sz w:val="18"/>
                <w:szCs w:val="18"/>
                <w:lang w:eastAsia="sk-SK"/>
              </w:rPr>
              <w:t>2 169 </w:t>
            </w:r>
            <w:r w:rsidR="00870A07" w:rsidRPr="004B5D5E">
              <w:rPr>
                <w:rFonts w:eastAsia="Times New Roman" w:cs="Times New Roman"/>
                <w:color w:val="000000" w:themeColor="text1"/>
                <w:sz w:val="18"/>
                <w:szCs w:val="18"/>
                <w:lang w:eastAsia="sk-SK"/>
              </w:rPr>
              <w:t>725</w:t>
            </w:r>
          </w:p>
        </w:tc>
        <w:tc>
          <w:tcPr>
            <w:tcW w:w="992" w:type="dxa"/>
            <w:tcBorders>
              <w:top w:val="nil"/>
              <w:left w:val="nil"/>
              <w:bottom w:val="nil"/>
              <w:right w:val="nil"/>
            </w:tcBorders>
            <w:shd w:val="clear" w:color="000000" w:fill="FFFFFF"/>
            <w:noWrap/>
            <w:vAlign w:val="center"/>
          </w:tcPr>
          <w:p w14:paraId="53560F78" w14:textId="2FD769F7" w:rsidR="00870A07" w:rsidRPr="004B5D5E" w:rsidRDefault="002F4E72" w:rsidP="00870A07">
            <w:pPr>
              <w:spacing w:after="0" w:line="240" w:lineRule="auto"/>
              <w:jc w:val="right"/>
              <w:rPr>
                <w:rFonts w:eastAsia="Times New Roman" w:cs="Times New Roman"/>
                <w:color w:val="000000" w:themeColor="text1"/>
                <w:sz w:val="18"/>
                <w:szCs w:val="18"/>
                <w:lang w:eastAsia="sk-SK"/>
              </w:rPr>
            </w:pPr>
            <w:r w:rsidRPr="004B5D5E">
              <w:rPr>
                <w:rFonts w:eastAsia="Times New Roman" w:cs="Times New Roman"/>
                <w:color w:val="000000" w:themeColor="text1"/>
                <w:sz w:val="18"/>
                <w:szCs w:val="18"/>
                <w:lang w:eastAsia="sk-SK"/>
              </w:rPr>
              <w:t>2 126 </w:t>
            </w:r>
            <w:r w:rsidR="00870A07" w:rsidRPr="004B5D5E">
              <w:rPr>
                <w:rFonts w:eastAsia="Times New Roman" w:cs="Times New Roman"/>
                <w:color w:val="000000" w:themeColor="text1"/>
                <w:sz w:val="18"/>
                <w:szCs w:val="18"/>
                <w:lang w:eastAsia="sk-SK"/>
              </w:rPr>
              <w:t>921</w:t>
            </w:r>
          </w:p>
        </w:tc>
        <w:tc>
          <w:tcPr>
            <w:tcW w:w="1134" w:type="dxa"/>
            <w:tcBorders>
              <w:top w:val="nil"/>
              <w:left w:val="nil"/>
              <w:bottom w:val="nil"/>
              <w:right w:val="nil"/>
            </w:tcBorders>
            <w:shd w:val="clear" w:color="000000" w:fill="FFFFFF"/>
            <w:noWrap/>
            <w:vAlign w:val="center"/>
          </w:tcPr>
          <w:p w14:paraId="279C4CB5" w14:textId="233107DF" w:rsidR="00870A07" w:rsidRPr="004B5D5E" w:rsidRDefault="002F4E72" w:rsidP="00870A07">
            <w:pPr>
              <w:spacing w:after="0" w:line="240" w:lineRule="auto"/>
              <w:jc w:val="right"/>
              <w:rPr>
                <w:rFonts w:eastAsia="Times New Roman" w:cs="Times New Roman"/>
                <w:color w:val="000000" w:themeColor="text1"/>
                <w:sz w:val="18"/>
                <w:szCs w:val="18"/>
                <w:lang w:eastAsia="sk-SK"/>
              </w:rPr>
            </w:pPr>
            <w:r w:rsidRPr="004B5D5E">
              <w:rPr>
                <w:rFonts w:eastAsia="Times New Roman" w:cs="Times New Roman"/>
                <w:color w:val="000000" w:themeColor="text1"/>
                <w:sz w:val="18"/>
                <w:szCs w:val="18"/>
                <w:lang w:eastAsia="sk-SK"/>
              </w:rPr>
              <w:t>1 677 </w:t>
            </w:r>
            <w:r w:rsidR="00870A07" w:rsidRPr="004B5D5E">
              <w:rPr>
                <w:rFonts w:eastAsia="Times New Roman" w:cs="Times New Roman"/>
                <w:color w:val="000000" w:themeColor="text1"/>
                <w:sz w:val="18"/>
                <w:szCs w:val="18"/>
                <w:lang w:eastAsia="sk-SK"/>
              </w:rPr>
              <w:t>689</w:t>
            </w:r>
          </w:p>
        </w:tc>
        <w:tc>
          <w:tcPr>
            <w:tcW w:w="1117" w:type="dxa"/>
            <w:tcBorders>
              <w:top w:val="nil"/>
              <w:left w:val="nil"/>
              <w:bottom w:val="nil"/>
              <w:right w:val="nil"/>
            </w:tcBorders>
            <w:shd w:val="clear" w:color="000000" w:fill="BFBFBF"/>
            <w:noWrap/>
            <w:vAlign w:val="center"/>
          </w:tcPr>
          <w:p w14:paraId="323774A0" w14:textId="1F0057E2" w:rsidR="00870A07" w:rsidRPr="004B5D5E" w:rsidRDefault="002F4E72" w:rsidP="00870A07">
            <w:pPr>
              <w:spacing w:after="0" w:line="240" w:lineRule="auto"/>
              <w:jc w:val="right"/>
              <w:rPr>
                <w:rFonts w:eastAsia="Times New Roman" w:cs="Times New Roman"/>
                <w:color w:val="000000" w:themeColor="text1"/>
                <w:sz w:val="18"/>
                <w:szCs w:val="18"/>
                <w:lang w:eastAsia="sk-SK"/>
              </w:rPr>
            </w:pPr>
            <w:r w:rsidRPr="004B5D5E">
              <w:rPr>
                <w:rFonts w:eastAsia="Times New Roman" w:cs="Times New Roman"/>
                <w:color w:val="000000" w:themeColor="text1"/>
                <w:sz w:val="18"/>
                <w:szCs w:val="18"/>
                <w:lang w:eastAsia="sk-SK"/>
              </w:rPr>
              <w:t>2 551 </w:t>
            </w:r>
            <w:r w:rsidR="00870A07" w:rsidRPr="004B5D5E">
              <w:rPr>
                <w:rFonts w:eastAsia="Times New Roman" w:cs="Times New Roman"/>
                <w:color w:val="000000" w:themeColor="text1"/>
                <w:sz w:val="18"/>
                <w:szCs w:val="18"/>
                <w:lang w:eastAsia="sk-SK"/>
              </w:rPr>
              <w:t>329</w:t>
            </w:r>
          </w:p>
        </w:tc>
        <w:tc>
          <w:tcPr>
            <w:tcW w:w="867" w:type="dxa"/>
            <w:tcBorders>
              <w:top w:val="nil"/>
              <w:left w:val="nil"/>
              <w:bottom w:val="nil"/>
              <w:right w:val="nil"/>
            </w:tcBorders>
            <w:shd w:val="clear" w:color="000000" w:fill="FFFFFF"/>
            <w:vAlign w:val="center"/>
          </w:tcPr>
          <w:p w14:paraId="1481F2CC" w14:textId="2594CC60" w:rsidR="00870A07" w:rsidRPr="004B5D5E" w:rsidRDefault="002F4E72" w:rsidP="00870A07">
            <w:pPr>
              <w:spacing w:after="0" w:line="240" w:lineRule="auto"/>
              <w:jc w:val="right"/>
              <w:rPr>
                <w:rFonts w:eastAsia="Times New Roman" w:cs="Times New Roman"/>
                <w:color w:val="000000" w:themeColor="text1"/>
                <w:sz w:val="18"/>
                <w:szCs w:val="18"/>
                <w:lang w:eastAsia="sk-SK"/>
              </w:rPr>
            </w:pPr>
            <w:r w:rsidRPr="004B5D5E">
              <w:rPr>
                <w:rFonts w:eastAsia="Times New Roman" w:cs="Times New Roman"/>
                <w:color w:val="000000" w:themeColor="text1"/>
                <w:sz w:val="18"/>
                <w:szCs w:val="18"/>
                <w:lang w:eastAsia="sk-SK"/>
              </w:rPr>
              <w:t>873 </w:t>
            </w:r>
            <w:r w:rsidR="00870A07" w:rsidRPr="004B5D5E">
              <w:rPr>
                <w:rFonts w:eastAsia="Times New Roman" w:cs="Times New Roman"/>
                <w:color w:val="000000" w:themeColor="text1"/>
                <w:sz w:val="18"/>
                <w:szCs w:val="18"/>
                <w:lang w:eastAsia="sk-SK"/>
              </w:rPr>
              <w:t>640</w:t>
            </w:r>
          </w:p>
        </w:tc>
        <w:tc>
          <w:tcPr>
            <w:tcW w:w="993" w:type="dxa"/>
            <w:tcBorders>
              <w:top w:val="nil"/>
              <w:left w:val="nil"/>
              <w:bottom w:val="nil"/>
              <w:right w:val="nil"/>
            </w:tcBorders>
            <w:shd w:val="clear" w:color="000000" w:fill="FFFFFF"/>
            <w:vAlign w:val="center"/>
          </w:tcPr>
          <w:p w14:paraId="584C3953" w14:textId="77777777" w:rsidR="00870A07" w:rsidRPr="004B5D5E" w:rsidRDefault="00870A07" w:rsidP="00870A07">
            <w:pPr>
              <w:spacing w:after="0" w:line="240" w:lineRule="auto"/>
              <w:jc w:val="right"/>
              <w:rPr>
                <w:rFonts w:eastAsia="Times New Roman" w:cs="Times New Roman"/>
                <w:color w:val="000000" w:themeColor="text1"/>
                <w:sz w:val="18"/>
                <w:szCs w:val="18"/>
                <w:lang w:eastAsia="sk-SK"/>
              </w:rPr>
            </w:pPr>
            <w:r w:rsidRPr="004B5D5E">
              <w:rPr>
                <w:rFonts w:eastAsia="Times New Roman" w:cs="Times New Roman"/>
                <w:color w:val="000000" w:themeColor="text1"/>
                <w:sz w:val="18"/>
                <w:szCs w:val="18"/>
                <w:lang w:eastAsia="sk-SK"/>
              </w:rPr>
              <w:t>52,07</w:t>
            </w:r>
          </w:p>
        </w:tc>
      </w:tr>
      <w:tr w:rsidR="00870A07" w:rsidRPr="004B5D5E" w14:paraId="0C1EF825" w14:textId="77777777" w:rsidTr="004B5D5E">
        <w:trPr>
          <w:trHeight w:val="345"/>
        </w:trPr>
        <w:tc>
          <w:tcPr>
            <w:tcW w:w="2967" w:type="dxa"/>
            <w:tcBorders>
              <w:top w:val="single" w:sz="4" w:space="0" w:color="auto"/>
              <w:left w:val="nil"/>
              <w:bottom w:val="single" w:sz="8" w:space="0" w:color="auto"/>
              <w:right w:val="nil"/>
            </w:tcBorders>
            <w:shd w:val="clear" w:color="000000" w:fill="FFFFFF"/>
            <w:noWrap/>
            <w:vAlign w:val="center"/>
            <w:hideMark/>
          </w:tcPr>
          <w:p w14:paraId="57736D6F" w14:textId="77777777" w:rsidR="00870A07" w:rsidRPr="004B5D5E" w:rsidRDefault="00870A07" w:rsidP="00870A07">
            <w:pPr>
              <w:spacing w:after="0" w:line="240" w:lineRule="auto"/>
              <w:rPr>
                <w:rFonts w:eastAsia="Times New Roman" w:cs="Times New Roman"/>
                <w:b/>
                <w:bCs/>
                <w:color w:val="000000" w:themeColor="text1"/>
                <w:sz w:val="18"/>
                <w:szCs w:val="18"/>
                <w:lang w:eastAsia="sk-SK"/>
              </w:rPr>
            </w:pPr>
            <w:r w:rsidRPr="004B5D5E">
              <w:rPr>
                <w:rFonts w:eastAsia="Times New Roman" w:cs="Times New Roman"/>
                <w:b/>
                <w:bCs/>
                <w:color w:val="000000" w:themeColor="text1"/>
                <w:sz w:val="18"/>
                <w:szCs w:val="18"/>
                <w:lang w:eastAsia="sk-SK"/>
              </w:rPr>
              <w:t>Spolu</w:t>
            </w:r>
          </w:p>
        </w:tc>
        <w:tc>
          <w:tcPr>
            <w:tcW w:w="1134" w:type="dxa"/>
            <w:tcBorders>
              <w:top w:val="single" w:sz="4" w:space="0" w:color="auto"/>
              <w:left w:val="nil"/>
              <w:bottom w:val="single" w:sz="8" w:space="0" w:color="auto"/>
              <w:right w:val="nil"/>
            </w:tcBorders>
            <w:shd w:val="clear" w:color="000000" w:fill="FFFFFF"/>
            <w:noWrap/>
            <w:vAlign w:val="center"/>
          </w:tcPr>
          <w:p w14:paraId="023A13F8" w14:textId="77777777" w:rsidR="00870A07" w:rsidRPr="004B5D5E" w:rsidRDefault="00870A07" w:rsidP="00870A07">
            <w:pPr>
              <w:spacing w:after="0" w:line="240" w:lineRule="auto"/>
              <w:jc w:val="right"/>
              <w:rPr>
                <w:rFonts w:eastAsia="Times New Roman" w:cs="Times New Roman"/>
                <w:b/>
                <w:bCs/>
                <w:color w:val="000000" w:themeColor="text1"/>
                <w:sz w:val="18"/>
                <w:szCs w:val="18"/>
                <w:lang w:eastAsia="sk-SK"/>
              </w:rPr>
            </w:pPr>
            <w:r w:rsidRPr="004B5D5E">
              <w:rPr>
                <w:rFonts w:eastAsia="Times New Roman" w:cs="Times New Roman"/>
                <w:b/>
                <w:bCs/>
                <w:color w:val="000000" w:themeColor="text1"/>
                <w:sz w:val="18"/>
                <w:szCs w:val="18"/>
                <w:lang w:eastAsia="sk-SK"/>
              </w:rPr>
              <w:t>2 203 634</w:t>
            </w:r>
          </w:p>
        </w:tc>
        <w:tc>
          <w:tcPr>
            <w:tcW w:w="992" w:type="dxa"/>
            <w:tcBorders>
              <w:top w:val="single" w:sz="4" w:space="0" w:color="auto"/>
              <w:left w:val="nil"/>
              <w:bottom w:val="single" w:sz="8" w:space="0" w:color="auto"/>
              <w:right w:val="nil"/>
            </w:tcBorders>
            <w:shd w:val="clear" w:color="000000" w:fill="FFFFFF"/>
            <w:noWrap/>
            <w:vAlign w:val="center"/>
          </w:tcPr>
          <w:p w14:paraId="091CC001" w14:textId="77777777" w:rsidR="00870A07" w:rsidRPr="004B5D5E" w:rsidRDefault="00870A07" w:rsidP="00870A07">
            <w:pPr>
              <w:spacing w:after="0" w:line="240" w:lineRule="auto"/>
              <w:jc w:val="right"/>
              <w:rPr>
                <w:rFonts w:eastAsia="Times New Roman" w:cs="Times New Roman"/>
                <w:b/>
                <w:bCs/>
                <w:color w:val="000000" w:themeColor="text1"/>
                <w:sz w:val="18"/>
                <w:szCs w:val="18"/>
                <w:lang w:eastAsia="sk-SK"/>
              </w:rPr>
            </w:pPr>
            <w:r w:rsidRPr="004B5D5E">
              <w:rPr>
                <w:rFonts w:eastAsia="Times New Roman" w:cs="Times New Roman"/>
                <w:b/>
                <w:bCs/>
                <w:color w:val="000000" w:themeColor="text1"/>
                <w:sz w:val="18"/>
                <w:szCs w:val="18"/>
                <w:lang w:eastAsia="sk-SK"/>
              </w:rPr>
              <w:t>2 161 575</w:t>
            </w:r>
          </w:p>
        </w:tc>
        <w:tc>
          <w:tcPr>
            <w:tcW w:w="1134" w:type="dxa"/>
            <w:tcBorders>
              <w:top w:val="single" w:sz="4" w:space="0" w:color="auto"/>
              <w:left w:val="nil"/>
              <w:bottom w:val="single" w:sz="8" w:space="0" w:color="auto"/>
              <w:right w:val="nil"/>
            </w:tcBorders>
            <w:shd w:val="clear" w:color="000000" w:fill="FFFFFF"/>
            <w:noWrap/>
            <w:vAlign w:val="center"/>
          </w:tcPr>
          <w:p w14:paraId="2EFE8E9A" w14:textId="77777777" w:rsidR="00870A07" w:rsidRPr="004B5D5E" w:rsidRDefault="00870A07" w:rsidP="00870A07">
            <w:pPr>
              <w:spacing w:after="0" w:line="240" w:lineRule="auto"/>
              <w:jc w:val="right"/>
              <w:rPr>
                <w:rFonts w:eastAsia="Times New Roman" w:cs="Times New Roman"/>
                <w:b/>
                <w:bCs/>
                <w:color w:val="000000" w:themeColor="text1"/>
                <w:sz w:val="18"/>
                <w:szCs w:val="18"/>
                <w:lang w:eastAsia="sk-SK"/>
              </w:rPr>
            </w:pPr>
            <w:r w:rsidRPr="004B5D5E">
              <w:rPr>
                <w:rFonts w:eastAsia="Times New Roman" w:cs="Times New Roman"/>
                <w:b/>
                <w:bCs/>
                <w:color w:val="000000" w:themeColor="text1"/>
                <w:sz w:val="18"/>
                <w:szCs w:val="18"/>
                <w:lang w:eastAsia="sk-SK"/>
              </w:rPr>
              <w:t>1 716 461</w:t>
            </w:r>
          </w:p>
        </w:tc>
        <w:tc>
          <w:tcPr>
            <w:tcW w:w="1117" w:type="dxa"/>
            <w:tcBorders>
              <w:top w:val="single" w:sz="4" w:space="0" w:color="auto"/>
              <w:left w:val="nil"/>
              <w:bottom w:val="single" w:sz="8" w:space="0" w:color="auto"/>
              <w:right w:val="nil"/>
            </w:tcBorders>
            <w:shd w:val="clear" w:color="000000" w:fill="BFBFBF"/>
            <w:noWrap/>
            <w:vAlign w:val="center"/>
          </w:tcPr>
          <w:p w14:paraId="76B1892B" w14:textId="77777777" w:rsidR="00870A07" w:rsidRPr="004B5D5E" w:rsidRDefault="00870A07" w:rsidP="00870A07">
            <w:pPr>
              <w:spacing w:after="0" w:line="240" w:lineRule="auto"/>
              <w:jc w:val="right"/>
              <w:rPr>
                <w:rFonts w:eastAsia="Times New Roman" w:cs="Times New Roman"/>
                <w:b/>
                <w:bCs/>
                <w:color w:val="000000" w:themeColor="text1"/>
                <w:sz w:val="18"/>
                <w:szCs w:val="18"/>
                <w:lang w:eastAsia="sk-SK"/>
              </w:rPr>
            </w:pPr>
            <w:r w:rsidRPr="004B5D5E">
              <w:rPr>
                <w:rFonts w:eastAsia="Times New Roman" w:cs="Times New Roman"/>
                <w:b/>
                <w:bCs/>
                <w:color w:val="000000" w:themeColor="text1"/>
                <w:sz w:val="18"/>
                <w:szCs w:val="18"/>
                <w:lang w:eastAsia="sk-SK"/>
              </w:rPr>
              <w:t>2 588 586 </w:t>
            </w:r>
          </w:p>
        </w:tc>
        <w:tc>
          <w:tcPr>
            <w:tcW w:w="867" w:type="dxa"/>
            <w:tcBorders>
              <w:top w:val="single" w:sz="4" w:space="0" w:color="auto"/>
              <w:left w:val="nil"/>
              <w:bottom w:val="single" w:sz="8" w:space="0" w:color="auto"/>
              <w:right w:val="nil"/>
            </w:tcBorders>
            <w:shd w:val="clear" w:color="000000" w:fill="FFFFFF"/>
            <w:noWrap/>
            <w:vAlign w:val="center"/>
          </w:tcPr>
          <w:p w14:paraId="13E82269" w14:textId="55A97E82" w:rsidR="00870A07" w:rsidRPr="004B5D5E" w:rsidRDefault="00AD09F0" w:rsidP="00870A07">
            <w:pPr>
              <w:spacing w:after="0" w:line="240" w:lineRule="auto"/>
              <w:jc w:val="right"/>
              <w:rPr>
                <w:rFonts w:eastAsia="Times New Roman" w:cs="Times New Roman"/>
                <w:b/>
                <w:bCs/>
                <w:color w:val="000000" w:themeColor="text1"/>
                <w:sz w:val="18"/>
                <w:szCs w:val="18"/>
                <w:lang w:eastAsia="sk-SK"/>
              </w:rPr>
            </w:pPr>
            <w:r w:rsidRPr="004B5D5E">
              <w:rPr>
                <w:rFonts w:eastAsia="Times New Roman" w:cs="Times New Roman"/>
                <w:b/>
                <w:bCs/>
                <w:color w:val="000000" w:themeColor="text1"/>
                <w:sz w:val="18"/>
                <w:szCs w:val="18"/>
                <w:lang w:eastAsia="sk-SK"/>
              </w:rPr>
              <w:t>872</w:t>
            </w:r>
            <w:r w:rsidR="002F4E72" w:rsidRPr="004B5D5E">
              <w:rPr>
                <w:rFonts w:eastAsia="Times New Roman" w:cs="Times New Roman"/>
                <w:b/>
                <w:bCs/>
                <w:color w:val="000000" w:themeColor="text1"/>
                <w:sz w:val="18"/>
                <w:szCs w:val="18"/>
                <w:lang w:eastAsia="sk-SK"/>
              </w:rPr>
              <w:t> </w:t>
            </w:r>
            <w:r w:rsidRPr="004B5D5E">
              <w:rPr>
                <w:rFonts w:eastAsia="Times New Roman" w:cs="Times New Roman"/>
                <w:b/>
                <w:bCs/>
                <w:color w:val="000000" w:themeColor="text1"/>
                <w:sz w:val="18"/>
                <w:szCs w:val="18"/>
                <w:lang w:eastAsia="sk-SK"/>
              </w:rPr>
              <w:t>125</w:t>
            </w:r>
          </w:p>
        </w:tc>
        <w:tc>
          <w:tcPr>
            <w:tcW w:w="993" w:type="dxa"/>
            <w:tcBorders>
              <w:top w:val="single" w:sz="4" w:space="0" w:color="auto"/>
              <w:left w:val="nil"/>
              <w:bottom w:val="single" w:sz="8" w:space="0" w:color="auto"/>
              <w:right w:val="nil"/>
            </w:tcBorders>
            <w:shd w:val="clear" w:color="000000" w:fill="FFFFFF"/>
            <w:noWrap/>
            <w:vAlign w:val="center"/>
            <w:hideMark/>
          </w:tcPr>
          <w:p w14:paraId="4B7CC1AD" w14:textId="77777777" w:rsidR="00870A07" w:rsidRPr="004B5D5E" w:rsidRDefault="00870A07" w:rsidP="00870A07">
            <w:pPr>
              <w:spacing w:after="0" w:line="240" w:lineRule="auto"/>
              <w:jc w:val="right"/>
              <w:rPr>
                <w:rFonts w:eastAsia="Times New Roman" w:cs="Times New Roman"/>
                <w:b/>
                <w:bCs/>
                <w:color w:val="000000" w:themeColor="text1"/>
                <w:sz w:val="18"/>
                <w:szCs w:val="18"/>
                <w:lang w:eastAsia="sk-SK"/>
              </w:rPr>
            </w:pPr>
            <w:r w:rsidRPr="004B5D5E">
              <w:rPr>
                <w:rFonts w:eastAsia="Times New Roman" w:cs="Times New Roman"/>
                <w:b/>
                <w:bCs/>
                <w:color w:val="000000" w:themeColor="text1"/>
                <w:sz w:val="18"/>
                <w:szCs w:val="18"/>
                <w:lang w:eastAsia="sk-SK"/>
              </w:rPr>
              <w:t>48,09</w:t>
            </w:r>
          </w:p>
        </w:tc>
      </w:tr>
    </w:tbl>
    <w:p w14:paraId="11952E37" w14:textId="77777777" w:rsidR="00870A07" w:rsidRPr="00870A07" w:rsidRDefault="00870A07" w:rsidP="00870A07">
      <w:pPr>
        <w:jc w:val="right"/>
        <w:rPr>
          <w:color w:val="000000" w:themeColor="text1"/>
        </w:rPr>
      </w:pPr>
      <w:r w:rsidRPr="00870A07">
        <w:rPr>
          <w:color w:val="000000" w:themeColor="text1"/>
          <w:sz w:val="18"/>
          <w:szCs w:val="18"/>
        </w:rPr>
        <w:t>Zdroj: MF SR</w:t>
      </w:r>
    </w:p>
    <w:p w14:paraId="68084522" w14:textId="64D56FA7" w:rsidR="00870A07" w:rsidRPr="00A357E5" w:rsidRDefault="00870A07" w:rsidP="001665F3">
      <w:pPr>
        <w:spacing w:line="240" w:lineRule="auto"/>
        <w:rPr>
          <w:color w:val="000000" w:themeColor="text1"/>
          <w:sz w:val="24"/>
          <w:szCs w:val="24"/>
        </w:rPr>
      </w:pPr>
      <w:r w:rsidRPr="00A357E5">
        <w:rPr>
          <w:b/>
          <w:color w:val="000000" w:themeColor="text1"/>
          <w:sz w:val="24"/>
          <w:szCs w:val="24"/>
        </w:rPr>
        <w:t>Tuzemské granty a transfery</w:t>
      </w:r>
      <w:r w:rsidRPr="00A357E5">
        <w:rPr>
          <w:color w:val="000000" w:themeColor="text1"/>
          <w:sz w:val="24"/>
          <w:szCs w:val="24"/>
        </w:rPr>
        <w:t xml:space="preserve"> v rámci vere</w:t>
      </w:r>
      <w:r w:rsidR="008D3444" w:rsidRPr="00A357E5">
        <w:rPr>
          <w:color w:val="000000" w:themeColor="text1"/>
          <w:sz w:val="24"/>
          <w:szCs w:val="24"/>
        </w:rPr>
        <w:t>jnej správy dosiahli plnenie 37 </w:t>
      </w:r>
      <w:r w:rsidRPr="00A357E5">
        <w:rPr>
          <w:color w:val="000000" w:themeColor="text1"/>
          <w:sz w:val="24"/>
          <w:szCs w:val="24"/>
        </w:rPr>
        <w:t xml:space="preserve">226 tis. eur, pričom  objemovo najvýznamnejšiu predstavujú príspevky zdravotných poisťovní na činnosť operačných stredísk záchrannej zdravotnej služby a na správu a rozvoj národného zdravotníckeho informačného systému vo výške 37 076 tis. eur v zmysle zákona č. 581/2004 Z. z. o zdravotných poisťovniach, dohľade nad zdravotnou starostlivosťou a o zmene a doplnení niektorých zákonov v znení neskorších predpisov, ktorých prijímateľom je Ministerstvo zdravotníctva SR. </w:t>
      </w:r>
    </w:p>
    <w:p w14:paraId="20512955" w14:textId="41776D94" w:rsidR="00870A07" w:rsidRPr="00A357E5" w:rsidRDefault="00870A07" w:rsidP="001665F3">
      <w:pPr>
        <w:spacing w:line="240" w:lineRule="auto"/>
        <w:rPr>
          <w:color w:val="000000" w:themeColor="text1"/>
          <w:sz w:val="24"/>
          <w:szCs w:val="24"/>
        </w:rPr>
      </w:pPr>
      <w:r w:rsidRPr="00A357E5">
        <w:rPr>
          <w:b/>
          <w:color w:val="000000" w:themeColor="text1"/>
          <w:sz w:val="24"/>
          <w:szCs w:val="24"/>
        </w:rPr>
        <w:t>Zahraničné transfery</w:t>
      </w:r>
      <w:r w:rsidRPr="00A357E5">
        <w:rPr>
          <w:color w:val="000000" w:themeColor="text1"/>
          <w:sz w:val="24"/>
          <w:szCs w:val="24"/>
        </w:rPr>
        <w:t xml:space="preserve"> boli rozpočtované vo výške 1 677 689 tis. eur. Skutočné plnenie týc</w:t>
      </w:r>
      <w:r w:rsidR="008D3444" w:rsidRPr="00A357E5">
        <w:rPr>
          <w:color w:val="000000" w:themeColor="text1"/>
          <w:sz w:val="24"/>
          <w:szCs w:val="24"/>
        </w:rPr>
        <w:t>hto príjmov bolo vo výške 2 551 </w:t>
      </w:r>
      <w:r w:rsidRPr="00A357E5">
        <w:rPr>
          <w:color w:val="000000" w:themeColor="text1"/>
          <w:sz w:val="24"/>
          <w:szCs w:val="24"/>
        </w:rPr>
        <w:t>329 tis. e</w:t>
      </w:r>
      <w:r w:rsidR="004437B3" w:rsidRPr="00A357E5">
        <w:rPr>
          <w:color w:val="000000" w:themeColor="text1"/>
          <w:sz w:val="24"/>
          <w:szCs w:val="24"/>
        </w:rPr>
        <w:t>ur</w:t>
      </w:r>
      <w:r w:rsidRPr="00A357E5">
        <w:rPr>
          <w:color w:val="000000" w:themeColor="text1"/>
          <w:sz w:val="24"/>
          <w:szCs w:val="24"/>
        </w:rPr>
        <w:t xml:space="preserve">, čo predstavuje oproti schválenému rozpočtu vyššie plnenie až o 873 640 tis. eur. Išlo o prostriedky z rozpočtu Európskej únie pre programy, ktoré sa v Slovenskej republike poskytujú prostredníctvom certifikačného orgánu (Ministerstva financií SR a Ministerstva práce, sociálnych vecí a rodiny SR) alebo Ministerstva pôdohospodárstva a rozvoja vidieka SR. </w:t>
      </w:r>
    </w:p>
    <w:p w14:paraId="3DCE2EA1" w14:textId="1BB61386" w:rsidR="00870A07" w:rsidRPr="00A357E5" w:rsidRDefault="00870A07" w:rsidP="001665F3">
      <w:pPr>
        <w:spacing w:line="240" w:lineRule="auto"/>
        <w:rPr>
          <w:rFonts w:eastAsia="Times New Roman" w:cs="Times New Roman"/>
          <w:color w:val="000000" w:themeColor="text1"/>
          <w:sz w:val="24"/>
          <w:szCs w:val="24"/>
          <w:lang w:eastAsia="sk-SK"/>
        </w:rPr>
      </w:pPr>
      <w:r w:rsidRPr="00A357E5">
        <w:rPr>
          <w:rFonts w:eastAsia="Times New Roman" w:cs="Times New Roman"/>
          <w:b/>
          <w:color w:val="000000" w:themeColor="text1"/>
          <w:sz w:val="24"/>
          <w:szCs w:val="24"/>
          <w:lang w:eastAsia="sk-SK"/>
        </w:rPr>
        <w:t>Prostriedky za štrukturálne operácie</w:t>
      </w:r>
      <w:r w:rsidRPr="00A357E5">
        <w:rPr>
          <w:rFonts w:eastAsia="Times New Roman" w:cs="Times New Roman"/>
          <w:b/>
          <w:color w:val="000000" w:themeColor="text1"/>
          <w:sz w:val="24"/>
          <w:szCs w:val="24"/>
          <w:vertAlign w:val="superscript"/>
          <w:lang w:eastAsia="sk-SK"/>
        </w:rPr>
        <w:footnoteReference w:id="32"/>
      </w:r>
      <w:r w:rsidRPr="00A357E5">
        <w:rPr>
          <w:rFonts w:eastAsia="Times New Roman" w:cs="Times New Roman"/>
          <w:b/>
          <w:color w:val="000000" w:themeColor="text1"/>
          <w:sz w:val="24"/>
          <w:szCs w:val="24"/>
          <w:lang w:eastAsia="sk-SK"/>
        </w:rPr>
        <w:t xml:space="preserve"> </w:t>
      </w:r>
      <w:r w:rsidRPr="00A357E5">
        <w:rPr>
          <w:rFonts w:eastAsia="Times New Roman" w:cs="Times New Roman"/>
          <w:color w:val="000000" w:themeColor="text1"/>
          <w:sz w:val="24"/>
          <w:szCs w:val="24"/>
          <w:lang w:eastAsia="sk-SK"/>
        </w:rPr>
        <w:t>boli v roku 2</w:t>
      </w:r>
      <w:r w:rsidR="009960C4" w:rsidRPr="00A357E5">
        <w:rPr>
          <w:rFonts w:eastAsia="Times New Roman" w:cs="Times New Roman"/>
          <w:color w:val="000000" w:themeColor="text1"/>
          <w:sz w:val="24"/>
          <w:szCs w:val="24"/>
          <w:lang w:eastAsia="sk-SK"/>
        </w:rPr>
        <w:t>020 rozpočtované za programy 3. </w:t>
      </w:r>
      <w:r w:rsidRPr="00A357E5">
        <w:rPr>
          <w:rFonts w:eastAsia="Times New Roman" w:cs="Times New Roman"/>
          <w:color w:val="000000" w:themeColor="text1"/>
          <w:sz w:val="24"/>
          <w:szCs w:val="24"/>
          <w:lang w:eastAsia="sk-SK"/>
        </w:rPr>
        <w:t>programového obdobia 2014-2020, a to za fondy - Európsky fond regionálneho rozvoja (vrátane programov európskej územnej spolupráce</w:t>
      </w:r>
      <w:r w:rsidR="006A1EE3" w:rsidRPr="00A357E5">
        <w:rPr>
          <w:rFonts w:eastAsia="Times New Roman" w:cs="Times New Roman"/>
          <w:color w:val="000000" w:themeColor="text1"/>
          <w:sz w:val="24"/>
          <w:szCs w:val="24"/>
          <w:lang w:eastAsia="sk-SK"/>
        </w:rPr>
        <w:t>,</w:t>
      </w:r>
      <w:r w:rsidRPr="00A357E5">
        <w:rPr>
          <w:rFonts w:eastAsia="Times New Roman" w:cs="Times New Roman"/>
          <w:color w:val="000000" w:themeColor="text1"/>
          <w:sz w:val="24"/>
          <w:szCs w:val="24"/>
          <w:lang w:eastAsia="sk-SK"/>
        </w:rPr>
        <w:t xml:space="preserve"> pre ktoré je Ministerstvo financií SR certifikačným orgánom - </w:t>
      </w:r>
      <w:proofErr w:type="spellStart"/>
      <w:r w:rsidRPr="00A357E5">
        <w:rPr>
          <w:rFonts w:eastAsia="Times New Roman" w:cs="Times New Roman"/>
          <w:color w:val="000000" w:themeColor="text1"/>
          <w:sz w:val="24"/>
          <w:szCs w:val="24"/>
          <w:lang w:eastAsia="sk-SK"/>
        </w:rPr>
        <w:t>Interreg</w:t>
      </w:r>
      <w:proofErr w:type="spellEnd"/>
      <w:r w:rsidRPr="00A357E5">
        <w:rPr>
          <w:rFonts w:eastAsia="Times New Roman" w:cs="Times New Roman"/>
          <w:color w:val="000000" w:themeColor="text1"/>
          <w:sz w:val="24"/>
          <w:szCs w:val="24"/>
          <w:lang w:eastAsia="sk-SK"/>
        </w:rPr>
        <w:t xml:space="preserve"> V-A SK-AT 2014-2020, </w:t>
      </w:r>
      <w:proofErr w:type="spellStart"/>
      <w:r w:rsidRPr="00A357E5">
        <w:rPr>
          <w:rFonts w:eastAsia="Times New Roman" w:cs="Times New Roman"/>
          <w:color w:val="000000" w:themeColor="text1"/>
          <w:sz w:val="24"/>
          <w:szCs w:val="24"/>
          <w:lang w:eastAsia="sk-SK"/>
        </w:rPr>
        <w:t>Interreg</w:t>
      </w:r>
      <w:proofErr w:type="spellEnd"/>
      <w:r w:rsidRPr="00A357E5">
        <w:rPr>
          <w:rFonts w:eastAsia="Times New Roman" w:cs="Times New Roman"/>
          <w:color w:val="000000" w:themeColor="text1"/>
          <w:sz w:val="24"/>
          <w:szCs w:val="24"/>
          <w:lang w:eastAsia="sk-SK"/>
        </w:rPr>
        <w:t xml:space="preserve"> V-A SK-CZ 2014-2020), Európsky sociálny fond, Iniciatíva na podporu zamestnanosti mladých ľudí, Kohézny fond, Európsky námorný a rybársky fond a Fond európskej pomoci pre najodkázanejšie osoby.</w:t>
      </w:r>
    </w:p>
    <w:p w14:paraId="7C74CAF2" w14:textId="21CEEAF2" w:rsidR="00870A07" w:rsidRPr="00A357E5" w:rsidRDefault="00870A07" w:rsidP="001665F3">
      <w:pPr>
        <w:spacing w:line="240" w:lineRule="auto"/>
        <w:rPr>
          <w:rFonts w:eastAsia="Times New Roman" w:cs="Times New Roman"/>
          <w:color w:val="000000" w:themeColor="text1"/>
          <w:sz w:val="24"/>
          <w:szCs w:val="24"/>
          <w:lang w:eastAsia="sk-SK"/>
        </w:rPr>
      </w:pPr>
      <w:r w:rsidRPr="00A357E5">
        <w:rPr>
          <w:rFonts w:eastAsia="Times New Roman" w:cs="Times New Roman"/>
          <w:b/>
          <w:color w:val="000000" w:themeColor="text1"/>
          <w:sz w:val="24"/>
          <w:szCs w:val="24"/>
          <w:lang w:eastAsia="sk-SK"/>
        </w:rPr>
        <w:t xml:space="preserve">Prostriedky za poľnohospodárske fondy </w:t>
      </w:r>
      <w:r w:rsidRPr="00A357E5">
        <w:rPr>
          <w:rFonts w:eastAsia="Times New Roman" w:cs="Times New Roman"/>
          <w:color w:val="000000" w:themeColor="text1"/>
          <w:sz w:val="24"/>
          <w:szCs w:val="24"/>
          <w:lang w:eastAsia="sk-SK"/>
        </w:rPr>
        <w:t>boli v roku 2020 rozpočtované za Európsky poľnohospodársky záručný fond (Priame platby a Trhovo orientované výdavky) a za Európsky poľnohospodársky fond pre rozvoj vidieka (Program rozvoja vidieka).</w:t>
      </w:r>
    </w:p>
    <w:p w14:paraId="279AA478" w14:textId="3136C5B8" w:rsidR="00870A07" w:rsidRPr="00A357E5" w:rsidRDefault="00870A07" w:rsidP="001665F3">
      <w:pPr>
        <w:spacing w:line="240" w:lineRule="auto"/>
        <w:rPr>
          <w:rFonts w:eastAsia="Times New Roman" w:cs="Times New Roman"/>
          <w:color w:val="000000" w:themeColor="text1"/>
          <w:sz w:val="24"/>
          <w:szCs w:val="24"/>
          <w:lang w:eastAsia="sk-SK"/>
        </w:rPr>
      </w:pPr>
      <w:r w:rsidRPr="00A357E5">
        <w:rPr>
          <w:rFonts w:eastAsia="Times New Roman" w:cs="Times New Roman"/>
          <w:color w:val="000000" w:themeColor="text1"/>
          <w:sz w:val="24"/>
          <w:szCs w:val="24"/>
          <w:lang w:eastAsia="sk-SK"/>
        </w:rPr>
        <w:t xml:space="preserve">Po schválení rozpočtu príjmov za prostriedky EÚ došlo postupne v priebehu roka 2020 k úprave rozpočtu na úroveň 2 464 567 tis. eur. K úpravám došlo v nadväznosti na vysporiadanie finančných prostriedkov za finančné opravy v zmysle </w:t>
      </w:r>
      <w:r w:rsidR="0078085C" w:rsidRPr="00A357E5">
        <w:rPr>
          <w:rFonts w:eastAsia="Times New Roman" w:cs="Times New Roman"/>
          <w:color w:val="000000" w:themeColor="text1"/>
          <w:sz w:val="24"/>
          <w:szCs w:val="24"/>
          <w:lang w:eastAsia="sk-SK"/>
        </w:rPr>
        <w:t>§ 15 zákona č. 523/2004 Z</w:t>
      </w:r>
      <w:r w:rsidR="008D3444" w:rsidRPr="00A357E5">
        <w:rPr>
          <w:rFonts w:eastAsia="Times New Roman" w:cs="Times New Roman"/>
          <w:color w:val="000000" w:themeColor="text1"/>
          <w:sz w:val="24"/>
          <w:szCs w:val="24"/>
          <w:lang w:eastAsia="sk-SK"/>
        </w:rPr>
        <w:t>. z.</w:t>
      </w:r>
      <w:r w:rsidR="006A1EE3" w:rsidRPr="00A357E5">
        <w:rPr>
          <w:rFonts w:eastAsia="Times New Roman" w:cs="Times New Roman"/>
          <w:color w:val="000000" w:themeColor="text1"/>
          <w:sz w:val="24"/>
          <w:szCs w:val="24"/>
          <w:lang w:eastAsia="sk-SK"/>
        </w:rPr>
        <w:t xml:space="preserve"> </w:t>
      </w:r>
      <w:r w:rsidR="0078085C" w:rsidRPr="00A357E5">
        <w:rPr>
          <w:rFonts w:eastAsia="Times New Roman" w:cs="Times New Roman"/>
          <w:color w:val="000000" w:themeColor="text1"/>
          <w:sz w:val="24"/>
          <w:szCs w:val="24"/>
          <w:lang w:eastAsia="sk-SK"/>
        </w:rPr>
        <w:t>o </w:t>
      </w:r>
      <w:r w:rsidRPr="00A357E5">
        <w:rPr>
          <w:rFonts w:eastAsia="Times New Roman" w:cs="Times New Roman"/>
          <w:color w:val="000000" w:themeColor="text1"/>
          <w:sz w:val="24"/>
          <w:szCs w:val="24"/>
          <w:lang w:eastAsia="sk-SK"/>
        </w:rPr>
        <w:t>rozpočtových pravidlách verejnej správy, v nadväznosti na prijaté oznámenia o výške prostriedkov, ktoré budú použité v nasledujúcich rokoch v zmysle</w:t>
      </w:r>
      <w:r w:rsidR="008D3444" w:rsidRPr="00A357E5">
        <w:rPr>
          <w:rFonts w:eastAsia="Times New Roman" w:cs="Times New Roman"/>
          <w:color w:val="000000" w:themeColor="text1"/>
          <w:sz w:val="24"/>
          <w:szCs w:val="24"/>
          <w:lang w:eastAsia="sk-SK"/>
        </w:rPr>
        <w:t xml:space="preserve"> § 8 zákona č. 523/2004 Z. z. </w:t>
      </w:r>
      <w:r w:rsidR="0078085C" w:rsidRPr="00A357E5">
        <w:rPr>
          <w:rFonts w:eastAsia="Times New Roman" w:cs="Times New Roman"/>
          <w:color w:val="000000" w:themeColor="text1"/>
          <w:sz w:val="24"/>
          <w:szCs w:val="24"/>
          <w:lang w:eastAsia="sk-SK"/>
        </w:rPr>
        <w:t>o </w:t>
      </w:r>
      <w:r w:rsidRPr="00A357E5">
        <w:rPr>
          <w:rFonts w:eastAsia="Times New Roman" w:cs="Times New Roman"/>
          <w:color w:val="000000" w:themeColor="text1"/>
          <w:sz w:val="24"/>
          <w:szCs w:val="24"/>
          <w:lang w:eastAsia="sk-SK"/>
        </w:rPr>
        <w:t xml:space="preserve">rozpočtových pravidlách verejnej správy a v nadväznosti na </w:t>
      </w:r>
      <w:r w:rsidR="0078085C" w:rsidRPr="00A357E5">
        <w:rPr>
          <w:rFonts w:eastAsia="Times New Roman" w:cs="Times New Roman"/>
          <w:color w:val="000000" w:themeColor="text1"/>
          <w:sz w:val="24"/>
          <w:szCs w:val="24"/>
          <w:lang w:eastAsia="sk-SK"/>
        </w:rPr>
        <w:t>ostatné viazania prostriedkov v </w:t>
      </w:r>
      <w:r w:rsidRPr="00A357E5">
        <w:rPr>
          <w:rFonts w:eastAsia="Times New Roman" w:cs="Times New Roman"/>
          <w:color w:val="000000" w:themeColor="text1"/>
          <w:sz w:val="24"/>
          <w:szCs w:val="24"/>
          <w:lang w:eastAsia="sk-SK"/>
        </w:rPr>
        <w:t>zmysle § 18 zákona č. 523/2004 Z. z. o rozpočtových pravid</w:t>
      </w:r>
      <w:r w:rsidR="0078085C" w:rsidRPr="00A357E5">
        <w:rPr>
          <w:rFonts w:eastAsia="Times New Roman" w:cs="Times New Roman"/>
          <w:color w:val="000000" w:themeColor="text1"/>
          <w:sz w:val="24"/>
          <w:szCs w:val="24"/>
          <w:lang w:eastAsia="sk-SK"/>
        </w:rPr>
        <w:t>lách verejnej správy. Zároveň z </w:t>
      </w:r>
      <w:r w:rsidRPr="00A357E5">
        <w:rPr>
          <w:rFonts w:eastAsia="Times New Roman" w:cs="Times New Roman"/>
          <w:color w:val="000000" w:themeColor="text1"/>
          <w:sz w:val="24"/>
          <w:szCs w:val="24"/>
          <w:lang w:eastAsia="sk-SK"/>
        </w:rPr>
        <w:t>dôvodu rýchlejšej implementácie projektov v rámci OP Technická pomoc 2014 - 2020 bol navýšený rozpočet Úradu vlády SR v sume 9 323 tis. eur z kapitoly VPS – Rezerva na prostriedky EÚ a odvody EÚ – rýchlejšia realizácia a väčší počet projekt</w:t>
      </w:r>
      <w:r w:rsidR="0078085C" w:rsidRPr="00A357E5">
        <w:rPr>
          <w:rFonts w:eastAsia="Times New Roman" w:cs="Times New Roman"/>
          <w:color w:val="000000" w:themeColor="text1"/>
          <w:sz w:val="24"/>
          <w:szCs w:val="24"/>
          <w:lang w:eastAsia="sk-SK"/>
        </w:rPr>
        <w:t>ov a ďalšie výdavky súvisiace s </w:t>
      </w:r>
      <w:r w:rsidRPr="00A357E5">
        <w:rPr>
          <w:rFonts w:eastAsia="Times New Roman" w:cs="Times New Roman"/>
          <w:color w:val="000000" w:themeColor="text1"/>
          <w:sz w:val="24"/>
          <w:szCs w:val="24"/>
          <w:lang w:eastAsia="sk-SK"/>
        </w:rPr>
        <w:t>financovaním spoločných programov.</w:t>
      </w:r>
    </w:p>
    <w:p w14:paraId="6BB1C1F3" w14:textId="77777777" w:rsidR="00C923B7" w:rsidRDefault="00870A07" w:rsidP="001665F3">
      <w:pPr>
        <w:spacing w:line="240" w:lineRule="auto"/>
        <w:rPr>
          <w:rFonts w:eastAsia="Times New Roman" w:cs="Times New Roman"/>
          <w:color w:val="000000" w:themeColor="text1"/>
          <w:sz w:val="24"/>
          <w:szCs w:val="24"/>
          <w:lang w:eastAsia="sk-SK"/>
        </w:rPr>
      </w:pPr>
      <w:r w:rsidRPr="00A357E5">
        <w:rPr>
          <w:rFonts w:eastAsia="Times New Roman" w:cs="Times New Roman"/>
          <w:color w:val="000000" w:themeColor="text1"/>
          <w:sz w:val="24"/>
          <w:szCs w:val="24"/>
          <w:lang w:eastAsia="sk-SK"/>
        </w:rPr>
        <w:t>Skutočné plnenie príjmov zo zahraničných transferov vo výške 2 551 329 tis. eur predstavuje plnenie na úrovni 104 % z upraveného rozpočtu. Vyššie plnenie príjmov nastalo z titulu vysporiadania programových korekcií za p</w:t>
      </w:r>
      <w:r w:rsidR="00C923B7">
        <w:rPr>
          <w:rFonts w:eastAsia="Times New Roman" w:cs="Times New Roman"/>
          <w:color w:val="000000" w:themeColor="text1"/>
          <w:sz w:val="24"/>
          <w:szCs w:val="24"/>
          <w:lang w:eastAsia="sk-SK"/>
        </w:rPr>
        <w:t>rogramové obdobie 2007 – 2013.</w:t>
      </w:r>
    </w:p>
    <w:p w14:paraId="72A4617D" w14:textId="1D6A88E8" w:rsidR="00870A07" w:rsidRPr="00A357E5" w:rsidRDefault="00870A07" w:rsidP="001665F3">
      <w:pPr>
        <w:spacing w:line="240" w:lineRule="auto"/>
        <w:rPr>
          <w:rFonts w:eastAsia="Times New Roman" w:cs="Times New Roman"/>
          <w:color w:val="000000" w:themeColor="text1"/>
          <w:sz w:val="24"/>
          <w:szCs w:val="24"/>
          <w:lang w:eastAsia="sk-SK"/>
        </w:rPr>
      </w:pPr>
      <w:r w:rsidRPr="00A357E5">
        <w:rPr>
          <w:rFonts w:eastAsia="Times New Roman" w:cs="Times New Roman"/>
          <w:b/>
          <w:color w:val="000000" w:themeColor="text1"/>
          <w:sz w:val="24"/>
          <w:szCs w:val="24"/>
          <w:lang w:eastAsia="sk-SK"/>
        </w:rPr>
        <w:t>Príjmy za štrukturálne operácie</w:t>
      </w:r>
      <w:r w:rsidR="0078085C" w:rsidRPr="00A357E5">
        <w:rPr>
          <w:rFonts w:eastAsia="Times New Roman" w:cs="Times New Roman"/>
          <w:color w:val="000000" w:themeColor="text1"/>
          <w:sz w:val="24"/>
          <w:szCs w:val="24"/>
          <w:lang w:eastAsia="sk-SK"/>
        </w:rPr>
        <w:t xml:space="preserve">, pri ktorých plní úlohu </w:t>
      </w:r>
      <w:r w:rsidRPr="00A357E5">
        <w:rPr>
          <w:rFonts w:eastAsia="Times New Roman" w:cs="Times New Roman"/>
          <w:color w:val="000000" w:themeColor="text1"/>
          <w:sz w:val="24"/>
          <w:szCs w:val="24"/>
          <w:lang w:eastAsia="sk-SK"/>
        </w:rPr>
        <w:t>certifikačného orgánu Ministerstvo financií SR sú vo výške 1 891 242 tis</w:t>
      </w:r>
      <w:r w:rsidR="0078085C" w:rsidRPr="00A357E5">
        <w:rPr>
          <w:rFonts w:eastAsia="Times New Roman" w:cs="Times New Roman"/>
          <w:color w:val="000000" w:themeColor="text1"/>
          <w:sz w:val="24"/>
          <w:szCs w:val="24"/>
          <w:lang w:eastAsia="sk-SK"/>
        </w:rPr>
        <w:t>. eur (z</w:t>
      </w:r>
      <w:r w:rsidRPr="00A357E5">
        <w:rPr>
          <w:rFonts w:eastAsia="Times New Roman" w:cs="Times New Roman"/>
          <w:color w:val="000000" w:themeColor="text1"/>
          <w:sz w:val="24"/>
          <w:szCs w:val="24"/>
          <w:lang w:eastAsia="sk-SK"/>
        </w:rPr>
        <w:t> toho štrukturálne fondy 2. programového obdobia v sume 196 858 tis. eur, Kohézny fond 2. programového obd</w:t>
      </w:r>
      <w:r w:rsidR="000E4EE1" w:rsidRPr="00A357E5">
        <w:rPr>
          <w:rFonts w:eastAsia="Times New Roman" w:cs="Times New Roman"/>
          <w:color w:val="000000" w:themeColor="text1"/>
          <w:sz w:val="24"/>
          <w:szCs w:val="24"/>
          <w:lang w:eastAsia="sk-SK"/>
        </w:rPr>
        <w:t>obia v sume 109 230 tis. eur</w:t>
      </w:r>
      <w:r w:rsidRPr="00A357E5">
        <w:rPr>
          <w:rFonts w:eastAsia="Times New Roman" w:cs="Times New Roman"/>
          <w:color w:val="000000" w:themeColor="text1"/>
          <w:sz w:val="24"/>
          <w:szCs w:val="24"/>
          <w:lang w:eastAsia="sk-SK"/>
        </w:rPr>
        <w:t>, štrukturálne fondy 3. programového obdobia v sume 1 266 285 tis.</w:t>
      </w:r>
      <w:r w:rsidR="008D3444" w:rsidRPr="00A357E5">
        <w:rPr>
          <w:rFonts w:eastAsia="Times New Roman" w:cs="Times New Roman"/>
          <w:color w:val="000000" w:themeColor="text1"/>
          <w:sz w:val="24"/>
          <w:szCs w:val="24"/>
          <w:lang w:eastAsia="sk-SK"/>
        </w:rPr>
        <w:t> eur a Kohézny fond 3. </w:t>
      </w:r>
      <w:r w:rsidRPr="00A357E5">
        <w:rPr>
          <w:rFonts w:eastAsia="Times New Roman" w:cs="Times New Roman"/>
          <w:color w:val="000000" w:themeColor="text1"/>
          <w:sz w:val="24"/>
          <w:szCs w:val="24"/>
          <w:lang w:eastAsia="sk-SK"/>
        </w:rPr>
        <w:t xml:space="preserve">programového obdobia v sume 318 869 tis. eur). Príjmy za štrukturálne operácie, pri ktorých plní úlohu certifikačného orgánu Ministerstvo práce, sociálnych vecí a rodiny SR sú v sume 5 793 tis. eur. </w:t>
      </w:r>
      <w:r w:rsidRPr="00A357E5">
        <w:rPr>
          <w:rFonts w:eastAsia="Times New Roman" w:cs="Times New Roman"/>
          <w:b/>
          <w:color w:val="000000" w:themeColor="text1"/>
          <w:sz w:val="24"/>
          <w:szCs w:val="24"/>
          <w:lang w:eastAsia="sk-SK"/>
        </w:rPr>
        <w:t>Príjmy za poľnohospodárske fondy</w:t>
      </w:r>
      <w:r w:rsidRPr="00A357E5">
        <w:rPr>
          <w:rFonts w:eastAsia="Times New Roman" w:cs="Times New Roman"/>
          <w:color w:val="000000" w:themeColor="text1"/>
          <w:sz w:val="24"/>
          <w:szCs w:val="24"/>
          <w:lang w:eastAsia="sk-SK"/>
        </w:rPr>
        <w:t xml:space="preserve"> boli vo výške 654 294 tis. eur</w:t>
      </w:r>
      <w:r w:rsidR="00AA6E49" w:rsidRPr="00A357E5">
        <w:rPr>
          <w:rFonts w:eastAsia="Times New Roman" w:cs="Times New Roman"/>
          <w:color w:val="000000" w:themeColor="text1"/>
          <w:sz w:val="24"/>
          <w:szCs w:val="24"/>
          <w:lang w:eastAsia="sk-SK"/>
        </w:rPr>
        <w:t>.</w:t>
      </w:r>
    </w:p>
    <w:p w14:paraId="273CE6B5" w14:textId="77777777" w:rsidR="00870A07" w:rsidRPr="00A357E5" w:rsidRDefault="00870A07" w:rsidP="001665F3">
      <w:pPr>
        <w:spacing w:line="240" w:lineRule="auto"/>
        <w:rPr>
          <w:rFonts w:eastAsia="Times New Roman" w:cs="Times New Roman"/>
          <w:color w:val="000000" w:themeColor="text1"/>
          <w:sz w:val="24"/>
          <w:szCs w:val="24"/>
          <w:lang w:eastAsia="sk-SK"/>
        </w:rPr>
      </w:pPr>
      <w:r w:rsidRPr="00A357E5">
        <w:rPr>
          <w:rFonts w:eastAsia="Times New Roman" w:cs="Times New Roman"/>
          <w:color w:val="000000" w:themeColor="text1"/>
          <w:sz w:val="24"/>
          <w:szCs w:val="24"/>
          <w:lang w:eastAsia="sk-SK"/>
        </w:rPr>
        <w:t>Plnenie príjmov sa realizuje prostredníctvom platobných jednotiek, ktoré môžu byť aj na ministerstvách, ktoré neplnia funkciu certifikačného orgánu. Nasledujúci opis prostriedkov z rozpočtu EÚ zaradených do príjmov rozpočtu je z pohľadu rozhodujúcich organizácií resp. rezortov. Použitie týchto prostriedkov vo výdavkoch štátneho rozpočtu je komentované v samostatných častiach 3.2. a 3.4.</w:t>
      </w:r>
    </w:p>
    <w:p w14:paraId="3BF1639C" w14:textId="3AE8CB3C" w:rsidR="00D95EE9" w:rsidRPr="00D95EE9" w:rsidRDefault="00D95EE9" w:rsidP="001665F3">
      <w:pPr>
        <w:spacing w:line="240" w:lineRule="auto"/>
        <w:rPr>
          <w:rFonts w:eastAsia="Calibri"/>
          <w:color w:val="000000" w:themeColor="text1"/>
          <w:sz w:val="24"/>
          <w:szCs w:val="24"/>
        </w:rPr>
      </w:pPr>
      <w:r w:rsidRPr="00A357E5">
        <w:rPr>
          <w:rFonts w:eastAsia="Times New Roman" w:cs="Times New Roman"/>
          <w:color w:val="000000" w:themeColor="text1"/>
          <w:sz w:val="24"/>
          <w:szCs w:val="24"/>
          <w:lang w:eastAsia="sk-SK"/>
        </w:rPr>
        <w:t xml:space="preserve">Kapitola </w:t>
      </w:r>
      <w:r w:rsidRPr="00A357E5">
        <w:rPr>
          <w:rFonts w:eastAsia="Times New Roman" w:cs="Times New Roman"/>
          <w:color w:val="000000" w:themeColor="text1"/>
          <w:sz w:val="24"/>
          <w:szCs w:val="24"/>
          <w:u w:val="single"/>
          <w:lang w:eastAsia="sk-SK"/>
        </w:rPr>
        <w:t>Ministerstva pôdohospodárstva a rozvoja vidieka SR</w:t>
      </w:r>
      <w:r w:rsidRPr="00A357E5">
        <w:rPr>
          <w:rFonts w:eastAsia="Times New Roman" w:cs="Times New Roman"/>
          <w:color w:val="000000" w:themeColor="text1"/>
          <w:sz w:val="24"/>
          <w:szCs w:val="24"/>
          <w:lang w:eastAsia="sk-SK"/>
        </w:rPr>
        <w:t xml:space="preserve"> (v rámci toho Pôdohospodárska platobná agentúra a platobná jednotka) prijala sumu 744 403 tis. eur, ktorá bola rozdelená do oblasti pôdohospodárstva a do oblasti rozvoja vidieka. Za oblasť pôdohospodárstva išlo o príjmy z Európskeho poľnohospodárskeho záručného fondu v objeme </w:t>
      </w:r>
      <w:r w:rsidRPr="00D95EE9">
        <w:rPr>
          <w:rFonts w:eastAsia="Times New Roman" w:cs="Times New Roman"/>
          <w:sz w:val="24"/>
          <w:szCs w:val="24"/>
          <w:lang w:eastAsia="sk-SK"/>
        </w:rPr>
        <w:t>4</w:t>
      </w:r>
      <w:r>
        <w:rPr>
          <w:rFonts w:eastAsia="Times New Roman" w:cs="Times New Roman"/>
          <w:sz w:val="24"/>
          <w:szCs w:val="24"/>
          <w:lang w:eastAsia="sk-SK"/>
        </w:rPr>
        <w:t>54 </w:t>
      </w:r>
      <w:r w:rsidRPr="00D95EE9">
        <w:rPr>
          <w:rFonts w:eastAsia="Times New Roman" w:cs="Times New Roman"/>
          <w:sz w:val="24"/>
          <w:szCs w:val="24"/>
          <w:lang w:eastAsia="sk-SK"/>
        </w:rPr>
        <w:t>743 tis</w:t>
      </w:r>
      <w:r w:rsidRPr="0024495F">
        <w:rPr>
          <w:rFonts w:eastAsia="Times New Roman" w:cs="Times New Roman"/>
          <w:color w:val="000000" w:themeColor="text1"/>
          <w:sz w:val="24"/>
          <w:szCs w:val="24"/>
          <w:lang w:eastAsia="sk-SK"/>
        </w:rPr>
        <w:t xml:space="preserve">. eur, príjmy z Európskeho poľnohospodárskeho fondu </w:t>
      </w:r>
      <w:r>
        <w:rPr>
          <w:rFonts w:eastAsia="Times New Roman" w:cs="Times New Roman"/>
          <w:color w:val="000000" w:themeColor="text1"/>
          <w:sz w:val="24"/>
          <w:szCs w:val="24"/>
          <w:lang w:eastAsia="sk-SK"/>
        </w:rPr>
        <w:t>pre rozvoj vidieka vo výške 199 </w:t>
      </w:r>
      <w:r w:rsidRPr="0024495F">
        <w:rPr>
          <w:rFonts w:eastAsia="Times New Roman" w:cs="Times New Roman"/>
          <w:color w:val="000000" w:themeColor="text1"/>
          <w:sz w:val="24"/>
          <w:szCs w:val="24"/>
          <w:lang w:eastAsia="sk-SK"/>
        </w:rPr>
        <w:t>551</w:t>
      </w:r>
      <w:r w:rsidRPr="00A357E5">
        <w:rPr>
          <w:rFonts w:eastAsia="Times New Roman" w:cs="Times New Roman"/>
          <w:color w:val="000000" w:themeColor="text1"/>
          <w:sz w:val="24"/>
          <w:szCs w:val="24"/>
          <w:lang w:eastAsia="sk-SK"/>
        </w:rPr>
        <w:t> tis.</w:t>
      </w:r>
      <w:r>
        <w:rPr>
          <w:rFonts w:eastAsia="Times New Roman" w:cs="Times New Roman"/>
          <w:color w:val="000000" w:themeColor="text1"/>
          <w:sz w:val="24"/>
          <w:szCs w:val="24"/>
          <w:lang w:eastAsia="sk-SK"/>
        </w:rPr>
        <w:t xml:space="preserve"> </w:t>
      </w:r>
      <w:r w:rsidR="00114A29" w:rsidRPr="00A357E5">
        <w:rPr>
          <w:rFonts w:eastAsia="Times New Roman" w:cs="Times New Roman"/>
          <w:color w:val="000000" w:themeColor="text1"/>
          <w:sz w:val="24"/>
          <w:szCs w:val="24"/>
          <w:lang w:eastAsia="sk-SK"/>
        </w:rPr>
        <w:t xml:space="preserve">eur určené na financovanie opatrení </w:t>
      </w:r>
      <w:r w:rsidR="006A1EE3" w:rsidRPr="00A357E5">
        <w:rPr>
          <w:rFonts w:eastAsia="Times New Roman" w:cs="Times New Roman"/>
          <w:color w:val="000000" w:themeColor="text1"/>
          <w:sz w:val="24"/>
          <w:szCs w:val="24"/>
          <w:lang w:eastAsia="sk-SK"/>
        </w:rPr>
        <w:t>programu R</w:t>
      </w:r>
      <w:r w:rsidR="00114A29" w:rsidRPr="00A357E5">
        <w:rPr>
          <w:rFonts w:eastAsia="Times New Roman" w:cs="Times New Roman"/>
          <w:color w:val="000000" w:themeColor="text1"/>
          <w:sz w:val="24"/>
          <w:szCs w:val="24"/>
          <w:lang w:eastAsia="sk-SK"/>
        </w:rPr>
        <w:t>ozvoja vidieka SR 2014 - 2020 a</w:t>
      </w:r>
      <w:r w:rsidR="000B790D" w:rsidRPr="00A357E5">
        <w:rPr>
          <w:rFonts w:eastAsia="Times New Roman" w:cs="Times New Roman"/>
          <w:color w:val="000000" w:themeColor="text1"/>
          <w:sz w:val="24"/>
          <w:szCs w:val="24"/>
          <w:lang w:eastAsia="sk-SK"/>
        </w:rPr>
        <w:t xml:space="preserve"> </w:t>
      </w:r>
      <w:r w:rsidR="00114A29" w:rsidRPr="00A357E5">
        <w:rPr>
          <w:rFonts w:eastAsia="Times New Roman" w:cs="Times New Roman"/>
          <w:color w:val="000000" w:themeColor="text1"/>
          <w:sz w:val="24"/>
          <w:szCs w:val="24"/>
          <w:lang w:eastAsia="sk-SK"/>
        </w:rPr>
        <w:t xml:space="preserve">príjmy z Európskeho námorného </w:t>
      </w:r>
      <w:r w:rsidR="00114A29" w:rsidRPr="00A357E5">
        <w:rPr>
          <w:rFonts w:eastAsia="Calibri"/>
          <w:color w:val="000000" w:themeColor="text1"/>
          <w:sz w:val="24"/>
          <w:szCs w:val="24"/>
        </w:rPr>
        <w:t>a rybárskeho fondu vo výške 84 tis. eur určené na financovanie opatrení Operačného programu Rybné hospodárstvo 2014 – 2020</w:t>
      </w:r>
      <w:r>
        <w:rPr>
          <w:rFonts w:eastAsia="Calibri"/>
          <w:color w:val="000000" w:themeColor="text1"/>
          <w:sz w:val="24"/>
          <w:szCs w:val="24"/>
          <w:vertAlign w:val="superscript"/>
        </w:rPr>
        <w:t>.</w:t>
      </w:r>
      <w:r w:rsidR="00114A29" w:rsidRPr="00A357E5">
        <w:rPr>
          <w:rFonts w:eastAsia="Calibri"/>
          <w:color w:val="000000" w:themeColor="text1"/>
          <w:sz w:val="24"/>
          <w:szCs w:val="24"/>
        </w:rPr>
        <w:t xml:space="preserve"> Z ostatných</w:t>
      </w:r>
      <w:r w:rsidR="009960C4" w:rsidRPr="00A357E5">
        <w:rPr>
          <w:rFonts w:eastAsia="Calibri"/>
          <w:color w:val="000000" w:themeColor="text1"/>
          <w:sz w:val="24"/>
          <w:szCs w:val="24"/>
        </w:rPr>
        <w:t xml:space="preserve"> </w:t>
      </w:r>
      <w:r w:rsidR="005F4E83" w:rsidRPr="00A357E5">
        <w:rPr>
          <w:rFonts w:eastAsia="Calibri"/>
          <w:color w:val="000000" w:themeColor="text1"/>
          <w:sz w:val="24"/>
          <w:szCs w:val="24"/>
        </w:rPr>
        <w:t xml:space="preserve">zdrojov išlo najmä o príjmy </w:t>
      </w:r>
      <w:r w:rsidR="009960C4" w:rsidRPr="00A357E5">
        <w:rPr>
          <w:rFonts w:eastAsia="Calibri"/>
          <w:color w:val="000000" w:themeColor="text1"/>
          <w:sz w:val="24"/>
          <w:szCs w:val="24"/>
        </w:rPr>
        <w:t>z </w:t>
      </w:r>
      <w:r w:rsidR="00114A29" w:rsidRPr="00A357E5">
        <w:rPr>
          <w:rFonts w:eastAsia="Calibri"/>
          <w:color w:val="000000" w:themeColor="text1"/>
          <w:sz w:val="24"/>
          <w:szCs w:val="24"/>
        </w:rPr>
        <w:t>Európskeho fondu regionálneho rozvoja v sume 90 025 tis. eur</w:t>
      </w:r>
      <w:r>
        <w:rPr>
          <w:rStyle w:val="Odkaznapoznmkupodiarou"/>
          <w:rFonts w:eastAsia="Calibri"/>
          <w:color w:val="000000" w:themeColor="text1"/>
          <w:sz w:val="24"/>
          <w:szCs w:val="24"/>
        </w:rPr>
        <w:footnoteReference w:id="33"/>
      </w:r>
      <w:r>
        <w:rPr>
          <w:rFonts w:eastAsia="Calibri"/>
          <w:color w:val="000000" w:themeColor="text1"/>
          <w:sz w:val="24"/>
          <w:szCs w:val="24"/>
        </w:rPr>
        <w:t>.</w:t>
      </w:r>
    </w:p>
    <w:p w14:paraId="5951DE84" w14:textId="77777777" w:rsidR="00870A07" w:rsidRPr="00A357E5" w:rsidRDefault="00870A07" w:rsidP="001665F3">
      <w:pPr>
        <w:spacing w:line="240" w:lineRule="auto"/>
        <w:rPr>
          <w:rFonts w:eastAsia="Calibri"/>
          <w:color w:val="000000" w:themeColor="text1"/>
          <w:sz w:val="24"/>
          <w:szCs w:val="24"/>
        </w:rPr>
      </w:pPr>
      <w:r w:rsidRPr="00A357E5">
        <w:rPr>
          <w:rFonts w:eastAsia="Calibri"/>
          <w:color w:val="000000" w:themeColor="text1"/>
          <w:sz w:val="24"/>
          <w:szCs w:val="24"/>
          <w:u w:val="single"/>
        </w:rPr>
        <w:t>Ministerstvo práce, sociálnych vecí a rodiny SR</w:t>
      </w:r>
      <w:r w:rsidRPr="00A357E5">
        <w:rPr>
          <w:rFonts w:eastAsia="Calibri"/>
          <w:color w:val="000000" w:themeColor="text1"/>
          <w:sz w:val="24"/>
          <w:szCs w:val="24"/>
        </w:rPr>
        <w:t xml:space="preserve"> prijalo sumu 480 968 tis. eur, z toho v rámci Operačného programu Ľudské zdroje 462 062 tis. eur a Operačného programu Zamestnanosť a sociálna inklúzia sumu 13 113 tis. eur.</w:t>
      </w:r>
      <w:r w:rsidRPr="00A357E5" w:rsidDel="00EE2EAE">
        <w:rPr>
          <w:rFonts w:eastAsia="Calibri"/>
          <w:color w:val="000000" w:themeColor="text1"/>
          <w:sz w:val="24"/>
          <w:szCs w:val="24"/>
        </w:rPr>
        <w:t xml:space="preserve"> </w:t>
      </w:r>
    </w:p>
    <w:p w14:paraId="2ECA6903" w14:textId="1436AF60" w:rsidR="00FE4470" w:rsidRPr="00FE4470" w:rsidRDefault="00FE4470" w:rsidP="00FE4470">
      <w:pPr>
        <w:tabs>
          <w:tab w:val="left" w:pos="284"/>
        </w:tabs>
        <w:suppressAutoHyphens/>
        <w:spacing w:line="240" w:lineRule="auto"/>
        <w:rPr>
          <w:rFonts w:eastAsia="Calibri"/>
          <w:color w:val="000000" w:themeColor="text1"/>
          <w:sz w:val="24"/>
          <w:szCs w:val="24"/>
          <w:highlight w:val="yellow"/>
        </w:rPr>
      </w:pPr>
      <w:r w:rsidRPr="00FE4470">
        <w:rPr>
          <w:rFonts w:eastAsia="Calibri"/>
          <w:color w:val="000000" w:themeColor="text1"/>
          <w:sz w:val="24"/>
          <w:szCs w:val="24"/>
          <w:u w:val="single"/>
        </w:rPr>
        <w:t>Ministerstvo životného prostredia SR</w:t>
      </w:r>
      <w:r w:rsidRPr="00FE4470">
        <w:rPr>
          <w:rFonts w:eastAsia="Calibri"/>
          <w:color w:val="000000" w:themeColor="text1"/>
          <w:sz w:val="24"/>
          <w:szCs w:val="24"/>
        </w:rPr>
        <w:t xml:space="preserve"> prijalo sumu 323 045</w:t>
      </w:r>
      <w:r w:rsidRPr="00FE4470">
        <w:rPr>
          <w:rFonts w:ascii="Segoe UI" w:hAnsi="Segoe UI" w:cs="Segoe UI"/>
          <w:color w:val="212121"/>
          <w:sz w:val="24"/>
          <w:szCs w:val="24"/>
          <w:shd w:val="clear" w:color="auto" w:fill="FFFFFF"/>
        </w:rPr>
        <w:t> </w:t>
      </w:r>
      <w:r w:rsidRPr="00FE4470">
        <w:rPr>
          <w:rFonts w:eastAsia="Calibri"/>
          <w:color w:val="000000" w:themeColor="text1"/>
          <w:sz w:val="24"/>
          <w:szCs w:val="24"/>
        </w:rPr>
        <w:t xml:space="preserve">tis. eur. </w:t>
      </w:r>
      <w:r w:rsidRPr="00FE4470">
        <w:rPr>
          <w:color w:val="000000" w:themeColor="text1"/>
          <w:sz w:val="24"/>
          <w:szCs w:val="24"/>
        </w:rPr>
        <w:t xml:space="preserve">Išlo o príjmy z rozpočtu Európskej únie, ktoré boli určené na financovanie opatrení Operačného programu Kvalita životného prostredia v členení na prostriedky z Európskeho fondu regionálneho rozvoja v sume </w:t>
      </w:r>
      <w:r w:rsidR="00A001B6">
        <w:rPr>
          <w:color w:val="000000" w:themeColor="text1"/>
          <w:sz w:val="24"/>
          <w:szCs w:val="24"/>
        </w:rPr>
        <w:t>125 </w:t>
      </w:r>
      <w:r w:rsidRPr="00FE4470">
        <w:rPr>
          <w:color w:val="000000" w:themeColor="text1"/>
          <w:sz w:val="24"/>
          <w:szCs w:val="24"/>
        </w:rPr>
        <w:t>865 tis. eur a z Kohézneho fondu v sume 155 086 tis. eur. V rámci Operačného programu Životné prostredie v sume 42 094 tis. eur.</w:t>
      </w:r>
      <w:r w:rsidRPr="00FE4470">
        <w:rPr>
          <w:color w:val="000000" w:themeColor="text1"/>
          <w:sz w:val="24"/>
          <w:szCs w:val="24"/>
          <w:highlight w:val="yellow"/>
        </w:rPr>
        <w:t xml:space="preserve"> </w:t>
      </w:r>
    </w:p>
    <w:p w14:paraId="02B44170" w14:textId="3AF07DA7" w:rsidR="00870A07" w:rsidRPr="00A357E5" w:rsidRDefault="00870A07" w:rsidP="001665F3">
      <w:pPr>
        <w:spacing w:line="240" w:lineRule="auto"/>
        <w:rPr>
          <w:rFonts w:eastAsia="Calibri"/>
          <w:color w:val="000000" w:themeColor="text1"/>
          <w:sz w:val="24"/>
          <w:szCs w:val="24"/>
        </w:rPr>
      </w:pPr>
      <w:r w:rsidRPr="00A357E5">
        <w:rPr>
          <w:rFonts w:eastAsia="Calibri"/>
          <w:color w:val="000000" w:themeColor="text1"/>
          <w:sz w:val="24"/>
          <w:szCs w:val="24"/>
          <w:u w:val="single"/>
        </w:rPr>
        <w:t>Ministerstvo dopravy a výstavby SR</w:t>
      </w:r>
      <w:r w:rsidRPr="00A357E5">
        <w:rPr>
          <w:rFonts w:eastAsia="Calibri"/>
          <w:color w:val="000000" w:themeColor="text1"/>
          <w:sz w:val="24"/>
          <w:szCs w:val="24"/>
        </w:rPr>
        <w:t xml:space="preserve"> prijalo sumu 298 391 tis. eur, z toho plnenie príjmov v</w:t>
      </w:r>
      <w:r w:rsidR="0023537F">
        <w:rPr>
          <w:rFonts w:eastAsia="Calibri"/>
          <w:color w:val="000000" w:themeColor="text1"/>
          <w:sz w:val="24"/>
          <w:szCs w:val="24"/>
        </w:rPr>
        <w:t> </w:t>
      </w:r>
      <w:r w:rsidRPr="00A357E5">
        <w:rPr>
          <w:rFonts w:eastAsia="Calibri"/>
          <w:color w:val="000000" w:themeColor="text1"/>
          <w:sz w:val="24"/>
          <w:szCs w:val="24"/>
        </w:rPr>
        <w:t>rámci Operačného programu Doprava (programové obdobie 2007-2013) bolo v sume 95 173</w:t>
      </w:r>
      <w:r w:rsidRPr="00A357E5">
        <w:rPr>
          <w:rFonts w:asciiTheme="minorHAnsi" w:hAnsiTheme="minorHAnsi"/>
          <w:sz w:val="24"/>
          <w:szCs w:val="24"/>
        </w:rPr>
        <w:t> </w:t>
      </w:r>
      <w:r w:rsidR="0078085C" w:rsidRPr="00A357E5">
        <w:rPr>
          <w:rFonts w:eastAsia="Calibri"/>
          <w:color w:val="000000" w:themeColor="text1"/>
          <w:sz w:val="24"/>
          <w:szCs w:val="24"/>
        </w:rPr>
        <w:t>tis. eur (z </w:t>
      </w:r>
      <w:r w:rsidRPr="00A357E5">
        <w:rPr>
          <w:rFonts w:eastAsia="Calibri"/>
          <w:color w:val="000000" w:themeColor="text1"/>
          <w:sz w:val="24"/>
          <w:szCs w:val="24"/>
        </w:rPr>
        <w:t>toho fond ERDF v sume 20 401</w:t>
      </w:r>
      <w:r w:rsidRPr="00A357E5">
        <w:rPr>
          <w:rFonts w:asciiTheme="minorHAnsi" w:hAnsiTheme="minorHAnsi"/>
          <w:sz w:val="24"/>
          <w:szCs w:val="24"/>
        </w:rPr>
        <w:t> </w:t>
      </w:r>
      <w:r w:rsidRPr="00A357E5">
        <w:rPr>
          <w:rFonts w:eastAsia="Calibri"/>
          <w:color w:val="000000" w:themeColor="text1"/>
          <w:sz w:val="24"/>
          <w:szCs w:val="24"/>
        </w:rPr>
        <w:t>tis. eur a Kohézny fond v sume 74 772</w:t>
      </w:r>
      <w:r w:rsidRPr="00A357E5">
        <w:rPr>
          <w:rFonts w:asciiTheme="minorHAnsi" w:hAnsiTheme="minorHAnsi"/>
          <w:sz w:val="24"/>
          <w:szCs w:val="24"/>
        </w:rPr>
        <w:t> </w:t>
      </w:r>
      <w:r w:rsidR="0078085C" w:rsidRPr="00A357E5">
        <w:rPr>
          <w:rFonts w:eastAsia="Calibri"/>
          <w:color w:val="000000" w:themeColor="text1"/>
          <w:sz w:val="24"/>
          <w:szCs w:val="24"/>
        </w:rPr>
        <w:t>tis. eur)</w:t>
      </w:r>
      <w:r w:rsidRPr="00A357E5">
        <w:rPr>
          <w:rFonts w:eastAsia="Calibri"/>
          <w:color w:val="000000" w:themeColor="text1"/>
          <w:sz w:val="24"/>
          <w:szCs w:val="24"/>
        </w:rPr>
        <w:t xml:space="preserve"> a plnenie príjmov v rámci Operačného programu Integrovaná infraštruktúra (programové obdobie 2014-</w:t>
      </w:r>
      <w:r w:rsidR="006E4112" w:rsidRPr="00A357E5">
        <w:rPr>
          <w:rFonts w:eastAsia="Calibri"/>
          <w:color w:val="000000" w:themeColor="text1"/>
          <w:sz w:val="24"/>
          <w:szCs w:val="24"/>
        </w:rPr>
        <w:t> </w:t>
      </w:r>
      <w:r w:rsidRPr="00A357E5">
        <w:rPr>
          <w:rFonts w:eastAsia="Calibri"/>
          <w:color w:val="000000" w:themeColor="text1"/>
          <w:sz w:val="24"/>
          <w:szCs w:val="24"/>
        </w:rPr>
        <w:t>2021) v</w:t>
      </w:r>
      <w:r w:rsidR="0078085C" w:rsidRPr="00A357E5">
        <w:rPr>
          <w:rFonts w:eastAsia="Calibri"/>
          <w:color w:val="000000" w:themeColor="text1"/>
          <w:sz w:val="24"/>
          <w:szCs w:val="24"/>
        </w:rPr>
        <w:t> </w:t>
      </w:r>
      <w:r w:rsidRPr="00A357E5">
        <w:rPr>
          <w:rFonts w:eastAsia="Calibri"/>
          <w:color w:val="000000" w:themeColor="text1"/>
          <w:sz w:val="24"/>
          <w:szCs w:val="24"/>
        </w:rPr>
        <w:t>sume 203 217</w:t>
      </w:r>
      <w:r w:rsidRPr="00A357E5">
        <w:rPr>
          <w:rFonts w:asciiTheme="minorHAnsi" w:hAnsiTheme="minorHAnsi"/>
          <w:sz w:val="24"/>
          <w:szCs w:val="24"/>
        </w:rPr>
        <w:t> </w:t>
      </w:r>
      <w:r w:rsidRPr="00A357E5">
        <w:rPr>
          <w:rFonts w:eastAsia="Calibri"/>
          <w:color w:val="000000" w:themeColor="text1"/>
          <w:sz w:val="24"/>
          <w:szCs w:val="24"/>
        </w:rPr>
        <w:t>tis.</w:t>
      </w:r>
      <w:r w:rsidR="0078085C" w:rsidRPr="00A357E5">
        <w:rPr>
          <w:rFonts w:eastAsia="Calibri"/>
          <w:color w:val="000000" w:themeColor="text1"/>
          <w:sz w:val="24"/>
          <w:szCs w:val="24"/>
        </w:rPr>
        <w:t> </w:t>
      </w:r>
      <w:r w:rsidRPr="00A357E5">
        <w:rPr>
          <w:rFonts w:eastAsia="Calibri"/>
          <w:color w:val="000000" w:themeColor="text1"/>
          <w:sz w:val="24"/>
          <w:szCs w:val="24"/>
        </w:rPr>
        <w:t>eur (z toho fond ERDF v sume 39 434</w:t>
      </w:r>
      <w:r w:rsidRPr="00A357E5">
        <w:rPr>
          <w:rFonts w:asciiTheme="minorHAnsi" w:hAnsiTheme="minorHAnsi"/>
          <w:sz w:val="24"/>
          <w:szCs w:val="24"/>
        </w:rPr>
        <w:t> </w:t>
      </w:r>
      <w:r w:rsidRPr="00A357E5">
        <w:rPr>
          <w:rFonts w:eastAsia="Calibri"/>
          <w:color w:val="000000" w:themeColor="text1"/>
          <w:sz w:val="24"/>
          <w:szCs w:val="24"/>
        </w:rPr>
        <w:t xml:space="preserve">tis. eur a Kohézny </w:t>
      </w:r>
      <w:r w:rsidR="009960C4" w:rsidRPr="00A357E5">
        <w:rPr>
          <w:rFonts w:eastAsia="Calibri" w:cs="Times New Roman"/>
          <w:color w:val="000000" w:themeColor="text1"/>
          <w:sz w:val="24"/>
          <w:szCs w:val="24"/>
        </w:rPr>
        <w:t>fond v </w:t>
      </w:r>
      <w:r w:rsidRPr="00A357E5">
        <w:rPr>
          <w:rFonts w:eastAsia="Calibri" w:cs="Times New Roman"/>
          <w:color w:val="000000" w:themeColor="text1"/>
          <w:sz w:val="24"/>
          <w:szCs w:val="24"/>
        </w:rPr>
        <w:t xml:space="preserve">sume </w:t>
      </w:r>
      <w:r w:rsidR="00313A05">
        <w:rPr>
          <w:rFonts w:cs="Times New Roman"/>
          <w:sz w:val="24"/>
          <w:szCs w:val="24"/>
        </w:rPr>
        <w:t>163 783</w:t>
      </w:r>
      <w:r w:rsidRPr="00A357E5">
        <w:rPr>
          <w:rFonts w:cs="Times New Roman"/>
          <w:sz w:val="24"/>
          <w:szCs w:val="24"/>
        </w:rPr>
        <w:t> </w:t>
      </w:r>
      <w:r w:rsidRPr="00A357E5">
        <w:rPr>
          <w:rFonts w:eastAsia="Calibri" w:cs="Times New Roman"/>
          <w:color w:val="000000" w:themeColor="text1"/>
          <w:sz w:val="24"/>
          <w:szCs w:val="24"/>
        </w:rPr>
        <w:t>tis. eur</w:t>
      </w:r>
      <w:r w:rsidRPr="00A357E5">
        <w:rPr>
          <w:rFonts w:eastAsia="Calibri"/>
          <w:color w:val="000000" w:themeColor="text1"/>
          <w:sz w:val="24"/>
          <w:szCs w:val="24"/>
        </w:rPr>
        <w:t>).</w:t>
      </w:r>
    </w:p>
    <w:p w14:paraId="741E608D" w14:textId="23EEEA8E" w:rsidR="00251DF4" w:rsidRPr="00251DF4" w:rsidRDefault="00251DF4" w:rsidP="00251DF4">
      <w:pPr>
        <w:spacing w:line="240" w:lineRule="auto"/>
        <w:rPr>
          <w:color w:val="000000" w:themeColor="text1"/>
          <w:sz w:val="24"/>
          <w:szCs w:val="24"/>
        </w:rPr>
      </w:pPr>
      <w:r w:rsidRPr="00251DF4">
        <w:rPr>
          <w:rFonts w:eastAsia="Calibri"/>
          <w:color w:val="000000" w:themeColor="text1"/>
          <w:sz w:val="24"/>
          <w:szCs w:val="24"/>
          <w:u w:val="single"/>
        </w:rPr>
        <w:t>Ministerstvo investícií, regionálneho rozvoja a informatizácie SR</w:t>
      </w:r>
      <w:r w:rsidRPr="00251DF4">
        <w:rPr>
          <w:rFonts w:eastAsia="Calibri"/>
          <w:color w:val="000000" w:themeColor="text1"/>
          <w:sz w:val="24"/>
          <w:szCs w:val="24"/>
        </w:rPr>
        <w:t xml:space="preserve"> prijalo sumu 206 445 tis. eur, v tom v rámci Operačného programu integrovaná infraštruktúra 25 395 tis. eur, v rámci Operačného programu Technická pomoc sumu 5 454 tis. eur, v rámci Integrovaného regionálneho operačného programu v sume 109 496 tis. eur, v rámci </w:t>
      </w:r>
      <w:proofErr w:type="spellStart"/>
      <w:r w:rsidRPr="00251DF4">
        <w:rPr>
          <w:rFonts w:eastAsia="Calibri"/>
          <w:color w:val="000000" w:themeColor="text1"/>
          <w:sz w:val="24"/>
          <w:szCs w:val="24"/>
        </w:rPr>
        <w:t>Interreg</w:t>
      </w:r>
      <w:proofErr w:type="spellEnd"/>
      <w:r w:rsidRPr="00251DF4">
        <w:rPr>
          <w:rFonts w:eastAsia="Calibri"/>
          <w:color w:val="000000" w:themeColor="text1"/>
          <w:sz w:val="24"/>
          <w:szCs w:val="24"/>
        </w:rPr>
        <w:t xml:space="preserve"> V-A SK-AT v sume 8 088 tis. eur, v rámci </w:t>
      </w:r>
      <w:proofErr w:type="spellStart"/>
      <w:r w:rsidRPr="00251DF4">
        <w:rPr>
          <w:rFonts w:eastAsia="Calibri"/>
          <w:color w:val="000000" w:themeColor="text1"/>
          <w:sz w:val="24"/>
          <w:szCs w:val="24"/>
        </w:rPr>
        <w:t>Interreg</w:t>
      </w:r>
      <w:proofErr w:type="spellEnd"/>
      <w:r w:rsidRPr="00251DF4">
        <w:rPr>
          <w:rFonts w:eastAsia="Calibri"/>
          <w:color w:val="000000" w:themeColor="text1"/>
          <w:sz w:val="24"/>
          <w:szCs w:val="24"/>
        </w:rPr>
        <w:t xml:space="preserve"> V-A SK-CZ v sume 3 877 tis. eur, v rámci Regionálneho operačného programu (programové obdobie 2007-2013) v sume 48 690 tis. eur a v rámci  </w:t>
      </w:r>
      <w:r w:rsidRPr="00251DF4">
        <w:rPr>
          <w:color w:val="000000" w:themeColor="text1"/>
          <w:sz w:val="24"/>
          <w:szCs w:val="24"/>
        </w:rPr>
        <w:t>Operačného programu Bratislavský kraj (programové obdobie 2007-2013)</w:t>
      </w:r>
      <w:r w:rsidR="00AB41C5">
        <w:rPr>
          <w:color w:val="000000" w:themeColor="text1"/>
          <w:sz w:val="24"/>
          <w:szCs w:val="24"/>
        </w:rPr>
        <w:t xml:space="preserve"> v sume 175 595 tis. </w:t>
      </w:r>
      <w:r w:rsidRPr="00251DF4">
        <w:rPr>
          <w:color w:val="000000" w:themeColor="text1"/>
          <w:sz w:val="24"/>
          <w:szCs w:val="24"/>
        </w:rPr>
        <w:t xml:space="preserve">eur. </w:t>
      </w:r>
    </w:p>
    <w:p w14:paraId="3F83571D" w14:textId="77777777" w:rsidR="00C923B7" w:rsidRDefault="00F63B1F" w:rsidP="001665F3">
      <w:pPr>
        <w:tabs>
          <w:tab w:val="left" w:pos="284"/>
        </w:tabs>
        <w:suppressAutoHyphens/>
        <w:spacing w:line="240" w:lineRule="auto"/>
        <w:rPr>
          <w:rFonts w:eastAsia="Calibri"/>
          <w:color w:val="000000" w:themeColor="text1"/>
          <w:sz w:val="24"/>
          <w:szCs w:val="24"/>
        </w:rPr>
      </w:pPr>
      <w:r w:rsidRPr="00A357E5">
        <w:rPr>
          <w:rFonts w:eastAsia="Calibri"/>
          <w:color w:val="000000" w:themeColor="text1"/>
          <w:sz w:val="24"/>
          <w:szCs w:val="24"/>
        </w:rPr>
        <w:t xml:space="preserve">V kapitole </w:t>
      </w:r>
      <w:r w:rsidRPr="00A357E5">
        <w:rPr>
          <w:rFonts w:eastAsia="Calibri"/>
          <w:color w:val="000000" w:themeColor="text1"/>
          <w:sz w:val="24"/>
          <w:szCs w:val="24"/>
          <w:u w:val="single"/>
        </w:rPr>
        <w:t>Ministerstva hospodárstva SR</w:t>
      </w:r>
      <w:r w:rsidRPr="00A357E5">
        <w:rPr>
          <w:rFonts w:eastAsia="Calibri"/>
          <w:color w:val="000000" w:themeColor="text1"/>
          <w:sz w:val="24"/>
          <w:szCs w:val="24"/>
        </w:rPr>
        <w:t xml:space="preserve"> bolo prijatých 201 160 tis. eur na poskytnutie podpory z európskych štrukturálnych a investičných fondov v programovom období 2014 – 2020</w:t>
      </w:r>
      <w:r w:rsidR="002166EB" w:rsidRPr="00A357E5">
        <w:rPr>
          <w:rFonts w:eastAsia="Calibri"/>
          <w:color w:val="000000" w:themeColor="text1"/>
          <w:sz w:val="24"/>
          <w:szCs w:val="24"/>
        </w:rPr>
        <w:t>.</w:t>
      </w:r>
      <w:r w:rsidRPr="00A357E5">
        <w:rPr>
          <w:rFonts w:eastAsia="Calibri"/>
          <w:color w:val="000000" w:themeColor="text1"/>
          <w:sz w:val="24"/>
          <w:szCs w:val="24"/>
        </w:rPr>
        <w:t xml:space="preserve"> </w:t>
      </w:r>
      <w:r w:rsidR="002166EB" w:rsidRPr="00A357E5">
        <w:rPr>
          <w:rFonts w:eastAsia="Calibri"/>
          <w:color w:val="000000" w:themeColor="text1"/>
          <w:sz w:val="24"/>
          <w:szCs w:val="24"/>
        </w:rPr>
        <w:t>J</w:t>
      </w:r>
      <w:r w:rsidRPr="00A357E5">
        <w:rPr>
          <w:rFonts w:eastAsia="Calibri"/>
          <w:color w:val="000000" w:themeColor="text1"/>
          <w:sz w:val="24"/>
          <w:szCs w:val="24"/>
        </w:rPr>
        <w:t xml:space="preserve">e zamerané na vytvorenie stabilného prostredia priaznivého pre inovácie pre všetky relevantné subjekty a podporu zvýšenia efektívnosti a výkonnosti systému výskumu, vývoja a inovácií, ako základného piliera pre zvyšovanie konkurencieschopnosti, udržateľného hospodárskeho rastu a zamestnanosti. Hlavným cieľom je rozšírenie výskumnej a inovačnej infraštruktúry a kapacít na rozvoj </w:t>
      </w:r>
      <w:proofErr w:type="spellStart"/>
      <w:r w:rsidRPr="00A357E5">
        <w:rPr>
          <w:rFonts w:eastAsia="Calibri"/>
          <w:color w:val="000000" w:themeColor="text1"/>
          <w:sz w:val="24"/>
          <w:szCs w:val="24"/>
        </w:rPr>
        <w:t>excelentnosti</w:t>
      </w:r>
      <w:proofErr w:type="spellEnd"/>
      <w:r w:rsidRPr="00A357E5">
        <w:rPr>
          <w:rFonts w:eastAsia="Calibri"/>
          <w:color w:val="000000" w:themeColor="text1"/>
          <w:sz w:val="24"/>
          <w:szCs w:val="24"/>
        </w:rPr>
        <w:t xml:space="preserve"> v oblasti výskumu a inovácií a podpora kompetenčných centier. Navýšenie prostriedkov štátneho rozpočtu vo finančnom pláne OP II s cieľom implementovať pomoc </w:t>
      </w:r>
      <w:proofErr w:type="spellStart"/>
      <w:r w:rsidRPr="00A357E5">
        <w:rPr>
          <w:rFonts w:eastAsia="Calibri"/>
          <w:color w:val="000000" w:themeColor="text1"/>
          <w:sz w:val="24"/>
          <w:szCs w:val="24"/>
        </w:rPr>
        <w:t>mikro</w:t>
      </w:r>
      <w:proofErr w:type="spellEnd"/>
      <w:r w:rsidRPr="00A357E5">
        <w:rPr>
          <w:rFonts w:eastAsia="Calibri"/>
          <w:color w:val="000000" w:themeColor="text1"/>
          <w:sz w:val="24"/>
          <w:szCs w:val="24"/>
        </w:rPr>
        <w:t>, malým a stredným podnikom na uľahčenie prekonania obmedzení súvisiacich s pandémiou C</w:t>
      </w:r>
      <w:r w:rsidR="00C923B7">
        <w:rPr>
          <w:rFonts w:eastAsia="Calibri"/>
          <w:color w:val="000000" w:themeColor="text1"/>
          <w:sz w:val="24"/>
          <w:szCs w:val="24"/>
        </w:rPr>
        <w:t>OVID-19 v sume 97 699 tis. eur.</w:t>
      </w:r>
    </w:p>
    <w:p w14:paraId="5E5C75B0" w14:textId="2CB1C0A3" w:rsidR="00F63B1F" w:rsidRPr="00A357E5" w:rsidRDefault="00F63B1F" w:rsidP="001665F3">
      <w:pPr>
        <w:tabs>
          <w:tab w:val="left" w:pos="284"/>
        </w:tabs>
        <w:suppressAutoHyphens/>
        <w:spacing w:line="240" w:lineRule="auto"/>
        <w:rPr>
          <w:rFonts w:eastAsia="Calibri"/>
          <w:color w:val="000000" w:themeColor="text1"/>
          <w:sz w:val="24"/>
          <w:szCs w:val="24"/>
        </w:rPr>
      </w:pPr>
      <w:r w:rsidRPr="00A357E5">
        <w:rPr>
          <w:rFonts w:eastAsia="Calibri"/>
          <w:color w:val="000000" w:themeColor="text1"/>
          <w:sz w:val="24"/>
          <w:szCs w:val="24"/>
        </w:rPr>
        <w:t>Výdavky OP II boli v roku 2020 použité aj na financovanie finančných nástrojov, kde zámerom je poskytovanie finančných prostriedkov na podporu zvyšovania konkurencieschopnosti podnikov, zabezpečovanie prístupu k finančným zdrojom pre podniky na Slovensku a zvyšovanie investícií do podpory podnikov najmä v oblasti technologického rozvoja, inovácií, výskumu a vývoja. Táto podpora predstavuje návratnú pomoc a môže sa poskytnúť formou úverov, záruk, rizikového kapitálu a iného kapitálového financovania.</w:t>
      </w:r>
    </w:p>
    <w:p w14:paraId="4226121D" w14:textId="0EF6B62B" w:rsidR="00870A07" w:rsidRPr="00A357E5" w:rsidRDefault="00870A07" w:rsidP="001665F3">
      <w:pPr>
        <w:spacing w:line="240" w:lineRule="auto"/>
        <w:rPr>
          <w:color w:val="000000" w:themeColor="text1"/>
          <w:sz w:val="24"/>
          <w:szCs w:val="24"/>
        </w:rPr>
      </w:pPr>
      <w:r w:rsidRPr="00A357E5">
        <w:rPr>
          <w:color w:val="000000" w:themeColor="text1"/>
          <w:sz w:val="24"/>
          <w:szCs w:val="24"/>
          <w:u w:val="single"/>
        </w:rPr>
        <w:t>Ministerstvo vnútra SR</w:t>
      </w:r>
      <w:r w:rsidRPr="00A357E5">
        <w:rPr>
          <w:color w:val="000000" w:themeColor="text1"/>
          <w:sz w:val="24"/>
          <w:szCs w:val="24"/>
        </w:rPr>
        <w:t xml:space="preserve"> prijalo zo zahraničných transferov 72 238 tis. eur, v rámci Operačného programu Ľudsk</w:t>
      </w:r>
      <w:r w:rsidR="0078085C" w:rsidRPr="00A357E5">
        <w:rPr>
          <w:color w:val="000000" w:themeColor="text1"/>
          <w:sz w:val="24"/>
          <w:szCs w:val="24"/>
        </w:rPr>
        <w:t>é zdroje sumu 38 537 tis. eur a</w:t>
      </w:r>
      <w:r w:rsidRPr="00A357E5">
        <w:rPr>
          <w:color w:val="000000" w:themeColor="text1"/>
          <w:sz w:val="24"/>
          <w:szCs w:val="24"/>
        </w:rPr>
        <w:t xml:space="preserve"> v rámci Operačného programu Efektívna verejná správa sumu 33 701 tis. eur. </w:t>
      </w:r>
    </w:p>
    <w:p w14:paraId="4991BDF3" w14:textId="2A71240A" w:rsidR="00870A07" w:rsidRPr="00A357E5" w:rsidRDefault="00870A07" w:rsidP="001665F3">
      <w:pPr>
        <w:tabs>
          <w:tab w:val="left" w:pos="284"/>
        </w:tabs>
        <w:suppressAutoHyphens/>
        <w:spacing w:line="240" w:lineRule="auto"/>
        <w:rPr>
          <w:rFonts w:eastAsia="Calibri"/>
          <w:color w:val="000000" w:themeColor="text1"/>
          <w:sz w:val="24"/>
          <w:szCs w:val="24"/>
        </w:rPr>
      </w:pPr>
      <w:r w:rsidRPr="00A357E5">
        <w:rPr>
          <w:rFonts w:eastAsia="Calibri"/>
          <w:color w:val="000000" w:themeColor="text1"/>
          <w:sz w:val="24"/>
          <w:szCs w:val="24"/>
        </w:rPr>
        <w:t>Bližšie informácie o príjmoch z rozpočtu EÚ sú uvedené v samostatnej kapitole 3.4 Vzťahy štátneho rozpočtu k Európskej únii.</w:t>
      </w:r>
    </w:p>
    <w:p w14:paraId="2F2C15FB" w14:textId="21911F68" w:rsidR="00870A07" w:rsidRDefault="00870A07" w:rsidP="001665F3">
      <w:pPr>
        <w:tabs>
          <w:tab w:val="left" w:pos="284"/>
        </w:tabs>
        <w:suppressAutoHyphens/>
        <w:spacing w:line="240" w:lineRule="auto"/>
        <w:rPr>
          <w:b/>
          <w:i/>
          <w:color w:val="000000" w:themeColor="text1"/>
        </w:rPr>
      </w:pPr>
      <w:r w:rsidRPr="00C923B7">
        <w:rPr>
          <w:rFonts w:eastAsia="Calibri"/>
          <w:b/>
          <w:i/>
          <w:color w:val="000000" w:themeColor="text1"/>
        </w:rPr>
        <w:t>Podrobné údaje</w:t>
      </w:r>
      <w:r w:rsidRPr="00C923B7">
        <w:rPr>
          <w:b/>
          <w:i/>
          <w:color w:val="000000" w:themeColor="text1"/>
        </w:rPr>
        <w:t xml:space="preserve"> o príjmoch štátneho rozpočtu podľa kapitol, kategórií rozpočtovej klasifikácie a podľa zdrojov za rok 2020 sú uvedené v tab. č. 4 až 6 tabuľkovej prílohy štátneho záverečného účtu.</w:t>
      </w:r>
    </w:p>
    <w:p w14:paraId="3A380388" w14:textId="4D22CBF4" w:rsidR="00C923B7" w:rsidRDefault="00C923B7">
      <w:pPr>
        <w:spacing w:after="160" w:line="259" w:lineRule="auto"/>
        <w:jc w:val="left"/>
        <w:rPr>
          <w:b/>
          <w:i/>
          <w:color w:val="000000" w:themeColor="text1"/>
        </w:rPr>
      </w:pPr>
      <w:r>
        <w:rPr>
          <w:b/>
          <w:i/>
          <w:color w:val="000000" w:themeColor="text1"/>
        </w:rPr>
        <w:br w:type="page"/>
      </w:r>
    </w:p>
    <w:p w14:paraId="3617EFC4" w14:textId="56B3FBDA" w:rsidR="008254BE" w:rsidRDefault="008254BE" w:rsidP="0088066E">
      <w:pPr>
        <w:pStyle w:val="Nadpis2"/>
        <w:spacing w:before="0"/>
      </w:pPr>
      <w:bookmarkStart w:id="44" w:name="_Toc6415645"/>
      <w:bookmarkStart w:id="45" w:name="_Toc70026096"/>
      <w:r>
        <w:t>Výdavky štátneho rozpočtu</w:t>
      </w:r>
      <w:bookmarkEnd w:id="44"/>
      <w:bookmarkEnd w:id="45"/>
    </w:p>
    <w:p w14:paraId="4A18529F" w14:textId="77777777" w:rsidR="00867564" w:rsidRPr="00A357E5" w:rsidRDefault="00867564" w:rsidP="001665F3">
      <w:pPr>
        <w:spacing w:line="240" w:lineRule="auto"/>
        <w:rPr>
          <w:sz w:val="24"/>
          <w:szCs w:val="24"/>
        </w:rPr>
      </w:pPr>
      <w:r w:rsidRPr="00A357E5">
        <w:rPr>
          <w:sz w:val="24"/>
          <w:szCs w:val="24"/>
        </w:rPr>
        <w:t>Pri rozpočtovaní hotovostných výdavkov štátneho rozpočtu na rok 2020 sa zohľadňovali zámery a ciele rozpočtovej politiky vlády SR ako aj legislatívne zmeny tak, aby sa dodržali pravidlá rozpočtového hospodárenia, najmä:</w:t>
      </w:r>
    </w:p>
    <w:p w14:paraId="22267834" w14:textId="77777777" w:rsidR="00867564" w:rsidRPr="00A357E5" w:rsidRDefault="00867564" w:rsidP="001665F3">
      <w:pPr>
        <w:numPr>
          <w:ilvl w:val="1"/>
          <w:numId w:val="15"/>
        </w:numPr>
        <w:spacing w:line="240" w:lineRule="auto"/>
        <w:ind w:left="425" w:hanging="425"/>
        <w:rPr>
          <w:sz w:val="24"/>
          <w:szCs w:val="24"/>
        </w:rPr>
      </w:pPr>
      <w:r w:rsidRPr="00A357E5">
        <w:rPr>
          <w:sz w:val="24"/>
          <w:szCs w:val="24"/>
        </w:rPr>
        <w:t>možnosť použitia kapitálových výdavkov na určený účel aj v nasledujúcich dvoch rozpočtových rokoch po rozpočtovom roku, na ktorý boli rozpočtované,</w:t>
      </w:r>
    </w:p>
    <w:p w14:paraId="38DE1F95" w14:textId="77777777" w:rsidR="00867564" w:rsidRPr="00A357E5" w:rsidRDefault="00867564" w:rsidP="001665F3">
      <w:pPr>
        <w:numPr>
          <w:ilvl w:val="1"/>
          <w:numId w:val="15"/>
        </w:numPr>
        <w:spacing w:line="240" w:lineRule="auto"/>
        <w:ind w:left="425" w:hanging="425"/>
        <w:rPr>
          <w:sz w:val="24"/>
          <w:szCs w:val="24"/>
        </w:rPr>
      </w:pPr>
      <w:r w:rsidRPr="00A357E5">
        <w:rPr>
          <w:sz w:val="24"/>
          <w:szCs w:val="24"/>
        </w:rPr>
        <w:t>možnosť použitia prostriedkov Európskej únie vrátane spolufinancovania zo štátneho rozpočtu aj v nasledujúcich rozpočtových rokoch až do ich vyčerpania na určený účel,</w:t>
      </w:r>
    </w:p>
    <w:p w14:paraId="3C6E75EA" w14:textId="77777777" w:rsidR="00867564" w:rsidRPr="00A357E5" w:rsidRDefault="00867564" w:rsidP="001665F3">
      <w:pPr>
        <w:numPr>
          <w:ilvl w:val="1"/>
          <w:numId w:val="15"/>
        </w:numPr>
        <w:spacing w:line="240" w:lineRule="auto"/>
        <w:ind w:left="425" w:hanging="425"/>
        <w:rPr>
          <w:sz w:val="24"/>
          <w:szCs w:val="24"/>
        </w:rPr>
      </w:pPr>
      <w:r w:rsidRPr="00A357E5">
        <w:rPr>
          <w:sz w:val="24"/>
          <w:szCs w:val="24"/>
        </w:rPr>
        <w:t>pri bežných transferoch s výnimkou miezd, poskytnutých príjemcom po 1. auguste rozpočtového roka, možnosť ich použitia do konca prvého štvrťroka nasledujúceho roka,</w:t>
      </w:r>
    </w:p>
    <w:p w14:paraId="74AE633A" w14:textId="77777777" w:rsidR="00867564" w:rsidRPr="00A357E5" w:rsidRDefault="00867564" w:rsidP="001665F3">
      <w:pPr>
        <w:numPr>
          <w:ilvl w:val="0"/>
          <w:numId w:val="14"/>
        </w:numPr>
        <w:tabs>
          <w:tab w:val="left" w:pos="426"/>
        </w:tabs>
        <w:spacing w:line="240" w:lineRule="auto"/>
        <w:ind w:hanging="720"/>
        <w:rPr>
          <w:sz w:val="24"/>
          <w:szCs w:val="24"/>
        </w:rPr>
      </w:pPr>
      <w:r w:rsidRPr="00A357E5">
        <w:rPr>
          <w:sz w:val="24"/>
          <w:szCs w:val="24"/>
        </w:rPr>
        <w:t>viacročné rozpočtovanie na tri rozpočtové roky,</w:t>
      </w:r>
    </w:p>
    <w:p w14:paraId="6121A460" w14:textId="77777777" w:rsidR="00867564" w:rsidRPr="00A357E5" w:rsidRDefault="00867564" w:rsidP="001665F3">
      <w:pPr>
        <w:numPr>
          <w:ilvl w:val="0"/>
          <w:numId w:val="14"/>
        </w:numPr>
        <w:tabs>
          <w:tab w:val="left" w:pos="426"/>
        </w:tabs>
        <w:spacing w:line="240" w:lineRule="auto"/>
        <w:ind w:left="425" w:hanging="425"/>
        <w:rPr>
          <w:sz w:val="24"/>
          <w:szCs w:val="24"/>
        </w:rPr>
      </w:pPr>
      <w:r w:rsidRPr="00A357E5">
        <w:rPr>
          <w:sz w:val="24"/>
          <w:szCs w:val="24"/>
        </w:rPr>
        <w:t>rozpočtovanie formou bežných a kapitálových výdavkov pri uplatňovaní rozpočtovej klasifikácie,</w:t>
      </w:r>
    </w:p>
    <w:p w14:paraId="62ABDDE6" w14:textId="77777777" w:rsidR="00867564" w:rsidRPr="00A357E5" w:rsidRDefault="00867564" w:rsidP="001665F3">
      <w:pPr>
        <w:numPr>
          <w:ilvl w:val="1"/>
          <w:numId w:val="15"/>
        </w:numPr>
        <w:spacing w:line="240" w:lineRule="auto"/>
        <w:ind w:left="425" w:hanging="425"/>
        <w:rPr>
          <w:sz w:val="24"/>
          <w:szCs w:val="24"/>
        </w:rPr>
      </w:pPr>
      <w:r w:rsidRPr="00A357E5">
        <w:rPr>
          <w:sz w:val="24"/>
          <w:szCs w:val="24"/>
        </w:rPr>
        <w:t>využívanie programového rozpočtovania, aby bolo možné transparentné hodnotenie formulovaných zámerov,</w:t>
      </w:r>
    </w:p>
    <w:p w14:paraId="766CB763" w14:textId="77777777" w:rsidR="00867564" w:rsidRPr="00A357E5" w:rsidRDefault="00867564" w:rsidP="001665F3">
      <w:pPr>
        <w:numPr>
          <w:ilvl w:val="1"/>
          <w:numId w:val="15"/>
        </w:numPr>
        <w:spacing w:line="240" w:lineRule="auto"/>
        <w:ind w:left="426" w:hanging="426"/>
        <w:rPr>
          <w:sz w:val="24"/>
          <w:szCs w:val="24"/>
        </w:rPr>
      </w:pPr>
      <w:r w:rsidRPr="00A357E5">
        <w:rPr>
          <w:sz w:val="24"/>
          <w:szCs w:val="24"/>
        </w:rPr>
        <w:t>poskytovanie dotácií v súlade so zákonom o štátnom rozpočte na príslušný rozpočtový rok v nadväznosti na zákon č. 67/2020 o niektorých mimoriadnych opatreniach vo finančnej oblasti v súvislosti so šírením nebezpečnej nákazlivej ľudskej choroby COVID-19, ktorý umožňuje používanie bežných a kapitálových výdavkov v predĺženej lehote.</w:t>
      </w:r>
    </w:p>
    <w:p w14:paraId="6D9D6428" w14:textId="2B462C7F" w:rsidR="00651E56" w:rsidRPr="00C923B7" w:rsidRDefault="00867564" w:rsidP="001665F3">
      <w:pPr>
        <w:spacing w:line="240" w:lineRule="auto"/>
        <w:rPr>
          <w:b/>
          <w:i/>
        </w:rPr>
      </w:pPr>
      <w:r w:rsidRPr="00C923B7">
        <w:rPr>
          <w:b/>
          <w:i/>
        </w:rPr>
        <w:t>Podrobný prehľad o výdavkoch štátneho rozpočtu v roku 2020 podľa kategórií rozpočtovej klasifikácie a kapitol štátneho rozpočtu, o bežných transferoch a kapitálových výdavkoch je uvedený v tab. 7 až 9 tabuľkovej prílohy štátneho záverečného účtu.</w:t>
      </w:r>
    </w:p>
    <w:p w14:paraId="3E25C5B3" w14:textId="3606C89B" w:rsidR="00651E56" w:rsidRDefault="00651E56" w:rsidP="0088066E">
      <w:pPr>
        <w:jc w:val="left"/>
        <w:rPr>
          <w:b/>
          <w:i/>
        </w:rPr>
      </w:pPr>
    </w:p>
    <w:p w14:paraId="4F560C57" w14:textId="47D493C9" w:rsidR="008254BE" w:rsidRDefault="008254BE" w:rsidP="0088066E">
      <w:pPr>
        <w:pStyle w:val="Nadpis3"/>
        <w:spacing w:before="0"/>
      </w:pPr>
      <w:bookmarkStart w:id="46" w:name="_Toc6415646"/>
      <w:bookmarkStart w:id="47" w:name="_Toc70026097"/>
      <w:r>
        <w:t>Výdavky štátneho rozpočtu podľa ekonomickej klasifikácie</w:t>
      </w:r>
      <w:bookmarkEnd w:id="46"/>
      <w:bookmarkEnd w:id="47"/>
    </w:p>
    <w:p w14:paraId="7D7EEACC" w14:textId="77777777" w:rsidR="00C923B7" w:rsidRDefault="00867564" w:rsidP="001665F3">
      <w:pPr>
        <w:spacing w:line="240" w:lineRule="auto"/>
        <w:rPr>
          <w:sz w:val="24"/>
          <w:szCs w:val="24"/>
        </w:rPr>
      </w:pPr>
      <w:r w:rsidRPr="00D715AF">
        <w:rPr>
          <w:sz w:val="24"/>
          <w:szCs w:val="24"/>
        </w:rPr>
        <w:t>Novelou štátneho rozpočtu v roku 2020 boli schválené výdavky vo výške 26 319 081 tis. eur, čo v porovnaní so schváleným rozpočtom pre rok 2019 (17 538 901 tis. eur) predstavovalo</w:t>
      </w:r>
      <w:r w:rsidRPr="00D715AF">
        <w:rPr>
          <w:color w:val="FF0000"/>
          <w:sz w:val="24"/>
          <w:szCs w:val="24"/>
        </w:rPr>
        <w:t xml:space="preserve"> </w:t>
      </w:r>
      <w:r w:rsidR="00CE623C" w:rsidRPr="00D715AF">
        <w:rPr>
          <w:sz w:val="24"/>
          <w:szCs w:val="24"/>
        </w:rPr>
        <w:t>nárast o 33,4</w:t>
      </w:r>
      <w:r w:rsidRPr="00D715AF">
        <w:rPr>
          <w:sz w:val="24"/>
          <w:szCs w:val="24"/>
        </w:rPr>
        <w:t> %.</w:t>
      </w:r>
      <w:r w:rsidRPr="00D715AF">
        <w:rPr>
          <w:color w:val="FF0000"/>
          <w:sz w:val="24"/>
          <w:szCs w:val="24"/>
        </w:rPr>
        <w:t xml:space="preserve"> </w:t>
      </w:r>
      <w:r w:rsidRPr="00D715AF">
        <w:rPr>
          <w:sz w:val="24"/>
          <w:szCs w:val="24"/>
        </w:rPr>
        <w:t>Skutočne bolo vynaložených 23 509 057 tis. eur, na čom sa bežné výdavky podieľali objemom 20 846 610 tis. eur a kapitálové výda</w:t>
      </w:r>
      <w:r w:rsidR="00C923B7">
        <w:rPr>
          <w:sz w:val="24"/>
          <w:szCs w:val="24"/>
        </w:rPr>
        <w:t>vky objemom 2 662 446 tis. eur.</w:t>
      </w:r>
    </w:p>
    <w:p w14:paraId="0EB80AB7" w14:textId="5EA70E47" w:rsidR="00867564" w:rsidRPr="00D715AF" w:rsidRDefault="00867564" w:rsidP="001665F3">
      <w:pPr>
        <w:spacing w:line="240" w:lineRule="auto"/>
        <w:rPr>
          <w:sz w:val="24"/>
          <w:szCs w:val="24"/>
        </w:rPr>
      </w:pPr>
      <w:r w:rsidRPr="00D715AF">
        <w:rPr>
          <w:sz w:val="24"/>
          <w:szCs w:val="24"/>
        </w:rPr>
        <w:t>Realizované výdavky boli oproti schválenému rozpočtu</w:t>
      </w:r>
      <w:r w:rsidRPr="00D715AF">
        <w:rPr>
          <w:color w:val="FF0000"/>
          <w:sz w:val="24"/>
          <w:szCs w:val="24"/>
        </w:rPr>
        <w:t xml:space="preserve"> </w:t>
      </w:r>
      <w:r w:rsidRPr="00D715AF">
        <w:rPr>
          <w:sz w:val="24"/>
          <w:szCs w:val="24"/>
        </w:rPr>
        <w:t>nižšie o 2 810 024 tis. eur a</w:t>
      </w:r>
      <w:r w:rsidR="00FC7EAC">
        <w:rPr>
          <w:sz w:val="24"/>
          <w:szCs w:val="24"/>
        </w:rPr>
        <w:t> </w:t>
      </w:r>
      <w:r w:rsidRPr="00D715AF">
        <w:rPr>
          <w:sz w:val="24"/>
          <w:szCs w:val="24"/>
        </w:rPr>
        <w:t>v medziročnom porovnaní vzrástli o 5 482 041 tis. eur,</w:t>
      </w:r>
      <w:r w:rsidRPr="00D715AF">
        <w:rPr>
          <w:color w:val="FF0000"/>
          <w:sz w:val="24"/>
          <w:szCs w:val="24"/>
        </w:rPr>
        <w:t xml:space="preserve"> </w:t>
      </w:r>
      <w:r w:rsidRPr="00D715AF">
        <w:rPr>
          <w:sz w:val="24"/>
          <w:szCs w:val="24"/>
        </w:rPr>
        <w:t>a to najmä z dôvodu krytia potrieb vyvolaných pandémiou COVID-19</w:t>
      </w:r>
      <w:r w:rsidR="00CE623C" w:rsidRPr="00D715AF">
        <w:rPr>
          <w:sz w:val="24"/>
          <w:szCs w:val="24"/>
        </w:rPr>
        <w:t>.</w:t>
      </w:r>
    </w:p>
    <w:p w14:paraId="33245327" w14:textId="73D72F87" w:rsidR="0051484D" w:rsidRDefault="0051484D" w:rsidP="0088066E">
      <w:pPr>
        <w:pStyle w:val="Nadpis4"/>
        <w:spacing w:before="0"/>
      </w:pPr>
      <w:bookmarkStart w:id="48" w:name="_Toc70026098"/>
      <w:r>
        <w:t xml:space="preserve">Bežné </w:t>
      </w:r>
      <w:r w:rsidRPr="00F61D9C">
        <w:t>výdavky</w:t>
      </w:r>
      <w:bookmarkEnd w:id="48"/>
    </w:p>
    <w:p w14:paraId="7599E110" w14:textId="77777777" w:rsidR="00C923B7" w:rsidRDefault="00867564" w:rsidP="001665F3">
      <w:pPr>
        <w:spacing w:line="240" w:lineRule="auto"/>
        <w:rPr>
          <w:sz w:val="24"/>
          <w:szCs w:val="24"/>
        </w:rPr>
      </w:pPr>
      <w:r w:rsidRPr="00D715AF">
        <w:rPr>
          <w:sz w:val="24"/>
          <w:szCs w:val="24"/>
        </w:rPr>
        <w:t>Bežné výdavky boli rozpočtované v sume 24 690 943 tis. eur a ich skutočné čerpanie predstavovalo sumu 20 846 610 tis. eur. Rozdiel skutočnosti oproti rozpočtu znamenalo nižšie čerpanie</w:t>
      </w:r>
      <w:r w:rsidRPr="00D715AF">
        <w:rPr>
          <w:color w:val="FF0000"/>
          <w:sz w:val="24"/>
          <w:szCs w:val="24"/>
        </w:rPr>
        <w:t xml:space="preserve"> </w:t>
      </w:r>
      <w:r w:rsidRPr="00D715AF">
        <w:rPr>
          <w:sz w:val="24"/>
          <w:szCs w:val="24"/>
        </w:rPr>
        <w:t xml:space="preserve">o 3 844 333 tis. eur, a to najmä v kategórii tovarov a služieb, kde sa rozpočtovali mimoriadne výdavky na boj s pandémiou. </w:t>
      </w:r>
    </w:p>
    <w:p w14:paraId="0667FCD8" w14:textId="77777777" w:rsidR="00C923B7" w:rsidRDefault="00C923B7">
      <w:pPr>
        <w:spacing w:after="160" w:line="259" w:lineRule="auto"/>
        <w:jc w:val="left"/>
        <w:rPr>
          <w:sz w:val="24"/>
          <w:szCs w:val="24"/>
        </w:rPr>
      </w:pPr>
      <w:r>
        <w:rPr>
          <w:sz w:val="24"/>
          <w:szCs w:val="24"/>
        </w:rPr>
        <w:br w:type="page"/>
      </w:r>
    </w:p>
    <w:p w14:paraId="1DB48027" w14:textId="2B5C1395" w:rsidR="00867564" w:rsidRPr="00D715AF" w:rsidRDefault="00867564" w:rsidP="001665F3">
      <w:pPr>
        <w:spacing w:line="240" w:lineRule="auto"/>
        <w:rPr>
          <w:sz w:val="24"/>
          <w:szCs w:val="24"/>
        </w:rPr>
      </w:pPr>
      <w:r w:rsidRPr="00D715AF">
        <w:rPr>
          <w:sz w:val="24"/>
          <w:szCs w:val="24"/>
        </w:rPr>
        <w:t>Prehľad bežných výdavkov v štruktúre ekonomickej klasifikácie je uvedený v nasledovnej tabuľke:</w:t>
      </w:r>
    </w:p>
    <w:tbl>
      <w:tblPr>
        <w:tblW w:w="9214" w:type="dxa"/>
        <w:tblLayout w:type="fixed"/>
        <w:tblCellMar>
          <w:left w:w="70" w:type="dxa"/>
          <w:right w:w="70" w:type="dxa"/>
        </w:tblCellMar>
        <w:tblLook w:val="04A0" w:firstRow="1" w:lastRow="0" w:firstColumn="1" w:lastColumn="0" w:noHBand="0" w:noVBand="1"/>
      </w:tblPr>
      <w:tblGrid>
        <w:gridCol w:w="3261"/>
        <w:gridCol w:w="975"/>
        <w:gridCol w:w="974"/>
        <w:gridCol w:w="1027"/>
        <w:gridCol w:w="1134"/>
        <w:gridCol w:w="940"/>
        <w:gridCol w:w="903"/>
      </w:tblGrid>
      <w:tr w:rsidR="00867564" w:rsidRPr="00414CFB" w14:paraId="5362BC88" w14:textId="77777777" w:rsidTr="00C53668">
        <w:trPr>
          <w:trHeight w:val="383"/>
        </w:trPr>
        <w:tc>
          <w:tcPr>
            <w:tcW w:w="9214" w:type="dxa"/>
            <w:gridSpan w:val="7"/>
            <w:tcBorders>
              <w:top w:val="nil"/>
              <w:left w:val="nil"/>
              <w:bottom w:val="nil"/>
              <w:right w:val="nil"/>
            </w:tcBorders>
            <w:shd w:val="clear" w:color="000000" w:fill="000000"/>
            <w:vAlign w:val="center"/>
            <w:hideMark/>
          </w:tcPr>
          <w:p w14:paraId="4A37A286" w14:textId="076F2D9F" w:rsidR="00867564" w:rsidRPr="00414CFB" w:rsidRDefault="00867564" w:rsidP="0093129E">
            <w:pPr>
              <w:spacing w:after="0" w:line="240" w:lineRule="auto"/>
              <w:rPr>
                <w:rFonts w:eastAsia="Times New Roman" w:cs="Times New Roman"/>
                <w:b/>
                <w:bCs/>
                <w:color w:val="FFFFFF"/>
                <w:sz w:val="18"/>
                <w:szCs w:val="18"/>
                <w:lang w:eastAsia="sk-SK"/>
              </w:rPr>
            </w:pPr>
            <w:r w:rsidRPr="00414CFB">
              <w:rPr>
                <w:rFonts w:eastAsia="Times New Roman" w:cs="Times New Roman"/>
                <w:b/>
                <w:bCs/>
                <w:color w:val="FFFFFF"/>
                <w:sz w:val="18"/>
                <w:szCs w:val="18"/>
                <w:lang w:eastAsia="sk-SK"/>
              </w:rPr>
              <w:t xml:space="preserve">Bežné výdavky podľa ekonomickej klasifikácie                                                                                                </w:t>
            </w:r>
            <w:r w:rsidR="0023537F">
              <w:rPr>
                <w:rFonts w:eastAsia="Times New Roman" w:cs="Times New Roman"/>
                <w:b/>
                <w:bCs/>
                <w:color w:val="FFFFFF"/>
                <w:sz w:val="18"/>
                <w:szCs w:val="18"/>
                <w:lang w:eastAsia="sk-SK"/>
              </w:rPr>
              <w:t xml:space="preserve">  </w:t>
            </w:r>
            <w:r w:rsidRPr="00414CFB">
              <w:rPr>
                <w:rFonts w:eastAsia="Times New Roman" w:cs="Times New Roman"/>
                <w:b/>
                <w:bCs/>
                <w:color w:val="FFFFFF"/>
                <w:sz w:val="18"/>
                <w:szCs w:val="18"/>
                <w:lang w:eastAsia="sk-SK"/>
              </w:rPr>
              <w:t xml:space="preserve">      v tis. eur</w:t>
            </w:r>
          </w:p>
        </w:tc>
      </w:tr>
      <w:tr w:rsidR="00867564" w:rsidRPr="00414CFB" w14:paraId="4F859485" w14:textId="77777777" w:rsidTr="00C53668">
        <w:trPr>
          <w:trHeight w:val="330"/>
        </w:trPr>
        <w:tc>
          <w:tcPr>
            <w:tcW w:w="3261" w:type="dxa"/>
            <w:vMerge w:val="restart"/>
            <w:tcBorders>
              <w:top w:val="nil"/>
              <w:left w:val="nil"/>
              <w:bottom w:val="nil"/>
              <w:right w:val="nil"/>
            </w:tcBorders>
            <w:shd w:val="clear" w:color="000000" w:fill="BFBFBF"/>
            <w:vAlign w:val="center"/>
            <w:hideMark/>
          </w:tcPr>
          <w:p w14:paraId="0DE77CAF" w14:textId="77777777" w:rsidR="00867564" w:rsidRPr="00414CFB" w:rsidRDefault="00867564" w:rsidP="007F0D38">
            <w:pPr>
              <w:spacing w:after="0" w:line="240" w:lineRule="auto"/>
              <w:jc w:val="center"/>
              <w:rPr>
                <w:rFonts w:eastAsia="Times New Roman" w:cs="Times New Roman"/>
                <w:b/>
                <w:bCs/>
                <w:color w:val="000000"/>
                <w:sz w:val="18"/>
                <w:szCs w:val="18"/>
                <w:lang w:eastAsia="sk-SK"/>
              </w:rPr>
            </w:pPr>
            <w:r w:rsidRPr="00414CFB">
              <w:rPr>
                <w:rFonts w:eastAsia="Times New Roman" w:cs="Times New Roman"/>
                <w:b/>
                <w:bCs/>
                <w:color w:val="000000"/>
                <w:sz w:val="18"/>
                <w:szCs w:val="18"/>
                <w:lang w:eastAsia="sk-SK"/>
              </w:rPr>
              <w:t xml:space="preserve"> </w:t>
            </w:r>
          </w:p>
        </w:tc>
        <w:tc>
          <w:tcPr>
            <w:tcW w:w="1949" w:type="dxa"/>
            <w:gridSpan w:val="2"/>
            <w:tcBorders>
              <w:top w:val="nil"/>
              <w:left w:val="nil"/>
              <w:bottom w:val="nil"/>
              <w:right w:val="nil"/>
            </w:tcBorders>
            <w:shd w:val="clear" w:color="000000" w:fill="BFBFBF"/>
            <w:noWrap/>
            <w:vAlign w:val="center"/>
            <w:hideMark/>
          </w:tcPr>
          <w:p w14:paraId="04A6FFCC" w14:textId="77777777" w:rsidR="00867564" w:rsidRPr="00414CFB" w:rsidRDefault="00867564" w:rsidP="007F0D38">
            <w:pPr>
              <w:spacing w:after="0" w:line="240" w:lineRule="auto"/>
              <w:jc w:val="center"/>
              <w:rPr>
                <w:rFonts w:eastAsia="Times New Roman" w:cs="Times New Roman"/>
                <w:b/>
                <w:bCs/>
                <w:color w:val="000000"/>
                <w:sz w:val="18"/>
                <w:szCs w:val="18"/>
                <w:lang w:eastAsia="sk-SK"/>
              </w:rPr>
            </w:pPr>
            <w:r w:rsidRPr="00414CFB">
              <w:rPr>
                <w:rFonts w:eastAsia="Times New Roman" w:cs="Times New Roman"/>
                <w:b/>
                <w:bCs/>
                <w:color w:val="000000"/>
                <w:sz w:val="18"/>
                <w:szCs w:val="18"/>
                <w:lang w:eastAsia="sk-SK"/>
              </w:rPr>
              <w:t>Skutočnosť</w:t>
            </w:r>
          </w:p>
        </w:tc>
        <w:tc>
          <w:tcPr>
            <w:tcW w:w="1027" w:type="dxa"/>
            <w:tcBorders>
              <w:top w:val="nil"/>
              <w:left w:val="nil"/>
              <w:bottom w:val="nil"/>
              <w:right w:val="nil"/>
            </w:tcBorders>
            <w:shd w:val="clear" w:color="000000" w:fill="BFBFBF"/>
            <w:noWrap/>
            <w:vAlign w:val="center"/>
            <w:hideMark/>
          </w:tcPr>
          <w:p w14:paraId="15AFEDC2" w14:textId="77777777" w:rsidR="00867564" w:rsidRPr="00414CFB" w:rsidRDefault="00867564" w:rsidP="007F0D38">
            <w:pPr>
              <w:spacing w:after="0" w:line="240" w:lineRule="auto"/>
              <w:jc w:val="center"/>
              <w:rPr>
                <w:rFonts w:eastAsia="Times New Roman" w:cs="Times New Roman"/>
                <w:b/>
                <w:bCs/>
                <w:color w:val="000000"/>
                <w:sz w:val="18"/>
                <w:szCs w:val="18"/>
                <w:lang w:eastAsia="sk-SK"/>
              </w:rPr>
            </w:pPr>
            <w:r w:rsidRPr="00414CFB">
              <w:rPr>
                <w:rFonts w:eastAsia="Times New Roman" w:cs="Times New Roman"/>
                <w:b/>
                <w:bCs/>
                <w:color w:val="000000"/>
                <w:sz w:val="18"/>
                <w:szCs w:val="18"/>
                <w:lang w:eastAsia="sk-SK"/>
              </w:rPr>
              <w:t>Rozpočet</w:t>
            </w:r>
          </w:p>
        </w:tc>
        <w:tc>
          <w:tcPr>
            <w:tcW w:w="1134" w:type="dxa"/>
            <w:tcBorders>
              <w:top w:val="nil"/>
              <w:left w:val="nil"/>
              <w:bottom w:val="nil"/>
              <w:right w:val="nil"/>
            </w:tcBorders>
            <w:shd w:val="clear" w:color="000000" w:fill="BFBFBF"/>
            <w:noWrap/>
            <w:vAlign w:val="center"/>
            <w:hideMark/>
          </w:tcPr>
          <w:p w14:paraId="1940EB3E" w14:textId="77777777" w:rsidR="00867564" w:rsidRPr="00414CFB" w:rsidRDefault="00867564" w:rsidP="007F0D38">
            <w:pPr>
              <w:spacing w:after="0" w:line="240" w:lineRule="auto"/>
              <w:jc w:val="center"/>
              <w:rPr>
                <w:rFonts w:eastAsia="Times New Roman" w:cs="Times New Roman"/>
                <w:b/>
                <w:bCs/>
                <w:color w:val="000000"/>
                <w:sz w:val="18"/>
                <w:szCs w:val="18"/>
                <w:lang w:eastAsia="sk-SK"/>
              </w:rPr>
            </w:pPr>
            <w:r w:rsidRPr="00414CFB">
              <w:rPr>
                <w:rFonts w:eastAsia="Times New Roman" w:cs="Times New Roman"/>
                <w:b/>
                <w:bCs/>
                <w:color w:val="000000"/>
                <w:sz w:val="18"/>
                <w:szCs w:val="18"/>
                <w:lang w:eastAsia="sk-SK"/>
              </w:rPr>
              <w:t>Skutočnosť</w:t>
            </w:r>
          </w:p>
        </w:tc>
        <w:tc>
          <w:tcPr>
            <w:tcW w:w="1843" w:type="dxa"/>
            <w:gridSpan w:val="2"/>
            <w:tcBorders>
              <w:top w:val="nil"/>
              <w:left w:val="nil"/>
              <w:bottom w:val="nil"/>
              <w:right w:val="nil"/>
            </w:tcBorders>
            <w:shd w:val="clear" w:color="000000" w:fill="BFBFBF"/>
            <w:noWrap/>
            <w:vAlign w:val="center"/>
            <w:hideMark/>
          </w:tcPr>
          <w:p w14:paraId="6A8D731A" w14:textId="77777777" w:rsidR="00867564" w:rsidRPr="00414CFB" w:rsidRDefault="00867564" w:rsidP="007F0D38">
            <w:pPr>
              <w:spacing w:after="0" w:line="240" w:lineRule="auto"/>
              <w:jc w:val="center"/>
              <w:rPr>
                <w:rFonts w:eastAsia="Times New Roman" w:cs="Times New Roman"/>
                <w:b/>
                <w:bCs/>
                <w:color w:val="000000"/>
                <w:sz w:val="18"/>
                <w:szCs w:val="18"/>
                <w:lang w:eastAsia="sk-SK"/>
              </w:rPr>
            </w:pPr>
            <w:r w:rsidRPr="00414CFB">
              <w:rPr>
                <w:rFonts w:eastAsia="Times New Roman" w:cs="Times New Roman"/>
                <w:b/>
                <w:bCs/>
                <w:color w:val="000000"/>
                <w:sz w:val="18"/>
                <w:szCs w:val="18"/>
                <w:lang w:eastAsia="sk-SK"/>
              </w:rPr>
              <w:t>Rozdiel</w:t>
            </w:r>
          </w:p>
        </w:tc>
      </w:tr>
      <w:tr w:rsidR="00867564" w:rsidRPr="00414CFB" w14:paraId="35A55DEC" w14:textId="77777777" w:rsidTr="00C53668">
        <w:trPr>
          <w:trHeight w:val="237"/>
        </w:trPr>
        <w:tc>
          <w:tcPr>
            <w:tcW w:w="3261" w:type="dxa"/>
            <w:vMerge/>
            <w:tcBorders>
              <w:top w:val="nil"/>
              <w:left w:val="nil"/>
              <w:bottom w:val="nil"/>
              <w:right w:val="nil"/>
            </w:tcBorders>
            <w:vAlign w:val="center"/>
            <w:hideMark/>
          </w:tcPr>
          <w:p w14:paraId="529F979E" w14:textId="77777777" w:rsidR="00867564" w:rsidRPr="00414CFB" w:rsidRDefault="00867564" w:rsidP="007F0D38">
            <w:pPr>
              <w:spacing w:after="0" w:line="240" w:lineRule="auto"/>
              <w:rPr>
                <w:rFonts w:eastAsia="Times New Roman" w:cs="Times New Roman"/>
                <w:b/>
                <w:bCs/>
                <w:color w:val="000000"/>
                <w:sz w:val="18"/>
                <w:szCs w:val="18"/>
                <w:lang w:eastAsia="sk-SK"/>
              </w:rPr>
            </w:pPr>
          </w:p>
        </w:tc>
        <w:tc>
          <w:tcPr>
            <w:tcW w:w="975" w:type="dxa"/>
            <w:tcBorders>
              <w:top w:val="nil"/>
              <w:left w:val="nil"/>
              <w:bottom w:val="nil"/>
              <w:right w:val="nil"/>
            </w:tcBorders>
            <w:shd w:val="clear" w:color="000000" w:fill="BFBFBF"/>
            <w:noWrap/>
            <w:vAlign w:val="center"/>
            <w:hideMark/>
          </w:tcPr>
          <w:p w14:paraId="4F88786A" w14:textId="77777777" w:rsidR="00867564" w:rsidRPr="00414CFB" w:rsidRDefault="00867564" w:rsidP="007F0D38">
            <w:pPr>
              <w:spacing w:after="0" w:line="240" w:lineRule="auto"/>
              <w:jc w:val="center"/>
              <w:rPr>
                <w:rFonts w:eastAsia="Times New Roman" w:cs="Times New Roman"/>
                <w:b/>
                <w:bCs/>
                <w:color w:val="000000"/>
                <w:sz w:val="18"/>
                <w:szCs w:val="18"/>
                <w:lang w:eastAsia="sk-SK"/>
              </w:rPr>
            </w:pPr>
            <w:r w:rsidRPr="00414CFB">
              <w:rPr>
                <w:rFonts w:eastAsia="Times New Roman" w:cs="Times New Roman"/>
                <w:b/>
                <w:bCs/>
                <w:color w:val="000000"/>
                <w:sz w:val="18"/>
                <w:szCs w:val="18"/>
                <w:lang w:eastAsia="sk-SK"/>
              </w:rPr>
              <w:t>2018</w:t>
            </w:r>
          </w:p>
        </w:tc>
        <w:tc>
          <w:tcPr>
            <w:tcW w:w="974" w:type="dxa"/>
            <w:tcBorders>
              <w:top w:val="nil"/>
              <w:left w:val="nil"/>
              <w:bottom w:val="nil"/>
              <w:right w:val="nil"/>
            </w:tcBorders>
            <w:shd w:val="clear" w:color="000000" w:fill="BFBFBF"/>
            <w:noWrap/>
            <w:vAlign w:val="center"/>
            <w:hideMark/>
          </w:tcPr>
          <w:p w14:paraId="4180698D" w14:textId="77777777" w:rsidR="00867564" w:rsidRPr="00414CFB" w:rsidRDefault="00867564" w:rsidP="007F0D38">
            <w:pPr>
              <w:spacing w:after="0" w:line="240" w:lineRule="auto"/>
              <w:jc w:val="center"/>
              <w:rPr>
                <w:rFonts w:eastAsia="Times New Roman" w:cs="Times New Roman"/>
                <w:b/>
                <w:bCs/>
                <w:color w:val="000000"/>
                <w:sz w:val="18"/>
                <w:szCs w:val="18"/>
                <w:lang w:eastAsia="sk-SK"/>
              </w:rPr>
            </w:pPr>
            <w:r w:rsidRPr="00414CFB">
              <w:rPr>
                <w:rFonts w:eastAsia="Times New Roman" w:cs="Times New Roman"/>
                <w:b/>
                <w:bCs/>
                <w:color w:val="000000"/>
                <w:sz w:val="18"/>
                <w:szCs w:val="18"/>
                <w:lang w:eastAsia="sk-SK"/>
              </w:rPr>
              <w:t>2019</w:t>
            </w:r>
          </w:p>
        </w:tc>
        <w:tc>
          <w:tcPr>
            <w:tcW w:w="1027" w:type="dxa"/>
            <w:tcBorders>
              <w:top w:val="nil"/>
              <w:left w:val="nil"/>
              <w:bottom w:val="nil"/>
              <w:right w:val="nil"/>
            </w:tcBorders>
            <w:shd w:val="clear" w:color="000000" w:fill="BFBFBF"/>
            <w:noWrap/>
            <w:vAlign w:val="center"/>
            <w:hideMark/>
          </w:tcPr>
          <w:p w14:paraId="765E2767" w14:textId="77777777" w:rsidR="00867564" w:rsidRPr="00414CFB" w:rsidRDefault="00867564" w:rsidP="007F0D38">
            <w:pPr>
              <w:spacing w:after="0" w:line="240" w:lineRule="auto"/>
              <w:jc w:val="center"/>
              <w:rPr>
                <w:rFonts w:eastAsia="Times New Roman" w:cs="Times New Roman"/>
                <w:b/>
                <w:bCs/>
                <w:color w:val="000000"/>
                <w:sz w:val="18"/>
                <w:szCs w:val="18"/>
                <w:lang w:eastAsia="sk-SK"/>
              </w:rPr>
            </w:pPr>
            <w:r w:rsidRPr="00414CFB">
              <w:rPr>
                <w:rFonts w:eastAsia="Times New Roman" w:cs="Times New Roman"/>
                <w:b/>
                <w:bCs/>
                <w:color w:val="000000"/>
                <w:sz w:val="18"/>
                <w:szCs w:val="18"/>
                <w:lang w:eastAsia="sk-SK"/>
              </w:rPr>
              <w:t>2020</w:t>
            </w:r>
          </w:p>
        </w:tc>
        <w:tc>
          <w:tcPr>
            <w:tcW w:w="1134" w:type="dxa"/>
            <w:tcBorders>
              <w:top w:val="nil"/>
              <w:left w:val="nil"/>
              <w:bottom w:val="nil"/>
              <w:right w:val="nil"/>
            </w:tcBorders>
            <w:shd w:val="clear" w:color="000000" w:fill="BFBFBF"/>
            <w:noWrap/>
            <w:vAlign w:val="center"/>
            <w:hideMark/>
          </w:tcPr>
          <w:p w14:paraId="151A8AD0" w14:textId="77777777" w:rsidR="00867564" w:rsidRPr="00414CFB" w:rsidRDefault="00867564" w:rsidP="007F0D38">
            <w:pPr>
              <w:spacing w:after="0" w:line="240" w:lineRule="auto"/>
              <w:jc w:val="center"/>
              <w:rPr>
                <w:rFonts w:eastAsia="Times New Roman" w:cs="Times New Roman"/>
                <w:b/>
                <w:bCs/>
                <w:color w:val="000000"/>
                <w:sz w:val="18"/>
                <w:szCs w:val="18"/>
                <w:lang w:eastAsia="sk-SK"/>
              </w:rPr>
            </w:pPr>
            <w:r w:rsidRPr="00414CFB">
              <w:rPr>
                <w:rFonts w:eastAsia="Times New Roman" w:cs="Times New Roman"/>
                <w:b/>
                <w:bCs/>
                <w:color w:val="000000"/>
                <w:sz w:val="18"/>
                <w:szCs w:val="18"/>
                <w:lang w:eastAsia="sk-SK"/>
              </w:rPr>
              <w:t>2020</w:t>
            </w:r>
          </w:p>
        </w:tc>
        <w:tc>
          <w:tcPr>
            <w:tcW w:w="940" w:type="dxa"/>
            <w:tcBorders>
              <w:top w:val="nil"/>
              <w:left w:val="nil"/>
              <w:bottom w:val="nil"/>
              <w:right w:val="nil"/>
            </w:tcBorders>
            <w:shd w:val="clear" w:color="000000" w:fill="BFBFBF"/>
            <w:noWrap/>
            <w:vAlign w:val="center"/>
            <w:hideMark/>
          </w:tcPr>
          <w:p w14:paraId="364C12B9" w14:textId="77777777" w:rsidR="00867564" w:rsidRPr="00414CFB" w:rsidRDefault="00867564" w:rsidP="007F0D38">
            <w:pPr>
              <w:spacing w:after="0" w:line="240" w:lineRule="auto"/>
              <w:jc w:val="center"/>
              <w:rPr>
                <w:rFonts w:eastAsia="Times New Roman" w:cs="Times New Roman"/>
                <w:b/>
                <w:bCs/>
                <w:color w:val="000000"/>
                <w:sz w:val="18"/>
                <w:szCs w:val="18"/>
                <w:lang w:eastAsia="sk-SK"/>
              </w:rPr>
            </w:pPr>
            <w:r w:rsidRPr="00414CFB">
              <w:rPr>
                <w:rFonts w:eastAsia="Times New Roman" w:cs="Times New Roman"/>
                <w:b/>
                <w:bCs/>
                <w:color w:val="000000"/>
                <w:sz w:val="18"/>
                <w:szCs w:val="18"/>
                <w:lang w:eastAsia="sk-SK"/>
              </w:rPr>
              <w:t>v tis. eur</w:t>
            </w:r>
          </w:p>
        </w:tc>
        <w:tc>
          <w:tcPr>
            <w:tcW w:w="903" w:type="dxa"/>
            <w:tcBorders>
              <w:top w:val="nil"/>
              <w:left w:val="nil"/>
              <w:bottom w:val="nil"/>
              <w:right w:val="nil"/>
            </w:tcBorders>
            <w:shd w:val="clear" w:color="000000" w:fill="BFBFBF"/>
            <w:noWrap/>
            <w:vAlign w:val="center"/>
            <w:hideMark/>
          </w:tcPr>
          <w:p w14:paraId="1F770FC9" w14:textId="77777777" w:rsidR="00867564" w:rsidRPr="00414CFB" w:rsidRDefault="00867564" w:rsidP="007F0D38">
            <w:pPr>
              <w:spacing w:after="0" w:line="240" w:lineRule="auto"/>
              <w:jc w:val="center"/>
              <w:rPr>
                <w:rFonts w:eastAsia="Times New Roman" w:cs="Times New Roman"/>
                <w:b/>
                <w:bCs/>
                <w:color w:val="000000"/>
                <w:sz w:val="18"/>
                <w:szCs w:val="18"/>
                <w:lang w:eastAsia="sk-SK"/>
              </w:rPr>
            </w:pPr>
            <w:r w:rsidRPr="00414CFB">
              <w:rPr>
                <w:rFonts w:eastAsia="Times New Roman" w:cs="Times New Roman"/>
                <w:b/>
                <w:bCs/>
                <w:color w:val="000000"/>
                <w:sz w:val="18"/>
                <w:szCs w:val="18"/>
                <w:lang w:eastAsia="sk-SK"/>
              </w:rPr>
              <w:t>v %</w:t>
            </w:r>
          </w:p>
        </w:tc>
      </w:tr>
      <w:tr w:rsidR="00867564" w:rsidRPr="00414CFB" w14:paraId="315E9397" w14:textId="77777777" w:rsidTr="00C53668">
        <w:trPr>
          <w:trHeight w:val="68"/>
        </w:trPr>
        <w:tc>
          <w:tcPr>
            <w:tcW w:w="3261" w:type="dxa"/>
            <w:tcBorders>
              <w:top w:val="nil"/>
              <w:left w:val="nil"/>
              <w:bottom w:val="single" w:sz="8" w:space="0" w:color="auto"/>
              <w:right w:val="nil"/>
            </w:tcBorders>
            <w:shd w:val="clear" w:color="000000" w:fill="BFBFBF"/>
            <w:vAlign w:val="center"/>
            <w:hideMark/>
          </w:tcPr>
          <w:p w14:paraId="241100A6" w14:textId="77777777" w:rsidR="00867564" w:rsidRPr="00414CFB" w:rsidRDefault="00867564" w:rsidP="007F0D38">
            <w:pPr>
              <w:spacing w:after="0" w:line="240" w:lineRule="auto"/>
              <w:jc w:val="center"/>
              <w:rPr>
                <w:rFonts w:eastAsia="Times New Roman" w:cs="Times New Roman"/>
                <w:b/>
                <w:bCs/>
                <w:color w:val="000000"/>
                <w:sz w:val="18"/>
                <w:szCs w:val="18"/>
                <w:lang w:eastAsia="sk-SK"/>
              </w:rPr>
            </w:pPr>
            <w:r w:rsidRPr="00414CFB">
              <w:rPr>
                <w:rFonts w:eastAsia="Times New Roman" w:cs="Times New Roman"/>
                <w:b/>
                <w:bCs/>
                <w:color w:val="000000"/>
                <w:sz w:val="18"/>
                <w:szCs w:val="18"/>
                <w:lang w:eastAsia="sk-SK"/>
              </w:rPr>
              <w:t> </w:t>
            </w:r>
          </w:p>
        </w:tc>
        <w:tc>
          <w:tcPr>
            <w:tcW w:w="975" w:type="dxa"/>
            <w:tcBorders>
              <w:top w:val="nil"/>
              <w:left w:val="nil"/>
              <w:bottom w:val="single" w:sz="8" w:space="0" w:color="auto"/>
              <w:right w:val="nil"/>
            </w:tcBorders>
            <w:shd w:val="clear" w:color="000000" w:fill="BFBFBF"/>
            <w:noWrap/>
            <w:vAlign w:val="center"/>
            <w:hideMark/>
          </w:tcPr>
          <w:p w14:paraId="3B52B8F2" w14:textId="77777777" w:rsidR="00867564" w:rsidRPr="00414CFB" w:rsidRDefault="00867564" w:rsidP="007F0D38">
            <w:pPr>
              <w:spacing w:after="0" w:line="240" w:lineRule="auto"/>
              <w:jc w:val="center"/>
              <w:rPr>
                <w:rFonts w:eastAsia="Times New Roman" w:cs="Times New Roman"/>
                <w:b/>
                <w:bCs/>
                <w:color w:val="000000"/>
                <w:sz w:val="18"/>
                <w:szCs w:val="18"/>
                <w:lang w:eastAsia="sk-SK"/>
              </w:rPr>
            </w:pPr>
            <w:r w:rsidRPr="00414CFB">
              <w:rPr>
                <w:rFonts w:eastAsia="Times New Roman" w:cs="Times New Roman"/>
                <w:b/>
                <w:bCs/>
                <w:color w:val="000000"/>
                <w:sz w:val="18"/>
                <w:szCs w:val="18"/>
                <w:lang w:eastAsia="sk-SK"/>
              </w:rPr>
              <w:t>1</w:t>
            </w:r>
          </w:p>
        </w:tc>
        <w:tc>
          <w:tcPr>
            <w:tcW w:w="974" w:type="dxa"/>
            <w:tcBorders>
              <w:top w:val="nil"/>
              <w:left w:val="nil"/>
              <w:bottom w:val="single" w:sz="8" w:space="0" w:color="auto"/>
              <w:right w:val="nil"/>
            </w:tcBorders>
            <w:shd w:val="clear" w:color="000000" w:fill="BFBFBF"/>
            <w:noWrap/>
            <w:vAlign w:val="center"/>
            <w:hideMark/>
          </w:tcPr>
          <w:p w14:paraId="6F8DF12E" w14:textId="77777777" w:rsidR="00867564" w:rsidRPr="00414CFB" w:rsidRDefault="00867564" w:rsidP="007F0D38">
            <w:pPr>
              <w:spacing w:after="0" w:line="240" w:lineRule="auto"/>
              <w:jc w:val="center"/>
              <w:rPr>
                <w:rFonts w:eastAsia="Times New Roman" w:cs="Times New Roman"/>
                <w:b/>
                <w:bCs/>
                <w:color w:val="000000"/>
                <w:sz w:val="18"/>
                <w:szCs w:val="18"/>
                <w:lang w:eastAsia="sk-SK"/>
              </w:rPr>
            </w:pPr>
            <w:r w:rsidRPr="00414CFB">
              <w:rPr>
                <w:rFonts w:eastAsia="Times New Roman" w:cs="Times New Roman"/>
                <w:b/>
                <w:bCs/>
                <w:color w:val="000000"/>
                <w:sz w:val="18"/>
                <w:szCs w:val="18"/>
                <w:lang w:eastAsia="sk-SK"/>
              </w:rPr>
              <w:t>2</w:t>
            </w:r>
          </w:p>
        </w:tc>
        <w:tc>
          <w:tcPr>
            <w:tcW w:w="1027" w:type="dxa"/>
            <w:tcBorders>
              <w:top w:val="nil"/>
              <w:left w:val="nil"/>
              <w:bottom w:val="single" w:sz="8" w:space="0" w:color="auto"/>
              <w:right w:val="nil"/>
            </w:tcBorders>
            <w:shd w:val="clear" w:color="000000" w:fill="BFBFBF"/>
            <w:noWrap/>
            <w:vAlign w:val="center"/>
            <w:hideMark/>
          </w:tcPr>
          <w:p w14:paraId="336A66AD" w14:textId="77777777" w:rsidR="00867564" w:rsidRPr="00414CFB" w:rsidRDefault="00867564" w:rsidP="007F0D38">
            <w:pPr>
              <w:spacing w:after="0" w:line="240" w:lineRule="auto"/>
              <w:jc w:val="center"/>
              <w:rPr>
                <w:rFonts w:eastAsia="Times New Roman" w:cs="Times New Roman"/>
                <w:b/>
                <w:bCs/>
                <w:color w:val="000000"/>
                <w:sz w:val="18"/>
                <w:szCs w:val="18"/>
                <w:lang w:eastAsia="sk-SK"/>
              </w:rPr>
            </w:pPr>
            <w:r w:rsidRPr="00414CFB">
              <w:rPr>
                <w:rFonts w:eastAsia="Times New Roman" w:cs="Times New Roman"/>
                <w:b/>
                <w:bCs/>
                <w:color w:val="000000"/>
                <w:sz w:val="18"/>
                <w:szCs w:val="18"/>
                <w:lang w:eastAsia="sk-SK"/>
              </w:rPr>
              <w:t>3</w:t>
            </w:r>
          </w:p>
        </w:tc>
        <w:tc>
          <w:tcPr>
            <w:tcW w:w="1134" w:type="dxa"/>
            <w:tcBorders>
              <w:top w:val="nil"/>
              <w:left w:val="nil"/>
              <w:bottom w:val="single" w:sz="8" w:space="0" w:color="auto"/>
              <w:right w:val="nil"/>
            </w:tcBorders>
            <w:shd w:val="clear" w:color="000000" w:fill="BFBFBF"/>
            <w:noWrap/>
            <w:vAlign w:val="center"/>
            <w:hideMark/>
          </w:tcPr>
          <w:p w14:paraId="13F1C328" w14:textId="77777777" w:rsidR="00867564" w:rsidRPr="00414CFB" w:rsidRDefault="00867564" w:rsidP="007F0D38">
            <w:pPr>
              <w:spacing w:after="0" w:line="240" w:lineRule="auto"/>
              <w:jc w:val="center"/>
              <w:rPr>
                <w:rFonts w:eastAsia="Times New Roman" w:cs="Times New Roman"/>
                <w:b/>
                <w:bCs/>
                <w:color w:val="000000"/>
                <w:sz w:val="18"/>
                <w:szCs w:val="18"/>
                <w:lang w:eastAsia="sk-SK"/>
              </w:rPr>
            </w:pPr>
            <w:r w:rsidRPr="00414CFB">
              <w:rPr>
                <w:rFonts w:eastAsia="Times New Roman" w:cs="Times New Roman"/>
                <w:b/>
                <w:bCs/>
                <w:color w:val="000000"/>
                <w:sz w:val="18"/>
                <w:szCs w:val="18"/>
                <w:lang w:eastAsia="sk-SK"/>
              </w:rPr>
              <w:t>4</w:t>
            </w:r>
          </w:p>
        </w:tc>
        <w:tc>
          <w:tcPr>
            <w:tcW w:w="940" w:type="dxa"/>
            <w:tcBorders>
              <w:top w:val="nil"/>
              <w:left w:val="nil"/>
              <w:bottom w:val="single" w:sz="8" w:space="0" w:color="auto"/>
              <w:right w:val="nil"/>
            </w:tcBorders>
            <w:shd w:val="clear" w:color="000000" w:fill="BFBFBF"/>
            <w:noWrap/>
            <w:vAlign w:val="center"/>
            <w:hideMark/>
          </w:tcPr>
          <w:p w14:paraId="3CD893DF" w14:textId="77777777" w:rsidR="00867564" w:rsidRPr="00414CFB" w:rsidRDefault="00867564" w:rsidP="007F0D38">
            <w:pPr>
              <w:spacing w:after="0" w:line="240" w:lineRule="auto"/>
              <w:jc w:val="center"/>
              <w:rPr>
                <w:rFonts w:eastAsia="Times New Roman" w:cs="Times New Roman"/>
                <w:b/>
                <w:bCs/>
                <w:color w:val="000000"/>
                <w:sz w:val="18"/>
                <w:szCs w:val="18"/>
                <w:lang w:eastAsia="sk-SK"/>
              </w:rPr>
            </w:pPr>
            <w:r w:rsidRPr="00414CFB">
              <w:rPr>
                <w:rFonts w:eastAsia="Times New Roman" w:cs="Times New Roman"/>
                <w:b/>
                <w:bCs/>
                <w:color w:val="000000"/>
                <w:sz w:val="18"/>
                <w:szCs w:val="18"/>
                <w:lang w:eastAsia="sk-SK"/>
              </w:rPr>
              <w:t>5=4-3</w:t>
            </w:r>
          </w:p>
        </w:tc>
        <w:tc>
          <w:tcPr>
            <w:tcW w:w="903" w:type="dxa"/>
            <w:tcBorders>
              <w:top w:val="nil"/>
              <w:left w:val="nil"/>
              <w:bottom w:val="single" w:sz="8" w:space="0" w:color="auto"/>
              <w:right w:val="nil"/>
            </w:tcBorders>
            <w:shd w:val="clear" w:color="000000" w:fill="BFBFBF"/>
            <w:noWrap/>
            <w:vAlign w:val="center"/>
            <w:hideMark/>
          </w:tcPr>
          <w:p w14:paraId="5BADB0A5" w14:textId="77777777" w:rsidR="00867564" w:rsidRPr="00414CFB" w:rsidRDefault="00867564" w:rsidP="007F0D38">
            <w:pPr>
              <w:spacing w:after="0" w:line="240" w:lineRule="auto"/>
              <w:jc w:val="center"/>
              <w:rPr>
                <w:rFonts w:eastAsia="Times New Roman" w:cs="Times New Roman"/>
                <w:b/>
                <w:bCs/>
                <w:color w:val="000000"/>
                <w:sz w:val="18"/>
                <w:szCs w:val="18"/>
                <w:lang w:eastAsia="sk-SK"/>
              </w:rPr>
            </w:pPr>
            <w:r w:rsidRPr="00414CFB">
              <w:rPr>
                <w:rFonts w:eastAsia="Times New Roman" w:cs="Times New Roman"/>
                <w:b/>
                <w:bCs/>
                <w:color w:val="000000"/>
                <w:sz w:val="18"/>
                <w:szCs w:val="18"/>
                <w:lang w:eastAsia="sk-SK"/>
              </w:rPr>
              <w:t>6=4-3</w:t>
            </w:r>
          </w:p>
        </w:tc>
      </w:tr>
      <w:tr w:rsidR="00867564" w:rsidRPr="00414CFB" w14:paraId="5D66AF6A" w14:textId="77777777" w:rsidTr="00C53668">
        <w:trPr>
          <w:trHeight w:val="709"/>
        </w:trPr>
        <w:tc>
          <w:tcPr>
            <w:tcW w:w="3261" w:type="dxa"/>
            <w:tcBorders>
              <w:top w:val="nil"/>
              <w:left w:val="nil"/>
              <w:bottom w:val="nil"/>
              <w:right w:val="nil"/>
            </w:tcBorders>
            <w:shd w:val="clear" w:color="auto" w:fill="auto"/>
            <w:vAlign w:val="center"/>
            <w:hideMark/>
          </w:tcPr>
          <w:p w14:paraId="1450E60B" w14:textId="77777777" w:rsidR="00867564" w:rsidRPr="00414CFB" w:rsidRDefault="00867564" w:rsidP="007F0D38">
            <w:pPr>
              <w:spacing w:after="0" w:line="240" w:lineRule="auto"/>
              <w:rPr>
                <w:rFonts w:eastAsia="Times New Roman" w:cs="Times New Roman"/>
                <w:color w:val="000000"/>
                <w:sz w:val="18"/>
                <w:szCs w:val="18"/>
                <w:lang w:eastAsia="sk-SK"/>
              </w:rPr>
            </w:pPr>
            <w:r w:rsidRPr="00414CFB">
              <w:rPr>
                <w:rFonts w:eastAsia="Times New Roman" w:cs="Times New Roman"/>
                <w:color w:val="000000"/>
                <w:sz w:val="18"/>
                <w:szCs w:val="18"/>
                <w:lang w:eastAsia="sk-SK"/>
              </w:rPr>
              <w:t>Mzdy, platy, služobné príjmy a ostatné osobné vyrovnania</w:t>
            </w:r>
          </w:p>
        </w:tc>
        <w:tc>
          <w:tcPr>
            <w:tcW w:w="975" w:type="dxa"/>
            <w:tcBorders>
              <w:top w:val="nil"/>
              <w:left w:val="nil"/>
              <w:bottom w:val="nil"/>
              <w:right w:val="nil"/>
            </w:tcBorders>
            <w:shd w:val="clear" w:color="auto" w:fill="auto"/>
            <w:noWrap/>
            <w:vAlign w:val="center"/>
            <w:hideMark/>
          </w:tcPr>
          <w:p w14:paraId="7E95F3D5" w14:textId="77777777" w:rsidR="00867564" w:rsidRPr="00414CFB" w:rsidRDefault="00867564" w:rsidP="007F0D38">
            <w:pPr>
              <w:spacing w:after="0" w:line="240" w:lineRule="auto"/>
              <w:jc w:val="right"/>
              <w:rPr>
                <w:rFonts w:eastAsia="Times New Roman" w:cs="Times New Roman"/>
                <w:color w:val="000000"/>
                <w:sz w:val="18"/>
                <w:szCs w:val="18"/>
                <w:lang w:eastAsia="sk-SK"/>
              </w:rPr>
            </w:pPr>
            <w:r w:rsidRPr="00414CFB">
              <w:rPr>
                <w:rFonts w:eastAsia="Times New Roman" w:cs="Times New Roman"/>
                <w:color w:val="000000"/>
                <w:sz w:val="18"/>
                <w:szCs w:val="18"/>
                <w:lang w:eastAsia="sk-SK"/>
              </w:rPr>
              <w:t>2 026 060</w:t>
            </w:r>
          </w:p>
        </w:tc>
        <w:tc>
          <w:tcPr>
            <w:tcW w:w="974" w:type="dxa"/>
            <w:tcBorders>
              <w:top w:val="nil"/>
              <w:left w:val="nil"/>
              <w:bottom w:val="nil"/>
              <w:right w:val="nil"/>
            </w:tcBorders>
            <w:shd w:val="clear" w:color="auto" w:fill="auto"/>
            <w:noWrap/>
            <w:vAlign w:val="center"/>
            <w:hideMark/>
          </w:tcPr>
          <w:p w14:paraId="59B8294A" w14:textId="77777777" w:rsidR="00867564" w:rsidRPr="00414CFB" w:rsidRDefault="00867564" w:rsidP="007F0D38">
            <w:pPr>
              <w:spacing w:after="0" w:line="240" w:lineRule="auto"/>
              <w:jc w:val="right"/>
              <w:rPr>
                <w:rFonts w:eastAsia="Times New Roman" w:cs="Times New Roman"/>
                <w:color w:val="000000"/>
                <w:sz w:val="18"/>
                <w:szCs w:val="18"/>
                <w:lang w:eastAsia="sk-SK"/>
              </w:rPr>
            </w:pPr>
            <w:r w:rsidRPr="00414CFB">
              <w:rPr>
                <w:rFonts w:eastAsia="Times New Roman" w:cs="Times New Roman"/>
                <w:color w:val="000000"/>
                <w:sz w:val="18"/>
                <w:szCs w:val="18"/>
                <w:lang w:eastAsia="sk-SK"/>
              </w:rPr>
              <w:t>2 322 962</w:t>
            </w:r>
          </w:p>
        </w:tc>
        <w:tc>
          <w:tcPr>
            <w:tcW w:w="1027" w:type="dxa"/>
            <w:tcBorders>
              <w:top w:val="nil"/>
              <w:left w:val="nil"/>
              <w:bottom w:val="nil"/>
              <w:right w:val="nil"/>
            </w:tcBorders>
            <w:shd w:val="clear" w:color="auto" w:fill="auto"/>
            <w:noWrap/>
            <w:vAlign w:val="center"/>
            <w:hideMark/>
          </w:tcPr>
          <w:p w14:paraId="0914DFEA" w14:textId="77777777" w:rsidR="00867564" w:rsidRPr="00414CFB" w:rsidRDefault="00867564" w:rsidP="007F0D38">
            <w:pPr>
              <w:spacing w:after="0" w:line="240" w:lineRule="auto"/>
              <w:jc w:val="right"/>
              <w:rPr>
                <w:rFonts w:eastAsia="Times New Roman" w:cs="Times New Roman"/>
                <w:color w:val="000000"/>
                <w:sz w:val="18"/>
                <w:szCs w:val="18"/>
                <w:lang w:eastAsia="sk-SK"/>
              </w:rPr>
            </w:pPr>
            <w:r w:rsidRPr="00414CFB">
              <w:rPr>
                <w:rFonts w:eastAsia="Times New Roman" w:cs="Times New Roman"/>
                <w:color w:val="000000"/>
                <w:sz w:val="18"/>
                <w:szCs w:val="18"/>
                <w:lang w:eastAsia="sk-SK"/>
              </w:rPr>
              <w:t>2 426 676</w:t>
            </w:r>
          </w:p>
        </w:tc>
        <w:tc>
          <w:tcPr>
            <w:tcW w:w="1134" w:type="dxa"/>
            <w:tcBorders>
              <w:top w:val="nil"/>
              <w:left w:val="nil"/>
              <w:bottom w:val="nil"/>
              <w:right w:val="nil"/>
            </w:tcBorders>
            <w:shd w:val="clear" w:color="000000" w:fill="BFBFBF"/>
            <w:noWrap/>
            <w:vAlign w:val="center"/>
            <w:hideMark/>
          </w:tcPr>
          <w:p w14:paraId="00DEDA4B" w14:textId="77777777" w:rsidR="00867564" w:rsidRPr="00414CFB" w:rsidRDefault="00867564" w:rsidP="007F0D38">
            <w:pPr>
              <w:spacing w:after="0" w:line="240" w:lineRule="auto"/>
              <w:jc w:val="right"/>
              <w:rPr>
                <w:rFonts w:eastAsia="Times New Roman" w:cs="Times New Roman"/>
                <w:color w:val="000000"/>
                <w:sz w:val="18"/>
                <w:szCs w:val="18"/>
                <w:lang w:eastAsia="sk-SK"/>
              </w:rPr>
            </w:pPr>
            <w:r w:rsidRPr="00414CFB">
              <w:rPr>
                <w:rFonts w:eastAsia="Times New Roman" w:cs="Times New Roman"/>
                <w:color w:val="000000"/>
                <w:sz w:val="18"/>
                <w:szCs w:val="18"/>
                <w:lang w:eastAsia="sk-SK"/>
              </w:rPr>
              <w:t>2 573 842</w:t>
            </w:r>
          </w:p>
        </w:tc>
        <w:tc>
          <w:tcPr>
            <w:tcW w:w="940" w:type="dxa"/>
            <w:tcBorders>
              <w:top w:val="nil"/>
              <w:left w:val="nil"/>
              <w:bottom w:val="nil"/>
              <w:right w:val="nil"/>
            </w:tcBorders>
            <w:shd w:val="clear" w:color="auto" w:fill="auto"/>
            <w:noWrap/>
            <w:vAlign w:val="center"/>
            <w:hideMark/>
          </w:tcPr>
          <w:p w14:paraId="00693143" w14:textId="77777777" w:rsidR="00867564" w:rsidRPr="00414CFB" w:rsidRDefault="00867564" w:rsidP="007F0D38">
            <w:pPr>
              <w:spacing w:after="0" w:line="240" w:lineRule="auto"/>
              <w:jc w:val="right"/>
              <w:rPr>
                <w:rFonts w:eastAsia="Times New Roman" w:cs="Times New Roman"/>
                <w:color w:val="000000"/>
                <w:sz w:val="18"/>
                <w:szCs w:val="18"/>
                <w:lang w:eastAsia="sk-SK"/>
              </w:rPr>
            </w:pPr>
            <w:r w:rsidRPr="00414CFB">
              <w:rPr>
                <w:rFonts w:eastAsia="Times New Roman" w:cs="Times New Roman"/>
                <w:color w:val="000000"/>
                <w:sz w:val="18"/>
                <w:szCs w:val="18"/>
                <w:lang w:eastAsia="sk-SK"/>
              </w:rPr>
              <w:t>147 166</w:t>
            </w:r>
          </w:p>
        </w:tc>
        <w:tc>
          <w:tcPr>
            <w:tcW w:w="903" w:type="dxa"/>
            <w:tcBorders>
              <w:top w:val="nil"/>
              <w:left w:val="nil"/>
              <w:bottom w:val="nil"/>
              <w:right w:val="nil"/>
            </w:tcBorders>
            <w:shd w:val="clear" w:color="auto" w:fill="auto"/>
            <w:noWrap/>
            <w:vAlign w:val="center"/>
            <w:hideMark/>
          </w:tcPr>
          <w:p w14:paraId="5E938BCA" w14:textId="77777777" w:rsidR="00867564" w:rsidRPr="00414CFB" w:rsidRDefault="00867564" w:rsidP="007F0D38">
            <w:pPr>
              <w:spacing w:after="0" w:line="240" w:lineRule="auto"/>
              <w:jc w:val="right"/>
              <w:rPr>
                <w:rFonts w:eastAsia="Times New Roman" w:cs="Times New Roman"/>
                <w:color w:val="000000"/>
                <w:sz w:val="18"/>
                <w:szCs w:val="18"/>
                <w:lang w:eastAsia="sk-SK"/>
              </w:rPr>
            </w:pPr>
            <w:r w:rsidRPr="00414CFB">
              <w:rPr>
                <w:rFonts w:eastAsia="Times New Roman" w:cs="Times New Roman"/>
                <w:color w:val="000000"/>
                <w:sz w:val="18"/>
                <w:szCs w:val="18"/>
                <w:lang w:eastAsia="sk-SK"/>
              </w:rPr>
              <w:t>6,1</w:t>
            </w:r>
          </w:p>
        </w:tc>
      </w:tr>
      <w:tr w:rsidR="00867564" w:rsidRPr="00414CFB" w14:paraId="1129AA98" w14:textId="77777777" w:rsidTr="00C53668">
        <w:trPr>
          <w:trHeight w:val="312"/>
        </w:trPr>
        <w:tc>
          <w:tcPr>
            <w:tcW w:w="3261" w:type="dxa"/>
            <w:tcBorders>
              <w:top w:val="nil"/>
              <w:left w:val="nil"/>
              <w:bottom w:val="nil"/>
              <w:right w:val="nil"/>
            </w:tcBorders>
            <w:shd w:val="clear" w:color="auto" w:fill="auto"/>
            <w:vAlign w:val="center"/>
            <w:hideMark/>
          </w:tcPr>
          <w:p w14:paraId="47646095" w14:textId="77777777" w:rsidR="00867564" w:rsidRPr="00414CFB" w:rsidRDefault="00867564" w:rsidP="007F0D38">
            <w:pPr>
              <w:spacing w:after="0" w:line="240" w:lineRule="auto"/>
              <w:rPr>
                <w:rFonts w:eastAsia="Times New Roman" w:cs="Times New Roman"/>
                <w:color w:val="000000"/>
                <w:sz w:val="18"/>
                <w:szCs w:val="18"/>
                <w:lang w:eastAsia="sk-SK"/>
              </w:rPr>
            </w:pPr>
            <w:r w:rsidRPr="00414CFB">
              <w:rPr>
                <w:rFonts w:eastAsia="Times New Roman" w:cs="Times New Roman"/>
                <w:color w:val="000000"/>
                <w:sz w:val="18"/>
                <w:szCs w:val="18"/>
                <w:lang w:eastAsia="sk-SK"/>
              </w:rPr>
              <w:t>Poistné a príspevok do poisťovní</w:t>
            </w:r>
          </w:p>
        </w:tc>
        <w:tc>
          <w:tcPr>
            <w:tcW w:w="975" w:type="dxa"/>
            <w:tcBorders>
              <w:top w:val="nil"/>
              <w:left w:val="nil"/>
              <w:bottom w:val="nil"/>
              <w:right w:val="nil"/>
            </w:tcBorders>
            <w:shd w:val="clear" w:color="auto" w:fill="auto"/>
            <w:noWrap/>
            <w:vAlign w:val="center"/>
            <w:hideMark/>
          </w:tcPr>
          <w:p w14:paraId="70D9FD42" w14:textId="77777777" w:rsidR="00867564" w:rsidRPr="00414CFB" w:rsidRDefault="00867564" w:rsidP="007F0D38">
            <w:pPr>
              <w:spacing w:after="0" w:line="240" w:lineRule="auto"/>
              <w:jc w:val="right"/>
              <w:rPr>
                <w:rFonts w:eastAsia="Times New Roman" w:cs="Times New Roman"/>
                <w:color w:val="000000"/>
                <w:sz w:val="18"/>
                <w:szCs w:val="18"/>
                <w:lang w:eastAsia="sk-SK"/>
              </w:rPr>
            </w:pPr>
            <w:r w:rsidRPr="00414CFB">
              <w:rPr>
                <w:rFonts w:eastAsia="Times New Roman" w:cs="Times New Roman"/>
                <w:color w:val="000000"/>
                <w:sz w:val="18"/>
                <w:szCs w:val="18"/>
                <w:lang w:eastAsia="sk-SK"/>
              </w:rPr>
              <w:t>728 292</w:t>
            </w:r>
          </w:p>
        </w:tc>
        <w:tc>
          <w:tcPr>
            <w:tcW w:w="974" w:type="dxa"/>
            <w:tcBorders>
              <w:top w:val="nil"/>
              <w:left w:val="nil"/>
              <w:bottom w:val="nil"/>
              <w:right w:val="nil"/>
            </w:tcBorders>
            <w:shd w:val="clear" w:color="auto" w:fill="auto"/>
            <w:noWrap/>
            <w:vAlign w:val="center"/>
            <w:hideMark/>
          </w:tcPr>
          <w:p w14:paraId="75D5B19A" w14:textId="77777777" w:rsidR="00867564" w:rsidRPr="00414CFB" w:rsidRDefault="00867564" w:rsidP="007F0D38">
            <w:pPr>
              <w:spacing w:after="0" w:line="240" w:lineRule="auto"/>
              <w:jc w:val="right"/>
              <w:rPr>
                <w:rFonts w:eastAsia="Times New Roman" w:cs="Times New Roman"/>
                <w:color w:val="000000"/>
                <w:sz w:val="18"/>
                <w:szCs w:val="18"/>
                <w:lang w:eastAsia="sk-SK"/>
              </w:rPr>
            </w:pPr>
            <w:r w:rsidRPr="00414CFB">
              <w:rPr>
                <w:rFonts w:eastAsia="Times New Roman" w:cs="Times New Roman"/>
                <w:color w:val="000000"/>
                <w:sz w:val="18"/>
                <w:szCs w:val="18"/>
                <w:lang w:eastAsia="sk-SK"/>
              </w:rPr>
              <w:t>832 828</w:t>
            </w:r>
          </w:p>
        </w:tc>
        <w:tc>
          <w:tcPr>
            <w:tcW w:w="1027" w:type="dxa"/>
            <w:tcBorders>
              <w:top w:val="nil"/>
              <w:left w:val="nil"/>
              <w:bottom w:val="nil"/>
              <w:right w:val="nil"/>
            </w:tcBorders>
            <w:shd w:val="clear" w:color="auto" w:fill="auto"/>
            <w:noWrap/>
            <w:vAlign w:val="center"/>
            <w:hideMark/>
          </w:tcPr>
          <w:p w14:paraId="220B5F0D" w14:textId="77777777" w:rsidR="00867564" w:rsidRPr="00414CFB" w:rsidRDefault="00867564" w:rsidP="007F0D38">
            <w:pPr>
              <w:spacing w:after="0" w:line="240" w:lineRule="auto"/>
              <w:jc w:val="right"/>
              <w:rPr>
                <w:rFonts w:eastAsia="Times New Roman" w:cs="Times New Roman"/>
                <w:color w:val="000000"/>
                <w:sz w:val="18"/>
                <w:szCs w:val="18"/>
                <w:lang w:eastAsia="sk-SK"/>
              </w:rPr>
            </w:pPr>
            <w:r w:rsidRPr="00414CFB">
              <w:rPr>
                <w:rFonts w:eastAsia="Times New Roman" w:cs="Times New Roman"/>
                <w:color w:val="000000"/>
                <w:sz w:val="18"/>
                <w:szCs w:val="18"/>
                <w:lang w:eastAsia="sk-SK"/>
              </w:rPr>
              <w:t>855 329</w:t>
            </w:r>
          </w:p>
        </w:tc>
        <w:tc>
          <w:tcPr>
            <w:tcW w:w="1134" w:type="dxa"/>
            <w:tcBorders>
              <w:top w:val="nil"/>
              <w:left w:val="nil"/>
              <w:bottom w:val="nil"/>
              <w:right w:val="nil"/>
            </w:tcBorders>
            <w:shd w:val="clear" w:color="000000" w:fill="BFBFBF"/>
            <w:noWrap/>
            <w:vAlign w:val="center"/>
            <w:hideMark/>
          </w:tcPr>
          <w:p w14:paraId="294A442D" w14:textId="77777777" w:rsidR="00867564" w:rsidRPr="00414CFB" w:rsidRDefault="00867564" w:rsidP="007F0D38">
            <w:pPr>
              <w:spacing w:after="0" w:line="240" w:lineRule="auto"/>
              <w:jc w:val="right"/>
              <w:rPr>
                <w:rFonts w:eastAsia="Times New Roman" w:cs="Times New Roman"/>
                <w:color w:val="000000"/>
                <w:sz w:val="18"/>
                <w:szCs w:val="18"/>
                <w:lang w:eastAsia="sk-SK"/>
              </w:rPr>
            </w:pPr>
            <w:r w:rsidRPr="00414CFB">
              <w:rPr>
                <w:rFonts w:eastAsia="Times New Roman" w:cs="Times New Roman"/>
                <w:color w:val="000000"/>
                <w:sz w:val="18"/>
                <w:szCs w:val="18"/>
                <w:lang w:eastAsia="sk-SK"/>
              </w:rPr>
              <w:t>928 542</w:t>
            </w:r>
          </w:p>
        </w:tc>
        <w:tc>
          <w:tcPr>
            <w:tcW w:w="940" w:type="dxa"/>
            <w:tcBorders>
              <w:top w:val="nil"/>
              <w:left w:val="nil"/>
              <w:bottom w:val="nil"/>
              <w:right w:val="nil"/>
            </w:tcBorders>
            <w:shd w:val="clear" w:color="auto" w:fill="auto"/>
            <w:noWrap/>
            <w:vAlign w:val="center"/>
            <w:hideMark/>
          </w:tcPr>
          <w:p w14:paraId="21262CA5" w14:textId="77777777" w:rsidR="00867564" w:rsidRPr="00414CFB" w:rsidRDefault="00867564" w:rsidP="007F0D38">
            <w:pPr>
              <w:spacing w:after="0" w:line="240" w:lineRule="auto"/>
              <w:jc w:val="right"/>
              <w:rPr>
                <w:rFonts w:eastAsia="Times New Roman" w:cs="Times New Roman"/>
                <w:color w:val="000000"/>
                <w:sz w:val="18"/>
                <w:szCs w:val="18"/>
                <w:lang w:eastAsia="sk-SK"/>
              </w:rPr>
            </w:pPr>
            <w:r w:rsidRPr="00414CFB">
              <w:rPr>
                <w:rFonts w:eastAsia="Times New Roman" w:cs="Times New Roman"/>
                <w:color w:val="000000"/>
                <w:sz w:val="18"/>
                <w:szCs w:val="18"/>
                <w:lang w:eastAsia="sk-SK"/>
              </w:rPr>
              <w:t>73 213</w:t>
            </w:r>
          </w:p>
        </w:tc>
        <w:tc>
          <w:tcPr>
            <w:tcW w:w="903" w:type="dxa"/>
            <w:tcBorders>
              <w:top w:val="nil"/>
              <w:left w:val="nil"/>
              <w:bottom w:val="nil"/>
              <w:right w:val="nil"/>
            </w:tcBorders>
            <w:shd w:val="clear" w:color="auto" w:fill="auto"/>
            <w:noWrap/>
            <w:vAlign w:val="center"/>
            <w:hideMark/>
          </w:tcPr>
          <w:p w14:paraId="508B758E" w14:textId="77777777" w:rsidR="00867564" w:rsidRPr="00414CFB" w:rsidRDefault="00867564" w:rsidP="007F0D38">
            <w:pPr>
              <w:spacing w:after="0" w:line="240" w:lineRule="auto"/>
              <w:jc w:val="right"/>
              <w:rPr>
                <w:rFonts w:eastAsia="Times New Roman" w:cs="Times New Roman"/>
                <w:color w:val="000000"/>
                <w:sz w:val="18"/>
                <w:szCs w:val="18"/>
                <w:lang w:eastAsia="sk-SK"/>
              </w:rPr>
            </w:pPr>
            <w:r w:rsidRPr="00414CFB">
              <w:rPr>
                <w:rFonts w:eastAsia="Times New Roman" w:cs="Times New Roman"/>
                <w:color w:val="000000"/>
                <w:sz w:val="18"/>
                <w:szCs w:val="18"/>
                <w:lang w:eastAsia="sk-SK"/>
              </w:rPr>
              <w:t>8,6</w:t>
            </w:r>
          </w:p>
        </w:tc>
      </w:tr>
      <w:tr w:rsidR="00867564" w:rsidRPr="00414CFB" w14:paraId="52FF24D4" w14:textId="77777777" w:rsidTr="00C53668">
        <w:trPr>
          <w:trHeight w:val="312"/>
        </w:trPr>
        <w:tc>
          <w:tcPr>
            <w:tcW w:w="3261" w:type="dxa"/>
            <w:tcBorders>
              <w:top w:val="nil"/>
              <w:left w:val="nil"/>
              <w:bottom w:val="nil"/>
              <w:right w:val="nil"/>
            </w:tcBorders>
            <w:shd w:val="clear" w:color="auto" w:fill="auto"/>
            <w:vAlign w:val="center"/>
            <w:hideMark/>
          </w:tcPr>
          <w:p w14:paraId="0682532D" w14:textId="77777777" w:rsidR="00867564" w:rsidRPr="00414CFB" w:rsidRDefault="00867564" w:rsidP="007F0D38">
            <w:pPr>
              <w:spacing w:after="0" w:line="240" w:lineRule="auto"/>
              <w:rPr>
                <w:rFonts w:eastAsia="Times New Roman" w:cs="Times New Roman"/>
                <w:color w:val="000000"/>
                <w:sz w:val="18"/>
                <w:szCs w:val="18"/>
                <w:lang w:eastAsia="sk-SK"/>
              </w:rPr>
            </w:pPr>
            <w:r w:rsidRPr="00414CFB">
              <w:rPr>
                <w:rFonts w:eastAsia="Times New Roman" w:cs="Times New Roman"/>
                <w:color w:val="000000"/>
                <w:sz w:val="18"/>
                <w:szCs w:val="18"/>
                <w:lang w:eastAsia="sk-SK"/>
              </w:rPr>
              <w:t>Tovary a služby</w:t>
            </w:r>
          </w:p>
        </w:tc>
        <w:tc>
          <w:tcPr>
            <w:tcW w:w="975" w:type="dxa"/>
            <w:tcBorders>
              <w:top w:val="nil"/>
              <w:left w:val="nil"/>
              <w:bottom w:val="nil"/>
              <w:right w:val="nil"/>
            </w:tcBorders>
            <w:shd w:val="clear" w:color="auto" w:fill="auto"/>
            <w:noWrap/>
            <w:vAlign w:val="center"/>
            <w:hideMark/>
          </w:tcPr>
          <w:p w14:paraId="50BDA38A" w14:textId="77777777" w:rsidR="00867564" w:rsidRPr="00414CFB" w:rsidRDefault="00867564" w:rsidP="007F0D38">
            <w:pPr>
              <w:spacing w:after="0" w:line="240" w:lineRule="auto"/>
              <w:jc w:val="right"/>
              <w:rPr>
                <w:rFonts w:eastAsia="Times New Roman" w:cs="Times New Roman"/>
                <w:color w:val="000000"/>
                <w:sz w:val="18"/>
                <w:szCs w:val="18"/>
                <w:lang w:eastAsia="sk-SK"/>
              </w:rPr>
            </w:pPr>
            <w:r w:rsidRPr="00414CFB">
              <w:rPr>
                <w:rFonts w:eastAsia="Times New Roman" w:cs="Times New Roman"/>
                <w:color w:val="000000"/>
                <w:sz w:val="18"/>
                <w:szCs w:val="18"/>
                <w:lang w:eastAsia="sk-SK"/>
              </w:rPr>
              <w:t>1 634 652</w:t>
            </w:r>
          </w:p>
        </w:tc>
        <w:tc>
          <w:tcPr>
            <w:tcW w:w="974" w:type="dxa"/>
            <w:tcBorders>
              <w:top w:val="nil"/>
              <w:left w:val="nil"/>
              <w:bottom w:val="nil"/>
              <w:right w:val="nil"/>
            </w:tcBorders>
            <w:shd w:val="clear" w:color="auto" w:fill="auto"/>
            <w:noWrap/>
            <w:vAlign w:val="center"/>
            <w:hideMark/>
          </w:tcPr>
          <w:p w14:paraId="1637B5D5" w14:textId="77777777" w:rsidR="00867564" w:rsidRPr="00414CFB" w:rsidRDefault="00867564" w:rsidP="007F0D38">
            <w:pPr>
              <w:spacing w:after="0" w:line="240" w:lineRule="auto"/>
              <w:jc w:val="right"/>
              <w:rPr>
                <w:rFonts w:eastAsia="Times New Roman" w:cs="Times New Roman"/>
                <w:color w:val="000000"/>
                <w:sz w:val="18"/>
                <w:szCs w:val="18"/>
                <w:lang w:eastAsia="sk-SK"/>
              </w:rPr>
            </w:pPr>
            <w:r w:rsidRPr="00414CFB">
              <w:rPr>
                <w:rFonts w:eastAsia="Times New Roman" w:cs="Times New Roman"/>
                <w:color w:val="000000"/>
                <w:sz w:val="18"/>
                <w:szCs w:val="18"/>
                <w:lang w:eastAsia="sk-SK"/>
              </w:rPr>
              <w:t>1 727 981</w:t>
            </w:r>
          </w:p>
        </w:tc>
        <w:tc>
          <w:tcPr>
            <w:tcW w:w="1027" w:type="dxa"/>
            <w:tcBorders>
              <w:top w:val="nil"/>
              <w:left w:val="nil"/>
              <w:bottom w:val="nil"/>
              <w:right w:val="nil"/>
            </w:tcBorders>
            <w:shd w:val="clear" w:color="auto" w:fill="auto"/>
            <w:noWrap/>
            <w:vAlign w:val="center"/>
            <w:hideMark/>
          </w:tcPr>
          <w:p w14:paraId="724777E7" w14:textId="77777777" w:rsidR="00867564" w:rsidRPr="00414CFB" w:rsidRDefault="00867564" w:rsidP="007F0D38">
            <w:pPr>
              <w:spacing w:after="0" w:line="240" w:lineRule="auto"/>
              <w:jc w:val="right"/>
              <w:rPr>
                <w:rFonts w:eastAsia="Times New Roman" w:cs="Times New Roman"/>
                <w:color w:val="000000"/>
                <w:sz w:val="18"/>
                <w:szCs w:val="18"/>
                <w:lang w:eastAsia="sk-SK"/>
              </w:rPr>
            </w:pPr>
            <w:r w:rsidRPr="00414CFB">
              <w:rPr>
                <w:rFonts w:eastAsia="Times New Roman" w:cs="Times New Roman"/>
                <w:color w:val="000000"/>
                <w:sz w:val="18"/>
                <w:szCs w:val="18"/>
                <w:lang w:eastAsia="sk-SK"/>
              </w:rPr>
              <w:t>10 434 091</w:t>
            </w:r>
          </w:p>
        </w:tc>
        <w:tc>
          <w:tcPr>
            <w:tcW w:w="1134" w:type="dxa"/>
            <w:tcBorders>
              <w:top w:val="nil"/>
              <w:left w:val="nil"/>
              <w:bottom w:val="nil"/>
              <w:right w:val="nil"/>
            </w:tcBorders>
            <w:shd w:val="clear" w:color="000000" w:fill="BFBFBF"/>
            <w:noWrap/>
            <w:vAlign w:val="center"/>
            <w:hideMark/>
          </w:tcPr>
          <w:p w14:paraId="3ACFDCB8" w14:textId="77777777" w:rsidR="00867564" w:rsidRPr="00414CFB" w:rsidRDefault="00867564" w:rsidP="007F0D38">
            <w:pPr>
              <w:spacing w:after="0" w:line="240" w:lineRule="auto"/>
              <w:jc w:val="right"/>
              <w:rPr>
                <w:rFonts w:eastAsia="Times New Roman" w:cs="Times New Roman"/>
                <w:color w:val="000000"/>
                <w:sz w:val="18"/>
                <w:szCs w:val="18"/>
                <w:lang w:eastAsia="sk-SK"/>
              </w:rPr>
            </w:pPr>
            <w:r w:rsidRPr="00414CFB">
              <w:rPr>
                <w:rFonts w:eastAsia="Times New Roman" w:cs="Times New Roman"/>
                <w:color w:val="000000"/>
                <w:sz w:val="18"/>
                <w:szCs w:val="18"/>
                <w:lang w:eastAsia="sk-SK"/>
              </w:rPr>
              <w:t>2 267 098</w:t>
            </w:r>
          </w:p>
        </w:tc>
        <w:tc>
          <w:tcPr>
            <w:tcW w:w="940" w:type="dxa"/>
            <w:tcBorders>
              <w:top w:val="nil"/>
              <w:left w:val="nil"/>
              <w:bottom w:val="nil"/>
              <w:right w:val="nil"/>
            </w:tcBorders>
            <w:shd w:val="clear" w:color="auto" w:fill="auto"/>
            <w:noWrap/>
            <w:vAlign w:val="center"/>
            <w:hideMark/>
          </w:tcPr>
          <w:p w14:paraId="535345CD" w14:textId="77777777" w:rsidR="00867564" w:rsidRPr="00414CFB" w:rsidRDefault="00867564" w:rsidP="007F0D38">
            <w:pPr>
              <w:spacing w:after="0" w:line="240" w:lineRule="auto"/>
              <w:jc w:val="right"/>
              <w:rPr>
                <w:rFonts w:eastAsia="Times New Roman" w:cs="Times New Roman"/>
                <w:color w:val="000000"/>
                <w:sz w:val="18"/>
                <w:szCs w:val="18"/>
                <w:lang w:eastAsia="sk-SK"/>
              </w:rPr>
            </w:pPr>
            <w:r w:rsidRPr="00414CFB">
              <w:rPr>
                <w:rFonts w:eastAsia="Times New Roman" w:cs="Times New Roman"/>
                <w:color w:val="000000"/>
                <w:sz w:val="18"/>
                <w:szCs w:val="18"/>
                <w:lang w:eastAsia="sk-SK"/>
              </w:rPr>
              <w:t>-8 166 993</w:t>
            </w:r>
          </w:p>
        </w:tc>
        <w:tc>
          <w:tcPr>
            <w:tcW w:w="903" w:type="dxa"/>
            <w:tcBorders>
              <w:top w:val="nil"/>
              <w:left w:val="nil"/>
              <w:bottom w:val="nil"/>
              <w:right w:val="nil"/>
            </w:tcBorders>
            <w:shd w:val="clear" w:color="auto" w:fill="auto"/>
            <w:noWrap/>
            <w:vAlign w:val="center"/>
            <w:hideMark/>
          </w:tcPr>
          <w:p w14:paraId="3CA9A3D6" w14:textId="77777777" w:rsidR="00867564" w:rsidRPr="00414CFB" w:rsidRDefault="00867564" w:rsidP="007F0D38">
            <w:pPr>
              <w:spacing w:after="0" w:line="240" w:lineRule="auto"/>
              <w:jc w:val="right"/>
              <w:rPr>
                <w:rFonts w:eastAsia="Times New Roman" w:cs="Times New Roman"/>
                <w:color w:val="000000"/>
                <w:sz w:val="18"/>
                <w:szCs w:val="18"/>
                <w:lang w:eastAsia="sk-SK"/>
              </w:rPr>
            </w:pPr>
            <w:r w:rsidRPr="00414CFB">
              <w:rPr>
                <w:rFonts w:eastAsia="Times New Roman" w:cs="Times New Roman"/>
                <w:color w:val="000000"/>
                <w:sz w:val="18"/>
                <w:szCs w:val="18"/>
                <w:lang w:eastAsia="sk-SK"/>
              </w:rPr>
              <w:t>-78,3</w:t>
            </w:r>
          </w:p>
        </w:tc>
      </w:tr>
      <w:tr w:rsidR="00867564" w:rsidRPr="00414CFB" w14:paraId="5E9ED8CD" w14:textId="77777777" w:rsidTr="00C53668">
        <w:trPr>
          <w:trHeight w:val="312"/>
        </w:trPr>
        <w:tc>
          <w:tcPr>
            <w:tcW w:w="3261" w:type="dxa"/>
            <w:tcBorders>
              <w:top w:val="nil"/>
              <w:left w:val="nil"/>
              <w:bottom w:val="nil"/>
              <w:right w:val="nil"/>
            </w:tcBorders>
            <w:shd w:val="clear" w:color="auto" w:fill="auto"/>
            <w:vAlign w:val="center"/>
            <w:hideMark/>
          </w:tcPr>
          <w:p w14:paraId="2134BBEC" w14:textId="77777777" w:rsidR="00867564" w:rsidRPr="00414CFB" w:rsidRDefault="00867564" w:rsidP="007F0D38">
            <w:pPr>
              <w:spacing w:after="0" w:line="240" w:lineRule="auto"/>
              <w:rPr>
                <w:rFonts w:eastAsia="Times New Roman" w:cs="Times New Roman"/>
                <w:color w:val="000000"/>
                <w:sz w:val="18"/>
                <w:szCs w:val="18"/>
                <w:lang w:eastAsia="sk-SK"/>
              </w:rPr>
            </w:pPr>
            <w:r w:rsidRPr="00414CFB">
              <w:rPr>
                <w:rFonts w:eastAsia="Times New Roman" w:cs="Times New Roman"/>
                <w:color w:val="000000"/>
                <w:sz w:val="18"/>
                <w:szCs w:val="18"/>
                <w:lang w:eastAsia="sk-SK"/>
              </w:rPr>
              <w:t>Bežné transfery</w:t>
            </w:r>
          </w:p>
        </w:tc>
        <w:tc>
          <w:tcPr>
            <w:tcW w:w="975" w:type="dxa"/>
            <w:tcBorders>
              <w:top w:val="nil"/>
              <w:left w:val="nil"/>
              <w:bottom w:val="nil"/>
              <w:right w:val="nil"/>
            </w:tcBorders>
            <w:shd w:val="clear" w:color="auto" w:fill="auto"/>
            <w:noWrap/>
            <w:vAlign w:val="center"/>
            <w:hideMark/>
          </w:tcPr>
          <w:p w14:paraId="7F1A1D94" w14:textId="77777777" w:rsidR="00867564" w:rsidRPr="00414CFB" w:rsidRDefault="00867564" w:rsidP="007F0D38">
            <w:pPr>
              <w:spacing w:after="0" w:line="240" w:lineRule="auto"/>
              <w:jc w:val="right"/>
              <w:rPr>
                <w:rFonts w:eastAsia="Times New Roman" w:cs="Times New Roman"/>
                <w:color w:val="000000"/>
                <w:sz w:val="18"/>
                <w:szCs w:val="18"/>
                <w:lang w:eastAsia="sk-SK"/>
              </w:rPr>
            </w:pPr>
            <w:r w:rsidRPr="00414CFB">
              <w:rPr>
                <w:rFonts w:eastAsia="Times New Roman" w:cs="Times New Roman"/>
                <w:color w:val="000000"/>
                <w:sz w:val="18"/>
                <w:szCs w:val="18"/>
                <w:lang w:eastAsia="sk-SK"/>
              </w:rPr>
              <w:t>9 771 657</w:t>
            </w:r>
          </w:p>
        </w:tc>
        <w:tc>
          <w:tcPr>
            <w:tcW w:w="974" w:type="dxa"/>
            <w:tcBorders>
              <w:top w:val="nil"/>
              <w:left w:val="nil"/>
              <w:bottom w:val="nil"/>
              <w:right w:val="nil"/>
            </w:tcBorders>
            <w:shd w:val="clear" w:color="000000" w:fill="FFFFFF"/>
            <w:noWrap/>
            <w:vAlign w:val="center"/>
            <w:hideMark/>
          </w:tcPr>
          <w:p w14:paraId="27EDB698" w14:textId="77777777" w:rsidR="00867564" w:rsidRPr="00414CFB" w:rsidRDefault="00867564" w:rsidP="007F0D38">
            <w:pPr>
              <w:spacing w:after="0" w:line="240" w:lineRule="auto"/>
              <w:jc w:val="right"/>
              <w:rPr>
                <w:rFonts w:eastAsia="Times New Roman" w:cs="Times New Roman"/>
                <w:color w:val="000000"/>
                <w:sz w:val="18"/>
                <w:szCs w:val="18"/>
                <w:lang w:eastAsia="sk-SK"/>
              </w:rPr>
            </w:pPr>
            <w:r w:rsidRPr="00414CFB">
              <w:rPr>
                <w:rFonts w:eastAsia="Times New Roman" w:cs="Times New Roman"/>
                <w:color w:val="000000"/>
                <w:sz w:val="18"/>
                <w:szCs w:val="18"/>
                <w:lang w:eastAsia="sk-SK"/>
              </w:rPr>
              <w:t>10 284 025</w:t>
            </w:r>
          </w:p>
        </w:tc>
        <w:tc>
          <w:tcPr>
            <w:tcW w:w="1027" w:type="dxa"/>
            <w:tcBorders>
              <w:top w:val="nil"/>
              <w:left w:val="nil"/>
              <w:bottom w:val="nil"/>
              <w:right w:val="nil"/>
            </w:tcBorders>
            <w:shd w:val="clear" w:color="auto" w:fill="auto"/>
            <w:noWrap/>
            <w:vAlign w:val="center"/>
            <w:hideMark/>
          </w:tcPr>
          <w:p w14:paraId="6582BA8F" w14:textId="77777777" w:rsidR="00867564" w:rsidRPr="00414CFB" w:rsidRDefault="00867564" w:rsidP="007F0D38">
            <w:pPr>
              <w:spacing w:after="0" w:line="240" w:lineRule="auto"/>
              <w:jc w:val="right"/>
              <w:rPr>
                <w:rFonts w:eastAsia="Times New Roman" w:cs="Times New Roman"/>
                <w:color w:val="000000"/>
                <w:sz w:val="18"/>
                <w:szCs w:val="18"/>
                <w:lang w:eastAsia="sk-SK"/>
              </w:rPr>
            </w:pPr>
            <w:r w:rsidRPr="00414CFB">
              <w:rPr>
                <w:rFonts w:eastAsia="Times New Roman" w:cs="Times New Roman"/>
                <w:color w:val="000000"/>
                <w:sz w:val="18"/>
                <w:szCs w:val="18"/>
                <w:lang w:eastAsia="sk-SK"/>
              </w:rPr>
              <w:t>10 974 577</w:t>
            </w:r>
          </w:p>
        </w:tc>
        <w:tc>
          <w:tcPr>
            <w:tcW w:w="1134" w:type="dxa"/>
            <w:tcBorders>
              <w:top w:val="nil"/>
              <w:left w:val="nil"/>
              <w:bottom w:val="nil"/>
              <w:right w:val="nil"/>
            </w:tcBorders>
            <w:shd w:val="clear" w:color="000000" w:fill="BFBFBF"/>
            <w:noWrap/>
            <w:vAlign w:val="center"/>
            <w:hideMark/>
          </w:tcPr>
          <w:p w14:paraId="633BFBE1" w14:textId="77777777" w:rsidR="00867564" w:rsidRPr="00414CFB" w:rsidRDefault="00867564" w:rsidP="007F0D38">
            <w:pPr>
              <w:spacing w:after="0" w:line="240" w:lineRule="auto"/>
              <w:jc w:val="right"/>
              <w:rPr>
                <w:rFonts w:eastAsia="Times New Roman" w:cs="Times New Roman"/>
                <w:color w:val="000000"/>
                <w:sz w:val="18"/>
                <w:szCs w:val="18"/>
                <w:lang w:eastAsia="sk-SK"/>
              </w:rPr>
            </w:pPr>
            <w:r w:rsidRPr="00414CFB">
              <w:rPr>
                <w:rFonts w:eastAsia="Times New Roman" w:cs="Times New Roman"/>
                <w:color w:val="000000"/>
                <w:sz w:val="18"/>
                <w:szCs w:val="18"/>
                <w:lang w:eastAsia="sk-SK"/>
              </w:rPr>
              <w:t>15 076 858</w:t>
            </w:r>
          </w:p>
        </w:tc>
        <w:tc>
          <w:tcPr>
            <w:tcW w:w="940" w:type="dxa"/>
            <w:tcBorders>
              <w:top w:val="nil"/>
              <w:left w:val="nil"/>
              <w:bottom w:val="nil"/>
              <w:right w:val="nil"/>
            </w:tcBorders>
            <w:shd w:val="clear" w:color="auto" w:fill="auto"/>
            <w:noWrap/>
            <w:vAlign w:val="center"/>
            <w:hideMark/>
          </w:tcPr>
          <w:p w14:paraId="0F3AD137" w14:textId="77777777" w:rsidR="00867564" w:rsidRPr="00414CFB" w:rsidRDefault="00867564" w:rsidP="007F0D38">
            <w:pPr>
              <w:spacing w:after="0" w:line="240" w:lineRule="auto"/>
              <w:jc w:val="right"/>
              <w:rPr>
                <w:rFonts w:eastAsia="Times New Roman" w:cs="Times New Roman"/>
                <w:color w:val="000000"/>
                <w:sz w:val="18"/>
                <w:szCs w:val="18"/>
                <w:lang w:eastAsia="sk-SK"/>
              </w:rPr>
            </w:pPr>
            <w:r w:rsidRPr="00414CFB">
              <w:rPr>
                <w:rFonts w:eastAsia="Times New Roman" w:cs="Times New Roman"/>
                <w:color w:val="000000"/>
                <w:sz w:val="18"/>
                <w:szCs w:val="18"/>
                <w:lang w:eastAsia="sk-SK"/>
              </w:rPr>
              <w:t>4 102 281</w:t>
            </w:r>
          </w:p>
        </w:tc>
        <w:tc>
          <w:tcPr>
            <w:tcW w:w="903" w:type="dxa"/>
            <w:tcBorders>
              <w:top w:val="nil"/>
              <w:left w:val="nil"/>
              <w:bottom w:val="nil"/>
              <w:right w:val="nil"/>
            </w:tcBorders>
            <w:shd w:val="clear" w:color="auto" w:fill="auto"/>
            <w:noWrap/>
            <w:vAlign w:val="center"/>
            <w:hideMark/>
          </w:tcPr>
          <w:p w14:paraId="5E78E2BA" w14:textId="77777777" w:rsidR="00867564" w:rsidRPr="00414CFB" w:rsidRDefault="00867564" w:rsidP="007F0D38">
            <w:pPr>
              <w:spacing w:after="0" w:line="240" w:lineRule="auto"/>
              <w:jc w:val="right"/>
              <w:rPr>
                <w:rFonts w:eastAsia="Times New Roman" w:cs="Times New Roman"/>
                <w:color w:val="000000"/>
                <w:sz w:val="18"/>
                <w:szCs w:val="18"/>
                <w:lang w:eastAsia="sk-SK"/>
              </w:rPr>
            </w:pPr>
            <w:r w:rsidRPr="00414CFB">
              <w:rPr>
                <w:rFonts w:eastAsia="Times New Roman" w:cs="Times New Roman"/>
                <w:color w:val="000000"/>
                <w:sz w:val="18"/>
                <w:szCs w:val="18"/>
                <w:lang w:eastAsia="sk-SK"/>
              </w:rPr>
              <w:t>37,4</w:t>
            </w:r>
          </w:p>
        </w:tc>
      </w:tr>
      <w:tr w:rsidR="00867564" w:rsidRPr="00414CFB" w14:paraId="02EFF2E8" w14:textId="77777777" w:rsidTr="00C53668">
        <w:trPr>
          <w:trHeight w:val="312"/>
        </w:trPr>
        <w:tc>
          <w:tcPr>
            <w:tcW w:w="3261" w:type="dxa"/>
            <w:tcBorders>
              <w:top w:val="nil"/>
              <w:left w:val="nil"/>
              <w:bottom w:val="nil"/>
              <w:right w:val="nil"/>
            </w:tcBorders>
            <w:shd w:val="clear" w:color="auto" w:fill="auto"/>
            <w:vAlign w:val="center"/>
            <w:hideMark/>
          </w:tcPr>
          <w:p w14:paraId="0EF02B82" w14:textId="77777777" w:rsidR="00867564" w:rsidRPr="00414CFB" w:rsidRDefault="00867564" w:rsidP="007F0D38">
            <w:pPr>
              <w:spacing w:after="0" w:line="240" w:lineRule="auto"/>
              <w:rPr>
                <w:rFonts w:eastAsia="Times New Roman" w:cs="Times New Roman"/>
                <w:i/>
                <w:iCs/>
                <w:color w:val="000000"/>
                <w:sz w:val="18"/>
                <w:szCs w:val="18"/>
                <w:lang w:eastAsia="sk-SK"/>
              </w:rPr>
            </w:pPr>
            <w:r w:rsidRPr="00414CFB">
              <w:rPr>
                <w:rFonts w:eastAsia="Times New Roman" w:cs="Times New Roman"/>
                <w:i/>
                <w:iCs/>
                <w:color w:val="000000"/>
                <w:sz w:val="18"/>
                <w:szCs w:val="18"/>
                <w:lang w:eastAsia="sk-SK"/>
              </w:rPr>
              <w:t xml:space="preserve">v tom: </w:t>
            </w:r>
          </w:p>
        </w:tc>
        <w:tc>
          <w:tcPr>
            <w:tcW w:w="975" w:type="dxa"/>
            <w:tcBorders>
              <w:top w:val="nil"/>
              <w:left w:val="nil"/>
              <w:bottom w:val="nil"/>
              <w:right w:val="nil"/>
            </w:tcBorders>
            <w:shd w:val="clear" w:color="auto" w:fill="auto"/>
            <w:noWrap/>
            <w:vAlign w:val="center"/>
            <w:hideMark/>
          </w:tcPr>
          <w:p w14:paraId="2EC1D772" w14:textId="77777777" w:rsidR="00867564" w:rsidRPr="00414CFB" w:rsidRDefault="00867564" w:rsidP="007F0D38">
            <w:pPr>
              <w:spacing w:after="0" w:line="240" w:lineRule="auto"/>
              <w:jc w:val="right"/>
              <w:rPr>
                <w:rFonts w:eastAsia="Times New Roman" w:cs="Times New Roman"/>
                <w:color w:val="000000"/>
                <w:sz w:val="18"/>
                <w:szCs w:val="18"/>
                <w:lang w:eastAsia="sk-SK"/>
              </w:rPr>
            </w:pPr>
          </w:p>
        </w:tc>
        <w:tc>
          <w:tcPr>
            <w:tcW w:w="974" w:type="dxa"/>
            <w:tcBorders>
              <w:top w:val="nil"/>
              <w:left w:val="nil"/>
              <w:bottom w:val="nil"/>
              <w:right w:val="nil"/>
            </w:tcBorders>
            <w:shd w:val="clear" w:color="auto" w:fill="auto"/>
            <w:noWrap/>
            <w:vAlign w:val="center"/>
            <w:hideMark/>
          </w:tcPr>
          <w:p w14:paraId="5D72F340" w14:textId="77777777" w:rsidR="00867564" w:rsidRPr="00414CFB" w:rsidRDefault="00867564" w:rsidP="007F0D38">
            <w:pPr>
              <w:spacing w:after="0" w:line="240" w:lineRule="auto"/>
              <w:jc w:val="right"/>
              <w:rPr>
                <w:rFonts w:eastAsia="Times New Roman" w:cs="Times New Roman"/>
                <w:i/>
                <w:iCs/>
                <w:color w:val="000000"/>
                <w:sz w:val="18"/>
                <w:szCs w:val="18"/>
                <w:lang w:eastAsia="sk-SK"/>
              </w:rPr>
            </w:pPr>
          </w:p>
        </w:tc>
        <w:tc>
          <w:tcPr>
            <w:tcW w:w="1027" w:type="dxa"/>
            <w:tcBorders>
              <w:top w:val="nil"/>
              <w:left w:val="nil"/>
              <w:bottom w:val="nil"/>
              <w:right w:val="nil"/>
            </w:tcBorders>
            <w:shd w:val="clear" w:color="auto" w:fill="auto"/>
            <w:noWrap/>
            <w:vAlign w:val="center"/>
            <w:hideMark/>
          </w:tcPr>
          <w:p w14:paraId="1DEAB8FE" w14:textId="77777777" w:rsidR="00867564" w:rsidRPr="00414CFB" w:rsidRDefault="00867564" w:rsidP="007F0D38">
            <w:pPr>
              <w:spacing w:after="0" w:line="240" w:lineRule="auto"/>
              <w:rPr>
                <w:rFonts w:eastAsia="Times New Roman" w:cs="Times New Roman"/>
                <w:color w:val="000000"/>
                <w:sz w:val="18"/>
                <w:szCs w:val="18"/>
                <w:lang w:eastAsia="sk-SK"/>
              </w:rPr>
            </w:pPr>
            <w:r w:rsidRPr="00414CFB">
              <w:rPr>
                <w:rFonts w:eastAsia="Times New Roman" w:cs="Times New Roman"/>
                <w:color w:val="000000"/>
                <w:sz w:val="18"/>
                <w:szCs w:val="18"/>
                <w:lang w:eastAsia="sk-SK"/>
              </w:rPr>
              <w:t xml:space="preserve"> </w:t>
            </w:r>
          </w:p>
        </w:tc>
        <w:tc>
          <w:tcPr>
            <w:tcW w:w="1134" w:type="dxa"/>
            <w:tcBorders>
              <w:top w:val="nil"/>
              <w:left w:val="nil"/>
              <w:bottom w:val="nil"/>
              <w:right w:val="nil"/>
            </w:tcBorders>
            <w:shd w:val="clear" w:color="000000" w:fill="BFBFBF"/>
            <w:noWrap/>
            <w:vAlign w:val="center"/>
            <w:hideMark/>
          </w:tcPr>
          <w:p w14:paraId="50C79A7A" w14:textId="77777777" w:rsidR="00867564" w:rsidRPr="00414CFB" w:rsidRDefault="00867564" w:rsidP="007F0D38">
            <w:pPr>
              <w:spacing w:after="0" w:line="240" w:lineRule="auto"/>
              <w:jc w:val="right"/>
              <w:rPr>
                <w:rFonts w:eastAsia="Times New Roman" w:cs="Times New Roman"/>
                <w:i/>
                <w:iCs/>
                <w:color w:val="000000"/>
                <w:sz w:val="18"/>
                <w:szCs w:val="18"/>
                <w:lang w:eastAsia="sk-SK"/>
              </w:rPr>
            </w:pPr>
            <w:r w:rsidRPr="00414CFB">
              <w:rPr>
                <w:rFonts w:eastAsia="Times New Roman" w:cs="Times New Roman"/>
                <w:i/>
                <w:iCs/>
                <w:color w:val="000000"/>
                <w:sz w:val="18"/>
                <w:szCs w:val="18"/>
                <w:lang w:eastAsia="sk-SK"/>
              </w:rPr>
              <w:t xml:space="preserve"> </w:t>
            </w:r>
          </w:p>
        </w:tc>
        <w:tc>
          <w:tcPr>
            <w:tcW w:w="940" w:type="dxa"/>
            <w:tcBorders>
              <w:top w:val="nil"/>
              <w:left w:val="nil"/>
              <w:bottom w:val="nil"/>
              <w:right w:val="nil"/>
            </w:tcBorders>
            <w:shd w:val="clear" w:color="auto" w:fill="auto"/>
            <w:noWrap/>
            <w:vAlign w:val="center"/>
            <w:hideMark/>
          </w:tcPr>
          <w:p w14:paraId="147E08A0" w14:textId="77777777" w:rsidR="00867564" w:rsidRPr="00414CFB" w:rsidRDefault="00867564" w:rsidP="007F0D38">
            <w:pPr>
              <w:spacing w:after="0" w:line="240" w:lineRule="auto"/>
              <w:jc w:val="right"/>
              <w:rPr>
                <w:rFonts w:eastAsia="Times New Roman" w:cs="Times New Roman"/>
                <w:color w:val="000000"/>
                <w:sz w:val="18"/>
                <w:szCs w:val="18"/>
                <w:lang w:eastAsia="sk-SK"/>
              </w:rPr>
            </w:pPr>
          </w:p>
        </w:tc>
        <w:tc>
          <w:tcPr>
            <w:tcW w:w="903" w:type="dxa"/>
            <w:tcBorders>
              <w:top w:val="nil"/>
              <w:left w:val="nil"/>
              <w:bottom w:val="nil"/>
              <w:right w:val="nil"/>
            </w:tcBorders>
            <w:shd w:val="clear" w:color="auto" w:fill="auto"/>
            <w:noWrap/>
            <w:vAlign w:val="center"/>
            <w:hideMark/>
          </w:tcPr>
          <w:p w14:paraId="421D8E7C" w14:textId="77777777" w:rsidR="00867564" w:rsidRPr="00414CFB" w:rsidRDefault="00867564" w:rsidP="007F0D38">
            <w:pPr>
              <w:spacing w:after="0" w:line="240" w:lineRule="auto"/>
              <w:rPr>
                <w:rFonts w:eastAsia="Times New Roman" w:cs="Times New Roman"/>
                <w:color w:val="000000"/>
                <w:sz w:val="18"/>
                <w:szCs w:val="18"/>
                <w:lang w:eastAsia="sk-SK"/>
              </w:rPr>
            </w:pPr>
          </w:p>
        </w:tc>
      </w:tr>
      <w:tr w:rsidR="00867564" w:rsidRPr="00414CFB" w14:paraId="7D2BCC76" w14:textId="77777777" w:rsidTr="00C53668">
        <w:trPr>
          <w:trHeight w:val="312"/>
        </w:trPr>
        <w:tc>
          <w:tcPr>
            <w:tcW w:w="3261" w:type="dxa"/>
            <w:tcBorders>
              <w:top w:val="nil"/>
              <w:left w:val="nil"/>
              <w:bottom w:val="nil"/>
              <w:right w:val="nil"/>
            </w:tcBorders>
            <w:shd w:val="clear" w:color="auto" w:fill="auto"/>
            <w:vAlign w:val="center"/>
            <w:hideMark/>
          </w:tcPr>
          <w:p w14:paraId="4A46692D" w14:textId="77777777" w:rsidR="00867564" w:rsidRPr="00414CFB" w:rsidRDefault="00867564" w:rsidP="007F0D38">
            <w:pPr>
              <w:spacing w:after="0" w:line="240" w:lineRule="auto"/>
              <w:rPr>
                <w:rFonts w:eastAsia="Times New Roman" w:cs="Times New Roman"/>
                <w:i/>
                <w:iCs/>
                <w:color w:val="000000"/>
                <w:sz w:val="18"/>
                <w:szCs w:val="18"/>
                <w:lang w:eastAsia="sk-SK"/>
              </w:rPr>
            </w:pPr>
            <w:r w:rsidRPr="00414CFB">
              <w:rPr>
                <w:rFonts w:eastAsia="Times New Roman" w:cs="Times New Roman"/>
                <w:i/>
                <w:iCs/>
                <w:color w:val="000000"/>
                <w:sz w:val="18"/>
                <w:szCs w:val="18"/>
                <w:lang w:eastAsia="sk-SK"/>
              </w:rPr>
              <w:t xml:space="preserve">   v rámci verejnej správy</w:t>
            </w:r>
          </w:p>
        </w:tc>
        <w:tc>
          <w:tcPr>
            <w:tcW w:w="975" w:type="dxa"/>
            <w:tcBorders>
              <w:top w:val="nil"/>
              <w:left w:val="nil"/>
              <w:bottom w:val="nil"/>
              <w:right w:val="nil"/>
            </w:tcBorders>
            <w:shd w:val="clear" w:color="auto" w:fill="auto"/>
            <w:noWrap/>
            <w:vAlign w:val="center"/>
            <w:hideMark/>
          </w:tcPr>
          <w:p w14:paraId="0A3DB45A" w14:textId="77777777" w:rsidR="00867564" w:rsidRPr="00414CFB" w:rsidRDefault="00867564" w:rsidP="007F0D38">
            <w:pPr>
              <w:spacing w:after="0" w:line="240" w:lineRule="auto"/>
              <w:jc w:val="right"/>
              <w:rPr>
                <w:rFonts w:eastAsia="Times New Roman" w:cs="Times New Roman"/>
                <w:i/>
                <w:iCs/>
                <w:color w:val="000000"/>
                <w:sz w:val="18"/>
                <w:szCs w:val="18"/>
                <w:lang w:eastAsia="sk-SK"/>
              </w:rPr>
            </w:pPr>
            <w:r w:rsidRPr="00414CFB">
              <w:rPr>
                <w:rFonts w:eastAsia="Times New Roman" w:cs="Times New Roman"/>
                <w:i/>
                <w:iCs/>
                <w:color w:val="000000"/>
                <w:sz w:val="18"/>
                <w:szCs w:val="18"/>
                <w:lang w:eastAsia="sk-SK"/>
              </w:rPr>
              <w:t>4 411 134</w:t>
            </w:r>
          </w:p>
        </w:tc>
        <w:tc>
          <w:tcPr>
            <w:tcW w:w="974" w:type="dxa"/>
            <w:tcBorders>
              <w:top w:val="nil"/>
              <w:left w:val="nil"/>
              <w:bottom w:val="nil"/>
              <w:right w:val="nil"/>
            </w:tcBorders>
            <w:shd w:val="clear" w:color="auto" w:fill="auto"/>
            <w:noWrap/>
            <w:vAlign w:val="center"/>
            <w:hideMark/>
          </w:tcPr>
          <w:p w14:paraId="7C3C925F" w14:textId="77777777" w:rsidR="00867564" w:rsidRPr="00414CFB" w:rsidRDefault="00867564" w:rsidP="007F0D38">
            <w:pPr>
              <w:spacing w:after="0" w:line="240" w:lineRule="auto"/>
              <w:jc w:val="right"/>
              <w:rPr>
                <w:rFonts w:eastAsia="Times New Roman" w:cs="Times New Roman"/>
                <w:i/>
                <w:iCs/>
                <w:color w:val="000000"/>
                <w:sz w:val="18"/>
                <w:szCs w:val="18"/>
                <w:lang w:eastAsia="sk-SK"/>
              </w:rPr>
            </w:pPr>
            <w:r w:rsidRPr="00414CFB">
              <w:rPr>
                <w:rFonts w:eastAsia="Times New Roman" w:cs="Times New Roman"/>
                <w:i/>
                <w:iCs/>
                <w:color w:val="000000"/>
                <w:sz w:val="18"/>
                <w:szCs w:val="18"/>
                <w:lang w:eastAsia="sk-SK"/>
              </w:rPr>
              <w:t>4 612 021</w:t>
            </w:r>
          </w:p>
        </w:tc>
        <w:tc>
          <w:tcPr>
            <w:tcW w:w="1027" w:type="dxa"/>
            <w:tcBorders>
              <w:top w:val="nil"/>
              <w:left w:val="nil"/>
              <w:bottom w:val="nil"/>
              <w:right w:val="nil"/>
            </w:tcBorders>
            <w:shd w:val="clear" w:color="auto" w:fill="auto"/>
            <w:noWrap/>
            <w:vAlign w:val="center"/>
            <w:hideMark/>
          </w:tcPr>
          <w:p w14:paraId="3AC830C3" w14:textId="77777777" w:rsidR="00867564" w:rsidRPr="00414CFB" w:rsidRDefault="00867564" w:rsidP="007F0D38">
            <w:pPr>
              <w:spacing w:after="0" w:line="240" w:lineRule="auto"/>
              <w:jc w:val="right"/>
              <w:rPr>
                <w:rFonts w:eastAsia="Times New Roman" w:cs="Times New Roman"/>
                <w:i/>
                <w:iCs/>
                <w:color w:val="000000"/>
                <w:sz w:val="18"/>
                <w:szCs w:val="18"/>
                <w:lang w:eastAsia="sk-SK"/>
              </w:rPr>
            </w:pPr>
            <w:r w:rsidRPr="00414CFB">
              <w:rPr>
                <w:rFonts w:eastAsia="Times New Roman" w:cs="Times New Roman"/>
                <w:i/>
                <w:iCs/>
                <w:color w:val="000000"/>
                <w:sz w:val="18"/>
                <w:szCs w:val="18"/>
                <w:lang w:eastAsia="sk-SK"/>
              </w:rPr>
              <w:t>4 741 599</w:t>
            </w:r>
          </w:p>
        </w:tc>
        <w:tc>
          <w:tcPr>
            <w:tcW w:w="1134" w:type="dxa"/>
            <w:tcBorders>
              <w:top w:val="nil"/>
              <w:left w:val="nil"/>
              <w:bottom w:val="nil"/>
              <w:right w:val="nil"/>
            </w:tcBorders>
            <w:shd w:val="clear" w:color="000000" w:fill="BFBFBF"/>
            <w:noWrap/>
            <w:vAlign w:val="center"/>
            <w:hideMark/>
          </w:tcPr>
          <w:p w14:paraId="2D037232" w14:textId="77777777" w:rsidR="00867564" w:rsidRPr="00414CFB" w:rsidRDefault="00867564" w:rsidP="007F0D38">
            <w:pPr>
              <w:spacing w:after="0" w:line="240" w:lineRule="auto"/>
              <w:jc w:val="right"/>
              <w:rPr>
                <w:rFonts w:eastAsia="Times New Roman" w:cs="Times New Roman"/>
                <w:i/>
                <w:iCs/>
                <w:color w:val="000000"/>
                <w:sz w:val="18"/>
                <w:szCs w:val="18"/>
                <w:lang w:eastAsia="sk-SK"/>
              </w:rPr>
            </w:pPr>
            <w:r w:rsidRPr="00414CFB">
              <w:rPr>
                <w:rFonts w:eastAsia="Times New Roman" w:cs="Times New Roman"/>
                <w:i/>
                <w:iCs/>
                <w:color w:val="000000"/>
                <w:sz w:val="18"/>
                <w:szCs w:val="18"/>
                <w:lang w:eastAsia="sk-SK"/>
              </w:rPr>
              <w:t>7 534 939</w:t>
            </w:r>
          </w:p>
        </w:tc>
        <w:tc>
          <w:tcPr>
            <w:tcW w:w="940" w:type="dxa"/>
            <w:tcBorders>
              <w:top w:val="nil"/>
              <w:left w:val="nil"/>
              <w:bottom w:val="nil"/>
              <w:right w:val="nil"/>
            </w:tcBorders>
            <w:shd w:val="clear" w:color="auto" w:fill="auto"/>
            <w:noWrap/>
            <w:vAlign w:val="center"/>
            <w:hideMark/>
          </w:tcPr>
          <w:p w14:paraId="7840BB55" w14:textId="77777777" w:rsidR="00867564" w:rsidRPr="00414CFB" w:rsidRDefault="00867564" w:rsidP="007F0D38">
            <w:pPr>
              <w:spacing w:after="0" w:line="240" w:lineRule="auto"/>
              <w:jc w:val="right"/>
              <w:rPr>
                <w:rFonts w:eastAsia="Times New Roman" w:cs="Times New Roman"/>
                <w:color w:val="000000"/>
                <w:sz w:val="18"/>
                <w:szCs w:val="18"/>
                <w:lang w:eastAsia="sk-SK"/>
              </w:rPr>
            </w:pPr>
            <w:r w:rsidRPr="00414CFB">
              <w:rPr>
                <w:rFonts w:eastAsia="Times New Roman" w:cs="Times New Roman"/>
                <w:color w:val="000000"/>
                <w:sz w:val="18"/>
                <w:szCs w:val="18"/>
                <w:lang w:eastAsia="sk-SK"/>
              </w:rPr>
              <w:t>2 793 340</w:t>
            </w:r>
          </w:p>
        </w:tc>
        <w:tc>
          <w:tcPr>
            <w:tcW w:w="903" w:type="dxa"/>
            <w:tcBorders>
              <w:top w:val="nil"/>
              <w:left w:val="nil"/>
              <w:bottom w:val="nil"/>
              <w:right w:val="nil"/>
            </w:tcBorders>
            <w:shd w:val="clear" w:color="auto" w:fill="auto"/>
            <w:noWrap/>
            <w:vAlign w:val="center"/>
            <w:hideMark/>
          </w:tcPr>
          <w:p w14:paraId="665F9D8B" w14:textId="77777777" w:rsidR="00867564" w:rsidRPr="00414CFB" w:rsidRDefault="00867564" w:rsidP="007F0D38">
            <w:pPr>
              <w:spacing w:after="0" w:line="240" w:lineRule="auto"/>
              <w:jc w:val="right"/>
              <w:rPr>
                <w:rFonts w:eastAsia="Times New Roman" w:cs="Times New Roman"/>
                <w:color w:val="000000"/>
                <w:sz w:val="18"/>
                <w:szCs w:val="18"/>
                <w:lang w:eastAsia="sk-SK"/>
              </w:rPr>
            </w:pPr>
            <w:r w:rsidRPr="00414CFB">
              <w:rPr>
                <w:rFonts w:eastAsia="Times New Roman" w:cs="Times New Roman"/>
                <w:color w:val="000000"/>
                <w:sz w:val="18"/>
                <w:szCs w:val="18"/>
                <w:lang w:eastAsia="sk-SK"/>
              </w:rPr>
              <w:t>58,9</w:t>
            </w:r>
          </w:p>
        </w:tc>
      </w:tr>
      <w:tr w:rsidR="00867564" w:rsidRPr="00414CFB" w14:paraId="0674C480" w14:textId="77777777" w:rsidTr="00C53668">
        <w:trPr>
          <w:trHeight w:val="419"/>
        </w:trPr>
        <w:tc>
          <w:tcPr>
            <w:tcW w:w="3261" w:type="dxa"/>
            <w:tcBorders>
              <w:top w:val="nil"/>
              <w:left w:val="nil"/>
              <w:bottom w:val="nil"/>
              <w:right w:val="nil"/>
            </w:tcBorders>
            <w:shd w:val="clear" w:color="auto" w:fill="auto"/>
            <w:vAlign w:val="center"/>
            <w:hideMark/>
          </w:tcPr>
          <w:p w14:paraId="144FCB72" w14:textId="6DE7C9CE" w:rsidR="00867564" w:rsidRPr="00414CFB" w:rsidRDefault="00867564" w:rsidP="00C53668">
            <w:pPr>
              <w:spacing w:after="0" w:line="240" w:lineRule="auto"/>
              <w:ind w:left="159" w:hanging="159"/>
              <w:jc w:val="left"/>
              <w:rPr>
                <w:rFonts w:eastAsia="Times New Roman" w:cs="Times New Roman"/>
                <w:i/>
                <w:iCs/>
                <w:color w:val="000000"/>
                <w:sz w:val="18"/>
                <w:szCs w:val="18"/>
                <w:lang w:eastAsia="sk-SK"/>
              </w:rPr>
            </w:pPr>
            <w:r w:rsidRPr="00414CFB">
              <w:rPr>
                <w:rFonts w:eastAsia="Times New Roman" w:cs="Times New Roman"/>
                <w:i/>
                <w:iCs/>
                <w:color w:val="000000"/>
                <w:sz w:val="18"/>
                <w:szCs w:val="18"/>
                <w:lang w:eastAsia="sk-SK"/>
              </w:rPr>
              <w:t xml:space="preserve">   jednotlivcom a</w:t>
            </w:r>
            <w:r w:rsidR="0088066E" w:rsidRPr="00414CFB">
              <w:rPr>
                <w:rFonts w:eastAsia="Times New Roman" w:cs="Times New Roman"/>
                <w:i/>
                <w:iCs/>
                <w:color w:val="000000"/>
                <w:sz w:val="18"/>
                <w:szCs w:val="18"/>
                <w:lang w:eastAsia="sk-SK"/>
              </w:rPr>
              <w:t xml:space="preserve"> </w:t>
            </w:r>
            <w:r w:rsidRPr="00414CFB">
              <w:rPr>
                <w:rFonts w:eastAsia="Times New Roman" w:cs="Times New Roman"/>
                <w:i/>
                <w:iCs/>
                <w:color w:val="000000"/>
                <w:sz w:val="18"/>
                <w:szCs w:val="18"/>
                <w:lang w:eastAsia="sk-SK"/>
              </w:rPr>
              <w:t>neziskovým  právnickým osobám</w:t>
            </w:r>
          </w:p>
        </w:tc>
        <w:tc>
          <w:tcPr>
            <w:tcW w:w="975" w:type="dxa"/>
            <w:tcBorders>
              <w:top w:val="nil"/>
              <w:left w:val="nil"/>
              <w:bottom w:val="nil"/>
              <w:right w:val="nil"/>
            </w:tcBorders>
            <w:shd w:val="clear" w:color="auto" w:fill="auto"/>
            <w:noWrap/>
            <w:vAlign w:val="center"/>
            <w:hideMark/>
          </w:tcPr>
          <w:p w14:paraId="543CA290" w14:textId="77777777" w:rsidR="00867564" w:rsidRPr="00414CFB" w:rsidRDefault="00867564" w:rsidP="007F0D38">
            <w:pPr>
              <w:spacing w:after="0" w:line="240" w:lineRule="auto"/>
              <w:jc w:val="right"/>
              <w:rPr>
                <w:rFonts w:eastAsia="Times New Roman" w:cs="Times New Roman"/>
                <w:i/>
                <w:iCs/>
                <w:color w:val="000000"/>
                <w:sz w:val="18"/>
                <w:szCs w:val="18"/>
                <w:lang w:eastAsia="sk-SK"/>
              </w:rPr>
            </w:pPr>
            <w:r w:rsidRPr="00414CFB">
              <w:rPr>
                <w:rFonts w:eastAsia="Times New Roman" w:cs="Times New Roman"/>
                <w:i/>
                <w:iCs/>
                <w:color w:val="000000"/>
                <w:sz w:val="18"/>
                <w:szCs w:val="18"/>
                <w:lang w:eastAsia="sk-SK"/>
              </w:rPr>
              <w:t>3 757 414</w:t>
            </w:r>
          </w:p>
        </w:tc>
        <w:tc>
          <w:tcPr>
            <w:tcW w:w="974" w:type="dxa"/>
            <w:tcBorders>
              <w:top w:val="nil"/>
              <w:left w:val="nil"/>
              <w:bottom w:val="nil"/>
              <w:right w:val="nil"/>
            </w:tcBorders>
            <w:shd w:val="clear" w:color="auto" w:fill="auto"/>
            <w:noWrap/>
            <w:vAlign w:val="center"/>
            <w:hideMark/>
          </w:tcPr>
          <w:p w14:paraId="35355976" w14:textId="77777777" w:rsidR="00867564" w:rsidRPr="00414CFB" w:rsidRDefault="00867564" w:rsidP="007F0D38">
            <w:pPr>
              <w:spacing w:after="0" w:line="240" w:lineRule="auto"/>
              <w:jc w:val="right"/>
              <w:rPr>
                <w:rFonts w:eastAsia="Times New Roman" w:cs="Times New Roman"/>
                <w:i/>
                <w:iCs/>
                <w:color w:val="000000"/>
                <w:sz w:val="18"/>
                <w:szCs w:val="18"/>
                <w:lang w:eastAsia="sk-SK"/>
              </w:rPr>
            </w:pPr>
            <w:r w:rsidRPr="00414CFB">
              <w:rPr>
                <w:rFonts w:eastAsia="Times New Roman" w:cs="Times New Roman"/>
                <w:i/>
                <w:iCs/>
                <w:color w:val="000000"/>
                <w:sz w:val="18"/>
                <w:szCs w:val="18"/>
                <w:lang w:eastAsia="sk-SK"/>
              </w:rPr>
              <w:t>4 002 928</w:t>
            </w:r>
          </w:p>
        </w:tc>
        <w:tc>
          <w:tcPr>
            <w:tcW w:w="1027" w:type="dxa"/>
            <w:tcBorders>
              <w:top w:val="nil"/>
              <w:left w:val="nil"/>
              <w:bottom w:val="nil"/>
              <w:right w:val="nil"/>
            </w:tcBorders>
            <w:shd w:val="clear" w:color="auto" w:fill="auto"/>
            <w:noWrap/>
            <w:vAlign w:val="center"/>
            <w:hideMark/>
          </w:tcPr>
          <w:p w14:paraId="5AB5D3F7" w14:textId="77777777" w:rsidR="00867564" w:rsidRPr="00414CFB" w:rsidRDefault="00867564" w:rsidP="007F0D38">
            <w:pPr>
              <w:spacing w:after="0" w:line="240" w:lineRule="auto"/>
              <w:jc w:val="right"/>
              <w:rPr>
                <w:rFonts w:eastAsia="Times New Roman" w:cs="Times New Roman"/>
                <w:i/>
                <w:iCs/>
                <w:color w:val="000000"/>
                <w:sz w:val="18"/>
                <w:szCs w:val="18"/>
                <w:lang w:eastAsia="sk-SK"/>
              </w:rPr>
            </w:pPr>
            <w:r w:rsidRPr="00414CFB">
              <w:rPr>
                <w:rFonts w:eastAsia="Times New Roman" w:cs="Times New Roman"/>
                <w:i/>
                <w:iCs/>
                <w:color w:val="000000"/>
                <w:sz w:val="18"/>
                <w:szCs w:val="18"/>
                <w:lang w:eastAsia="sk-SK"/>
              </w:rPr>
              <w:t>4 381 650</w:t>
            </w:r>
          </w:p>
        </w:tc>
        <w:tc>
          <w:tcPr>
            <w:tcW w:w="1134" w:type="dxa"/>
            <w:tcBorders>
              <w:top w:val="nil"/>
              <w:left w:val="nil"/>
              <w:bottom w:val="nil"/>
              <w:right w:val="nil"/>
            </w:tcBorders>
            <w:shd w:val="clear" w:color="000000" w:fill="BFBFBF"/>
            <w:noWrap/>
            <w:vAlign w:val="center"/>
            <w:hideMark/>
          </w:tcPr>
          <w:p w14:paraId="0C918B3E" w14:textId="77777777" w:rsidR="00867564" w:rsidRPr="00414CFB" w:rsidRDefault="00867564" w:rsidP="007F0D38">
            <w:pPr>
              <w:spacing w:after="0" w:line="240" w:lineRule="auto"/>
              <w:jc w:val="right"/>
              <w:rPr>
                <w:rFonts w:eastAsia="Times New Roman" w:cs="Times New Roman"/>
                <w:i/>
                <w:iCs/>
                <w:color w:val="000000"/>
                <w:sz w:val="18"/>
                <w:szCs w:val="18"/>
                <w:lang w:eastAsia="sk-SK"/>
              </w:rPr>
            </w:pPr>
            <w:r w:rsidRPr="00414CFB">
              <w:rPr>
                <w:rFonts w:eastAsia="Times New Roman" w:cs="Times New Roman"/>
                <w:i/>
                <w:iCs/>
                <w:color w:val="000000"/>
                <w:sz w:val="18"/>
                <w:szCs w:val="18"/>
                <w:lang w:eastAsia="sk-SK"/>
              </w:rPr>
              <w:t>5 400 185</w:t>
            </w:r>
          </w:p>
        </w:tc>
        <w:tc>
          <w:tcPr>
            <w:tcW w:w="940" w:type="dxa"/>
            <w:tcBorders>
              <w:top w:val="nil"/>
              <w:left w:val="nil"/>
              <w:bottom w:val="nil"/>
              <w:right w:val="nil"/>
            </w:tcBorders>
            <w:shd w:val="clear" w:color="auto" w:fill="auto"/>
            <w:noWrap/>
            <w:vAlign w:val="center"/>
            <w:hideMark/>
          </w:tcPr>
          <w:p w14:paraId="46977B33" w14:textId="77777777" w:rsidR="00867564" w:rsidRPr="00414CFB" w:rsidRDefault="00867564" w:rsidP="007F0D38">
            <w:pPr>
              <w:spacing w:after="0" w:line="240" w:lineRule="auto"/>
              <w:jc w:val="right"/>
              <w:rPr>
                <w:rFonts w:eastAsia="Times New Roman" w:cs="Times New Roman"/>
                <w:color w:val="000000"/>
                <w:sz w:val="18"/>
                <w:szCs w:val="18"/>
                <w:lang w:eastAsia="sk-SK"/>
              </w:rPr>
            </w:pPr>
            <w:r w:rsidRPr="00414CFB">
              <w:rPr>
                <w:rFonts w:eastAsia="Times New Roman" w:cs="Times New Roman"/>
                <w:color w:val="000000"/>
                <w:sz w:val="18"/>
                <w:szCs w:val="18"/>
                <w:lang w:eastAsia="sk-SK"/>
              </w:rPr>
              <w:t>1 018 535</w:t>
            </w:r>
          </w:p>
        </w:tc>
        <w:tc>
          <w:tcPr>
            <w:tcW w:w="903" w:type="dxa"/>
            <w:tcBorders>
              <w:top w:val="nil"/>
              <w:left w:val="nil"/>
              <w:bottom w:val="nil"/>
              <w:right w:val="nil"/>
            </w:tcBorders>
            <w:shd w:val="clear" w:color="auto" w:fill="auto"/>
            <w:noWrap/>
            <w:vAlign w:val="center"/>
            <w:hideMark/>
          </w:tcPr>
          <w:p w14:paraId="3C5E3DC7" w14:textId="77777777" w:rsidR="00867564" w:rsidRPr="00414CFB" w:rsidRDefault="00867564" w:rsidP="007F0D38">
            <w:pPr>
              <w:spacing w:after="0" w:line="240" w:lineRule="auto"/>
              <w:jc w:val="right"/>
              <w:rPr>
                <w:rFonts w:eastAsia="Times New Roman" w:cs="Times New Roman"/>
                <w:color w:val="000000"/>
                <w:sz w:val="18"/>
                <w:szCs w:val="18"/>
                <w:lang w:eastAsia="sk-SK"/>
              </w:rPr>
            </w:pPr>
            <w:r w:rsidRPr="00414CFB">
              <w:rPr>
                <w:rFonts w:eastAsia="Times New Roman" w:cs="Times New Roman"/>
                <w:color w:val="000000"/>
                <w:sz w:val="18"/>
                <w:szCs w:val="18"/>
                <w:lang w:eastAsia="sk-SK"/>
              </w:rPr>
              <w:t>23,2</w:t>
            </w:r>
          </w:p>
        </w:tc>
      </w:tr>
      <w:tr w:rsidR="00867564" w:rsidRPr="00414CFB" w14:paraId="279C37B1" w14:textId="77777777" w:rsidTr="00C53668">
        <w:trPr>
          <w:trHeight w:val="425"/>
        </w:trPr>
        <w:tc>
          <w:tcPr>
            <w:tcW w:w="3261" w:type="dxa"/>
            <w:tcBorders>
              <w:top w:val="nil"/>
              <w:left w:val="nil"/>
              <w:bottom w:val="nil"/>
              <w:right w:val="nil"/>
            </w:tcBorders>
            <w:shd w:val="clear" w:color="auto" w:fill="auto"/>
            <w:vAlign w:val="center"/>
            <w:hideMark/>
          </w:tcPr>
          <w:p w14:paraId="48A327BC" w14:textId="5C357F81" w:rsidR="00867564" w:rsidRPr="00414CFB" w:rsidRDefault="0088066E" w:rsidP="00C53668">
            <w:pPr>
              <w:spacing w:after="0" w:line="240" w:lineRule="auto"/>
              <w:ind w:left="159"/>
              <w:jc w:val="left"/>
              <w:rPr>
                <w:rFonts w:eastAsia="Times New Roman" w:cs="Times New Roman"/>
                <w:i/>
                <w:iCs/>
                <w:color w:val="000000"/>
                <w:sz w:val="18"/>
                <w:szCs w:val="18"/>
                <w:lang w:eastAsia="sk-SK"/>
              </w:rPr>
            </w:pPr>
            <w:proofErr w:type="spellStart"/>
            <w:r w:rsidRPr="00414CFB">
              <w:rPr>
                <w:rFonts w:eastAsia="Times New Roman" w:cs="Times New Roman"/>
                <w:i/>
                <w:iCs/>
                <w:color w:val="000000"/>
                <w:sz w:val="18"/>
                <w:szCs w:val="18"/>
                <w:lang w:eastAsia="sk-SK"/>
              </w:rPr>
              <w:t>nefin</w:t>
            </w:r>
            <w:proofErr w:type="spellEnd"/>
            <w:r w:rsidRPr="00414CFB">
              <w:rPr>
                <w:rFonts w:eastAsia="Times New Roman" w:cs="Times New Roman"/>
                <w:i/>
                <w:iCs/>
                <w:color w:val="000000"/>
                <w:sz w:val="18"/>
                <w:szCs w:val="18"/>
                <w:lang w:eastAsia="sk-SK"/>
              </w:rPr>
              <w:t xml:space="preserve">. subjektom a </w:t>
            </w:r>
            <w:r w:rsidR="00867564" w:rsidRPr="00414CFB">
              <w:rPr>
                <w:rFonts w:eastAsia="Times New Roman" w:cs="Times New Roman"/>
                <w:i/>
                <w:iCs/>
                <w:color w:val="000000"/>
                <w:sz w:val="18"/>
                <w:szCs w:val="18"/>
                <w:lang w:eastAsia="sk-SK"/>
              </w:rPr>
              <w:t>transfery PO nezaradeným vo verejnej správe</w:t>
            </w:r>
          </w:p>
        </w:tc>
        <w:tc>
          <w:tcPr>
            <w:tcW w:w="975" w:type="dxa"/>
            <w:tcBorders>
              <w:top w:val="nil"/>
              <w:left w:val="nil"/>
              <w:bottom w:val="nil"/>
              <w:right w:val="nil"/>
            </w:tcBorders>
            <w:shd w:val="clear" w:color="auto" w:fill="auto"/>
            <w:noWrap/>
            <w:vAlign w:val="center"/>
            <w:hideMark/>
          </w:tcPr>
          <w:p w14:paraId="36382AD8" w14:textId="77777777" w:rsidR="00867564" w:rsidRPr="00414CFB" w:rsidRDefault="00867564" w:rsidP="007F0D38">
            <w:pPr>
              <w:spacing w:after="0" w:line="240" w:lineRule="auto"/>
              <w:jc w:val="right"/>
              <w:rPr>
                <w:rFonts w:eastAsia="Times New Roman" w:cs="Times New Roman"/>
                <w:i/>
                <w:iCs/>
                <w:color w:val="000000"/>
                <w:sz w:val="18"/>
                <w:szCs w:val="18"/>
                <w:lang w:eastAsia="sk-SK"/>
              </w:rPr>
            </w:pPr>
            <w:r w:rsidRPr="00414CFB">
              <w:rPr>
                <w:rFonts w:eastAsia="Times New Roman" w:cs="Times New Roman"/>
                <w:i/>
                <w:iCs/>
                <w:color w:val="000000"/>
                <w:sz w:val="18"/>
                <w:szCs w:val="18"/>
                <w:lang w:eastAsia="sk-SK"/>
              </w:rPr>
              <w:t>713 871</w:t>
            </w:r>
          </w:p>
        </w:tc>
        <w:tc>
          <w:tcPr>
            <w:tcW w:w="974" w:type="dxa"/>
            <w:tcBorders>
              <w:top w:val="nil"/>
              <w:left w:val="nil"/>
              <w:bottom w:val="nil"/>
              <w:right w:val="nil"/>
            </w:tcBorders>
            <w:shd w:val="clear" w:color="auto" w:fill="auto"/>
            <w:noWrap/>
            <w:vAlign w:val="center"/>
            <w:hideMark/>
          </w:tcPr>
          <w:p w14:paraId="23D06841" w14:textId="77777777" w:rsidR="00867564" w:rsidRPr="00414CFB" w:rsidRDefault="00867564" w:rsidP="007F0D38">
            <w:pPr>
              <w:spacing w:after="0" w:line="240" w:lineRule="auto"/>
              <w:jc w:val="right"/>
              <w:rPr>
                <w:rFonts w:eastAsia="Times New Roman" w:cs="Times New Roman"/>
                <w:i/>
                <w:iCs/>
                <w:color w:val="000000"/>
                <w:sz w:val="18"/>
                <w:szCs w:val="18"/>
                <w:lang w:eastAsia="sk-SK"/>
              </w:rPr>
            </w:pPr>
            <w:r w:rsidRPr="00414CFB">
              <w:rPr>
                <w:rFonts w:eastAsia="Times New Roman" w:cs="Times New Roman"/>
                <w:i/>
                <w:iCs/>
                <w:color w:val="000000"/>
                <w:sz w:val="18"/>
                <w:szCs w:val="18"/>
                <w:lang w:eastAsia="sk-SK"/>
              </w:rPr>
              <w:t>814 907</w:t>
            </w:r>
          </w:p>
        </w:tc>
        <w:tc>
          <w:tcPr>
            <w:tcW w:w="1027" w:type="dxa"/>
            <w:tcBorders>
              <w:top w:val="nil"/>
              <w:left w:val="nil"/>
              <w:bottom w:val="nil"/>
              <w:right w:val="nil"/>
            </w:tcBorders>
            <w:shd w:val="clear" w:color="auto" w:fill="auto"/>
            <w:noWrap/>
            <w:vAlign w:val="center"/>
            <w:hideMark/>
          </w:tcPr>
          <w:p w14:paraId="0D3C398B" w14:textId="77777777" w:rsidR="00867564" w:rsidRPr="00414CFB" w:rsidRDefault="00867564" w:rsidP="007F0D38">
            <w:pPr>
              <w:spacing w:after="0" w:line="240" w:lineRule="auto"/>
              <w:jc w:val="right"/>
              <w:rPr>
                <w:rFonts w:eastAsia="Times New Roman" w:cs="Times New Roman"/>
                <w:i/>
                <w:iCs/>
                <w:color w:val="000000"/>
                <w:sz w:val="18"/>
                <w:szCs w:val="18"/>
                <w:lang w:eastAsia="sk-SK"/>
              </w:rPr>
            </w:pPr>
            <w:r w:rsidRPr="00414CFB">
              <w:rPr>
                <w:rFonts w:eastAsia="Times New Roman" w:cs="Times New Roman"/>
                <w:i/>
                <w:iCs/>
                <w:color w:val="000000"/>
                <w:sz w:val="18"/>
                <w:szCs w:val="18"/>
                <w:lang w:eastAsia="sk-SK"/>
              </w:rPr>
              <w:t>848 014</w:t>
            </w:r>
          </w:p>
        </w:tc>
        <w:tc>
          <w:tcPr>
            <w:tcW w:w="1134" w:type="dxa"/>
            <w:tcBorders>
              <w:top w:val="nil"/>
              <w:left w:val="nil"/>
              <w:bottom w:val="nil"/>
              <w:right w:val="nil"/>
            </w:tcBorders>
            <w:shd w:val="clear" w:color="000000" w:fill="BFBFBF"/>
            <w:noWrap/>
            <w:vAlign w:val="center"/>
            <w:hideMark/>
          </w:tcPr>
          <w:p w14:paraId="5A783840" w14:textId="77777777" w:rsidR="00867564" w:rsidRPr="00414CFB" w:rsidRDefault="00867564" w:rsidP="007F0D38">
            <w:pPr>
              <w:spacing w:after="0" w:line="240" w:lineRule="auto"/>
              <w:jc w:val="right"/>
              <w:rPr>
                <w:rFonts w:eastAsia="Times New Roman" w:cs="Times New Roman"/>
                <w:i/>
                <w:iCs/>
                <w:color w:val="000000"/>
                <w:sz w:val="18"/>
                <w:szCs w:val="18"/>
                <w:lang w:eastAsia="sk-SK"/>
              </w:rPr>
            </w:pPr>
            <w:r w:rsidRPr="00414CFB">
              <w:rPr>
                <w:rFonts w:eastAsia="Times New Roman" w:cs="Times New Roman"/>
                <w:i/>
                <w:iCs/>
                <w:color w:val="000000"/>
                <w:sz w:val="18"/>
                <w:szCs w:val="18"/>
                <w:lang w:eastAsia="sk-SK"/>
              </w:rPr>
              <w:t>1 163 129</w:t>
            </w:r>
          </w:p>
        </w:tc>
        <w:tc>
          <w:tcPr>
            <w:tcW w:w="940" w:type="dxa"/>
            <w:tcBorders>
              <w:top w:val="nil"/>
              <w:left w:val="nil"/>
              <w:bottom w:val="nil"/>
              <w:right w:val="nil"/>
            </w:tcBorders>
            <w:shd w:val="clear" w:color="auto" w:fill="auto"/>
            <w:noWrap/>
            <w:vAlign w:val="center"/>
            <w:hideMark/>
          </w:tcPr>
          <w:p w14:paraId="5112D647" w14:textId="77777777" w:rsidR="00867564" w:rsidRPr="00414CFB" w:rsidRDefault="00867564" w:rsidP="007F0D38">
            <w:pPr>
              <w:spacing w:after="0" w:line="240" w:lineRule="auto"/>
              <w:jc w:val="right"/>
              <w:rPr>
                <w:rFonts w:eastAsia="Times New Roman" w:cs="Times New Roman"/>
                <w:color w:val="000000"/>
                <w:sz w:val="18"/>
                <w:szCs w:val="18"/>
                <w:lang w:eastAsia="sk-SK"/>
              </w:rPr>
            </w:pPr>
            <w:r w:rsidRPr="00414CFB">
              <w:rPr>
                <w:rFonts w:eastAsia="Times New Roman" w:cs="Times New Roman"/>
                <w:color w:val="000000"/>
                <w:sz w:val="18"/>
                <w:szCs w:val="18"/>
                <w:lang w:eastAsia="sk-SK"/>
              </w:rPr>
              <w:t>315 115</w:t>
            </w:r>
          </w:p>
        </w:tc>
        <w:tc>
          <w:tcPr>
            <w:tcW w:w="903" w:type="dxa"/>
            <w:tcBorders>
              <w:top w:val="nil"/>
              <w:left w:val="nil"/>
              <w:bottom w:val="nil"/>
              <w:right w:val="nil"/>
            </w:tcBorders>
            <w:shd w:val="clear" w:color="auto" w:fill="auto"/>
            <w:noWrap/>
            <w:vAlign w:val="center"/>
            <w:hideMark/>
          </w:tcPr>
          <w:p w14:paraId="5AB33244" w14:textId="77777777" w:rsidR="00867564" w:rsidRPr="00414CFB" w:rsidRDefault="00867564" w:rsidP="007F0D38">
            <w:pPr>
              <w:spacing w:after="0" w:line="240" w:lineRule="auto"/>
              <w:jc w:val="right"/>
              <w:rPr>
                <w:rFonts w:eastAsia="Times New Roman" w:cs="Times New Roman"/>
                <w:color w:val="000000"/>
                <w:sz w:val="18"/>
                <w:szCs w:val="18"/>
                <w:lang w:eastAsia="sk-SK"/>
              </w:rPr>
            </w:pPr>
            <w:r w:rsidRPr="00414CFB">
              <w:rPr>
                <w:rFonts w:eastAsia="Times New Roman" w:cs="Times New Roman"/>
                <w:color w:val="000000"/>
                <w:sz w:val="18"/>
                <w:szCs w:val="18"/>
                <w:lang w:eastAsia="sk-SK"/>
              </w:rPr>
              <w:t>37,2</w:t>
            </w:r>
          </w:p>
        </w:tc>
      </w:tr>
      <w:tr w:rsidR="00867564" w:rsidRPr="00414CFB" w14:paraId="7A9EC7C8" w14:textId="77777777" w:rsidTr="00C53668">
        <w:trPr>
          <w:trHeight w:val="300"/>
        </w:trPr>
        <w:tc>
          <w:tcPr>
            <w:tcW w:w="3261" w:type="dxa"/>
            <w:tcBorders>
              <w:top w:val="nil"/>
              <w:left w:val="nil"/>
              <w:bottom w:val="nil"/>
              <w:right w:val="nil"/>
            </w:tcBorders>
            <w:shd w:val="clear" w:color="auto" w:fill="auto"/>
            <w:vAlign w:val="center"/>
            <w:hideMark/>
          </w:tcPr>
          <w:p w14:paraId="2F1144BD" w14:textId="77777777" w:rsidR="00867564" w:rsidRPr="00414CFB" w:rsidRDefault="00867564" w:rsidP="007F0D38">
            <w:pPr>
              <w:spacing w:after="0" w:line="240" w:lineRule="auto"/>
              <w:ind w:left="159"/>
              <w:rPr>
                <w:rFonts w:eastAsia="Times New Roman" w:cs="Times New Roman"/>
                <w:i/>
                <w:iCs/>
                <w:color w:val="000000"/>
                <w:sz w:val="18"/>
                <w:szCs w:val="18"/>
                <w:lang w:eastAsia="sk-SK"/>
              </w:rPr>
            </w:pPr>
            <w:r w:rsidRPr="00414CFB">
              <w:rPr>
                <w:rFonts w:eastAsia="Times New Roman" w:cs="Times New Roman"/>
                <w:i/>
                <w:iCs/>
                <w:color w:val="000000"/>
                <w:sz w:val="18"/>
                <w:szCs w:val="18"/>
                <w:lang w:eastAsia="sk-SK"/>
              </w:rPr>
              <w:t>do zahraničia</w:t>
            </w:r>
          </w:p>
        </w:tc>
        <w:tc>
          <w:tcPr>
            <w:tcW w:w="975" w:type="dxa"/>
            <w:tcBorders>
              <w:top w:val="nil"/>
              <w:left w:val="nil"/>
              <w:bottom w:val="nil"/>
              <w:right w:val="nil"/>
            </w:tcBorders>
            <w:shd w:val="clear" w:color="auto" w:fill="auto"/>
            <w:noWrap/>
            <w:vAlign w:val="center"/>
            <w:hideMark/>
          </w:tcPr>
          <w:p w14:paraId="4486CC6B" w14:textId="77777777" w:rsidR="00867564" w:rsidRPr="00414CFB" w:rsidRDefault="00867564" w:rsidP="007F0D38">
            <w:pPr>
              <w:spacing w:after="0" w:line="240" w:lineRule="auto"/>
              <w:jc w:val="right"/>
              <w:rPr>
                <w:rFonts w:eastAsia="Times New Roman" w:cs="Times New Roman"/>
                <w:i/>
                <w:iCs/>
                <w:color w:val="000000"/>
                <w:sz w:val="18"/>
                <w:szCs w:val="18"/>
                <w:lang w:eastAsia="sk-SK"/>
              </w:rPr>
            </w:pPr>
            <w:r w:rsidRPr="00414CFB">
              <w:rPr>
                <w:rFonts w:eastAsia="Times New Roman" w:cs="Times New Roman"/>
                <w:i/>
                <w:iCs/>
                <w:color w:val="000000"/>
                <w:sz w:val="18"/>
                <w:szCs w:val="18"/>
                <w:lang w:eastAsia="sk-SK"/>
              </w:rPr>
              <w:t>824 498</w:t>
            </w:r>
          </w:p>
        </w:tc>
        <w:tc>
          <w:tcPr>
            <w:tcW w:w="974" w:type="dxa"/>
            <w:tcBorders>
              <w:top w:val="nil"/>
              <w:left w:val="nil"/>
              <w:bottom w:val="nil"/>
              <w:right w:val="nil"/>
            </w:tcBorders>
            <w:shd w:val="clear" w:color="auto" w:fill="auto"/>
            <w:noWrap/>
            <w:vAlign w:val="center"/>
            <w:hideMark/>
          </w:tcPr>
          <w:p w14:paraId="025D02D6" w14:textId="77777777" w:rsidR="00867564" w:rsidRPr="00414CFB" w:rsidRDefault="00867564" w:rsidP="007F0D38">
            <w:pPr>
              <w:spacing w:after="0" w:line="240" w:lineRule="auto"/>
              <w:jc w:val="right"/>
              <w:rPr>
                <w:rFonts w:eastAsia="Times New Roman" w:cs="Times New Roman"/>
                <w:i/>
                <w:iCs/>
                <w:color w:val="000000"/>
                <w:sz w:val="18"/>
                <w:szCs w:val="18"/>
                <w:lang w:eastAsia="sk-SK"/>
              </w:rPr>
            </w:pPr>
            <w:r w:rsidRPr="00414CFB">
              <w:rPr>
                <w:rFonts w:eastAsia="Times New Roman" w:cs="Times New Roman"/>
                <w:i/>
                <w:iCs/>
                <w:color w:val="000000"/>
                <w:sz w:val="18"/>
                <w:szCs w:val="18"/>
                <w:lang w:eastAsia="sk-SK"/>
              </w:rPr>
              <w:t>845 686</w:t>
            </w:r>
          </w:p>
        </w:tc>
        <w:tc>
          <w:tcPr>
            <w:tcW w:w="1027" w:type="dxa"/>
            <w:tcBorders>
              <w:top w:val="nil"/>
              <w:left w:val="nil"/>
              <w:bottom w:val="nil"/>
              <w:right w:val="nil"/>
            </w:tcBorders>
            <w:shd w:val="clear" w:color="auto" w:fill="auto"/>
            <w:noWrap/>
            <w:vAlign w:val="center"/>
            <w:hideMark/>
          </w:tcPr>
          <w:p w14:paraId="454276AD" w14:textId="77777777" w:rsidR="00867564" w:rsidRPr="00414CFB" w:rsidRDefault="00867564" w:rsidP="007F0D38">
            <w:pPr>
              <w:spacing w:after="0" w:line="240" w:lineRule="auto"/>
              <w:jc w:val="right"/>
              <w:rPr>
                <w:rFonts w:eastAsia="Times New Roman" w:cs="Times New Roman"/>
                <w:i/>
                <w:iCs/>
                <w:color w:val="000000"/>
                <w:sz w:val="18"/>
                <w:szCs w:val="18"/>
                <w:lang w:eastAsia="sk-SK"/>
              </w:rPr>
            </w:pPr>
            <w:r w:rsidRPr="00414CFB">
              <w:rPr>
                <w:rFonts w:eastAsia="Times New Roman" w:cs="Times New Roman"/>
                <w:i/>
                <w:iCs/>
                <w:color w:val="000000"/>
                <w:sz w:val="18"/>
                <w:szCs w:val="18"/>
                <w:lang w:eastAsia="sk-SK"/>
              </w:rPr>
              <w:t>1 001 112</w:t>
            </w:r>
          </w:p>
        </w:tc>
        <w:tc>
          <w:tcPr>
            <w:tcW w:w="1134" w:type="dxa"/>
            <w:tcBorders>
              <w:top w:val="nil"/>
              <w:left w:val="nil"/>
              <w:bottom w:val="nil"/>
              <w:right w:val="nil"/>
            </w:tcBorders>
            <w:shd w:val="clear" w:color="000000" w:fill="BFBFBF"/>
            <w:noWrap/>
            <w:vAlign w:val="center"/>
            <w:hideMark/>
          </w:tcPr>
          <w:p w14:paraId="21CFA7C3" w14:textId="77777777" w:rsidR="00867564" w:rsidRPr="00414CFB" w:rsidRDefault="00867564" w:rsidP="007F0D38">
            <w:pPr>
              <w:spacing w:after="0" w:line="240" w:lineRule="auto"/>
              <w:jc w:val="right"/>
              <w:rPr>
                <w:rFonts w:eastAsia="Times New Roman" w:cs="Times New Roman"/>
                <w:i/>
                <w:iCs/>
                <w:color w:val="000000"/>
                <w:sz w:val="18"/>
                <w:szCs w:val="18"/>
                <w:lang w:eastAsia="sk-SK"/>
              </w:rPr>
            </w:pPr>
            <w:r w:rsidRPr="00414CFB">
              <w:rPr>
                <w:rFonts w:eastAsia="Times New Roman" w:cs="Times New Roman"/>
                <w:i/>
                <w:iCs/>
                <w:color w:val="000000"/>
                <w:sz w:val="18"/>
                <w:szCs w:val="18"/>
                <w:lang w:eastAsia="sk-SK"/>
              </w:rPr>
              <w:t>976 976</w:t>
            </w:r>
          </w:p>
        </w:tc>
        <w:tc>
          <w:tcPr>
            <w:tcW w:w="940" w:type="dxa"/>
            <w:tcBorders>
              <w:top w:val="nil"/>
              <w:left w:val="nil"/>
              <w:bottom w:val="nil"/>
              <w:right w:val="nil"/>
            </w:tcBorders>
            <w:shd w:val="clear" w:color="auto" w:fill="auto"/>
            <w:noWrap/>
            <w:vAlign w:val="center"/>
            <w:hideMark/>
          </w:tcPr>
          <w:p w14:paraId="3663B750" w14:textId="77777777" w:rsidR="00867564" w:rsidRPr="00414CFB" w:rsidRDefault="00867564" w:rsidP="007F0D38">
            <w:pPr>
              <w:spacing w:after="0" w:line="240" w:lineRule="auto"/>
              <w:jc w:val="right"/>
              <w:rPr>
                <w:rFonts w:eastAsia="Times New Roman" w:cs="Times New Roman"/>
                <w:color w:val="000000"/>
                <w:sz w:val="18"/>
                <w:szCs w:val="18"/>
                <w:lang w:eastAsia="sk-SK"/>
              </w:rPr>
            </w:pPr>
            <w:r w:rsidRPr="00414CFB">
              <w:rPr>
                <w:rFonts w:eastAsia="Times New Roman" w:cs="Times New Roman"/>
                <w:color w:val="000000"/>
                <w:sz w:val="18"/>
                <w:szCs w:val="18"/>
                <w:lang w:eastAsia="sk-SK"/>
              </w:rPr>
              <w:t>-24 136</w:t>
            </w:r>
          </w:p>
        </w:tc>
        <w:tc>
          <w:tcPr>
            <w:tcW w:w="903" w:type="dxa"/>
            <w:tcBorders>
              <w:top w:val="nil"/>
              <w:left w:val="nil"/>
              <w:bottom w:val="nil"/>
              <w:right w:val="nil"/>
            </w:tcBorders>
            <w:shd w:val="clear" w:color="auto" w:fill="auto"/>
            <w:noWrap/>
            <w:vAlign w:val="center"/>
            <w:hideMark/>
          </w:tcPr>
          <w:p w14:paraId="2A7C38E1" w14:textId="77777777" w:rsidR="00867564" w:rsidRPr="00414CFB" w:rsidRDefault="00867564" w:rsidP="007F0D38">
            <w:pPr>
              <w:spacing w:after="0" w:line="240" w:lineRule="auto"/>
              <w:jc w:val="right"/>
              <w:rPr>
                <w:rFonts w:eastAsia="Times New Roman" w:cs="Times New Roman"/>
                <w:color w:val="000000"/>
                <w:sz w:val="18"/>
                <w:szCs w:val="18"/>
                <w:lang w:eastAsia="sk-SK"/>
              </w:rPr>
            </w:pPr>
            <w:r w:rsidRPr="00414CFB">
              <w:rPr>
                <w:rFonts w:eastAsia="Times New Roman" w:cs="Times New Roman"/>
                <w:color w:val="000000"/>
                <w:sz w:val="18"/>
                <w:szCs w:val="18"/>
                <w:lang w:eastAsia="sk-SK"/>
              </w:rPr>
              <w:t>-2,4</w:t>
            </w:r>
          </w:p>
        </w:tc>
      </w:tr>
      <w:tr w:rsidR="00867564" w:rsidRPr="00414CFB" w14:paraId="50F073D6" w14:textId="77777777" w:rsidTr="00C53668">
        <w:trPr>
          <w:trHeight w:val="300"/>
        </w:trPr>
        <w:tc>
          <w:tcPr>
            <w:tcW w:w="3261" w:type="dxa"/>
            <w:tcBorders>
              <w:top w:val="nil"/>
              <w:left w:val="nil"/>
              <w:bottom w:val="nil"/>
              <w:right w:val="nil"/>
            </w:tcBorders>
            <w:shd w:val="clear" w:color="auto" w:fill="auto"/>
            <w:vAlign w:val="center"/>
            <w:hideMark/>
          </w:tcPr>
          <w:p w14:paraId="38633EC4" w14:textId="77777777" w:rsidR="00867564" w:rsidRPr="00414CFB" w:rsidRDefault="00867564" w:rsidP="007F0D38">
            <w:pPr>
              <w:spacing w:after="0" w:line="240" w:lineRule="auto"/>
              <w:ind w:left="159"/>
              <w:rPr>
                <w:rFonts w:eastAsia="Times New Roman" w:cs="Times New Roman"/>
                <w:i/>
                <w:iCs/>
                <w:color w:val="000000"/>
                <w:sz w:val="18"/>
                <w:szCs w:val="18"/>
                <w:lang w:eastAsia="sk-SK"/>
              </w:rPr>
            </w:pPr>
            <w:r w:rsidRPr="00414CFB">
              <w:rPr>
                <w:rFonts w:eastAsia="Times New Roman" w:cs="Times New Roman"/>
                <w:i/>
                <w:iCs/>
                <w:color w:val="000000"/>
                <w:sz w:val="18"/>
                <w:szCs w:val="18"/>
                <w:lang w:eastAsia="sk-SK"/>
              </w:rPr>
              <w:t>do tuzemských finančných inštitúcií</w:t>
            </w:r>
          </w:p>
        </w:tc>
        <w:tc>
          <w:tcPr>
            <w:tcW w:w="975" w:type="dxa"/>
            <w:tcBorders>
              <w:top w:val="nil"/>
              <w:left w:val="nil"/>
              <w:bottom w:val="nil"/>
              <w:right w:val="nil"/>
            </w:tcBorders>
            <w:shd w:val="clear" w:color="auto" w:fill="auto"/>
            <w:noWrap/>
            <w:vAlign w:val="center"/>
            <w:hideMark/>
          </w:tcPr>
          <w:p w14:paraId="526BA976" w14:textId="77777777" w:rsidR="00867564" w:rsidRPr="00414CFB" w:rsidRDefault="00867564" w:rsidP="007F0D38">
            <w:pPr>
              <w:spacing w:after="0" w:line="240" w:lineRule="auto"/>
              <w:jc w:val="right"/>
              <w:rPr>
                <w:rFonts w:eastAsia="Times New Roman" w:cs="Times New Roman"/>
                <w:i/>
                <w:iCs/>
                <w:color w:val="000000"/>
                <w:sz w:val="18"/>
                <w:szCs w:val="18"/>
                <w:lang w:eastAsia="sk-SK"/>
              </w:rPr>
            </w:pPr>
            <w:r w:rsidRPr="00414CFB">
              <w:rPr>
                <w:rFonts w:eastAsia="Times New Roman" w:cs="Times New Roman"/>
                <w:i/>
                <w:iCs/>
                <w:color w:val="000000"/>
                <w:sz w:val="18"/>
                <w:szCs w:val="18"/>
                <w:lang w:eastAsia="sk-SK"/>
              </w:rPr>
              <w:t>64 740</w:t>
            </w:r>
          </w:p>
        </w:tc>
        <w:tc>
          <w:tcPr>
            <w:tcW w:w="974" w:type="dxa"/>
            <w:tcBorders>
              <w:top w:val="nil"/>
              <w:left w:val="nil"/>
              <w:bottom w:val="nil"/>
              <w:right w:val="nil"/>
            </w:tcBorders>
            <w:shd w:val="clear" w:color="auto" w:fill="auto"/>
            <w:noWrap/>
            <w:vAlign w:val="center"/>
            <w:hideMark/>
          </w:tcPr>
          <w:p w14:paraId="0750FFEB" w14:textId="77777777" w:rsidR="00867564" w:rsidRPr="00414CFB" w:rsidRDefault="00867564" w:rsidP="007F0D38">
            <w:pPr>
              <w:spacing w:after="0" w:line="240" w:lineRule="auto"/>
              <w:jc w:val="right"/>
              <w:rPr>
                <w:rFonts w:eastAsia="Times New Roman" w:cs="Times New Roman"/>
                <w:i/>
                <w:iCs/>
                <w:color w:val="000000"/>
                <w:sz w:val="18"/>
                <w:szCs w:val="18"/>
                <w:lang w:eastAsia="sk-SK"/>
              </w:rPr>
            </w:pPr>
            <w:r w:rsidRPr="00414CFB">
              <w:rPr>
                <w:rFonts w:eastAsia="Times New Roman" w:cs="Times New Roman"/>
                <w:i/>
                <w:iCs/>
                <w:color w:val="000000"/>
                <w:sz w:val="18"/>
                <w:szCs w:val="18"/>
                <w:lang w:eastAsia="sk-SK"/>
              </w:rPr>
              <w:t>8 501</w:t>
            </w:r>
          </w:p>
        </w:tc>
        <w:tc>
          <w:tcPr>
            <w:tcW w:w="1027" w:type="dxa"/>
            <w:tcBorders>
              <w:top w:val="nil"/>
              <w:left w:val="nil"/>
              <w:bottom w:val="nil"/>
              <w:right w:val="nil"/>
            </w:tcBorders>
            <w:shd w:val="clear" w:color="auto" w:fill="auto"/>
            <w:noWrap/>
            <w:vAlign w:val="center"/>
            <w:hideMark/>
          </w:tcPr>
          <w:p w14:paraId="49768B00" w14:textId="77777777" w:rsidR="00867564" w:rsidRPr="00414CFB" w:rsidRDefault="00867564" w:rsidP="007F0D38">
            <w:pPr>
              <w:spacing w:after="0" w:line="240" w:lineRule="auto"/>
              <w:jc w:val="right"/>
              <w:rPr>
                <w:rFonts w:eastAsia="Times New Roman" w:cs="Times New Roman"/>
                <w:i/>
                <w:iCs/>
                <w:color w:val="000000"/>
                <w:sz w:val="18"/>
                <w:szCs w:val="18"/>
                <w:lang w:eastAsia="sk-SK"/>
              </w:rPr>
            </w:pPr>
            <w:r w:rsidRPr="00414CFB">
              <w:rPr>
                <w:rFonts w:eastAsia="Times New Roman" w:cs="Times New Roman"/>
                <w:i/>
                <w:iCs/>
                <w:color w:val="000000"/>
                <w:sz w:val="18"/>
                <w:szCs w:val="18"/>
                <w:lang w:eastAsia="sk-SK"/>
              </w:rPr>
              <w:t>2 203</w:t>
            </w:r>
          </w:p>
        </w:tc>
        <w:tc>
          <w:tcPr>
            <w:tcW w:w="1134" w:type="dxa"/>
            <w:tcBorders>
              <w:top w:val="nil"/>
              <w:left w:val="nil"/>
              <w:bottom w:val="nil"/>
              <w:right w:val="nil"/>
            </w:tcBorders>
            <w:shd w:val="clear" w:color="000000" w:fill="BFBFBF"/>
            <w:noWrap/>
            <w:vAlign w:val="center"/>
            <w:hideMark/>
          </w:tcPr>
          <w:p w14:paraId="63BF546B" w14:textId="77777777" w:rsidR="00867564" w:rsidRPr="00414CFB" w:rsidRDefault="00867564" w:rsidP="007F0D38">
            <w:pPr>
              <w:spacing w:after="0" w:line="240" w:lineRule="auto"/>
              <w:jc w:val="right"/>
              <w:rPr>
                <w:rFonts w:eastAsia="Times New Roman" w:cs="Times New Roman"/>
                <w:i/>
                <w:iCs/>
                <w:color w:val="000000"/>
                <w:sz w:val="18"/>
                <w:szCs w:val="18"/>
                <w:lang w:eastAsia="sk-SK"/>
              </w:rPr>
            </w:pPr>
            <w:r w:rsidRPr="00414CFB">
              <w:rPr>
                <w:rFonts w:eastAsia="Times New Roman" w:cs="Times New Roman"/>
                <w:i/>
                <w:iCs/>
                <w:color w:val="000000"/>
                <w:sz w:val="18"/>
                <w:szCs w:val="18"/>
                <w:lang w:eastAsia="sk-SK"/>
              </w:rPr>
              <w:t>1 629</w:t>
            </w:r>
          </w:p>
        </w:tc>
        <w:tc>
          <w:tcPr>
            <w:tcW w:w="940" w:type="dxa"/>
            <w:tcBorders>
              <w:top w:val="nil"/>
              <w:left w:val="nil"/>
              <w:bottom w:val="nil"/>
              <w:right w:val="nil"/>
            </w:tcBorders>
            <w:shd w:val="clear" w:color="auto" w:fill="auto"/>
            <w:noWrap/>
            <w:vAlign w:val="center"/>
            <w:hideMark/>
          </w:tcPr>
          <w:p w14:paraId="3E166968" w14:textId="77777777" w:rsidR="00867564" w:rsidRPr="00414CFB" w:rsidRDefault="00867564" w:rsidP="007F0D38">
            <w:pPr>
              <w:spacing w:after="0" w:line="240" w:lineRule="auto"/>
              <w:jc w:val="right"/>
              <w:rPr>
                <w:rFonts w:eastAsia="Times New Roman" w:cs="Times New Roman"/>
                <w:color w:val="000000"/>
                <w:sz w:val="18"/>
                <w:szCs w:val="18"/>
                <w:lang w:eastAsia="sk-SK"/>
              </w:rPr>
            </w:pPr>
            <w:r w:rsidRPr="00414CFB">
              <w:rPr>
                <w:rFonts w:eastAsia="Times New Roman" w:cs="Times New Roman"/>
                <w:color w:val="000000"/>
                <w:sz w:val="18"/>
                <w:szCs w:val="18"/>
                <w:lang w:eastAsia="sk-SK"/>
              </w:rPr>
              <w:t>-574</w:t>
            </w:r>
          </w:p>
        </w:tc>
        <w:tc>
          <w:tcPr>
            <w:tcW w:w="903" w:type="dxa"/>
            <w:tcBorders>
              <w:top w:val="nil"/>
              <w:left w:val="nil"/>
              <w:bottom w:val="nil"/>
              <w:right w:val="nil"/>
            </w:tcBorders>
            <w:shd w:val="clear" w:color="auto" w:fill="auto"/>
            <w:noWrap/>
            <w:vAlign w:val="center"/>
            <w:hideMark/>
          </w:tcPr>
          <w:p w14:paraId="7CD6A121" w14:textId="77777777" w:rsidR="00867564" w:rsidRPr="00414CFB" w:rsidRDefault="00867564" w:rsidP="007F0D38">
            <w:pPr>
              <w:spacing w:after="0" w:line="240" w:lineRule="auto"/>
              <w:jc w:val="right"/>
              <w:rPr>
                <w:rFonts w:eastAsia="Times New Roman" w:cs="Times New Roman"/>
                <w:color w:val="000000"/>
                <w:sz w:val="18"/>
                <w:szCs w:val="18"/>
                <w:lang w:eastAsia="sk-SK"/>
              </w:rPr>
            </w:pPr>
            <w:r w:rsidRPr="00414CFB">
              <w:rPr>
                <w:rFonts w:eastAsia="Times New Roman" w:cs="Times New Roman"/>
                <w:color w:val="000000"/>
                <w:sz w:val="18"/>
                <w:szCs w:val="18"/>
                <w:lang w:eastAsia="sk-SK"/>
              </w:rPr>
              <w:t>-26,1</w:t>
            </w:r>
          </w:p>
        </w:tc>
      </w:tr>
      <w:tr w:rsidR="00867564" w:rsidRPr="00414CFB" w14:paraId="0248BEC8" w14:textId="77777777" w:rsidTr="00C53668">
        <w:trPr>
          <w:trHeight w:val="300"/>
        </w:trPr>
        <w:tc>
          <w:tcPr>
            <w:tcW w:w="3261" w:type="dxa"/>
            <w:tcBorders>
              <w:top w:val="nil"/>
              <w:left w:val="nil"/>
              <w:bottom w:val="single" w:sz="8" w:space="0" w:color="auto"/>
              <w:right w:val="nil"/>
            </w:tcBorders>
            <w:shd w:val="clear" w:color="auto" w:fill="auto"/>
            <w:vAlign w:val="center"/>
            <w:hideMark/>
          </w:tcPr>
          <w:p w14:paraId="3398B488" w14:textId="77777777" w:rsidR="00867564" w:rsidRPr="00414CFB" w:rsidRDefault="00867564" w:rsidP="007F0D38">
            <w:pPr>
              <w:spacing w:after="0" w:line="240" w:lineRule="auto"/>
              <w:rPr>
                <w:rFonts w:eastAsia="Times New Roman" w:cs="Times New Roman"/>
                <w:color w:val="000000"/>
                <w:sz w:val="18"/>
                <w:szCs w:val="18"/>
                <w:lang w:eastAsia="sk-SK"/>
              </w:rPr>
            </w:pPr>
            <w:r w:rsidRPr="00414CFB">
              <w:rPr>
                <w:rFonts w:eastAsia="Times New Roman" w:cs="Times New Roman"/>
                <w:color w:val="000000"/>
                <w:sz w:val="18"/>
                <w:szCs w:val="18"/>
                <w:lang w:eastAsia="sk-SK"/>
              </w:rPr>
              <w:t>Splácanie úrokov a platby súvisiace s úverom</w:t>
            </w:r>
          </w:p>
        </w:tc>
        <w:tc>
          <w:tcPr>
            <w:tcW w:w="975" w:type="dxa"/>
            <w:tcBorders>
              <w:top w:val="nil"/>
              <w:left w:val="nil"/>
              <w:bottom w:val="single" w:sz="8" w:space="0" w:color="auto"/>
              <w:right w:val="nil"/>
            </w:tcBorders>
            <w:shd w:val="clear" w:color="auto" w:fill="auto"/>
            <w:noWrap/>
            <w:vAlign w:val="center"/>
            <w:hideMark/>
          </w:tcPr>
          <w:p w14:paraId="04528C71" w14:textId="77777777" w:rsidR="00867564" w:rsidRPr="00414CFB" w:rsidRDefault="00867564" w:rsidP="007F0D38">
            <w:pPr>
              <w:spacing w:after="0" w:line="240" w:lineRule="auto"/>
              <w:jc w:val="right"/>
              <w:rPr>
                <w:rFonts w:eastAsia="Times New Roman" w:cs="Times New Roman"/>
                <w:color w:val="000000"/>
                <w:sz w:val="18"/>
                <w:szCs w:val="18"/>
                <w:lang w:eastAsia="sk-SK"/>
              </w:rPr>
            </w:pPr>
            <w:r w:rsidRPr="00414CFB">
              <w:rPr>
                <w:rFonts w:eastAsia="Times New Roman" w:cs="Times New Roman"/>
                <w:color w:val="000000"/>
                <w:sz w:val="18"/>
                <w:szCs w:val="18"/>
                <w:lang w:eastAsia="sk-SK"/>
              </w:rPr>
              <w:t>270</w:t>
            </w:r>
          </w:p>
        </w:tc>
        <w:tc>
          <w:tcPr>
            <w:tcW w:w="974" w:type="dxa"/>
            <w:tcBorders>
              <w:top w:val="nil"/>
              <w:left w:val="nil"/>
              <w:bottom w:val="single" w:sz="8" w:space="0" w:color="auto"/>
              <w:right w:val="nil"/>
            </w:tcBorders>
            <w:shd w:val="clear" w:color="auto" w:fill="auto"/>
            <w:noWrap/>
            <w:vAlign w:val="center"/>
            <w:hideMark/>
          </w:tcPr>
          <w:p w14:paraId="6DE28604" w14:textId="77777777" w:rsidR="00867564" w:rsidRPr="00414CFB" w:rsidRDefault="00867564" w:rsidP="007F0D38">
            <w:pPr>
              <w:spacing w:after="0" w:line="240" w:lineRule="auto"/>
              <w:jc w:val="right"/>
              <w:rPr>
                <w:rFonts w:eastAsia="Times New Roman" w:cs="Times New Roman"/>
                <w:color w:val="000000"/>
                <w:sz w:val="18"/>
                <w:szCs w:val="18"/>
                <w:lang w:eastAsia="sk-SK"/>
              </w:rPr>
            </w:pPr>
            <w:r w:rsidRPr="00414CFB">
              <w:rPr>
                <w:rFonts w:eastAsia="Times New Roman" w:cs="Times New Roman"/>
                <w:color w:val="000000"/>
                <w:sz w:val="18"/>
                <w:szCs w:val="18"/>
                <w:lang w:eastAsia="sk-SK"/>
              </w:rPr>
              <w:t>270</w:t>
            </w:r>
          </w:p>
        </w:tc>
        <w:tc>
          <w:tcPr>
            <w:tcW w:w="1027" w:type="dxa"/>
            <w:tcBorders>
              <w:top w:val="nil"/>
              <w:left w:val="nil"/>
              <w:bottom w:val="single" w:sz="8" w:space="0" w:color="auto"/>
              <w:right w:val="nil"/>
            </w:tcBorders>
            <w:shd w:val="clear" w:color="auto" w:fill="auto"/>
            <w:noWrap/>
            <w:vAlign w:val="center"/>
            <w:hideMark/>
          </w:tcPr>
          <w:p w14:paraId="263C45C9" w14:textId="77777777" w:rsidR="00867564" w:rsidRPr="00414CFB" w:rsidRDefault="00867564" w:rsidP="007F0D38">
            <w:pPr>
              <w:spacing w:after="0" w:line="240" w:lineRule="auto"/>
              <w:jc w:val="right"/>
              <w:rPr>
                <w:rFonts w:eastAsia="Times New Roman" w:cs="Times New Roman"/>
                <w:color w:val="000000"/>
                <w:sz w:val="18"/>
                <w:szCs w:val="18"/>
                <w:lang w:eastAsia="sk-SK"/>
              </w:rPr>
            </w:pPr>
            <w:r w:rsidRPr="00414CFB">
              <w:rPr>
                <w:rFonts w:eastAsia="Times New Roman" w:cs="Times New Roman"/>
                <w:color w:val="000000"/>
                <w:sz w:val="18"/>
                <w:szCs w:val="18"/>
                <w:lang w:eastAsia="sk-SK"/>
              </w:rPr>
              <w:t>270</w:t>
            </w:r>
          </w:p>
        </w:tc>
        <w:tc>
          <w:tcPr>
            <w:tcW w:w="1134" w:type="dxa"/>
            <w:tcBorders>
              <w:top w:val="nil"/>
              <w:left w:val="nil"/>
              <w:bottom w:val="single" w:sz="8" w:space="0" w:color="auto"/>
              <w:right w:val="nil"/>
            </w:tcBorders>
            <w:shd w:val="clear" w:color="auto" w:fill="BFBFBF" w:themeFill="background1" w:themeFillShade="BF"/>
            <w:noWrap/>
            <w:vAlign w:val="center"/>
            <w:hideMark/>
          </w:tcPr>
          <w:p w14:paraId="714DED15" w14:textId="77777777" w:rsidR="00867564" w:rsidRPr="00414CFB" w:rsidRDefault="00867564" w:rsidP="007F0D38">
            <w:pPr>
              <w:spacing w:after="0" w:line="240" w:lineRule="auto"/>
              <w:jc w:val="right"/>
              <w:rPr>
                <w:rFonts w:eastAsia="Times New Roman" w:cs="Times New Roman"/>
                <w:color w:val="000000"/>
                <w:sz w:val="18"/>
                <w:szCs w:val="18"/>
                <w:lang w:eastAsia="sk-SK"/>
              </w:rPr>
            </w:pPr>
            <w:r w:rsidRPr="00414CFB">
              <w:rPr>
                <w:rFonts w:eastAsia="Times New Roman" w:cs="Times New Roman"/>
                <w:color w:val="000000"/>
                <w:sz w:val="18"/>
                <w:szCs w:val="18"/>
                <w:lang w:eastAsia="sk-SK"/>
              </w:rPr>
              <w:t>270</w:t>
            </w:r>
          </w:p>
        </w:tc>
        <w:tc>
          <w:tcPr>
            <w:tcW w:w="940" w:type="dxa"/>
            <w:tcBorders>
              <w:top w:val="nil"/>
              <w:left w:val="nil"/>
              <w:bottom w:val="single" w:sz="8" w:space="0" w:color="auto"/>
              <w:right w:val="nil"/>
            </w:tcBorders>
            <w:shd w:val="clear" w:color="auto" w:fill="auto"/>
            <w:noWrap/>
            <w:vAlign w:val="center"/>
            <w:hideMark/>
          </w:tcPr>
          <w:p w14:paraId="558D4041" w14:textId="77777777" w:rsidR="00867564" w:rsidRPr="00414CFB" w:rsidRDefault="00867564" w:rsidP="007F0D38">
            <w:pPr>
              <w:spacing w:after="0" w:line="240" w:lineRule="auto"/>
              <w:jc w:val="right"/>
              <w:rPr>
                <w:rFonts w:eastAsia="Times New Roman" w:cs="Times New Roman"/>
                <w:color w:val="000000"/>
                <w:sz w:val="18"/>
                <w:szCs w:val="18"/>
                <w:lang w:eastAsia="sk-SK"/>
              </w:rPr>
            </w:pPr>
            <w:r w:rsidRPr="00414CFB">
              <w:rPr>
                <w:rFonts w:eastAsia="Times New Roman" w:cs="Times New Roman"/>
                <w:color w:val="000000"/>
                <w:sz w:val="18"/>
                <w:szCs w:val="18"/>
                <w:lang w:eastAsia="sk-SK"/>
              </w:rPr>
              <w:t>0</w:t>
            </w:r>
          </w:p>
        </w:tc>
        <w:tc>
          <w:tcPr>
            <w:tcW w:w="903" w:type="dxa"/>
            <w:tcBorders>
              <w:top w:val="nil"/>
              <w:left w:val="nil"/>
              <w:bottom w:val="single" w:sz="8" w:space="0" w:color="auto"/>
              <w:right w:val="nil"/>
            </w:tcBorders>
            <w:shd w:val="clear" w:color="auto" w:fill="auto"/>
            <w:noWrap/>
            <w:vAlign w:val="center"/>
            <w:hideMark/>
          </w:tcPr>
          <w:p w14:paraId="26E6E0BF" w14:textId="77777777" w:rsidR="00867564" w:rsidRPr="00414CFB" w:rsidRDefault="00867564" w:rsidP="007F0D38">
            <w:pPr>
              <w:spacing w:after="0" w:line="240" w:lineRule="auto"/>
              <w:jc w:val="right"/>
              <w:rPr>
                <w:rFonts w:eastAsia="Times New Roman" w:cs="Times New Roman"/>
                <w:color w:val="000000"/>
                <w:sz w:val="18"/>
                <w:szCs w:val="18"/>
                <w:lang w:eastAsia="sk-SK"/>
              </w:rPr>
            </w:pPr>
            <w:r w:rsidRPr="00414CFB">
              <w:rPr>
                <w:rFonts w:eastAsia="Times New Roman" w:cs="Times New Roman"/>
                <w:color w:val="000000"/>
                <w:sz w:val="18"/>
                <w:szCs w:val="18"/>
                <w:lang w:eastAsia="sk-SK"/>
              </w:rPr>
              <w:t>0,0</w:t>
            </w:r>
          </w:p>
        </w:tc>
      </w:tr>
      <w:tr w:rsidR="00867564" w:rsidRPr="00414CFB" w14:paraId="5948ABFA" w14:textId="77777777" w:rsidTr="00C53668">
        <w:trPr>
          <w:trHeight w:val="345"/>
        </w:trPr>
        <w:tc>
          <w:tcPr>
            <w:tcW w:w="3261" w:type="dxa"/>
            <w:tcBorders>
              <w:top w:val="nil"/>
              <w:left w:val="nil"/>
              <w:bottom w:val="single" w:sz="8" w:space="0" w:color="auto"/>
              <w:right w:val="nil"/>
            </w:tcBorders>
            <w:shd w:val="clear" w:color="auto" w:fill="auto"/>
            <w:vAlign w:val="center"/>
            <w:hideMark/>
          </w:tcPr>
          <w:p w14:paraId="3BCBA565" w14:textId="77777777" w:rsidR="00867564" w:rsidRPr="00414CFB" w:rsidRDefault="00867564" w:rsidP="007F0D38">
            <w:pPr>
              <w:spacing w:after="0" w:line="240" w:lineRule="auto"/>
              <w:rPr>
                <w:rFonts w:eastAsia="Times New Roman" w:cs="Times New Roman"/>
                <w:b/>
                <w:bCs/>
                <w:color w:val="000000"/>
                <w:sz w:val="18"/>
                <w:szCs w:val="18"/>
                <w:lang w:eastAsia="sk-SK"/>
              </w:rPr>
            </w:pPr>
            <w:r w:rsidRPr="00414CFB">
              <w:rPr>
                <w:rFonts w:eastAsia="Times New Roman" w:cs="Times New Roman"/>
                <w:b/>
                <w:bCs/>
                <w:color w:val="000000"/>
                <w:sz w:val="18"/>
                <w:szCs w:val="18"/>
                <w:lang w:eastAsia="sk-SK"/>
              </w:rPr>
              <w:t>Spolu</w:t>
            </w:r>
          </w:p>
        </w:tc>
        <w:tc>
          <w:tcPr>
            <w:tcW w:w="975" w:type="dxa"/>
            <w:tcBorders>
              <w:top w:val="nil"/>
              <w:left w:val="nil"/>
              <w:bottom w:val="single" w:sz="8" w:space="0" w:color="auto"/>
              <w:right w:val="nil"/>
            </w:tcBorders>
            <w:shd w:val="clear" w:color="auto" w:fill="auto"/>
            <w:noWrap/>
            <w:vAlign w:val="center"/>
            <w:hideMark/>
          </w:tcPr>
          <w:p w14:paraId="0E94EA04" w14:textId="77777777" w:rsidR="00867564" w:rsidRPr="00414CFB" w:rsidRDefault="00867564" w:rsidP="007F0D38">
            <w:pPr>
              <w:spacing w:after="0" w:line="240" w:lineRule="auto"/>
              <w:jc w:val="right"/>
              <w:rPr>
                <w:rFonts w:eastAsia="Times New Roman" w:cs="Times New Roman"/>
                <w:b/>
                <w:bCs/>
                <w:color w:val="000000"/>
                <w:sz w:val="18"/>
                <w:szCs w:val="18"/>
                <w:lang w:eastAsia="sk-SK"/>
              </w:rPr>
            </w:pPr>
            <w:r w:rsidRPr="00414CFB">
              <w:rPr>
                <w:rFonts w:eastAsia="Times New Roman" w:cs="Times New Roman"/>
                <w:b/>
                <w:bCs/>
                <w:color w:val="000000"/>
                <w:sz w:val="18"/>
                <w:szCs w:val="18"/>
                <w:lang w:eastAsia="sk-SK"/>
              </w:rPr>
              <w:t>14 160 931</w:t>
            </w:r>
          </w:p>
        </w:tc>
        <w:tc>
          <w:tcPr>
            <w:tcW w:w="974" w:type="dxa"/>
            <w:tcBorders>
              <w:top w:val="nil"/>
              <w:left w:val="nil"/>
              <w:bottom w:val="single" w:sz="8" w:space="0" w:color="auto"/>
              <w:right w:val="nil"/>
            </w:tcBorders>
            <w:shd w:val="clear" w:color="000000" w:fill="FFFFFF"/>
            <w:noWrap/>
            <w:vAlign w:val="center"/>
            <w:hideMark/>
          </w:tcPr>
          <w:p w14:paraId="01E2492A" w14:textId="77777777" w:rsidR="00867564" w:rsidRPr="00414CFB" w:rsidRDefault="00867564" w:rsidP="007F0D38">
            <w:pPr>
              <w:spacing w:after="0" w:line="240" w:lineRule="auto"/>
              <w:jc w:val="right"/>
              <w:rPr>
                <w:rFonts w:eastAsia="Times New Roman" w:cs="Times New Roman"/>
                <w:b/>
                <w:bCs/>
                <w:color w:val="000000"/>
                <w:sz w:val="18"/>
                <w:szCs w:val="18"/>
                <w:lang w:eastAsia="sk-SK"/>
              </w:rPr>
            </w:pPr>
            <w:r w:rsidRPr="00414CFB">
              <w:rPr>
                <w:rFonts w:eastAsia="Times New Roman" w:cs="Times New Roman"/>
                <w:b/>
                <w:bCs/>
                <w:color w:val="000000"/>
                <w:sz w:val="18"/>
                <w:szCs w:val="18"/>
                <w:lang w:eastAsia="sk-SK"/>
              </w:rPr>
              <w:t>15 168 066</w:t>
            </w:r>
          </w:p>
        </w:tc>
        <w:tc>
          <w:tcPr>
            <w:tcW w:w="1027" w:type="dxa"/>
            <w:tcBorders>
              <w:top w:val="nil"/>
              <w:left w:val="nil"/>
              <w:bottom w:val="single" w:sz="8" w:space="0" w:color="auto"/>
              <w:right w:val="nil"/>
            </w:tcBorders>
            <w:shd w:val="clear" w:color="auto" w:fill="auto"/>
            <w:noWrap/>
            <w:vAlign w:val="center"/>
            <w:hideMark/>
          </w:tcPr>
          <w:p w14:paraId="611D7C17" w14:textId="77777777" w:rsidR="00867564" w:rsidRPr="00414CFB" w:rsidRDefault="00867564" w:rsidP="007F0D38">
            <w:pPr>
              <w:spacing w:after="0" w:line="240" w:lineRule="auto"/>
              <w:jc w:val="right"/>
              <w:rPr>
                <w:rFonts w:eastAsia="Times New Roman" w:cs="Times New Roman"/>
                <w:b/>
                <w:bCs/>
                <w:color w:val="000000"/>
                <w:sz w:val="18"/>
                <w:szCs w:val="18"/>
                <w:lang w:eastAsia="sk-SK"/>
              </w:rPr>
            </w:pPr>
            <w:r w:rsidRPr="00414CFB">
              <w:rPr>
                <w:rFonts w:eastAsia="Times New Roman" w:cs="Times New Roman"/>
                <w:b/>
                <w:bCs/>
                <w:color w:val="000000"/>
                <w:sz w:val="18"/>
                <w:szCs w:val="18"/>
                <w:lang w:eastAsia="sk-SK"/>
              </w:rPr>
              <w:t>24 690 943</w:t>
            </w:r>
          </w:p>
        </w:tc>
        <w:tc>
          <w:tcPr>
            <w:tcW w:w="1134" w:type="dxa"/>
            <w:tcBorders>
              <w:top w:val="nil"/>
              <w:left w:val="nil"/>
              <w:bottom w:val="single" w:sz="8" w:space="0" w:color="auto"/>
              <w:right w:val="nil"/>
            </w:tcBorders>
            <w:shd w:val="clear" w:color="auto" w:fill="BFBFBF" w:themeFill="background1" w:themeFillShade="BF"/>
            <w:noWrap/>
            <w:vAlign w:val="center"/>
            <w:hideMark/>
          </w:tcPr>
          <w:p w14:paraId="432E622A" w14:textId="77777777" w:rsidR="00867564" w:rsidRPr="00414CFB" w:rsidRDefault="00867564" w:rsidP="007F0D38">
            <w:pPr>
              <w:spacing w:after="0" w:line="240" w:lineRule="auto"/>
              <w:jc w:val="right"/>
              <w:rPr>
                <w:rFonts w:eastAsia="Times New Roman" w:cs="Times New Roman"/>
                <w:b/>
                <w:bCs/>
                <w:color w:val="000000"/>
                <w:sz w:val="18"/>
                <w:szCs w:val="18"/>
                <w:lang w:eastAsia="sk-SK"/>
              </w:rPr>
            </w:pPr>
            <w:r w:rsidRPr="00414CFB">
              <w:rPr>
                <w:rFonts w:eastAsia="Times New Roman" w:cs="Times New Roman"/>
                <w:b/>
                <w:bCs/>
                <w:color w:val="000000"/>
                <w:sz w:val="18"/>
                <w:szCs w:val="18"/>
                <w:lang w:eastAsia="sk-SK"/>
              </w:rPr>
              <w:t>20 846 610</w:t>
            </w:r>
          </w:p>
        </w:tc>
        <w:tc>
          <w:tcPr>
            <w:tcW w:w="940" w:type="dxa"/>
            <w:tcBorders>
              <w:top w:val="nil"/>
              <w:left w:val="nil"/>
              <w:bottom w:val="single" w:sz="8" w:space="0" w:color="auto"/>
              <w:right w:val="nil"/>
            </w:tcBorders>
            <w:shd w:val="clear" w:color="auto" w:fill="auto"/>
            <w:noWrap/>
            <w:vAlign w:val="center"/>
            <w:hideMark/>
          </w:tcPr>
          <w:p w14:paraId="6578ADA3" w14:textId="77777777" w:rsidR="00867564" w:rsidRPr="00414CFB" w:rsidRDefault="00867564" w:rsidP="007F0D38">
            <w:pPr>
              <w:spacing w:after="0" w:line="240" w:lineRule="auto"/>
              <w:jc w:val="right"/>
              <w:rPr>
                <w:rFonts w:eastAsia="Times New Roman" w:cs="Times New Roman"/>
                <w:b/>
                <w:bCs/>
                <w:color w:val="000000"/>
                <w:sz w:val="18"/>
                <w:szCs w:val="18"/>
                <w:lang w:eastAsia="sk-SK"/>
              </w:rPr>
            </w:pPr>
            <w:r w:rsidRPr="00414CFB">
              <w:rPr>
                <w:rFonts w:eastAsia="Times New Roman" w:cs="Times New Roman"/>
                <w:b/>
                <w:bCs/>
                <w:color w:val="000000"/>
                <w:sz w:val="18"/>
                <w:szCs w:val="18"/>
                <w:lang w:eastAsia="sk-SK"/>
              </w:rPr>
              <w:t>-3 844 333</w:t>
            </w:r>
          </w:p>
        </w:tc>
        <w:tc>
          <w:tcPr>
            <w:tcW w:w="903" w:type="dxa"/>
            <w:tcBorders>
              <w:top w:val="nil"/>
              <w:left w:val="nil"/>
              <w:bottom w:val="single" w:sz="8" w:space="0" w:color="auto"/>
              <w:right w:val="nil"/>
            </w:tcBorders>
            <w:shd w:val="clear" w:color="auto" w:fill="auto"/>
            <w:noWrap/>
            <w:vAlign w:val="center"/>
            <w:hideMark/>
          </w:tcPr>
          <w:p w14:paraId="61AA31E3" w14:textId="77777777" w:rsidR="00867564" w:rsidRPr="00414CFB" w:rsidRDefault="00867564" w:rsidP="007F0D38">
            <w:pPr>
              <w:spacing w:after="0" w:line="240" w:lineRule="auto"/>
              <w:jc w:val="right"/>
              <w:rPr>
                <w:rFonts w:eastAsia="Times New Roman" w:cs="Times New Roman"/>
                <w:b/>
                <w:bCs/>
                <w:color w:val="000000"/>
                <w:sz w:val="18"/>
                <w:szCs w:val="18"/>
                <w:lang w:eastAsia="sk-SK"/>
              </w:rPr>
            </w:pPr>
            <w:r w:rsidRPr="00414CFB">
              <w:rPr>
                <w:rFonts w:eastAsia="Times New Roman" w:cs="Times New Roman"/>
                <w:b/>
                <w:bCs/>
                <w:color w:val="000000"/>
                <w:sz w:val="18"/>
                <w:szCs w:val="18"/>
                <w:lang w:eastAsia="sk-SK"/>
              </w:rPr>
              <w:t>-15,6</w:t>
            </w:r>
          </w:p>
        </w:tc>
      </w:tr>
    </w:tbl>
    <w:p w14:paraId="69301A6D" w14:textId="4281F0C0" w:rsidR="00F108F7" w:rsidRPr="00C53668" w:rsidRDefault="00F108F7" w:rsidP="00F108F7">
      <w:pPr>
        <w:jc w:val="right"/>
        <w:rPr>
          <w:sz w:val="18"/>
          <w:szCs w:val="18"/>
        </w:rPr>
      </w:pPr>
      <w:r w:rsidRPr="00C53668">
        <w:rPr>
          <w:sz w:val="18"/>
          <w:szCs w:val="18"/>
        </w:rPr>
        <w:t>Zdroj: MF</w:t>
      </w:r>
      <w:r w:rsidR="0027346F" w:rsidRPr="00C53668">
        <w:rPr>
          <w:sz w:val="18"/>
          <w:szCs w:val="18"/>
        </w:rPr>
        <w:t xml:space="preserve"> S</w:t>
      </w:r>
      <w:r w:rsidRPr="00C53668">
        <w:rPr>
          <w:sz w:val="18"/>
          <w:szCs w:val="18"/>
        </w:rPr>
        <w:t>R</w:t>
      </w:r>
    </w:p>
    <w:p w14:paraId="1CD07E92" w14:textId="69775A21" w:rsidR="00867564" w:rsidRPr="00D16A60" w:rsidRDefault="00867564" w:rsidP="003B450C">
      <w:pPr>
        <w:rPr>
          <w:b/>
          <w:color w:val="5B9BD5" w:themeColor="accent1"/>
          <w:sz w:val="24"/>
          <w:szCs w:val="24"/>
        </w:rPr>
      </w:pPr>
      <w:r w:rsidRPr="00D16A60">
        <w:rPr>
          <w:b/>
          <w:color w:val="5B9BD5" w:themeColor="accent1"/>
          <w:sz w:val="24"/>
          <w:szCs w:val="24"/>
        </w:rPr>
        <w:t>Výdavky na mzdy, platy, služobné príjmy a ostatné osobné vyrovnania</w:t>
      </w:r>
    </w:p>
    <w:p w14:paraId="05946156" w14:textId="6DE02019" w:rsidR="00867564" w:rsidRPr="00D715AF" w:rsidRDefault="00867564" w:rsidP="001665F3">
      <w:pPr>
        <w:spacing w:line="240" w:lineRule="auto"/>
        <w:rPr>
          <w:rFonts w:cs="Times New Roman"/>
          <w:sz w:val="24"/>
          <w:szCs w:val="24"/>
        </w:rPr>
      </w:pPr>
      <w:r w:rsidRPr="00D715AF">
        <w:rPr>
          <w:rFonts w:cs="Times New Roman"/>
          <w:sz w:val="24"/>
          <w:szCs w:val="24"/>
        </w:rPr>
        <w:t>Zákon o štátnom rozpočte na rok 2020 stanovil pre zamestnancov rozpočtových organizácií kapitol štátneho rozpočtu limit výdavkov na mzdy, platy, služobné príjmy a ostatné osobné vyrovnania (OOV) ako záväzný ukazovateľ z kódu 111 (zdroj štátneho rozpočtu) a 11H (transfery od ostatných subjektov verejnej správy) v úhrnnej sume 2 426 671 tis. eur. V priebehu roka bol rozpočet výdavkov na mzdy, platy, služobné príjmy a OOV na zdroji 111 rozpočtovými opatreniami zvýšený o 73 447 tis. eur na 2 500 118 tis. eur. Okrem zdroja 111 boli výdavky na</w:t>
      </w:r>
      <w:r w:rsidR="00192236" w:rsidRPr="00D715AF">
        <w:rPr>
          <w:rFonts w:cs="Times New Roman"/>
          <w:sz w:val="24"/>
          <w:szCs w:val="24"/>
        </w:rPr>
        <w:t> </w:t>
      </w:r>
      <w:r w:rsidRPr="00D715AF">
        <w:rPr>
          <w:rFonts w:cs="Times New Roman"/>
          <w:sz w:val="24"/>
          <w:szCs w:val="24"/>
        </w:rPr>
        <w:t>mzdy, platy, služobné príjmy a OOV upravené aj</w:t>
      </w:r>
      <w:r w:rsidR="00424B19" w:rsidRPr="00D715AF">
        <w:rPr>
          <w:rFonts w:cs="Times New Roman"/>
          <w:sz w:val="24"/>
          <w:szCs w:val="24"/>
        </w:rPr>
        <w:t xml:space="preserve"> </w:t>
      </w:r>
      <w:r w:rsidRPr="00D715AF">
        <w:rPr>
          <w:rFonts w:cs="Times New Roman"/>
          <w:sz w:val="24"/>
          <w:szCs w:val="24"/>
        </w:rPr>
        <w:t>zo zdrojov EÚ a prostriedkov na</w:t>
      </w:r>
      <w:r w:rsidR="00192236" w:rsidRPr="00D715AF">
        <w:rPr>
          <w:rFonts w:cs="Times New Roman"/>
          <w:sz w:val="24"/>
          <w:szCs w:val="24"/>
        </w:rPr>
        <w:t> </w:t>
      </w:r>
      <w:r w:rsidRPr="00D715AF">
        <w:rPr>
          <w:rFonts w:cs="Times New Roman"/>
          <w:sz w:val="24"/>
          <w:szCs w:val="24"/>
        </w:rPr>
        <w:t xml:space="preserve">spolufinancovanie zo štátneho rozpočtu o sumu 87 166 tis. eur a z iných zdrojov o 107 tis. eur, na sumu 2 587 391 tis. eur. </w:t>
      </w:r>
      <w:r w:rsidRPr="00D715AF">
        <w:rPr>
          <w:rFonts w:cs="Times New Roman"/>
          <w:b/>
          <w:sz w:val="24"/>
          <w:szCs w:val="24"/>
        </w:rPr>
        <w:t>V skutočnosti bolo na</w:t>
      </w:r>
      <w:r w:rsidRPr="00D715AF">
        <w:rPr>
          <w:rFonts w:cs="Times New Roman"/>
          <w:sz w:val="24"/>
          <w:szCs w:val="24"/>
        </w:rPr>
        <w:t xml:space="preserve"> </w:t>
      </w:r>
      <w:r w:rsidRPr="00D715AF">
        <w:rPr>
          <w:rFonts w:cs="Times New Roman"/>
          <w:b/>
          <w:sz w:val="24"/>
          <w:szCs w:val="24"/>
        </w:rPr>
        <w:t>mzdy, platy, služobné príjmy a ostatné osobné vyrovnania zamestnancov rozpočtových organizácií kapitol štátneho rozpočtu za</w:t>
      </w:r>
      <w:r w:rsidR="00192236" w:rsidRPr="00D715AF">
        <w:rPr>
          <w:rFonts w:cs="Times New Roman"/>
          <w:b/>
          <w:sz w:val="24"/>
          <w:szCs w:val="24"/>
        </w:rPr>
        <w:t> </w:t>
      </w:r>
      <w:r w:rsidRPr="00D715AF">
        <w:rPr>
          <w:rFonts w:cs="Times New Roman"/>
          <w:b/>
          <w:sz w:val="24"/>
          <w:szCs w:val="24"/>
        </w:rPr>
        <w:t>všetky zdroje vynaložených celkom 2 573 842 tis. eur, čo je o 250 880 tis. eur (10,8 %) viac než v roku 2019.</w:t>
      </w:r>
    </w:p>
    <w:p w14:paraId="2866DFDC" w14:textId="39509D5D" w:rsidR="00867564" w:rsidRPr="00D715AF" w:rsidRDefault="00867564" w:rsidP="001665F3">
      <w:pPr>
        <w:spacing w:line="240" w:lineRule="auto"/>
        <w:rPr>
          <w:rFonts w:cs="Times New Roman"/>
          <w:sz w:val="24"/>
          <w:szCs w:val="24"/>
        </w:rPr>
      </w:pPr>
      <w:r w:rsidRPr="00D715AF">
        <w:rPr>
          <w:rFonts w:cs="Times New Roman"/>
          <w:sz w:val="24"/>
          <w:szCs w:val="24"/>
        </w:rPr>
        <w:t>Z prostriedkov štátneho rozpočtu zo zdroja 111 boli na mzdy</w:t>
      </w:r>
      <w:r w:rsidR="00424B19" w:rsidRPr="00D715AF">
        <w:rPr>
          <w:rFonts w:cs="Times New Roman"/>
          <w:sz w:val="24"/>
          <w:szCs w:val="24"/>
        </w:rPr>
        <w:t xml:space="preserve">, platy, služobné príjmy a OOV </w:t>
      </w:r>
      <w:r w:rsidRPr="00D715AF">
        <w:rPr>
          <w:rFonts w:cs="Times New Roman"/>
          <w:sz w:val="24"/>
          <w:szCs w:val="24"/>
        </w:rPr>
        <w:t>zamestnancov vyčerpané finančné prostriedky v sume 2 486 569 tis. eur. Na zdrojoch 111, 72e, 72g a 72h boli v súhrne vyplatené mzdy na úrovni 2 486 676 tis. eur. Z iných zdrojov ako vyššie uvedených boli čerpané finančné prostriedky v sume 87 166 tis</w:t>
      </w:r>
      <w:r w:rsidR="008F23E5" w:rsidRPr="00D715AF">
        <w:rPr>
          <w:rFonts w:cs="Times New Roman"/>
          <w:sz w:val="24"/>
          <w:szCs w:val="24"/>
        </w:rPr>
        <w:t>.</w:t>
      </w:r>
      <w:r w:rsidRPr="00D715AF">
        <w:rPr>
          <w:rFonts w:cs="Times New Roman"/>
          <w:sz w:val="24"/>
          <w:szCs w:val="24"/>
        </w:rPr>
        <w:t> eur (ide o prostriedky EÚ a prostriedky na spolufinancovanie zo štátneho rozpočtu).</w:t>
      </w:r>
    </w:p>
    <w:p w14:paraId="0DA6B691" w14:textId="09454DCF" w:rsidR="00867564" w:rsidRPr="00D715AF" w:rsidRDefault="00867564" w:rsidP="001665F3">
      <w:pPr>
        <w:spacing w:line="240" w:lineRule="auto"/>
        <w:rPr>
          <w:rFonts w:cs="Times New Roman"/>
          <w:sz w:val="24"/>
          <w:szCs w:val="24"/>
        </w:rPr>
      </w:pPr>
      <w:r w:rsidRPr="00D715AF">
        <w:rPr>
          <w:rFonts w:cs="Times New Roman"/>
          <w:sz w:val="24"/>
          <w:szCs w:val="24"/>
        </w:rPr>
        <w:t>V rámci skutočne vyčerpaných výdavkov na mzdy a platy v rozpočtových organizáciách kapitol štátneho rozpočtu bola pre 1 110 zamestnancov (0,9 % zo skutočného počtu zamestnancov za</w:t>
      </w:r>
      <w:r w:rsidR="00FC7EAC">
        <w:rPr>
          <w:rFonts w:cs="Times New Roman"/>
          <w:sz w:val="24"/>
          <w:szCs w:val="24"/>
        </w:rPr>
        <w:t> </w:t>
      </w:r>
      <w:r w:rsidRPr="00D715AF">
        <w:rPr>
          <w:rFonts w:cs="Times New Roman"/>
          <w:sz w:val="24"/>
          <w:szCs w:val="24"/>
        </w:rPr>
        <w:t>rok 2020) vyplatená odmena pri príležitosti letnej dovolenky v sume 1 168 tis. eur (medziročne o 21 346 tis. eur menej). Pri príležitosti vianočných sviatkov bola pre 643 osôb (0,5 % zo</w:t>
      </w:r>
      <w:r w:rsidR="00192236" w:rsidRPr="00D715AF">
        <w:rPr>
          <w:rFonts w:cs="Times New Roman"/>
          <w:sz w:val="24"/>
          <w:szCs w:val="24"/>
        </w:rPr>
        <w:t> </w:t>
      </w:r>
      <w:r w:rsidRPr="00D715AF">
        <w:rPr>
          <w:rFonts w:cs="Times New Roman"/>
          <w:sz w:val="24"/>
          <w:szCs w:val="24"/>
        </w:rPr>
        <w:t xml:space="preserve">skutočného počtu zamestnancov za rok 2020) vyplatená odmena v sume 1 070 tis. eur (medziročný pokles o 14 880 tis. eur). </w:t>
      </w:r>
    </w:p>
    <w:p w14:paraId="4FB6A2A1" w14:textId="77777777" w:rsidR="00867564" w:rsidRPr="00D715AF" w:rsidRDefault="00867564" w:rsidP="001665F3">
      <w:pPr>
        <w:spacing w:line="240" w:lineRule="auto"/>
        <w:rPr>
          <w:rFonts w:cs="Times New Roman"/>
          <w:sz w:val="24"/>
          <w:szCs w:val="24"/>
        </w:rPr>
      </w:pPr>
      <w:r w:rsidRPr="00D715AF">
        <w:rPr>
          <w:rFonts w:cs="Times New Roman"/>
          <w:b/>
          <w:sz w:val="24"/>
          <w:szCs w:val="24"/>
        </w:rPr>
        <w:t>Limit výdavkov na mzdy, platy, služobné príjmy a ostatné osobné vyrovnania bol ako záväzný ukazovateľ na zdroji 111 a 11H vo všetkých kapitolách štátneho rozpočtu dodržaný</w:t>
      </w:r>
      <w:r w:rsidRPr="00D715AF">
        <w:rPr>
          <w:rFonts w:cs="Times New Roman"/>
          <w:sz w:val="24"/>
          <w:szCs w:val="24"/>
        </w:rPr>
        <w:t xml:space="preserve">. </w:t>
      </w:r>
    </w:p>
    <w:p w14:paraId="50A36BE2" w14:textId="77777777" w:rsidR="00D16A60" w:rsidRDefault="00867564" w:rsidP="001665F3">
      <w:pPr>
        <w:spacing w:line="240" w:lineRule="auto"/>
        <w:rPr>
          <w:rFonts w:cs="Times New Roman"/>
          <w:sz w:val="24"/>
          <w:szCs w:val="24"/>
        </w:rPr>
      </w:pPr>
      <w:r w:rsidRPr="00D715AF">
        <w:rPr>
          <w:rFonts w:cs="Times New Roman"/>
          <w:sz w:val="24"/>
          <w:szCs w:val="24"/>
        </w:rPr>
        <w:t xml:space="preserve">Skutočný medziročný nárast záväzného ukazovateľa výdavkov na mzdy, platy, služobné príjmy a ostatné osobné vyrovnania zamestnancov rozpočtových organizácií kapitol štátneho rozpočtu najvýraznejšie ovplyvnila </w:t>
      </w:r>
      <w:r w:rsidRPr="00D715AF">
        <w:rPr>
          <w:rFonts w:cs="Times New Roman"/>
          <w:i/>
          <w:sz w:val="24"/>
          <w:szCs w:val="24"/>
        </w:rPr>
        <w:t>valorizácia platov štátnych zamestnancov a zamestnancov pri výkone práce vo verejnom záujme na úrovni 10 % od 1. januára 2020</w:t>
      </w:r>
      <w:r w:rsidRPr="00D715AF">
        <w:rPr>
          <w:rFonts w:cs="Times New Roman"/>
          <w:sz w:val="24"/>
          <w:szCs w:val="24"/>
        </w:rPr>
        <w:t xml:space="preserve"> zabezpečená v rozpočte výdavkov miezd a platov v sume 200 500 tis. eur. Na zvýšenom čerpaní výdavkov miezd a platov sa výrazne podieľalo schválenie nových zákonov a prijatých uznesení vlády SR, na zabezpečenie ktorých boli na mzdy a platy uvoľnené finančné prostriedky v sume 108 059 tis. eur. Vo</w:t>
      </w:r>
      <w:r w:rsidR="00676CEF" w:rsidRPr="00D715AF">
        <w:rPr>
          <w:rFonts w:cs="Times New Roman"/>
          <w:sz w:val="24"/>
          <w:szCs w:val="24"/>
        </w:rPr>
        <w:t> </w:t>
      </w:r>
      <w:r w:rsidRPr="00D715AF">
        <w:rPr>
          <w:rFonts w:cs="Times New Roman"/>
          <w:sz w:val="24"/>
          <w:szCs w:val="24"/>
        </w:rPr>
        <w:t>významnej miere sa na tejto sume podieľalo zvýšenie miezd o 73 480 tis. eur na kapitole Ministerstva obrany SR súvisiace so zmenou systému odmeňovania profesionálnych vojakov v štátnej službe vyplývajúcej z novely zákona č. 281/2015 Z. z. o štátnej služb</w:t>
      </w:r>
      <w:r w:rsidR="00D16A60">
        <w:rPr>
          <w:rFonts w:cs="Times New Roman"/>
          <w:sz w:val="24"/>
          <w:szCs w:val="24"/>
        </w:rPr>
        <w:t>e profesionálnych vojakov.</w:t>
      </w:r>
    </w:p>
    <w:p w14:paraId="04EF1586" w14:textId="77777777" w:rsidR="00D16A60" w:rsidRDefault="00867564" w:rsidP="001665F3">
      <w:pPr>
        <w:spacing w:line="240" w:lineRule="auto"/>
        <w:rPr>
          <w:rFonts w:cs="Times New Roman"/>
          <w:sz w:val="24"/>
          <w:szCs w:val="24"/>
        </w:rPr>
      </w:pPr>
      <w:r w:rsidRPr="00D715AF">
        <w:rPr>
          <w:rFonts w:cs="Times New Roman"/>
          <w:sz w:val="24"/>
          <w:szCs w:val="24"/>
        </w:rPr>
        <w:t xml:space="preserve">Ďalším významným prvkom, ktorý ovplyvnil rozpočet mzdových výdavkov v sume 37 836 tis. eur boli odmeny pre zamestnancov plniacich úlohy v rámci akcie "Spoločná zodpovednosť", prostriedky určené na sanáciu výdavkov priamo implikovaných vznikom pandémie súvisiacej s ochorením COVID-19, resp. s plnením Nariadenia vlády SR schváleným UV SR </w:t>
      </w:r>
      <w:r w:rsidRPr="00D715AF">
        <w:rPr>
          <w:rFonts w:cs="Times New Roman"/>
          <w:b/>
          <w:sz w:val="24"/>
          <w:szCs w:val="24"/>
        </w:rPr>
        <w:t xml:space="preserve">č. 616/2020, ktorým sa dopĺňalo </w:t>
      </w:r>
      <w:r w:rsidR="00D5121D" w:rsidRPr="00D715AF">
        <w:rPr>
          <w:rFonts w:cs="Times New Roman"/>
          <w:b/>
          <w:sz w:val="24"/>
          <w:szCs w:val="24"/>
        </w:rPr>
        <w:t>nariadenie</w:t>
      </w:r>
      <w:r w:rsidRPr="00D715AF">
        <w:rPr>
          <w:rFonts w:cs="Times New Roman"/>
          <w:b/>
          <w:sz w:val="24"/>
          <w:szCs w:val="24"/>
        </w:rPr>
        <w:t xml:space="preserve"> č. 103/2020 Z. z. o niektorých opatreniach v oblasti dotácií</w:t>
      </w:r>
      <w:r w:rsidRPr="00D715AF">
        <w:rPr>
          <w:rFonts w:cs="Times New Roman"/>
          <w:sz w:val="24"/>
          <w:szCs w:val="24"/>
        </w:rPr>
        <w:t xml:space="preserve"> v pôsobnosti </w:t>
      </w:r>
      <w:r w:rsidR="00D5121D" w:rsidRPr="00D715AF">
        <w:rPr>
          <w:rFonts w:cs="Times New Roman"/>
          <w:sz w:val="24"/>
          <w:szCs w:val="24"/>
        </w:rPr>
        <w:t>Ministerstva práce, sociálnych vecí a rodiny SR</w:t>
      </w:r>
      <w:r w:rsidRPr="00D715AF">
        <w:rPr>
          <w:rFonts w:cs="Times New Roman"/>
          <w:sz w:val="24"/>
          <w:szCs w:val="24"/>
        </w:rPr>
        <w:t xml:space="preserve"> v čase mimoriadnej situácie, núdzového stavu alebo výnimočného stavu vyhláseného v súvislosti s ochorením COVID-19 najmä na kapitolách Ministerstva vnútra SR, Ministerstva obrany SR, Ministerstva zdravotníctva SR a Ministerstva práce, soc</w:t>
      </w:r>
      <w:r w:rsidR="00D16A60">
        <w:rPr>
          <w:rFonts w:cs="Times New Roman"/>
          <w:sz w:val="24"/>
          <w:szCs w:val="24"/>
        </w:rPr>
        <w:t>iálnych vecí a rodiny SR.</w:t>
      </w:r>
    </w:p>
    <w:p w14:paraId="2C89DF0B" w14:textId="631970A5" w:rsidR="00867564" w:rsidRPr="00D715AF" w:rsidRDefault="00867564" w:rsidP="001665F3">
      <w:pPr>
        <w:spacing w:line="240" w:lineRule="auto"/>
        <w:rPr>
          <w:rFonts w:cs="Times New Roman"/>
          <w:sz w:val="24"/>
          <w:szCs w:val="24"/>
        </w:rPr>
      </w:pPr>
      <w:r w:rsidRPr="00D715AF">
        <w:rPr>
          <w:rFonts w:cs="Times New Roman"/>
          <w:sz w:val="24"/>
          <w:szCs w:val="24"/>
        </w:rPr>
        <w:t>Dôvodom, ktorý znížil úroveň čerpania miezd bola skutočnosť, že výdavky v sume 36 390 tis. eur boli v dôsledku neobsadenia rozpočtovaných miest (vo </w:t>
      </w:r>
      <w:r w:rsidR="00F3637B" w:rsidRPr="00D715AF">
        <w:rPr>
          <w:rFonts w:cs="Times New Roman"/>
          <w:sz w:val="24"/>
          <w:szCs w:val="24"/>
        </w:rPr>
        <w:t>v</w:t>
      </w:r>
      <w:r w:rsidRPr="00D715AF">
        <w:rPr>
          <w:rFonts w:cs="Times New Roman"/>
          <w:sz w:val="24"/>
          <w:szCs w:val="24"/>
        </w:rPr>
        <w:t>ýraznej miere aj z dôvodu pozastavení výberových konaní pri zhoršenej situácii spôsobenej pandémiou) v tejto kategórii viazané a použité podľa potrieb kapitol štátneho rozpočtu v iných kategóriách, najmä na zabezpečenie kapitálových výdavkov a bežných prevádzkových potrieb. Okrem toho medziročné čerpanie výdavkov na mzdy a platy kapitol štátneho rozpočtu bolo ovplyvnené aj ich znížením, ktoré súviselo s prijatými úspornými opatreniami a</w:t>
      </w:r>
      <w:r w:rsidR="00604E69" w:rsidRPr="00D715AF">
        <w:rPr>
          <w:rFonts w:cs="Times New Roman"/>
          <w:sz w:val="24"/>
          <w:szCs w:val="24"/>
        </w:rPr>
        <w:t xml:space="preserve"> </w:t>
      </w:r>
      <w:r w:rsidRPr="00D715AF">
        <w:rPr>
          <w:rFonts w:cs="Times New Roman"/>
          <w:sz w:val="24"/>
          <w:szCs w:val="24"/>
        </w:rPr>
        <w:t xml:space="preserve">s realizáciou centrálneho úradného doručovania v súhrnnej sume 35 900 tis. eur. </w:t>
      </w:r>
    </w:p>
    <w:p w14:paraId="403E79B2" w14:textId="026AD3C2" w:rsidR="00867564" w:rsidRPr="00D715AF" w:rsidRDefault="00867564" w:rsidP="001665F3">
      <w:pPr>
        <w:spacing w:line="240" w:lineRule="auto"/>
        <w:rPr>
          <w:rFonts w:cs="Times New Roman"/>
          <w:sz w:val="24"/>
          <w:szCs w:val="24"/>
        </w:rPr>
      </w:pPr>
      <w:r w:rsidRPr="00D715AF">
        <w:rPr>
          <w:rFonts w:cs="Times New Roman"/>
          <w:sz w:val="24"/>
          <w:szCs w:val="24"/>
        </w:rPr>
        <w:t>Trom kapitolám štátneho rozpočtu (Ministerstvu investícií, regionálneho rozvoja a</w:t>
      </w:r>
      <w:r w:rsidR="00FC7EAC">
        <w:rPr>
          <w:rFonts w:cs="Times New Roman"/>
          <w:sz w:val="24"/>
          <w:szCs w:val="24"/>
        </w:rPr>
        <w:t> </w:t>
      </w:r>
      <w:r w:rsidRPr="00D715AF">
        <w:rPr>
          <w:rFonts w:cs="Times New Roman"/>
          <w:sz w:val="24"/>
          <w:szCs w:val="24"/>
        </w:rPr>
        <w:t>informatizácie SR, Ministerstvu zdravotníctva SR a Ministerstvu práce, sociálnych vecí a</w:t>
      </w:r>
      <w:r w:rsidR="00FC7EAC">
        <w:rPr>
          <w:rFonts w:cs="Times New Roman"/>
          <w:sz w:val="24"/>
          <w:szCs w:val="24"/>
        </w:rPr>
        <w:t> </w:t>
      </w:r>
      <w:r w:rsidRPr="00D715AF">
        <w:rPr>
          <w:rFonts w:cs="Times New Roman"/>
          <w:sz w:val="24"/>
          <w:szCs w:val="24"/>
        </w:rPr>
        <w:t>rodiny SR) boli v priebehu roka pridelené v súlade so zákonom o rozpočtových pravidlách účelovo určené finančné prostriedky na osobné výdavky v sume 5 541 tis. eur, z toho na mzdy 3 996 tis. eur, z ktorých sa vyčerpalo 4 434 tis. eur, z toho na mzdy 3 285 tis. eur. V zmysle uvedeného zákona nebolo možné tieto výdavky použiť na iný účel, ako bol uvedený pri úprave záväzného ukazovateľa a kapitola bola povinná v prípade nepoužitia týchto prostriedkov v plnej výške zostatok nevyčerpaných zdrojov viazať, resp. ponechať na účte.</w:t>
      </w:r>
    </w:p>
    <w:p w14:paraId="37CF6D31" w14:textId="4CB2B67E" w:rsidR="00867564" w:rsidRPr="00D715AF" w:rsidRDefault="00867564" w:rsidP="001665F3">
      <w:pPr>
        <w:spacing w:line="240" w:lineRule="auto"/>
        <w:rPr>
          <w:rFonts w:cs="Times New Roman"/>
          <w:sz w:val="24"/>
          <w:szCs w:val="24"/>
        </w:rPr>
      </w:pPr>
      <w:r w:rsidRPr="00D715AF">
        <w:rPr>
          <w:rFonts w:cs="Times New Roman"/>
          <w:sz w:val="24"/>
          <w:szCs w:val="24"/>
        </w:rPr>
        <w:t xml:space="preserve">Pre zamestnancov </w:t>
      </w:r>
      <w:r w:rsidRPr="00D715AF">
        <w:rPr>
          <w:rFonts w:cs="Times New Roman"/>
          <w:b/>
          <w:sz w:val="24"/>
          <w:szCs w:val="24"/>
        </w:rPr>
        <w:t>aparátov ústredných orgánov</w:t>
      </w:r>
      <w:r w:rsidRPr="00D715AF">
        <w:rPr>
          <w:rFonts w:cs="Times New Roman"/>
          <w:sz w:val="24"/>
          <w:szCs w:val="24"/>
        </w:rPr>
        <w:t xml:space="preserve"> boli schválené výdavky na mzdy, platy, služobné príjmy a ostatné osobné vyrovnania v sume 287 670 tis. eur ako záväzný ukazovateľ </w:t>
      </w:r>
      <w:r w:rsidRPr="00D715AF">
        <w:rPr>
          <w:rFonts w:cs="Times New Roman"/>
          <w:b/>
          <w:sz w:val="24"/>
          <w:szCs w:val="24"/>
        </w:rPr>
        <w:t xml:space="preserve">z kódu 111 </w:t>
      </w:r>
      <w:r w:rsidRPr="00D715AF">
        <w:rPr>
          <w:rFonts w:cs="Times New Roman"/>
          <w:sz w:val="24"/>
          <w:szCs w:val="24"/>
        </w:rPr>
        <w:t>(zdroj štátneho rozpočtu) a </w:t>
      </w:r>
      <w:r w:rsidRPr="00D715AF">
        <w:rPr>
          <w:rFonts w:cs="Times New Roman"/>
          <w:b/>
          <w:sz w:val="24"/>
          <w:szCs w:val="24"/>
        </w:rPr>
        <w:t>11H</w:t>
      </w:r>
      <w:r w:rsidRPr="00D715AF">
        <w:rPr>
          <w:rFonts w:cs="Times New Roman"/>
          <w:sz w:val="24"/>
          <w:szCs w:val="24"/>
        </w:rPr>
        <w:t xml:space="preserve"> (transfery od ostatných subjektov verejnej správy). V priebehu roka bol tento limit rozpočtovými opatreniami zvýšený na 296 044 tis. eur. Na</w:t>
      </w:r>
      <w:r w:rsidR="00192236" w:rsidRPr="00D715AF">
        <w:rPr>
          <w:rFonts w:cs="Times New Roman"/>
          <w:sz w:val="24"/>
          <w:szCs w:val="24"/>
        </w:rPr>
        <w:t> </w:t>
      </w:r>
      <w:r w:rsidRPr="00D715AF">
        <w:rPr>
          <w:rFonts w:cs="Times New Roman"/>
          <w:sz w:val="24"/>
          <w:szCs w:val="24"/>
        </w:rPr>
        <w:t>základe vykonaných rozpočtových opatrení vyššie čerpanie mzdových výdavkov v aparátoch ústredných orgánov súviselo najmä s personálnym posilnením niektorých aparátov ústredných orgánov, konkrétne Ministerstva zdravotníctva SR (zriadenie odborných útvarov v súvislosti s riešením pandémie COVID-19), Ministerstva investícií, regionálneho rozvoja a informatizácie SR (zriadenie ministerstva), Ministerstva financií SR (investičné autority a finančná gramotnosť), Ministerstva pôdohospodárstva a rozvoja vidieka SR (posilnenie Slovenskej lesnícko-drevárskej inšpekcie), Kancelárie Národnej rady SR (zvýšenie počtu zamestnancov schválených predsedom NR SR), Kancelárie Ústavného súdu SR (zvýšenie poradcov a odborných zamestnancov sudcov Ústavného súdu SR) v celkovej sume 3 658 tis. eur. Vyššie čerpanie mzdových výdavkov súviselo aj so zabezpečením novej legislatívy (1 998 tis. eur), ako aj so zvýšením platových náležitostí ústavných činiteľov, ústavných sudcov, sudcov, prokurátorov a</w:t>
      </w:r>
      <w:r w:rsidR="005F4E83" w:rsidRPr="00D715AF">
        <w:rPr>
          <w:rFonts w:cs="Times New Roman"/>
          <w:sz w:val="24"/>
          <w:szCs w:val="24"/>
        </w:rPr>
        <w:t xml:space="preserve"> </w:t>
      </w:r>
      <w:r w:rsidRPr="00D715AF">
        <w:rPr>
          <w:rFonts w:cs="Times New Roman"/>
          <w:sz w:val="24"/>
          <w:szCs w:val="24"/>
        </w:rPr>
        <w:t>štátnych zamestnancov vo verejnej funkcii od 1. januára 2020 v sume 1 990 tis. eur.</w:t>
      </w:r>
    </w:p>
    <w:p w14:paraId="2B9CCE3D" w14:textId="6F28B1D1" w:rsidR="00867564" w:rsidRPr="00D715AF" w:rsidRDefault="00867564" w:rsidP="001665F3">
      <w:pPr>
        <w:spacing w:line="240" w:lineRule="auto"/>
        <w:rPr>
          <w:rFonts w:cs="Times New Roman"/>
          <w:color w:val="FF0000"/>
          <w:sz w:val="24"/>
          <w:szCs w:val="24"/>
        </w:rPr>
      </w:pPr>
      <w:r w:rsidRPr="00D715AF">
        <w:rPr>
          <w:rFonts w:cs="Times New Roman"/>
          <w:sz w:val="24"/>
          <w:szCs w:val="24"/>
        </w:rPr>
        <w:t>Zamestnancom aparátov ústredných orgánov boli za všetky zdroje spolu, t. j. vrátane prostriedkov EÚ a prostriedkov na spolufinancovanie zo štátneho rozpočtu, vyplatené mzdy a platy v sume 341 911 tis. eur. Skutočné výdavky na mzdy, platy, služobné príjmy a ostatné osobné vyrovnania zamestnancov aparátu ústredného orgánu medziročne vzrástli o 18 783 tis. eur a zohľadňovali najmä medziročné zvýšenie platov štátnych zamestnancov a zamestnancov pri výkone práce vo</w:t>
      </w:r>
      <w:r w:rsidR="00192236" w:rsidRPr="00D715AF">
        <w:rPr>
          <w:rFonts w:cs="Times New Roman"/>
          <w:sz w:val="24"/>
          <w:szCs w:val="24"/>
        </w:rPr>
        <w:t> </w:t>
      </w:r>
      <w:r w:rsidRPr="00D715AF">
        <w:rPr>
          <w:rFonts w:cs="Times New Roman"/>
          <w:sz w:val="24"/>
          <w:szCs w:val="24"/>
        </w:rPr>
        <w:t>verejnom záujme na úrovni 10 %. Záväzný limit miezd, platov, služobných príjmov a ostatných osobných vyrovnaní aparátov ústredných orgánov na</w:t>
      </w:r>
      <w:r w:rsidR="00FC7EAC">
        <w:rPr>
          <w:rFonts w:cs="Times New Roman"/>
          <w:sz w:val="24"/>
          <w:szCs w:val="24"/>
        </w:rPr>
        <w:t> </w:t>
      </w:r>
      <w:r w:rsidRPr="00D715AF">
        <w:rPr>
          <w:rFonts w:cs="Times New Roman"/>
          <w:sz w:val="24"/>
          <w:szCs w:val="24"/>
        </w:rPr>
        <w:t>zdroji 111 a 11H bol vo</w:t>
      </w:r>
      <w:r w:rsidR="00192236" w:rsidRPr="00D715AF">
        <w:rPr>
          <w:rFonts w:cs="Times New Roman"/>
          <w:sz w:val="24"/>
          <w:szCs w:val="24"/>
        </w:rPr>
        <w:t> </w:t>
      </w:r>
      <w:r w:rsidRPr="00D715AF">
        <w:rPr>
          <w:rFonts w:cs="Times New Roman"/>
          <w:sz w:val="24"/>
          <w:szCs w:val="24"/>
        </w:rPr>
        <w:t>všetkých kapitolách štátneho rozpočtu dodržaný.</w:t>
      </w:r>
    </w:p>
    <w:p w14:paraId="39A0C10B" w14:textId="2CAED451" w:rsidR="00867564" w:rsidRPr="00D16A60" w:rsidRDefault="00867564" w:rsidP="005C4AEB">
      <w:pPr>
        <w:spacing w:before="240"/>
        <w:rPr>
          <w:b/>
          <w:color w:val="5B9BD5" w:themeColor="accent1"/>
          <w:sz w:val="24"/>
          <w:szCs w:val="24"/>
        </w:rPr>
      </w:pPr>
      <w:r w:rsidRPr="00D16A60">
        <w:rPr>
          <w:b/>
          <w:color w:val="5B9BD5" w:themeColor="accent1"/>
          <w:sz w:val="24"/>
          <w:szCs w:val="24"/>
        </w:rPr>
        <w:t>Zamestnanosť v rozpočtových organizáciách ústrednej správy</w:t>
      </w:r>
    </w:p>
    <w:p w14:paraId="671A9664" w14:textId="31247550" w:rsidR="00867564" w:rsidRPr="00D715AF" w:rsidRDefault="00867564" w:rsidP="001665F3">
      <w:pPr>
        <w:spacing w:line="240" w:lineRule="auto"/>
        <w:rPr>
          <w:rFonts w:cs="Times New Roman"/>
          <w:sz w:val="24"/>
          <w:szCs w:val="24"/>
        </w:rPr>
      </w:pPr>
      <w:r w:rsidRPr="00D715AF">
        <w:rPr>
          <w:rFonts w:cs="Times New Roman"/>
          <w:b/>
          <w:sz w:val="24"/>
          <w:szCs w:val="24"/>
        </w:rPr>
        <w:t>Limit počtu zamestnancov</w:t>
      </w:r>
      <w:r w:rsidRPr="00D715AF">
        <w:rPr>
          <w:rFonts w:cs="Times New Roman"/>
          <w:sz w:val="24"/>
          <w:szCs w:val="24"/>
        </w:rPr>
        <w:t xml:space="preserve"> pre rozpočtové organizácie kapitol štátneho rozpočtu na rok 2020 bol schválený uznesením vlády SR č. 500/2019 k Návrhu rozpočtu</w:t>
      </w:r>
      <w:r w:rsidR="0012566C" w:rsidRPr="00D715AF">
        <w:rPr>
          <w:rFonts w:cs="Times New Roman"/>
          <w:sz w:val="24"/>
          <w:szCs w:val="24"/>
        </w:rPr>
        <w:t xml:space="preserve"> verejnej správy na roky</w:t>
      </w:r>
      <w:r w:rsidR="0012566C" w:rsidRPr="00D715AF">
        <w:rPr>
          <w:rFonts w:cs="Times New Roman"/>
          <w:sz w:val="24"/>
          <w:szCs w:val="24"/>
        </w:rPr>
        <w:br/>
        <w:t>2020-</w:t>
      </w:r>
      <w:r w:rsidRPr="00D715AF">
        <w:rPr>
          <w:rFonts w:cs="Times New Roman"/>
          <w:sz w:val="24"/>
          <w:szCs w:val="24"/>
        </w:rPr>
        <w:t>2022 v počte 130 495 osôb (2019: 130 090). Schválený limit počtu zamestnancov rozpočtových organizácií medziročne vzrástol o 405 osôb. Najvýraznejší podiel na zvýšení záväzného limitu počtu zamestnancov mali nasledujúce kapitoly štátneho rozpočtu:</w:t>
      </w:r>
    </w:p>
    <w:p w14:paraId="02085A8A" w14:textId="24B45E82" w:rsidR="00867564" w:rsidRPr="00D715AF" w:rsidRDefault="00867564" w:rsidP="001665F3">
      <w:pPr>
        <w:pStyle w:val="Odsekzoznamu"/>
        <w:numPr>
          <w:ilvl w:val="3"/>
          <w:numId w:val="38"/>
        </w:numPr>
        <w:spacing w:after="120"/>
        <w:ind w:left="851" w:hanging="425"/>
        <w:contextualSpacing w:val="0"/>
        <w:jc w:val="both"/>
        <w:rPr>
          <w:rFonts w:ascii="Times New Roman" w:hAnsi="Times New Roman"/>
          <w:sz w:val="24"/>
          <w:szCs w:val="24"/>
        </w:rPr>
      </w:pPr>
      <w:r w:rsidRPr="00D715AF">
        <w:rPr>
          <w:rFonts w:ascii="Times New Roman" w:hAnsi="Times New Roman"/>
          <w:sz w:val="24"/>
          <w:szCs w:val="24"/>
        </w:rPr>
        <w:t xml:space="preserve">o 142 osôb na kapitole Ministerstva spravodlivosti SR (117 osôb na plánované zriadenie </w:t>
      </w:r>
      <w:proofErr w:type="spellStart"/>
      <w:r w:rsidRPr="00D715AF">
        <w:rPr>
          <w:rFonts w:ascii="Times New Roman" w:hAnsi="Times New Roman"/>
          <w:sz w:val="24"/>
          <w:szCs w:val="24"/>
        </w:rPr>
        <w:t>Detenčného</w:t>
      </w:r>
      <w:proofErr w:type="spellEnd"/>
      <w:r w:rsidRPr="00D715AF">
        <w:rPr>
          <w:rFonts w:ascii="Times New Roman" w:hAnsi="Times New Roman"/>
          <w:sz w:val="24"/>
          <w:szCs w:val="24"/>
        </w:rPr>
        <w:t xml:space="preserve"> ústavu Hronovce, PPP Rimavská Sobota –Sabová a zvýšenie počtu justičných čakateľov o 50 osôb od 1. júla 2020</w:t>
      </w:r>
      <w:r w:rsidR="006A45BA">
        <w:rPr>
          <w:rFonts w:ascii="Times New Roman" w:hAnsi="Times New Roman"/>
          <w:sz w:val="24"/>
          <w:szCs w:val="24"/>
        </w:rPr>
        <w:t>,</w:t>
      </w:r>
      <w:r w:rsidRPr="00D715AF">
        <w:rPr>
          <w:rFonts w:ascii="Times New Roman" w:hAnsi="Times New Roman"/>
          <w:sz w:val="24"/>
          <w:szCs w:val="24"/>
        </w:rPr>
        <w:t xml:space="preserve"> v prepočítanom počte 25 osôb),</w:t>
      </w:r>
    </w:p>
    <w:p w14:paraId="15861C4E" w14:textId="77777777" w:rsidR="00867564" w:rsidRPr="00D715AF" w:rsidRDefault="00867564" w:rsidP="001665F3">
      <w:pPr>
        <w:pStyle w:val="Odsekzoznamu"/>
        <w:numPr>
          <w:ilvl w:val="0"/>
          <w:numId w:val="38"/>
        </w:numPr>
        <w:spacing w:after="120"/>
        <w:contextualSpacing w:val="0"/>
        <w:jc w:val="both"/>
        <w:rPr>
          <w:rFonts w:ascii="Times New Roman" w:hAnsi="Times New Roman"/>
          <w:sz w:val="24"/>
          <w:szCs w:val="24"/>
        </w:rPr>
      </w:pPr>
      <w:r w:rsidRPr="00D715AF">
        <w:rPr>
          <w:rFonts w:ascii="Times New Roman" w:hAnsi="Times New Roman"/>
          <w:sz w:val="24"/>
          <w:szCs w:val="24"/>
        </w:rPr>
        <w:t>o 132 osôb na Ministerstve vnútra SR na úseku regionálneho školstva v nadväznosti na nový zákon o pedagogických zamestnancoch a odborných zamestnancoch,</w:t>
      </w:r>
    </w:p>
    <w:p w14:paraId="54F88A58" w14:textId="77777777" w:rsidR="00867564" w:rsidRPr="00D715AF" w:rsidRDefault="00867564" w:rsidP="001665F3">
      <w:pPr>
        <w:pStyle w:val="Odsekzoznamu"/>
        <w:numPr>
          <w:ilvl w:val="0"/>
          <w:numId w:val="38"/>
        </w:numPr>
        <w:spacing w:after="120"/>
        <w:contextualSpacing w:val="0"/>
        <w:jc w:val="both"/>
        <w:rPr>
          <w:rFonts w:ascii="Times New Roman" w:hAnsi="Times New Roman"/>
          <w:sz w:val="24"/>
          <w:szCs w:val="24"/>
        </w:rPr>
      </w:pPr>
      <w:r w:rsidRPr="00D715AF">
        <w:rPr>
          <w:rFonts w:ascii="Times New Roman" w:hAnsi="Times New Roman"/>
          <w:sz w:val="24"/>
          <w:szCs w:val="24"/>
        </w:rPr>
        <w:t>o 55 prokurátorov na Generálnej prokuratúre SR na realizáciu novely zákona o Policajnom zbore,</w:t>
      </w:r>
    </w:p>
    <w:p w14:paraId="5DE030AD" w14:textId="77777777" w:rsidR="00867564" w:rsidRPr="00D715AF" w:rsidRDefault="00867564" w:rsidP="001665F3">
      <w:pPr>
        <w:pStyle w:val="Odsekzoznamu"/>
        <w:numPr>
          <w:ilvl w:val="0"/>
          <w:numId w:val="38"/>
        </w:numPr>
        <w:spacing w:after="120"/>
        <w:contextualSpacing w:val="0"/>
        <w:jc w:val="both"/>
        <w:rPr>
          <w:rFonts w:ascii="Times New Roman" w:hAnsi="Times New Roman"/>
          <w:sz w:val="24"/>
          <w:szCs w:val="24"/>
        </w:rPr>
      </w:pPr>
      <w:r w:rsidRPr="00D715AF">
        <w:rPr>
          <w:rFonts w:ascii="Times New Roman" w:hAnsi="Times New Roman"/>
          <w:sz w:val="24"/>
          <w:szCs w:val="24"/>
        </w:rPr>
        <w:t>o 40 zamestnancov na Úrade pre verejné obstarávanie v súvislosti so vznikom regionálnych centier,</w:t>
      </w:r>
    </w:p>
    <w:p w14:paraId="7CB84D76" w14:textId="6B56855D" w:rsidR="00867564" w:rsidRPr="00D715AF" w:rsidRDefault="00867564" w:rsidP="001665F3">
      <w:pPr>
        <w:pStyle w:val="Odsekzoznamu"/>
        <w:numPr>
          <w:ilvl w:val="0"/>
          <w:numId w:val="38"/>
        </w:numPr>
        <w:spacing w:after="120"/>
        <w:contextualSpacing w:val="0"/>
        <w:jc w:val="both"/>
        <w:rPr>
          <w:rFonts w:ascii="Times New Roman" w:hAnsi="Times New Roman"/>
          <w:sz w:val="24"/>
          <w:szCs w:val="24"/>
        </w:rPr>
      </w:pPr>
      <w:r w:rsidRPr="00D715AF">
        <w:rPr>
          <w:rFonts w:ascii="Times New Roman" w:hAnsi="Times New Roman"/>
          <w:sz w:val="24"/>
          <w:szCs w:val="24"/>
        </w:rPr>
        <w:t>o 32 zamestnancov na Ministerstve pôdohospodárstva a rozvoja vidieka SR na</w:t>
      </w:r>
      <w:r w:rsidR="00192236" w:rsidRPr="00D715AF">
        <w:rPr>
          <w:rFonts w:ascii="Times New Roman" w:hAnsi="Times New Roman"/>
          <w:sz w:val="24"/>
          <w:szCs w:val="24"/>
        </w:rPr>
        <w:t> </w:t>
      </w:r>
      <w:r w:rsidRPr="00D715AF">
        <w:rPr>
          <w:rFonts w:ascii="Times New Roman" w:hAnsi="Times New Roman"/>
          <w:sz w:val="24"/>
          <w:szCs w:val="24"/>
        </w:rPr>
        <w:t>zabezpečenie novej legislatívy (zákona o poskytovaní pomoci v poľnohospodárskej prvovýrobe a zákona o cenách) a na posilnenie Slovenskej lesnícko-drevárskej inšpekcie,</w:t>
      </w:r>
    </w:p>
    <w:p w14:paraId="4580A84B" w14:textId="3B79B16F" w:rsidR="00867564" w:rsidRPr="00D715AF" w:rsidRDefault="00867564" w:rsidP="001665F3">
      <w:pPr>
        <w:pStyle w:val="Odsekzoznamu"/>
        <w:numPr>
          <w:ilvl w:val="0"/>
          <w:numId w:val="38"/>
        </w:numPr>
        <w:spacing w:after="120"/>
        <w:contextualSpacing w:val="0"/>
        <w:jc w:val="both"/>
        <w:rPr>
          <w:rFonts w:ascii="Times New Roman" w:hAnsi="Times New Roman"/>
          <w:sz w:val="24"/>
          <w:szCs w:val="24"/>
        </w:rPr>
      </w:pPr>
      <w:r w:rsidRPr="00D715AF">
        <w:rPr>
          <w:rFonts w:ascii="Times New Roman" w:hAnsi="Times New Roman"/>
          <w:sz w:val="24"/>
          <w:szCs w:val="24"/>
        </w:rPr>
        <w:t>o 25 zamestnancov na kapitole Ministerstva investícii, regionálneho rozvoja a informatizácie SR na schválené zákony (zákon o kybernetickej bezpečnosti, zákon proti byrokracii, zákon o výkone správy v oblasti informačných technológií) a</w:t>
      </w:r>
      <w:r w:rsidR="00192236" w:rsidRPr="00D715AF">
        <w:rPr>
          <w:rFonts w:ascii="Times New Roman" w:hAnsi="Times New Roman"/>
          <w:sz w:val="24"/>
          <w:szCs w:val="24"/>
        </w:rPr>
        <w:t> </w:t>
      </w:r>
      <w:r w:rsidRPr="00D715AF">
        <w:rPr>
          <w:rFonts w:ascii="Times New Roman" w:hAnsi="Times New Roman"/>
          <w:sz w:val="24"/>
          <w:szCs w:val="24"/>
        </w:rPr>
        <w:t>na</w:t>
      </w:r>
      <w:r w:rsidR="00192236" w:rsidRPr="00D715AF">
        <w:rPr>
          <w:rFonts w:ascii="Times New Roman" w:hAnsi="Times New Roman"/>
          <w:sz w:val="24"/>
          <w:szCs w:val="24"/>
        </w:rPr>
        <w:t> </w:t>
      </w:r>
      <w:r w:rsidRPr="00D715AF">
        <w:rPr>
          <w:rFonts w:ascii="Times New Roman" w:hAnsi="Times New Roman"/>
          <w:sz w:val="24"/>
          <w:szCs w:val="24"/>
        </w:rPr>
        <w:t>inštitucionálne zabezpečenie slovenskej inovačnej diplomacie,</w:t>
      </w:r>
    </w:p>
    <w:p w14:paraId="73C52BF8" w14:textId="77777777" w:rsidR="00867564" w:rsidRPr="00D715AF" w:rsidRDefault="00867564" w:rsidP="001665F3">
      <w:pPr>
        <w:pStyle w:val="Odsekzoznamu"/>
        <w:numPr>
          <w:ilvl w:val="0"/>
          <w:numId w:val="38"/>
        </w:numPr>
        <w:spacing w:after="120"/>
        <w:contextualSpacing w:val="0"/>
        <w:jc w:val="both"/>
        <w:rPr>
          <w:rFonts w:ascii="Times New Roman" w:hAnsi="Times New Roman"/>
          <w:sz w:val="24"/>
          <w:szCs w:val="24"/>
        </w:rPr>
      </w:pPr>
      <w:r w:rsidRPr="00D715AF">
        <w:rPr>
          <w:rFonts w:ascii="Times New Roman" w:hAnsi="Times New Roman"/>
          <w:sz w:val="24"/>
          <w:szCs w:val="24"/>
        </w:rPr>
        <w:t>o 13 zamestnancov na Ministerstve financií SR na zabezpečenie schválenej legislatívy (zákon o pravidlách sporov týkajúcich sa zdanenia, zákon o e-kase, zákon o medzinárodnej spolupráci pri správe daní).</w:t>
      </w:r>
    </w:p>
    <w:p w14:paraId="6E34CA6B" w14:textId="5742F4A1" w:rsidR="00867564" w:rsidRPr="00D715AF" w:rsidRDefault="00867564" w:rsidP="001665F3">
      <w:pPr>
        <w:spacing w:line="240" w:lineRule="auto"/>
        <w:rPr>
          <w:sz w:val="24"/>
          <w:szCs w:val="24"/>
        </w:rPr>
      </w:pPr>
      <w:r w:rsidRPr="00D715AF">
        <w:rPr>
          <w:sz w:val="24"/>
          <w:szCs w:val="24"/>
        </w:rPr>
        <w:t>Na medziročný nárast schváleného záväzného ukazovateľa mali vplyv tiež delimitácie niektorých činností z príspevkových organizácií do rozpočtových organizácií, konkrétne napr.</w:t>
      </w:r>
      <w:r w:rsidR="0023537F">
        <w:rPr>
          <w:sz w:val="24"/>
          <w:szCs w:val="24"/>
        </w:rPr>
        <w:t> </w:t>
      </w:r>
      <w:r w:rsidRPr="00D715AF">
        <w:rPr>
          <w:sz w:val="24"/>
          <w:szCs w:val="24"/>
        </w:rPr>
        <w:t>na </w:t>
      </w:r>
      <w:r w:rsidRPr="00D715AF">
        <w:rPr>
          <w:sz w:val="24"/>
          <w:szCs w:val="24"/>
          <w:u w:val="single"/>
        </w:rPr>
        <w:t>Ministerstve pôdohospodárstva a rozvoja vidieka SR</w:t>
      </w:r>
      <w:r w:rsidRPr="00D715AF">
        <w:rPr>
          <w:sz w:val="24"/>
          <w:szCs w:val="24"/>
        </w:rPr>
        <w:t xml:space="preserve"> ide o delimitáciu 42 osôb v nadväznosti na presun diaľkového prieskumu zeme a</w:t>
      </w:r>
      <w:r w:rsidR="000B790D" w:rsidRPr="00D715AF">
        <w:rPr>
          <w:sz w:val="24"/>
          <w:szCs w:val="24"/>
        </w:rPr>
        <w:t xml:space="preserve"> </w:t>
      </w:r>
      <w:proofErr w:type="spellStart"/>
      <w:r w:rsidRPr="00D715AF">
        <w:rPr>
          <w:sz w:val="24"/>
          <w:szCs w:val="24"/>
        </w:rPr>
        <w:t>geoinformatiky</w:t>
      </w:r>
      <w:proofErr w:type="spellEnd"/>
      <w:r w:rsidRPr="00D715AF">
        <w:rPr>
          <w:sz w:val="24"/>
          <w:szCs w:val="24"/>
        </w:rPr>
        <w:t xml:space="preserve"> a</w:t>
      </w:r>
      <w:r w:rsidR="000B790D" w:rsidRPr="00D715AF">
        <w:rPr>
          <w:sz w:val="24"/>
          <w:szCs w:val="24"/>
        </w:rPr>
        <w:t xml:space="preserve"> </w:t>
      </w:r>
      <w:r w:rsidRPr="00D715AF">
        <w:rPr>
          <w:sz w:val="24"/>
          <w:szCs w:val="24"/>
        </w:rPr>
        <w:t>na </w:t>
      </w:r>
      <w:r w:rsidRPr="00D715AF">
        <w:rPr>
          <w:sz w:val="24"/>
          <w:szCs w:val="24"/>
          <w:u w:val="single"/>
        </w:rPr>
        <w:t>Ministe</w:t>
      </w:r>
      <w:r w:rsidR="000B790D" w:rsidRPr="00D715AF">
        <w:rPr>
          <w:sz w:val="24"/>
          <w:szCs w:val="24"/>
          <w:u w:val="single"/>
        </w:rPr>
        <w:t>rstv</w:t>
      </w:r>
      <w:r w:rsidR="00D16A60">
        <w:rPr>
          <w:sz w:val="24"/>
          <w:szCs w:val="24"/>
          <w:u w:val="single"/>
        </w:rPr>
        <w:t>e</w:t>
      </w:r>
      <w:r w:rsidR="000B790D" w:rsidRPr="00D715AF">
        <w:rPr>
          <w:sz w:val="24"/>
          <w:szCs w:val="24"/>
          <w:u w:val="single"/>
        </w:rPr>
        <w:t xml:space="preserve"> školstva, vedy, výskumu a </w:t>
      </w:r>
      <w:r w:rsidRPr="00D715AF">
        <w:rPr>
          <w:sz w:val="24"/>
          <w:szCs w:val="24"/>
          <w:u w:val="single"/>
        </w:rPr>
        <w:t>športu SR</w:t>
      </w:r>
      <w:r w:rsidRPr="00D715AF">
        <w:rPr>
          <w:sz w:val="24"/>
          <w:szCs w:val="24"/>
        </w:rPr>
        <w:t xml:space="preserve"> o delimitáciu 19 osôb</w:t>
      </w:r>
      <w:r w:rsidR="005B6D17">
        <w:rPr>
          <w:sz w:val="24"/>
          <w:szCs w:val="24"/>
        </w:rPr>
        <w:t>, z toho</w:t>
      </w:r>
      <w:r w:rsidRPr="00D715AF">
        <w:rPr>
          <w:sz w:val="24"/>
          <w:szCs w:val="24"/>
        </w:rPr>
        <w:t xml:space="preserve"> zo zrušeného Národného ústavu celoživotného vzdelávania </w:t>
      </w:r>
      <w:r w:rsidR="005B6D17">
        <w:rPr>
          <w:sz w:val="24"/>
          <w:szCs w:val="24"/>
        </w:rPr>
        <w:t>18 osôb.</w:t>
      </w:r>
      <w:r w:rsidRPr="00D715AF">
        <w:rPr>
          <w:sz w:val="24"/>
          <w:szCs w:val="24"/>
        </w:rPr>
        <w:t xml:space="preserve"> V súvislosti so zabezpečením sčítania</w:t>
      </w:r>
      <w:r w:rsidR="00354C9D" w:rsidRPr="00D715AF">
        <w:rPr>
          <w:sz w:val="24"/>
          <w:szCs w:val="24"/>
        </w:rPr>
        <w:t xml:space="preserve"> </w:t>
      </w:r>
      <w:r w:rsidRPr="00D715AF">
        <w:rPr>
          <w:sz w:val="24"/>
          <w:szCs w:val="24"/>
        </w:rPr>
        <w:t>obyvateľov, bytov a domov došlo na </w:t>
      </w:r>
      <w:r w:rsidRPr="00D715AF">
        <w:rPr>
          <w:sz w:val="24"/>
          <w:szCs w:val="24"/>
          <w:u w:val="single"/>
        </w:rPr>
        <w:t>Štatistickom úrade SR</w:t>
      </w:r>
      <w:r w:rsidRPr="00D715AF">
        <w:rPr>
          <w:sz w:val="24"/>
          <w:szCs w:val="24"/>
        </w:rPr>
        <w:t xml:space="preserve"> k dočasnému zvýšeniu počtu zamestnancov o 20 osôb. V súlade so schváleným uznesením vlády SR č. 181/2017 boli v nadväznosti na požiadanie kapitol štátneho rozpočtu zvýšené administratívne kapacity osobitne sledované o 19 osôb. K najvýraznejšiemu zníženiu počtu zamestnancov došlo na Slovenskej akadémii vied, ktoré súviselo s presunom 207 pracovných miest z rozpočtových organizácií do príspevkových organizácií v nadväznosti na vykonané organizačné zmeny.</w:t>
      </w:r>
    </w:p>
    <w:p w14:paraId="7A46587D" w14:textId="620B6AA3" w:rsidR="00867564" w:rsidRPr="00D715AF" w:rsidRDefault="00867564" w:rsidP="001665F3">
      <w:pPr>
        <w:spacing w:line="240" w:lineRule="auto"/>
        <w:rPr>
          <w:rFonts w:cs="Times New Roman"/>
          <w:sz w:val="24"/>
          <w:szCs w:val="24"/>
        </w:rPr>
      </w:pPr>
      <w:r w:rsidRPr="00D715AF">
        <w:rPr>
          <w:rFonts w:cs="Times New Roman"/>
          <w:sz w:val="24"/>
          <w:szCs w:val="24"/>
        </w:rPr>
        <w:t>V rámci schváleného limitu počtu zamestnancov rozpočtových organizácií kapitol štátneho rozpočtu a aparátov ústredných orgánov boli uznesením vlády Slovenskej republiky schválené aj administratívne kapacity osobitne s</w:t>
      </w:r>
      <w:r w:rsidR="006D3331" w:rsidRPr="00D715AF">
        <w:rPr>
          <w:rFonts w:cs="Times New Roman"/>
          <w:sz w:val="24"/>
          <w:szCs w:val="24"/>
        </w:rPr>
        <w:t>ledované v počte 1 585 osôb (</w:t>
      </w:r>
      <w:r w:rsidRPr="00D715AF">
        <w:rPr>
          <w:rFonts w:cs="Times New Roman"/>
          <w:sz w:val="24"/>
          <w:szCs w:val="24"/>
        </w:rPr>
        <w:t>2019: 1 557).</w:t>
      </w:r>
      <w:r w:rsidRPr="00D715AF">
        <w:rPr>
          <w:rFonts w:cs="Times New Roman"/>
          <w:color w:val="C00000"/>
          <w:sz w:val="24"/>
          <w:szCs w:val="24"/>
        </w:rPr>
        <w:t xml:space="preserve"> </w:t>
      </w:r>
      <w:r w:rsidRPr="00D715AF">
        <w:rPr>
          <w:rFonts w:cs="Times New Roman"/>
          <w:sz w:val="24"/>
          <w:szCs w:val="24"/>
        </w:rPr>
        <w:t>Ide o osobitne sledovanú kategóriu zamestnancov, ktorá je v zmysle uznesenia vlády SR č. 181/2017 v znení UV SR č. 355/2020 zapojená do implementácie európskych štrukturálnych a investičných fondov v programovom období 2014 – 2020 od roku 2017 rozpočtovaná bez nárokov na finančné prostriedky zo štátneho rozpočtu.</w:t>
      </w:r>
    </w:p>
    <w:p w14:paraId="77BDA9B8" w14:textId="12BD26FB" w:rsidR="00867564" w:rsidRPr="00D715AF" w:rsidRDefault="00867564" w:rsidP="001665F3">
      <w:pPr>
        <w:spacing w:line="240" w:lineRule="auto"/>
        <w:rPr>
          <w:rFonts w:cs="Times New Roman"/>
          <w:sz w:val="24"/>
          <w:szCs w:val="24"/>
        </w:rPr>
      </w:pPr>
      <w:r w:rsidRPr="00D715AF">
        <w:rPr>
          <w:rFonts w:cs="Times New Roman"/>
          <w:sz w:val="24"/>
          <w:szCs w:val="24"/>
        </w:rPr>
        <w:t>V priebehu roka 2020 bol limit počtu zamestnancov rozpočtových organizácií zvýšený rozpočtovými opatreniami o 1 461 osôb na 131 956 osôb, v tom predovšetkým z dôvodu zamestnávania projektových zamestnancov o 1 120 osôb (osobné výdavky sú kryté z finančných prostriedkov príslušných projektov), z nich podstatná časť (1 091 osôb) bola zamestnaná v rámci kapitoly Ministerstva práce, sociálnych vecí a rodiny SR. Na realizáciu schválenej legislatívy sa v priebehu roka upravil limit počtu zamestnancov rozpočtových organizácií o 184 osôb, najvýraznejšie na kapitole Ministerstva vnútra SR (asistenti učiteľa regionálneho školstva v</w:t>
      </w:r>
      <w:r w:rsidR="00676CEF" w:rsidRPr="00D715AF">
        <w:rPr>
          <w:rFonts w:cs="Times New Roman"/>
          <w:sz w:val="24"/>
          <w:szCs w:val="24"/>
        </w:rPr>
        <w:t> </w:t>
      </w:r>
      <w:r w:rsidRPr="00D715AF">
        <w:rPr>
          <w:rFonts w:cs="Times New Roman"/>
          <w:sz w:val="24"/>
          <w:szCs w:val="24"/>
        </w:rPr>
        <w:t>počte 133 osôb), na Úrade vlády SR (zriadenie útvaru na zabezpečenie činnosti podpredsedu vlády SR pre legislatívu a strategické plánovanie od 1.6.2020 v počte 42 osôb).</w:t>
      </w:r>
    </w:p>
    <w:p w14:paraId="4224F0DA" w14:textId="7515C9D3" w:rsidR="00867564" w:rsidRPr="00D715AF" w:rsidRDefault="00867564" w:rsidP="001665F3">
      <w:pPr>
        <w:spacing w:line="240" w:lineRule="auto"/>
        <w:rPr>
          <w:rFonts w:cs="Times New Roman"/>
          <w:sz w:val="24"/>
          <w:szCs w:val="24"/>
        </w:rPr>
      </w:pPr>
      <w:r w:rsidRPr="00D715AF">
        <w:rPr>
          <w:rFonts w:cs="Times New Roman"/>
          <w:sz w:val="24"/>
          <w:szCs w:val="24"/>
        </w:rPr>
        <w:t>Administratívne kapacity osobitne sledované schválené na rok 2020 uznesením vlády SR č. 500/2019 boli zvýšené o 5 osôb na počet 1 590. Skutočný počet administratívnych kapacít osobitne sledovaných v roku 2020 dosiahol počet 1 384, čo je medziročne viac o 36 osôb (2,7</w:t>
      </w:r>
      <w:r w:rsidR="0023537F">
        <w:rPr>
          <w:rFonts w:cs="Times New Roman"/>
          <w:sz w:val="24"/>
          <w:szCs w:val="24"/>
        </w:rPr>
        <w:t> </w:t>
      </w:r>
      <w:r w:rsidRPr="00D715AF">
        <w:rPr>
          <w:rFonts w:cs="Times New Roman"/>
          <w:sz w:val="24"/>
          <w:szCs w:val="24"/>
        </w:rPr>
        <w:t xml:space="preserve">%). </w:t>
      </w:r>
    </w:p>
    <w:p w14:paraId="1E38C286" w14:textId="6E32A3BA" w:rsidR="00867564" w:rsidRPr="00D715AF" w:rsidRDefault="00867564" w:rsidP="001665F3">
      <w:pPr>
        <w:spacing w:line="240" w:lineRule="auto"/>
        <w:rPr>
          <w:rFonts w:cs="Times New Roman"/>
          <w:sz w:val="24"/>
          <w:szCs w:val="24"/>
        </w:rPr>
      </w:pPr>
      <w:r w:rsidRPr="00D715AF">
        <w:rPr>
          <w:rFonts w:cs="Times New Roman"/>
          <w:b/>
          <w:sz w:val="24"/>
          <w:szCs w:val="24"/>
        </w:rPr>
        <w:t xml:space="preserve">Skutočné plnenie počtu zamestnancov rozpočtových organizácií kapitol štátneho rozpočtu dosiahlo úroveň 125 575 osôb, čo je v porovnaní s ich skutočným plnením v roku 2019 o 1 361 osôb viac. </w:t>
      </w:r>
      <w:r w:rsidRPr="00D715AF">
        <w:rPr>
          <w:rFonts w:cs="Times New Roman"/>
          <w:sz w:val="24"/>
          <w:szCs w:val="24"/>
        </w:rPr>
        <w:t>V porovnaní s pôvodne schváleným limitom počtu zamestnancov je skutočnosť nižšia o 4 920 zamestnancov (3,8 %) a s upraveným limitom o 6 381 osôb (4,8 %). Z porovnania skutočného plnenia počtu zamestnancov so schváleným limitom vyplýva, že počet zamestnancov schválený uznesením vlády SR č. 500/2019 nenaplnila s výnimkou Ministerstva práce, sociálnych vecí a rodiny SR, Ministerstva investícií, regionálneho rozvoja a informatizácie SR a</w:t>
      </w:r>
      <w:r w:rsidR="000B790D" w:rsidRPr="00D715AF">
        <w:rPr>
          <w:rFonts w:cs="Times New Roman"/>
          <w:sz w:val="24"/>
          <w:szCs w:val="24"/>
        </w:rPr>
        <w:t xml:space="preserve"> </w:t>
      </w:r>
      <w:r w:rsidRPr="00D715AF">
        <w:rPr>
          <w:rFonts w:cs="Times New Roman"/>
          <w:sz w:val="24"/>
          <w:szCs w:val="24"/>
        </w:rPr>
        <w:t>Úradu pre normalizáciu, metrológiu a skúšobníctvo SR žiadna kapitola štátneho rozpočtu. Upravený limit počtu zamestnancov nenaplnila ani jedna kapitola štátneho rozpočtu a ani žiadna z 3 organizácií rozpočtovaných v kapitole Všeobecná pokladničná správa. V absolútnom vyjadrení je možné konštatovať dlhodobé výrazné neplnenie limitu počtu zamestnancov voči schválenému aj upravenému limitu na kapitole Ministerstva vnútra SR (voči schválenému limitu o 3 438 osôb, z toho o 2 371 policajtov a voči upravenému limitu počtu zamestnancov o 3</w:t>
      </w:r>
      <w:r w:rsidR="00676CEF" w:rsidRPr="00D715AF">
        <w:rPr>
          <w:rFonts w:cs="Times New Roman"/>
          <w:sz w:val="24"/>
          <w:szCs w:val="24"/>
        </w:rPr>
        <w:t> </w:t>
      </w:r>
      <w:r w:rsidRPr="00D715AF">
        <w:rPr>
          <w:rFonts w:cs="Times New Roman"/>
          <w:sz w:val="24"/>
          <w:szCs w:val="24"/>
        </w:rPr>
        <w:t>581</w:t>
      </w:r>
      <w:r w:rsidR="00676CEF" w:rsidRPr="00D715AF">
        <w:rPr>
          <w:rFonts w:cs="Times New Roman"/>
          <w:sz w:val="24"/>
          <w:szCs w:val="24"/>
        </w:rPr>
        <w:t> </w:t>
      </w:r>
      <w:r w:rsidRPr="00D715AF">
        <w:rPr>
          <w:rFonts w:cs="Times New Roman"/>
          <w:sz w:val="24"/>
          <w:szCs w:val="24"/>
        </w:rPr>
        <w:t>osôb, z toho o 2 251 policajtov).</w:t>
      </w:r>
    </w:p>
    <w:p w14:paraId="028B54AB" w14:textId="0705530B" w:rsidR="00867564" w:rsidRPr="00D715AF" w:rsidRDefault="00867564" w:rsidP="001665F3">
      <w:pPr>
        <w:spacing w:line="240" w:lineRule="auto"/>
        <w:rPr>
          <w:rFonts w:cs="Times New Roman"/>
          <w:sz w:val="24"/>
          <w:szCs w:val="24"/>
        </w:rPr>
      </w:pPr>
      <w:r w:rsidRPr="00D715AF">
        <w:rPr>
          <w:rFonts w:cs="Times New Roman"/>
          <w:sz w:val="24"/>
          <w:szCs w:val="24"/>
        </w:rPr>
        <w:t xml:space="preserve">Pre </w:t>
      </w:r>
      <w:r w:rsidRPr="00D715AF">
        <w:rPr>
          <w:rFonts w:cs="Times New Roman"/>
          <w:b/>
          <w:sz w:val="24"/>
          <w:szCs w:val="24"/>
        </w:rPr>
        <w:t>aparáty ústredných orgánov</w:t>
      </w:r>
      <w:r w:rsidRPr="00D715AF">
        <w:rPr>
          <w:rFonts w:cs="Times New Roman"/>
          <w:sz w:val="24"/>
          <w:szCs w:val="24"/>
        </w:rPr>
        <w:t xml:space="preserve"> bol na rok 2020 schválený záväzný </w:t>
      </w:r>
      <w:r w:rsidRPr="00D715AF">
        <w:rPr>
          <w:rFonts w:cs="Times New Roman"/>
          <w:b/>
          <w:sz w:val="24"/>
          <w:szCs w:val="24"/>
        </w:rPr>
        <w:t>limit počtu zamestnancov</w:t>
      </w:r>
      <w:r w:rsidRPr="00D715AF">
        <w:rPr>
          <w:rFonts w:cs="Times New Roman"/>
          <w:sz w:val="24"/>
          <w:szCs w:val="24"/>
        </w:rPr>
        <w:t xml:space="preserve"> v počte 13 424 osôb, z toho administratívne kapacity osobitne sledované v počte 1 149 osôb. Schválený limit počtu zamestnancov bol v priebehu roka zvýšený o 199 osôb na</w:t>
      </w:r>
      <w:r w:rsidR="00FC7EAC">
        <w:rPr>
          <w:rFonts w:cs="Times New Roman"/>
          <w:sz w:val="24"/>
          <w:szCs w:val="24"/>
        </w:rPr>
        <w:t> </w:t>
      </w:r>
      <w:r w:rsidRPr="00D715AF">
        <w:rPr>
          <w:rFonts w:cs="Times New Roman"/>
          <w:sz w:val="24"/>
          <w:szCs w:val="24"/>
        </w:rPr>
        <w:t>13 623 osôb. V skutočnosti bolo v</w:t>
      </w:r>
      <w:r w:rsidRPr="00D715AF">
        <w:rPr>
          <w:rFonts w:cs="Times New Roman"/>
          <w:color w:val="C00000"/>
          <w:sz w:val="24"/>
          <w:szCs w:val="24"/>
        </w:rPr>
        <w:t> </w:t>
      </w:r>
      <w:r w:rsidRPr="00D715AF">
        <w:rPr>
          <w:rFonts w:cs="Times New Roman"/>
          <w:sz w:val="24"/>
          <w:szCs w:val="24"/>
        </w:rPr>
        <w:t xml:space="preserve">aparátoch ústredných orgánov v roku 2020 zamestnaných 12 280 osôb, čo je v porovnaní s rokom 2019 o 222 zamestnancov viac. V niektorých aparátoch ústredných orgánov došlo k zvýšeniu počtu zamestnancov, z toho najvýraznejšie zvýšenie bolo zaznamenané na Ministerstve investícií, regionálneho rozvoja a informatizácie SR (o 100 osôb). Najčastejším dôvodom úprav zvýšenia počtu zamestnancov bolo personálne posilnenie úradov (o 85 osôb), z toho najmä na Ministerstve investícií, regionálneho rozvoja a informatizácie SR (o 46 osôb), na Ministerstve zdravotníctva SR (o 36 </w:t>
      </w:r>
      <w:r w:rsidR="000B790D" w:rsidRPr="00D715AF">
        <w:rPr>
          <w:rFonts w:cs="Times New Roman"/>
          <w:sz w:val="24"/>
          <w:szCs w:val="24"/>
        </w:rPr>
        <w:t xml:space="preserve">osôb) a </w:t>
      </w:r>
      <w:r w:rsidRPr="00D715AF">
        <w:rPr>
          <w:rFonts w:cs="Times New Roman"/>
          <w:sz w:val="24"/>
          <w:szCs w:val="24"/>
        </w:rPr>
        <w:t>na Ministerstve pôdohospodárstva a</w:t>
      </w:r>
      <w:r w:rsidR="00FC7EAC">
        <w:rPr>
          <w:rFonts w:cs="Times New Roman"/>
          <w:sz w:val="24"/>
          <w:szCs w:val="24"/>
        </w:rPr>
        <w:t> </w:t>
      </w:r>
      <w:r w:rsidRPr="00D715AF">
        <w:rPr>
          <w:rFonts w:cs="Times New Roman"/>
          <w:sz w:val="24"/>
          <w:szCs w:val="24"/>
        </w:rPr>
        <w:t>rozvoja vidieka SR (o 32 osôb).</w:t>
      </w:r>
      <w:r w:rsidR="00F960F6" w:rsidRPr="00D715AF">
        <w:rPr>
          <w:rFonts w:cs="Times New Roman"/>
          <w:sz w:val="24"/>
          <w:szCs w:val="24"/>
        </w:rPr>
        <w:t xml:space="preserve"> </w:t>
      </w:r>
      <w:r w:rsidRPr="00D715AF">
        <w:rPr>
          <w:rFonts w:cs="Times New Roman"/>
          <w:sz w:val="24"/>
          <w:szCs w:val="24"/>
        </w:rPr>
        <w:t xml:space="preserve">Na zvýšení počtu zamestnancov aparátov </w:t>
      </w:r>
      <w:r w:rsidR="00002B52" w:rsidRPr="00D715AF">
        <w:rPr>
          <w:rFonts w:cs="Times New Roman"/>
          <w:sz w:val="24"/>
          <w:szCs w:val="24"/>
        </w:rPr>
        <w:t>ústredných orgánov</w:t>
      </w:r>
      <w:r w:rsidRPr="00D715AF">
        <w:rPr>
          <w:rFonts w:cs="Times New Roman"/>
          <w:sz w:val="24"/>
          <w:szCs w:val="24"/>
        </w:rPr>
        <w:t xml:space="preserve"> sa podieľali aj projektoví zamestnanci v počt</w:t>
      </w:r>
      <w:r w:rsidR="00F960F6" w:rsidRPr="00D715AF">
        <w:rPr>
          <w:rFonts w:cs="Times New Roman"/>
          <w:sz w:val="24"/>
          <w:szCs w:val="24"/>
        </w:rPr>
        <w:t>e 37 osôb. K medziročnému</w:t>
      </w:r>
      <w:r w:rsidRPr="00D715AF">
        <w:rPr>
          <w:rFonts w:cs="Times New Roman"/>
          <w:sz w:val="24"/>
          <w:szCs w:val="24"/>
        </w:rPr>
        <w:t xml:space="preserve"> zníženiu skutočného počtu zamestnancov došlo v 12 aparátoch ústredných orgánov, z toho najvýraznejšie bolo zaznamenané na</w:t>
      </w:r>
      <w:r w:rsidR="00676CEF" w:rsidRPr="00D715AF">
        <w:rPr>
          <w:rFonts w:cs="Times New Roman"/>
          <w:sz w:val="24"/>
          <w:szCs w:val="24"/>
        </w:rPr>
        <w:t> </w:t>
      </w:r>
      <w:r w:rsidRPr="00D715AF">
        <w:rPr>
          <w:rFonts w:cs="Times New Roman"/>
          <w:sz w:val="24"/>
          <w:szCs w:val="24"/>
        </w:rPr>
        <w:t>kapitole Ministerstva pôdohospodárstva r</w:t>
      </w:r>
      <w:r w:rsidR="000B790D" w:rsidRPr="00D715AF">
        <w:rPr>
          <w:rFonts w:cs="Times New Roman"/>
          <w:sz w:val="24"/>
          <w:szCs w:val="24"/>
        </w:rPr>
        <w:t>ozvoja vidieka SR (o 35 osôb) a</w:t>
      </w:r>
      <w:r w:rsidR="00FC7EAC">
        <w:rPr>
          <w:rFonts w:cs="Times New Roman"/>
          <w:sz w:val="24"/>
          <w:szCs w:val="24"/>
        </w:rPr>
        <w:t> </w:t>
      </w:r>
      <w:r w:rsidRPr="00D715AF">
        <w:rPr>
          <w:rFonts w:cs="Times New Roman"/>
          <w:sz w:val="24"/>
          <w:szCs w:val="24"/>
        </w:rPr>
        <w:t>na kapitole Ministerstva spravodlivosti SR (o 29 osôb). Administratívne kapacity osobitne sledované schválené uznesením vlády SR č. 500/2019 boli v aparátoch ústredných orgánov v priebehu roka zvýšené o 29 osôb na počet 1 178 osôb a ich skutočné plnenie dosiahlo stav 1 046 administratívnych kapacít osobitne sledovaných.</w:t>
      </w:r>
    </w:p>
    <w:p w14:paraId="363BCA43" w14:textId="2AB83259" w:rsidR="00867564" w:rsidRPr="00D715AF" w:rsidRDefault="00867564" w:rsidP="001665F3">
      <w:pPr>
        <w:spacing w:line="240" w:lineRule="auto"/>
        <w:rPr>
          <w:rFonts w:cs="Times New Roman"/>
          <w:sz w:val="24"/>
          <w:szCs w:val="24"/>
        </w:rPr>
      </w:pPr>
      <w:r w:rsidRPr="00D715AF">
        <w:rPr>
          <w:rFonts w:cs="Times New Roman"/>
          <w:sz w:val="24"/>
          <w:szCs w:val="24"/>
        </w:rPr>
        <w:t xml:space="preserve">Uznesením vlády SR č. 500/2019 bola v prílohe č. 2 na rok 2020 schválená systemizácia príslušníkov finančnej správy, systemizácia príslušníkov Hasičského a záchranného zboru a príslušníkov Horskej záchrannej služby v štátnej službe, systemizácia policajtov v štátnej službe a systemizácia profesionálnych vojakov v štátnej službe. Záväzné ukazovatele systemizácie boli vo všetkých dotknutých kapitolách štátneho rozpočtu dodržané. Na kapitole Ministerstva vnútra SR boli nad rámec systemizácie policajtov v štátnej službe použité finančné prostriedky zo zdroja 35 - Iné zdroje </w:t>
      </w:r>
      <w:r w:rsidR="002166EB" w:rsidRPr="00D715AF">
        <w:rPr>
          <w:rFonts w:cs="Times New Roman"/>
          <w:sz w:val="24"/>
          <w:szCs w:val="24"/>
        </w:rPr>
        <w:t xml:space="preserve">zo </w:t>
      </w:r>
      <w:r w:rsidRPr="00D715AF">
        <w:rPr>
          <w:rFonts w:cs="Times New Roman"/>
          <w:sz w:val="24"/>
          <w:szCs w:val="24"/>
        </w:rPr>
        <w:t>zahraničia z programu mimo EÚ v sume 26 tis. eur, o ktoré bolo možné v súlade so zákonom č. 523/2004 Z. z. o rozpočtových pravidlách prekročiť upravený objem finančných prostriedkov na služobné príjmy schválených v systemizácii.</w:t>
      </w:r>
    </w:p>
    <w:p w14:paraId="2ECB3147" w14:textId="631508E4" w:rsidR="00867564" w:rsidRPr="00D37962" w:rsidRDefault="00867564" w:rsidP="001665F3">
      <w:pPr>
        <w:spacing w:line="240" w:lineRule="auto"/>
        <w:rPr>
          <w:rFonts w:cs="Times New Roman"/>
          <w:b/>
          <w:i/>
        </w:rPr>
      </w:pPr>
      <w:r w:rsidRPr="00D37962">
        <w:rPr>
          <w:rFonts w:cs="Times New Roman"/>
          <w:b/>
          <w:i/>
        </w:rPr>
        <w:t xml:space="preserve">Prehľad o plnení limitu počtu zamestnancov rozpočtových organizácií kapitol štátneho rozpočtu, miezd, platov, služobných príjmov a ostatných osobných vyrovnaní aparátov ústredných orgánov kapitol štátneho rozpočtu na rok 2020 vrátane vyhodnotenia systemizácií schválených uznesením vlády SR je uvedený v tabuľkách 22, 24, 25, 26 a 27 tabuľkovej časti štátneho záverečného účtu. </w:t>
      </w:r>
    </w:p>
    <w:p w14:paraId="3D45ADCB" w14:textId="130949F4" w:rsidR="00867564" w:rsidRPr="00D37962" w:rsidRDefault="00867564" w:rsidP="00D37962">
      <w:pPr>
        <w:spacing w:before="240" w:after="0"/>
        <w:rPr>
          <w:b/>
          <w:color w:val="5B9BD5" w:themeColor="accent1"/>
          <w:sz w:val="24"/>
          <w:szCs w:val="24"/>
        </w:rPr>
      </w:pPr>
      <w:r w:rsidRPr="00D37962">
        <w:rPr>
          <w:b/>
          <w:color w:val="5B9BD5" w:themeColor="accent1"/>
          <w:sz w:val="24"/>
          <w:szCs w:val="24"/>
        </w:rPr>
        <w:t>Poistné a príspevok do poisťovní</w:t>
      </w:r>
    </w:p>
    <w:p w14:paraId="35291E5C" w14:textId="31EC4E5F" w:rsidR="00867564" w:rsidRPr="00D715AF" w:rsidRDefault="00867564" w:rsidP="001665F3">
      <w:pPr>
        <w:spacing w:line="240" w:lineRule="auto"/>
        <w:rPr>
          <w:rFonts w:cs="Times New Roman"/>
          <w:sz w:val="24"/>
          <w:szCs w:val="24"/>
        </w:rPr>
      </w:pPr>
      <w:r w:rsidRPr="00D715AF">
        <w:rPr>
          <w:rFonts w:cs="Times New Roman"/>
          <w:sz w:val="24"/>
          <w:szCs w:val="24"/>
        </w:rPr>
        <w:t>Kapitoly štátneho rozpočtu rozpísali v roku 2020 výdavky na poistné a príspevok do poisťovní v sume 855 329 tis. eur. V priebehu roka bola táto suma upravená na 932 891 tis. eur v súhrne za</w:t>
      </w:r>
      <w:r w:rsidR="00192236" w:rsidRPr="00D715AF">
        <w:rPr>
          <w:rFonts w:cs="Times New Roman"/>
          <w:sz w:val="24"/>
          <w:szCs w:val="24"/>
        </w:rPr>
        <w:t> </w:t>
      </w:r>
      <w:r w:rsidRPr="00D715AF">
        <w:rPr>
          <w:rFonts w:cs="Times New Roman"/>
          <w:sz w:val="24"/>
          <w:szCs w:val="24"/>
        </w:rPr>
        <w:t>všetky zdroje. Skutočné výdavky na poistné a príspevok do poisťovní medziročne vzrástli o 95 714 tis. eur (11,5 %) a dosiahli sumu 928 542 tis. eur. Vyššie čerpanie výdavkov na poistné nadväzuje na zvýšené čerpanie výdavkov na mzdy, platy, služobné príjmy a ostatné osobné výdavky, ktoré je rozpísané v časti týkajúcej sa miezd. Výdavky na poistné a príspevok do</w:t>
      </w:r>
      <w:r w:rsidR="00676CEF" w:rsidRPr="00D715AF">
        <w:rPr>
          <w:rFonts w:cs="Times New Roman"/>
          <w:sz w:val="24"/>
          <w:szCs w:val="24"/>
        </w:rPr>
        <w:t> </w:t>
      </w:r>
      <w:r w:rsidRPr="00D715AF">
        <w:rPr>
          <w:rFonts w:cs="Times New Roman"/>
          <w:sz w:val="24"/>
          <w:szCs w:val="24"/>
        </w:rPr>
        <w:t xml:space="preserve">poisťovní boli čerpané v tejto štruktúre: </w:t>
      </w:r>
    </w:p>
    <w:p w14:paraId="057E928E" w14:textId="6B1B5C4A" w:rsidR="00867564" w:rsidRPr="00D715AF" w:rsidRDefault="00867564" w:rsidP="001665F3">
      <w:pPr>
        <w:spacing w:line="240" w:lineRule="auto"/>
        <w:rPr>
          <w:rFonts w:cs="Times New Roman"/>
          <w:sz w:val="24"/>
          <w:szCs w:val="24"/>
        </w:rPr>
      </w:pPr>
      <w:r w:rsidRPr="00D715AF">
        <w:rPr>
          <w:rFonts w:cs="Times New Roman"/>
          <w:b/>
          <w:i/>
          <w:sz w:val="24"/>
          <w:szCs w:val="24"/>
        </w:rPr>
        <w:t>Výdavky na poistné do Sociálnej poisťovne</w:t>
      </w:r>
      <w:r w:rsidRPr="00D715AF">
        <w:rPr>
          <w:rFonts w:cs="Times New Roman"/>
          <w:sz w:val="24"/>
          <w:szCs w:val="24"/>
        </w:rPr>
        <w:t xml:space="preserve"> v sume 351 109 tis. eur dosiahli medziročný nárast</w:t>
      </w:r>
      <w:r w:rsidR="006A45BA">
        <w:rPr>
          <w:rFonts w:cs="Times New Roman"/>
          <w:sz w:val="24"/>
          <w:szCs w:val="24"/>
        </w:rPr>
        <w:t xml:space="preserve"> 7,8 % (2019: 325 639 tis. eur),</w:t>
      </w:r>
      <w:r w:rsidRPr="00D715AF">
        <w:rPr>
          <w:rFonts w:cs="Times New Roman"/>
          <w:sz w:val="24"/>
          <w:szCs w:val="24"/>
        </w:rPr>
        <w:t xml:space="preserve"> z toho najvyšší objem tvorilo poistné na starobné poistenie 199 854 tis. eur, poistné do rezervného fondu solidarity predstavovalo 68 468 tis. eur a poistné na</w:t>
      </w:r>
      <w:r w:rsidR="00676CEF" w:rsidRPr="00D715AF">
        <w:rPr>
          <w:rFonts w:cs="Times New Roman"/>
          <w:sz w:val="24"/>
          <w:szCs w:val="24"/>
        </w:rPr>
        <w:t> </w:t>
      </w:r>
      <w:r w:rsidRPr="00D715AF">
        <w:rPr>
          <w:rFonts w:cs="Times New Roman"/>
          <w:sz w:val="24"/>
          <w:szCs w:val="24"/>
        </w:rPr>
        <w:t xml:space="preserve">invalidné poistenie sumu 40 005 tis. eur. </w:t>
      </w:r>
    </w:p>
    <w:p w14:paraId="1A5AF07D" w14:textId="71B961BE" w:rsidR="00D37962" w:rsidRDefault="00867564" w:rsidP="001665F3">
      <w:pPr>
        <w:spacing w:line="240" w:lineRule="auto"/>
        <w:rPr>
          <w:rFonts w:cs="Times New Roman"/>
          <w:sz w:val="24"/>
          <w:szCs w:val="24"/>
        </w:rPr>
      </w:pPr>
      <w:r w:rsidRPr="00D715AF">
        <w:rPr>
          <w:rFonts w:cs="Times New Roman"/>
          <w:b/>
          <w:i/>
          <w:sz w:val="24"/>
          <w:szCs w:val="24"/>
        </w:rPr>
        <w:t>Poistné na osobitné účty</w:t>
      </w:r>
      <w:r w:rsidRPr="00D715AF">
        <w:rPr>
          <w:rFonts w:cs="Times New Roman"/>
          <w:sz w:val="24"/>
          <w:szCs w:val="24"/>
        </w:rPr>
        <w:t xml:space="preserve"> na kapitolách štátneho rozpočtu, do pôsobnosti ktorých patrí riadenie ozbrojených, bezpečnostných a záchranných zložiek medziročne vzrástlo o 16,1</w:t>
      </w:r>
      <w:r w:rsidR="00F961C2" w:rsidRPr="00D715AF">
        <w:rPr>
          <w:rFonts w:cs="Times New Roman"/>
          <w:sz w:val="24"/>
          <w:szCs w:val="24"/>
        </w:rPr>
        <w:t xml:space="preserve"> % a dosiahlo sumu </w:t>
      </w:r>
      <w:r w:rsidRPr="00D715AF">
        <w:rPr>
          <w:rFonts w:cs="Times New Roman"/>
          <w:sz w:val="24"/>
          <w:szCs w:val="24"/>
        </w:rPr>
        <w:t>287 354 tis. eur (2019: 247 438 tis. eur)</w:t>
      </w:r>
      <w:r w:rsidR="006A45BA">
        <w:rPr>
          <w:rFonts w:cs="Times New Roman"/>
          <w:sz w:val="24"/>
          <w:szCs w:val="24"/>
        </w:rPr>
        <w:t>,</w:t>
      </w:r>
      <w:r w:rsidRPr="00D715AF">
        <w:rPr>
          <w:rFonts w:cs="Times New Roman"/>
          <w:sz w:val="24"/>
          <w:szCs w:val="24"/>
        </w:rPr>
        <w:t xml:space="preserve"> z toho rozhodujúci podiel predstavovalo poistné na výsluhový dô</w:t>
      </w:r>
      <w:r w:rsidR="00D37962">
        <w:rPr>
          <w:rFonts w:cs="Times New Roman"/>
          <w:sz w:val="24"/>
          <w:szCs w:val="24"/>
        </w:rPr>
        <w:t>chodok v sume 222 644 tis. eur.</w:t>
      </w:r>
    </w:p>
    <w:p w14:paraId="63C910F9" w14:textId="2DC8B2D1" w:rsidR="00867564" w:rsidRPr="00D715AF" w:rsidRDefault="00867564" w:rsidP="001665F3">
      <w:pPr>
        <w:spacing w:line="240" w:lineRule="auto"/>
        <w:rPr>
          <w:rFonts w:cs="Times New Roman"/>
          <w:sz w:val="24"/>
          <w:szCs w:val="24"/>
          <w:highlight w:val="yellow"/>
        </w:rPr>
      </w:pPr>
      <w:r w:rsidRPr="00D715AF">
        <w:rPr>
          <w:rFonts w:cs="Times New Roman"/>
          <w:sz w:val="24"/>
          <w:szCs w:val="24"/>
        </w:rPr>
        <w:t>Poistné na invalidný výsluhový dôchodok dosiahlo sumu 33 561 tis. eur a na nemocenské zabezpečenie 15 515 tis. eur. Nárast poistného na</w:t>
      </w:r>
      <w:r w:rsidR="00192236" w:rsidRPr="00D715AF">
        <w:rPr>
          <w:rFonts w:cs="Times New Roman"/>
          <w:sz w:val="24"/>
          <w:szCs w:val="24"/>
        </w:rPr>
        <w:t> </w:t>
      </w:r>
      <w:r w:rsidRPr="00D715AF">
        <w:rPr>
          <w:rFonts w:cs="Times New Roman"/>
          <w:sz w:val="24"/>
          <w:szCs w:val="24"/>
        </w:rPr>
        <w:t>osobitné účty súvisel predovšetkým s vyšším čerpaním výdavkov na mzdy a platy štátnych zamestnancov v služobnom pomere.</w:t>
      </w:r>
    </w:p>
    <w:p w14:paraId="339D13EC" w14:textId="0BE9F234" w:rsidR="00867564" w:rsidRPr="00D715AF" w:rsidRDefault="00867564" w:rsidP="001665F3">
      <w:pPr>
        <w:spacing w:line="240" w:lineRule="auto"/>
        <w:rPr>
          <w:rFonts w:cs="Times New Roman"/>
          <w:sz w:val="24"/>
          <w:szCs w:val="24"/>
        </w:rPr>
      </w:pPr>
      <w:r w:rsidRPr="00D715AF">
        <w:rPr>
          <w:rFonts w:cs="Times New Roman"/>
          <w:b/>
          <w:i/>
          <w:sz w:val="24"/>
          <w:szCs w:val="24"/>
        </w:rPr>
        <w:t>Poistné do zdravotných poisťovní</w:t>
      </w:r>
      <w:r w:rsidRPr="00D715AF">
        <w:rPr>
          <w:rFonts w:cs="Times New Roman"/>
          <w:sz w:val="24"/>
          <w:szCs w:val="24"/>
        </w:rPr>
        <w:t xml:space="preserve"> medziročne vzrástlo o 11,8 % a dosiahlo sumu 270 209 tis. </w:t>
      </w:r>
      <w:r w:rsidR="00F960F6" w:rsidRPr="00D715AF">
        <w:rPr>
          <w:rFonts w:cs="Times New Roman"/>
          <w:sz w:val="24"/>
          <w:szCs w:val="24"/>
        </w:rPr>
        <w:t xml:space="preserve">eur </w:t>
      </w:r>
      <w:r w:rsidR="006D3331" w:rsidRPr="00D715AF">
        <w:rPr>
          <w:rFonts w:cs="Times New Roman"/>
          <w:sz w:val="24"/>
          <w:szCs w:val="24"/>
        </w:rPr>
        <w:t>(</w:t>
      </w:r>
      <w:r w:rsidRPr="00D715AF">
        <w:rPr>
          <w:rFonts w:cs="Times New Roman"/>
          <w:sz w:val="24"/>
          <w:szCs w:val="24"/>
        </w:rPr>
        <w:t>2019: 241 701 tis. </w:t>
      </w:r>
      <w:r w:rsidR="00F960F6" w:rsidRPr="00D715AF">
        <w:rPr>
          <w:rFonts w:cs="Times New Roman"/>
          <w:sz w:val="24"/>
          <w:szCs w:val="24"/>
        </w:rPr>
        <w:t>eur),</w:t>
      </w:r>
      <w:r w:rsidRPr="00D715AF">
        <w:rPr>
          <w:rFonts w:cs="Times New Roman"/>
          <w:sz w:val="24"/>
          <w:szCs w:val="24"/>
        </w:rPr>
        <w:t xml:space="preserve"> v tom do Všeobecnej zdravotnej poisťovne bolo odvedených 192 849 tis. eur a</w:t>
      </w:r>
      <w:r w:rsidR="00F960F6" w:rsidRPr="00D715AF">
        <w:rPr>
          <w:rFonts w:cs="Times New Roman"/>
          <w:sz w:val="24"/>
          <w:szCs w:val="24"/>
        </w:rPr>
        <w:t xml:space="preserve"> </w:t>
      </w:r>
      <w:r w:rsidRPr="00D715AF">
        <w:rPr>
          <w:rFonts w:cs="Times New Roman"/>
          <w:sz w:val="24"/>
          <w:szCs w:val="24"/>
        </w:rPr>
        <w:t>do ostatných zdravotných poisťovní 77 360 tis. eur.</w:t>
      </w:r>
    </w:p>
    <w:p w14:paraId="2C121B0E" w14:textId="699D92A7" w:rsidR="00867564" w:rsidRPr="00D715AF" w:rsidRDefault="00867564" w:rsidP="001665F3">
      <w:pPr>
        <w:spacing w:line="240" w:lineRule="auto"/>
        <w:rPr>
          <w:rFonts w:cs="Times New Roman"/>
          <w:sz w:val="24"/>
          <w:szCs w:val="24"/>
        </w:rPr>
      </w:pPr>
      <w:r w:rsidRPr="00D715AF">
        <w:rPr>
          <w:rFonts w:cs="Times New Roman"/>
          <w:b/>
          <w:i/>
          <w:sz w:val="24"/>
          <w:szCs w:val="24"/>
        </w:rPr>
        <w:t>Príspevok do doplnkových dôchodkových poisťovní</w:t>
      </w:r>
      <w:r w:rsidRPr="00D715AF">
        <w:rPr>
          <w:rFonts w:cs="Times New Roman"/>
          <w:sz w:val="24"/>
          <w:szCs w:val="24"/>
        </w:rPr>
        <w:t xml:space="preserve"> bol odvedený v sume 19 815 tis. </w:t>
      </w:r>
      <w:r w:rsidR="006D3331" w:rsidRPr="00D715AF">
        <w:rPr>
          <w:rFonts w:cs="Times New Roman"/>
          <w:sz w:val="24"/>
          <w:szCs w:val="24"/>
        </w:rPr>
        <w:t>eur (</w:t>
      </w:r>
      <w:r w:rsidR="00F960F6" w:rsidRPr="00D715AF">
        <w:rPr>
          <w:rFonts w:cs="Times New Roman"/>
          <w:sz w:val="24"/>
          <w:szCs w:val="24"/>
        </w:rPr>
        <w:t>20</w:t>
      </w:r>
      <w:r w:rsidRPr="00D715AF">
        <w:rPr>
          <w:rFonts w:cs="Times New Roman"/>
          <w:sz w:val="24"/>
          <w:szCs w:val="24"/>
        </w:rPr>
        <w:t xml:space="preserve">19: 18 000 tis. eur) a medziročne vzrástol o 10,1 %. </w:t>
      </w:r>
    </w:p>
    <w:p w14:paraId="4DA4A527" w14:textId="4D3CDFFF" w:rsidR="00867564" w:rsidRPr="00D715AF" w:rsidRDefault="00867564" w:rsidP="001665F3">
      <w:pPr>
        <w:spacing w:line="240" w:lineRule="auto"/>
        <w:rPr>
          <w:rFonts w:cs="Times New Roman"/>
          <w:color w:val="FF0000"/>
          <w:sz w:val="24"/>
          <w:szCs w:val="24"/>
        </w:rPr>
      </w:pPr>
      <w:r w:rsidRPr="00D715AF">
        <w:rPr>
          <w:rFonts w:cs="Times New Roman"/>
          <w:b/>
          <w:i/>
          <w:sz w:val="24"/>
          <w:szCs w:val="24"/>
        </w:rPr>
        <w:t>Príspevky na starobné dôchodkové sporenie</w:t>
      </w:r>
      <w:r w:rsidRPr="00D715AF">
        <w:rPr>
          <w:rFonts w:cs="Times New Roman"/>
          <w:sz w:val="24"/>
          <w:szCs w:val="24"/>
        </w:rPr>
        <w:t xml:space="preserve"> boli </w:t>
      </w:r>
      <w:r w:rsidR="006D3331" w:rsidRPr="00D715AF">
        <w:rPr>
          <w:rFonts w:cs="Times New Roman"/>
          <w:sz w:val="24"/>
          <w:szCs w:val="24"/>
        </w:rPr>
        <w:t>odvedené v sume 55 tis. eur (</w:t>
      </w:r>
      <w:r w:rsidRPr="00D715AF">
        <w:rPr>
          <w:rFonts w:cs="Times New Roman"/>
          <w:sz w:val="24"/>
          <w:szCs w:val="24"/>
        </w:rPr>
        <w:t>2019: 49 tis. eur) a medziročne vzrástli o 12,2 %.</w:t>
      </w:r>
      <w:r w:rsidRPr="00D715AF">
        <w:rPr>
          <w:rFonts w:cs="Times New Roman"/>
          <w:color w:val="FF0000"/>
          <w:sz w:val="24"/>
          <w:szCs w:val="24"/>
        </w:rPr>
        <w:t xml:space="preserve"> </w:t>
      </w:r>
    </w:p>
    <w:p w14:paraId="4060A46E" w14:textId="0EBA2F66" w:rsidR="00867564" w:rsidRPr="00565590" w:rsidRDefault="00867564" w:rsidP="00565590">
      <w:pPr>
        <w:spacing w:before="240" w:after="0"/>
        <w:rPr>
          <w:b/>
          <w:color w:val="5B9BD5" w:themeColor="accent1"/>
          <w:sz w:val="24"/>
          <w:szCs w:val="24"/>
        </w:rPr>
      </w:pPr>
      <w:r w:rsidRPr="00565590">
        <w:rPr>
          <w:b/>
          <w:color w:val="5B9BD5" w:themeColor="accent1"/>
          <w:sz w:val="24"/>
          <w:szCs w:val="24"/>
        </w:rPr>
        <w:t>Tovary a služby</w:t>
      </w:r>
    </w:p>
    <w:p w14:paraId="5690F2F1" w14:textId="5D0FF0B9" w:rsidR="00354C9D" w:rsidRPr="00D715AF" w:rsidRDefault="00867564" w:rsidP="001665F3">
      <w:pPr>
        <w:suppressAutoHyphens/>
        <w:spacing w:line="240" w:lineRule="auto"/>
        <w:rPr>
          <w:sz w:val="24"/>
          <w:szCs w:val="24"/>
        </w:rPr>
      </w:pPr>
      <w:r w:rsidRPr="00D715AF">
        <w:rPr>
          <w:sz w:val="24"/>
          <w:szCs w:val="24"/>
        </w:rPr>
        <w:t>Výdavky na tovary a služby boli rozpočtované v sume</w:t>
      </w:r>
      <w:r w:rsidRPr="00D715AF">
        <w:rPr>
          <w:color w:val="FF0000"/>
          <w:sz w:val="24"/>
          <w:szCs w:val="24"/>
        </w:rPr>
        <w:t xml:space="preserve"> </w:t>
      </w:r>
      <w:r w:rsidRPr="00D715AF">
        <w:rPr>
          <w:sz w:val="24"/>
          <w:szCs w:val="24"/>
        </w:rPr>
        <w:t>10 434 091 tis. eur. V čerpaní 2 267 097 tis. eur</w:t>
      </w:r>
      <w:r w:rsidRPr="00D715AF">
        <w:rPr>
          <w:color w:val="FF0000"/>
          <w:sz w:val="24"/>
          <w:szCs w:val="24"/>
        </w:rPr>
        <w:t xml:space="preserve"> </w:t>
      </w:r>
      <w:r w:rsidRPr="00D715AF">
        <w:rPr>
          <w:sz w:val="24"/>
          <w:szCs w:val="24"/>
        </w:rPr>
        <w:t>(oproti schválenému rozpočtu je skutočné čerpanie nižšie o 78,3 %) sa odrazila najmä skutočnosť, že v rámci služieb sa rozpočtujú aj zálohové platby na projekty EÚ a prostriedky štátneho rozpočtu na spolufinancovanie projektov v súlade s koncepciou finančného riadenia štrukturálnych fondov a Kohézneho fondu. Zúčtovanie poskytnutých zálohových platieb sa však vykonáva na príslušných položkách rozpočtovej klasifikácie podľa skutočne realizovaných výdavkov (napríklad bežné a kapitálové transfery).</w:t>
      </w:r>
    </w:p>
    <w:tbl>
      <w:tblPr>
        <w:tblW w:w="9159" w:type="dxa"/>
        <w:tblInd w:w="55" w:type="dxa"/>
        <w:tblCellMar>
          <w:left w:w="70" w:type="dxa"/>
          <w:right w:w="70" w:type="dxa"/>
        </w:tblCellMar>
        <w:tblLook w:val="04A0" w:firstRow="1" w:lastRow="0" w:firstColumn="1" w:lastColumn="0" w:noHBand="0" w:noVBand="1"/>
      </w:tblPr>
      <w:tblGrid>
        <w:gridCol w:w="2942"/>
        <w:gridCol w:w="883"/>
        <w:gridCol w:w="1082"/>
        <w:gridCol w:w="1134"/>
        <w:gridCol w:w="1076"/>
        <w:gridCol w:w="1050"/>
        <w:gridCol w:w="992"/>
      </w:tblGrid>
      <w:tr w:rsidR="00867564" w:rsidRPr="00C53668" w14:paraId="48B9EE7E" w14:textId="77777777" w:rsidTr="00C53668">
        <w:trPr>
          <w:trHeight w:val="434"/>
        </w:trPr>
        <w:tc>
          <w:tcPr>
            <w:tcW w:w="9159" w:type="dxa"/>
            <w:gridSpan w:val="7"/>
            <w:tcBorders>
              <w:top w:val="nil"/>
              <w:left w:val="nil"/>
              <w:bottom w:val="nil"/>
              <w:right w:val="nil"/>
            </w:tcBorders>
            <w:shd w:val="clear" w:color="000000" w:fill="000000"/>
            <w:vAlign w:val="center"/>
            <w:hideMark/>
          </w:tcPr>
          <w:p w14:paraId="11C4DF5F" w14:textId="5EEC3304" w:rsidR="00867564" w:rsidRPr="00C53668" w:rsidRDefault="00867564" w:rsidP="00354C9D">
            <w:pPr>
              <w:spacing w:after="0" w:line="240" w:lineRule="auto"/>
              <w:rPr>
                <w:rFonts w:eastAsia="Times New Roman" w:cs="Times New Roman"/>
                <w:b/>
                <w:bCs/>
                <w:color w:val="FFFFFF"/>
                <w:sz w:val="18"/>
                <w:szCs w:val="18"/>
                <w:lang w:eastAsia="sk-SK"/>
              </w:rPr>
            </w:pPr>
            <w:r w:rsidRPr="00C53668">
              <w:rPr>
                <w:rFonts w:eastAsia="Times New Roman" w:cs="Times New Roman"/>
                <w:b/>
                <w:bCs/>
                <w:color w:val="FFFFFF"/>
                <w:sz w:val="18"/>
                <w:szCs w:val="18"/>
                <w:lang w:eastAsia="sk-SK"/>
              </w:rPr>
              <w:t xml:space="preserve">Tovary a služby                                                                                                                                           </w:t>
            </w:r>
            <w:r w:rsidR="00C53668">
              <w:rPr>
                <w:rFonts w:eastAsia="Times New Roman" w:cs="Times New Roman"/>
                <w:b/>
                <w:bCs/>
                <w:color w:val="FFFFFF"/>
                <w:sz w:val="18"/>
                <w:szCs w:val="18"/>
                <w:lang w:eastAsia="sk-SK"/>
              </w:rPr>
              <w:t xml:space="preserve">             </w:t>
            </w:r>
            <w:r w:rsidRPr="00C53668">
              <w:rPr>
                <w:rFonts w:eastAsia="Times New Roman" w:cs="Times New Roman"/>
                <w:b/>
                <w:bCs/>
                <w:color w:val="FFFFFF"/>
                <w:sz w:val="18"/>
                <w:szCs w:val="18"/>
                <w:lang w:eastAsia="sk-SK"/>
              </w:rPr>
              <w:t xml:space="preserve">  v tis. eur                                                              </w:t>
            </w:r>
          </w:p>
        </w:tc>
      </w:tr>
      <w:tr w:rsidR="00867564" w:rsidRPr="00C53668" w14:paraId="5BFD49AF" w14:textId="77777777" w:rsidTr="00C53668">
        <w:trPr>
          <w:trHeight w:val="330"/>
        </w:trPr>
        <w:tc>
          <w:tcPr>
            <w:tcW w:w="2942" w:type="dxa"/>
            <w:vMerge w:val="restart"/>
            <w:tcBorders>
              <w:top w:val="nil"/>
              <w:left w:val="nil"/>
              <w:bottom w:val="nil"/>
              <w:right w:val="nil"/>
            </w:tcBorders>
            <w:shd w:val="clear" w:color="000000" w:fill="BFBFBF"/>
            <w:vAlign w:val="center"/>
            <w:hideMark/>
          </w:tcPr>
          <w:p w14:paraId="1FFF2D58" w14:textId="77777777" w:rsidR="00867564" w:rsidRPr="00C53668" w:rsidRDefault="00867564" w:rsidP="007F0D38">
            <w:pPr>
              <w:spacing w:after="0" w:line="240" w:lineRule="auto"/>
              <w:rPr>
                <w:rFonts w:eastAsia="Times New Roman" w:cs="Times New Roman"/>
                <w:b/>
                <w:bCs/>
                <w:color w:val="000000"/>
                <w:sz w:val="18"/>
                <w:szCs w:val="18"/>
                <w:lang w:eastAsia="sk-SK"/>
              </w:rPr>
            </w:pPr>
            <w:r w:rsidRPr="00C53668">
              <w:rPr>
                <w:rFonts w:eastAsia="Times New Roman" w:cs="Times New Roman"/>
                <w:b/>
                <w:bCs/>
                <w:color w:val="000000"/>
                <w:sz w:val="18"/>
                <w:szCs w:val="18"/>
                <w:lang w:eastAsia="sk-SK"/>
              </w:rPr>
              <w:t xml:space="preserve"> </w:t>
            </w:r>
          </w:p>
        </w:tc>
        <w:tc>
          <w:tcPr>
            <w:tcW w:w="1965" w:type="dxa"/>
            <w:gridSpan w:val="2"/>
            <w:tcBorders>
              <w:top w:val="nil"/>
              <w:left w:val="nil"/>
              <w:bottom w:val="nil"/>
              <w:right w:val="nil"/>
            </w:tcBorders>
            <w:shd w:val="clear" w:color="000000" w:fill="BFBFBF"/>
            <w:noWrap/>
            <w:vAlign w:val="center"/>
            <w:hideMark/>
          </w:tcPr>
          <w:p w14:paraId="1B7B4D15" w14:textId="77777777" w:rsidR="00867564" w:rsidRPr="00C53668" w:rsidRDefault="00867564" w:rsidP="007F0D38">
            <w:pPr>
              <w:spacing w:after="0" w:line="240" w:lineRule="auto"/>
              <w:jc w:val="center"/>
              <w:rPr>
                <w:rFonts w:eastAsia="Times New Roman" w:cs="Times New Roman"/>
                <w:b/>
                <w:bCs/>
                <w:color w:val="000000"/>
                <w:sz w:val="18"/>
                <w:szCs w:val="18"/>
                <w:lang w:eastAsia="sk-SK"/>
              </w:rPr>
            </w:pPr>
            <w:r w:rsidRPr="00C53668">
              <w:rPr>
                <w:rFonts w:eastAsia="Times New Roman" w:cs="Times New Roman"/>
                <w:b/>
                <w:bCs/>
                <w:color w:val="000000"/>
                <w:sz w:val="18"/>
                <w:szCs w:val="18"/>
                <w:lang w:eastAsia="sk-SK"/>
              </w:rPr>
              <w:t>Skutočnosť</w:t>
            </w:r>
          </w:p>
        </w:tc>
        <w:tc>
          <w:tcPr>
            <w:tcW w:w="1134" w:type="dxa"/>
            <w:tcBorders>
              <w:top w:val="nil"/>
              <w:left w:val="nil"/>
              <w:bottom w:val="nil"/>
              <w:right w:val="nil"/>
            </w:tcBorders>
            <w:shd w:val="clear" w:color="000000" w:fill="BFBFBF"/>
            <w:noWrap/>
            <w:vAlign w:val="center"/>
            <w:hideMark/>
          </w:tcPr>
          <w:p w14:paraId="6448D660" w14:textId="77777777" w:rsidR="00867564" w:rsidRPr="00C53668" w:rsidRDefault="00867564" w:rsidP="007F0D38">
            <w:pPr>
              <w:spacing w:after="0" w:line="240" w:lineRule="auto"/>
              <w:jc w:val="center"/>
              <w:rPr>
                <w:rFonts w:eastAsia="Times New Roman" w:cs="Times New Roman"/>
                <w:b/>
                <w:bCs/>
                <w:color w:val="000000"/>
                <w:sz w:val="18"/>
                <w:szCs w:val="18"/>
                <w:lang w:eastAsia="sk-SK"/>
              </w:rPr>
            </w:pPr>
            <w:r w:rsidRPr="00C53668">
              <w:rPr>
                <w:rFonts w:eastAsia="Times New Roman" w:cs="Times New Roman"/>
                <w:b/>
                <w:bCs/>
                <w:color w:val="000000"/>
                <w:sz w:val="18"/>
                <w:szCs w:val="18"/>
                <w:lang w:eastAsia="sk-SK"/>
              </w:rPr>
              <w:t>Rozpočet</w:t>
            </w:r>
          </w:p>
        </w:tc>
        <w:tc>
          <w:tcPr>
            <w:tcW w:w="1076" w:type="dxa"/>
            <w:tcBorders>
              <w:top w:val="nil"/>
              <w:left w:val="nil"/>
              <w:bottom w:val="nil"/>
              <w:right w:val="nil"/>
            </w:tcBorders>
            <w:shd w:val="clear" w:color="000000" w:fill="BFBFBF"/>
            <w:noWrap/>
            <w:vAlign w:val="center"/>
            <w:hideMark/>
          </w:tcPr>
          <w:p w14:paraId="5955001C" w14:textId="77777777" w:rsidR="00867564" w:rsidRPr="00C53668" w:rsidRDefault="00867564" w:rsidP="007F0D38">
            <w:pPr>
              <w:spacing w:after="0" w:line="240" w:lineRule="auto"/>
              <w:jc w:val="center"/>
              <w:rPr>
                <w:rFonts w:eastAsia="Times New Roman" w:cs="Times New Roman"/>
                <w:b/>
                <w:bCs/>
                <w:color w:val="000000"/>
                <w:sz w:val="18"/>
                <w:szCs w:val="18"/>
                <w:lang w:eastAsia="sk-SK"/>
              </w:rPr>
            </w:pPr>
            <w:r w:rsidRPr="00C53668">
              <w:rPr>
                <w:rFonts w:eastAsia="Times New Roman" w:cs="Times New Roman"/>
                <w:b/>
                <w:bCs/>
                <w:color w:val="000000"/>
                <w:sz w:val="18"/>
                <w:szCs w:val="18"/>
                <w:lang w:eastAsia="sk-SK"/>
              </w:rPr>
              <w:t>Skutočnosť</w:t>
            </w:r>
          </w:p>
        </w:tc>
        <w:tc>
          <w:tcPr>
            <w:tcW w:w="2042" w:type="dxa"/>
            <w:gridSpan w:val="2"/>
            <w:tcBorders>
              <w:top w:val="nil"/>
              <w:left w:val="nil"/>
              <w:bottom w:val="nil"/>
              <w:right w:val="nil"/>
            </w:tcBorders>
            <w:shd w:val="clear" w:color="000000" w:fill="BFBFBF"/>
            <w:noWrap/>
            <w:vAlign w:val="center"/>
            <w:hideMark/>
          </w:tcPr>
          <w:p w14:paraId="2CF206D8" w14:textId="77777777" w:rsidR="00867564" w:rsidRPr="00C53668" w:rsidRDefault="00867564" w:rsidP="007F0D38">
            <w:pPr>
              <w:spacing w:after="0" w:line="240" w:lineRule="auto"/>
              <w:jc w:val="center"/>
              <w:rPr>
                <w:rFonts w:eastAsia="Times New Roman" w:cs="Times New Roman"/>
                <w:b/>
                <w:bCs/>
                <w:color w:val="000000"/>
                <w:sz w:val="18"/>
                <w:szCs w:val="18"/>
                <w:lang w:eastAsia="sk-SK"/>
              </w:rPr>
            </w:pPr>
            <w:r w:rsidRPr="00C53668">
              <w:rPr>
                <w:rFonts w:eastAsia="Times New Roman" w:cs="Times New Roman"/>
                <w:b/>
                <w:bCs/>
                <w:color w:val="000000"/>
                <w:sz w:val="18"/>
                <w:szCs w:val="18"/>
                <w:lang w:eastAsia="sk-SK"/>
              </w:rPr>
              <w:t>Rozdiel</w:t>
            </w:r>
          </w:p>
        </w:tc>
      </w:tr>
      <w:tr w:rsidR="00867564" w:rsidRPr="00C53668" w14:paraId="6BD48C13" w14:textId="77777777" w:rsidTr="00C53668">
        <w:trPr>
          <w:trHeight w:val="330"/>
        </w:trPr>
        <w:tc>
          <w:tcPr>
            <w:tcW w:w="2942" w:type="dxa"/>
            <w:vMerge/>
            <w:tcBorders>
              <w:top w:val="nil"/>
              <w:left w:val="nil"/>
              <w:bottom w:val="nil"/>
              <w:right w:val="nil"/>
            </w:tcBorders>
            <w:vAlign w:val="center"/>
            <w:hideMark/>
          </w:tcPr>
          <w:p w14:paraId="1F00A7C7" w14:textId="77777777" w:rsidR="00867564" w:rsidRPr="00C53668" w:rsidRDefault="00867564" w:rsidP="007F0D38">
            <w:pPr>
              <w:spacing w:after="0" w:line="240" w:lineRule="auto"/>
              <w:rPr>
                <w:rFonts w:eastAsia="Times New Roman" w:cs="Times New Roman"/>
                <w:b/>
                <w:bCs/>
                <w:color w:val="000000"/>
                <w:sz w:val="18"/>
                <w:szCs w:val="18"/>
                <w:lang w:eastAsia="sk-SK"/>
              </w:rPr>
            </w:pPr>
          </w:p>
        </w:tc>
        <w:tc>
          <w:tcPr>
            <w:tcW w:w="883" w:type="dxa"/>
            <w:tcBorders>
              <w:top w:val="nil"/>
              <w:left w:val="nil"/>
              <w:bottom w:val="nil"/>
              <w:right w:val="nil"/>
            </w:tcBorders>
            <w:shd w:val="clear" w:color="000000" w:fill="BFBFBF"/>
            <w:noWrap/>
            <w:vAlign w:val="center"/>
            <w:hideMark/>
          </w:tcPr>
          <w:p w14:paraId="773131AA" w14:textId="77777777" w:rsidR="00867564" w:rsidRPr="00C53668" w:rsidRDefault="00867564" w:rsidP="007F0D38">
            <w:pPr>
              <w:spacing w:after="0" w:line="240" w:lineRule="auto"/>
              <w:jc w:val="center"/>
              <w:rPr>
                <w:rFonts w:eastAsia="Times New Roman" w:cs="Times New Roman"/>
                <w:b/>
                <w:bCs/>
                <w:color w:val="000000"/>
                <w:sz w:val="18"/>
                <w:szCs w:val="18"/>
                <w:lang w:eastAsia="sk-SK"/>
              </w:rPr>
            </w:pPr>
            <w:r w:rsidRPr="00C53668">
              <w:rPr>
                <w:rFonts w:eastAsia="Times New Roman" w:cs="Times New Roman"/>
                <w:b/>
                <w:bCs/>
                <w:color w:val="000000"/>
                <w:sz w:val="18"/>
                <w:szCs w:val="18"/>
                <w:lang w:eastAsia="sk-SK"/>
              </w:rPr>
              <w:t>2018</w:t>
            </w:r>
          </w:p>
        </w:tc>
        <w:tc>
          <w:tcPr>
            <w:tcW w:w="1082" w:type="dxa"/>
            <w:tcBorders>
              <w:top w:val="nil"/>
              <w:left w:val="nil"/>
              <w:bottom w:val="nil"/>
              <w:right w:val="nil"/>
            </w:tcBorders>
            <w:shd w:val="clear" w:color="000000" w:fill="BFBFBF"/>
            <w:noWrap/>
            <w:vAlign w:val="center"/>
            <w:hideMark/>
          </w:tcPr>
          <w:p w14:paraId="354B45B0" w14:textId="77777777" w:rsidR="00867564" w:rsidRPr="00C53668" w:rsidRDefault="00867564" w:rsidP="007F0D38">
            <w:pPr>
              <w:spacing w:after="0" w:line="240" w:lineRule="auto"/>
              <w:jc w:val="center"/>
              <w:rPr>
                <w:rFonts w:eastAsia="Times New Roman" w:cs="Times New Roman"/>
                <w:b/>
                <w:bCs/>
                <w:color w:val="000000"/>
                <w:sz w:val="18"/>
                <w:szCs w:val="18"/>
                <w:lang w:eastAsia="sk-SK"/>
              </w:rPr>
            </w:pPr>
            <w:r w:rsidRPr="00C53668">
              <w:rPr>
                <w:rFonts w:eastAsia="Times New Roman" w:cs="Times New Roman"/>
                <w:b/>
                <w:bCs/>
                <w:color w:val="000000"/>
                <w:sz w:val="18"/>
                <w:szCs w:val="18"/>
                <w:lang w:eastAsia="sk-SK"/>
              </w:rPr>
              <w:t>2019</w:t>
            </w:r>
          </w:p>
        </w:tc>
        <w:tc>
          <w:tcPr>
            <w:tcW w:w="1134" w:type="dxa"/>
            <w:tcBorders>
              <w:top w:val="nil"/>
              <w:left w:val="nil"/>
              <w:bottom w:val="nil"/>
              <w:right w:val="nil"/>
            </w:tcBorders>
            <w:shd w:val="clear" w:color="000000" w:fill="BFBFBF"/>
            <w:noWrap/>
            <w:vAlign w:val="center"/>
            <w:hideMark/>
          </w:tcPr>
          <w:p w14:paraId="23BD3F64" w14:textId="77777777" w:rsidR="00867564" w:rsidRPr="00C53668" w:rsidRDefault="00867564" w:rsidP="007F0D38">
            <w:pPr>
              <w:spacing w:after="0" w:line="240" w:lineRule="auto"/>
              <w:jc w:val="center"/>
              <w:rPr>
                <w:rFonts w:eastAsia="Times New Roman" w:cs="Times New Roman"/>
                <w:b/>
                <w:bCs/>
                <w:color w:val="000000"/>
                <w:sz w:val="18"/>
                <w:szCs w:val="18"/>
                <w:lang w:eastAsia="sk-SK"/>
              </w:rPr>
            </w:pPr>
            <w:r w:rsidRPr="00C53668">
              <w:rPr>
                <w:rFonts w:eastAsia="Times New Roman" w:cs="Times New Roman"/>
                <w:b/>
                <w:bCs/>
                <w:color w:val="000000"/>
                <w:sz w:val="18"/>
                <w:szCs w:val="18"/>
                <w:lang w:eastAsia="sk-SK"/>
              </w:rPr>
              <w:t>2020</w:t>
            </w:r>
          </w:p>
        </w:tc>
        <w:tc>
          <w:tcPr>
            <w:tcW w:w="1076" w:type="dxa"/>
            <w:tcBorders>
              <w:top w:val="nil"/>
              <w:left w:val="nil"/>
              <w:bottom w:val="nil"/>
              <w:right w:val="nil"/>
            </w:tcBorders>
            <w:shd w:val="clear" w:color="000000" w:fill="BFBFBF"/>
            <w:noWrap/>
            <w:vAlign w:val="center"/>
            <w:hideMark/>
          </w:tcPr>
          <w:p w14:paraId="2E3599A0" w14:textId="77777777" w:rsidR="00867564" w:rsidRPr="00C53668" w:rsidRDefault="00867564" w:rsidP="007F0D38">
            <w:pPr>
              <w:spacing w:after="0" w:line="240" w:lineRule="auto"/>
              <w:jc w:val="center"/>
              <w:rPr>
                <w:rFonts w:eastAsia="Times New Roman" w:cs="Times New Roman"/>
                <w:b/>
                <w:bCs/>
                <w:color w:val="000000"/>
                <w:sz w:val="18"/>
                <w:szCs w:val="18"/>
                <w:lang w:eastAsia="sk-SK"/>
              </w:rPr>
            </w:pPr>
            <w:r w:rsidRPr="00C53668">
              <w:rPr>
                <w:rFonts w:eastAsia="Times New Roman" w:cs="Times New Roman"/>
                <w:b/>
                <w:bCs/>
                <w:color w:val="000000"/>
                <w:sz w:val="18"/>
                <w:szCs w:val="18"/>
                <w:lang w:eastAsia="sk-SK"/>
              </w:rPr>
              <w:t>2020</w:t>
            </w:r>
          </w:p>
        </w:tc>
        <w:tc>
          <w:tcPr>
            <w:tcW w:w="1050" w:type="dxa"/>
            <w:tcBorders>
              <w:top w:val="nil"/>
              <w:left w:val="nil"/>
              <w:bottom w:val="nil"/>
              <w:right w:val="nil"/>
            </w:tcBorders>
            <w:shd w:val="clear" w:color="000000" w:fill="BFBFBF"/>
            <w:noWrap/>
            <w:vAlign w:val="center"/>
            <w:hideMark/>
          </w:tcPr>
          <w:p w14:paraId="59534EBD" w14:textId="77777777" w:rsidR="00867564" w:rsidRPr="00C53668" w:rsidRDefault="00867564" w:rsidP="007F0D38">
            <w:pPr>
              <w:spacing w:after="0" w:line="240" w:lineRule="auto"/>
              <w:jc w:val="center"/>
              <w:rPr>
                <w:rFonts w:eastAsia="Times New Roman" w:cs="Times New Roman"/>
                <w:b/>
                <w:bCs/>
                <w:color w:val="000000"/>
                <w:sz w:val="18"/>
                <w:szCs w:val="18"/>
                <w:lang w:eastAsia="sk-SK"/>
              </w:rPr>
            </w:pPr>
            <w:r w:rsidRPr="00C53668">
              <w:rPr>
                <w:rFonts w:eastAsia="Times New Roman" w:cs="Times New Roman"/>
                <w:b/>
                <w:bCs/>
                <w:color w:val="000000"/>
                <w:sz w:val="18"/>
                <w:szCs w:val="18"/>
                <w:lang w:eastAsia="sk-SK"/>
              </w:rPr>
              <w:t>v tis. eur</w:t>
            </w:r>
          </w:p>
        </w:tc>
        <w:tc>
          <w:tcPr>
            <w:tcW w:w="992" w:type="dxa"/>
            <w:tcBorders>
              <w:top w:val="nil"/>
              <w:left w:val="nil"/>
              <w:bottom w:val="nil"/>
              <w:right w:val="nil"/>
            </w:tcBorders>
            <w:shd w:val="clear" w:color="000000" w:fill="BFBFBF"/>
            <w:noWrap/>
            <w:vAlign w:val="center"/>
            <w:hideMark/>
          </w:tcPr>
          <w:p w14:paraId="6C008AAA" w14:textId="77777777" w:rsidR="00867564" w:rsidRPr="00C53668" w:rsidRDefault="00867564" w:rsidP="007F0D38">
            <w:pPr>
              <w:spacing w:after="0" w:line="240" w:lineRule="auto"/>
              <w:jc w:val="center"/>
              <w:rPr>
                <w:rFonts w:eastAsia="Times New Roman" w:cs="Times New Roman"/>
                <w:b/>
                <w:bCs/>
                <w:color w:val="000000"/>
                <w:sz w:val="18"/>
                <w:szCs w:val="18"/>
                <w:lang w:eastAsia="sk-SK"/>
              </w:rPr>
            </w:pPr>
            <w:r w:rsidRPr="00C53668">
              <w:rPr>
                <w:rFonts w:eastAsia="Times New Roman" w:cs="Times New Roman"/>
                <w:b/>
                <w:bCs/>
                <w:color w:val="000000"/>
                <w:sz w:val="18"/>
                <w:szCs w:val="18"/>
                <w:lang w:eastAsia="sk-SK"/>
              </w:rPr>
              <w:t>v %</w:t>
            </w:r>
          </w:p>
        </w:tc>
      </w:tr>
      <w:tr w:rsidR="00867564" w:rsidRPr="00C53668" w14:paraId="3E148A13" w14:textId="77777777" w:rsidTr="00C53668">
        <w:trPr>
          <w:trHeight w:val="345"/>
        </w:trPr>
        <w:tc>
          <w:tcPr>
            <w:tcW w:w="2942" w:type="dxa"/>
            <w:tcBorders>
              <w:top w:val="nil"/>
              <w:left w:val="nil"/>
              <w:bottom w:val="single" w:sz="8" w:space="0" w:color="auto"/>
              <w:right w:val="nil"/>
            </w:tcBorders>
            <w:shd w:val="clear" w:color="000000" w:fill="BFBFBF"/>
            <w:vAlign w:val="center"/>
            <w:hideMark/>
          </w:tcPr>
          <w:p w14:paraId="540E9988" w14:textId="77777777" w:rsidR="00867564" w:rsidRPr="00C53668" w:rsidRDefault="00867564" w:rsidP="007F0D38">
            <w:pPr>
              <w:spacing w:after="0" w:line="240" w:lineRule="auto"/>
              <w:rPr>
                <w:rFonts w:eastAsia="Times New Roman" w:cs="Times New Roman"/>
                <w:color w:val="000000"/>
                <w:sz w:val="18"/>
                <w:szCs w:val="18"/>
                <w:lang w:eastAsia="sk-SK"/>
              </w:rPr>
            </w:pPr>
            <w:r w:rsidRPr="00C53668">
              <w:rPr>
                <w:rFonts w:eastAsia="Times New Roman" w:cs="Times New Roman"/>
                <w:color w:val="000000"/>
                <w:sz w:val="18"/>
                <w:szCs w:val="18"/>
                <w:lang w:eastAsia="sk-SK"/>
              </w:rPr>
              <w:t> </w:t>
            </w:r>
          </w:p>
        </w:tc>
        <w:tc>
          <w:tcPr>
            <w:tcW w:w="883" w:type="dxa"/>
            <w:tcBorders>
              <w:top w:val="nil"/>
              <w:left w:val="nil"/>
              <w:bottom w:val="single" w:sz="8" w:space="0" w:color="auto"/>
              <w:right w:val="nil"/>
            </w:tcBorders>
            <w:shd w:val="clear" w:color="000000" w:fill="BFBFBF"/>
            <w:noWrap/>
            <w:vAlign w:val="center"/>
            <w:hideMark/>
          </w:tcPr>
          <w:p w14:paraId="4F24CE26" w14:textId="77777777" w:rsidR="00867564" w:rsidRPr="00C53668" w:rsidRDefault="00867564" w:rsidP="007F0D38">
            <w:pPr>
              <w:spacing w:after="0" w:line="240" w:lineRule="auto"/>
              <w:jc w:val="center"/>
              <w:rPr>
                <w:rFonts w:eastAsia="Times New Roman" w:cs="Times New Roman"/>
                <w:b/>
                <w:bCs/>
                <w:color w:val="000000"/>
                <w:sz w:val="18"/>
                <w:szCs w:val="18"/>
                <w:lang w:eastAsia="sk-SK"/>
              </w:rPr>
            </w:pPr>
            <w:r w:rsidRPr="00C53668">
              <w:rPr>
                <w:rFonts w:eastAsia="Times New Roman" w:cs="Times New Roman"/>
                <w:b/>
                <w:bCs/>
                <w:color w:val="000000"/>
                <w:sz w:val="18"/>
                <w:szCs w:val="18"/>
                <w:lang w:eastAsia="sk-SK"/>
              </w:rPr>
              <w:t>1</w:t>
            </w:r>
          </w:p>
        </w:tc>
        <w:tc>
          <w:tcPr>
            <w:tcW w:w="1082" w:type="dxa"/>
            <w:tcBorders>
              <w:top w:val="nil"/>
              <w:left w:val="nil"/>
              <w:bottom w:val="single" w:sz="8" w:space="0" w:color="auto"/>
              <w:right w:val="nil"/>
            </w:tcBorders>
            <w:shd w:val="clear" w:color="000000" w:fill="BFBFBF"/>
            <w:noWrap/>
            <w:vAlign w:val="center"/>
            <w:hideMark/>
          </w:tcPr>
          <w:p w14:paraId="5205562E" w14:textId="77777777" w:rsidR="00867564" w:rsidRPr="00C53668" w:rsidRDefault="00867564" w:rsidP="007F0D38">
            <w:pPr>
              <w:spacing w:after="0" w:line="240" w:lineRule="auto"/>
              <w:jc w:val="center"/>
              <w:rPr>
                <w:rFonts w:eastAsia="Times New Roman" w:cs="Times New Roman"/>
                <w:b/>
                <w:bCs/>
                <w:color w:val="000000"/>
                <w:sz w:val="18"/>
                <w:szCs w:val="18"/>
                <w:lang w:eastAsia="sk-SK"/>
              </w:rPr>
            </w:pPr>
            <w:r w:rsidRPr="00C53668">
              <w:rPr>
                <w:rFonts w:eastAsia="Times New Roman" w:cs="Times New Roman"/>
                <w:b/>
                <w:bCs/>
                <w:color w:val="000000"/>
                <w:sz w:val="18"/>
                <w:szCs w:val="18"/>
                <w:lang w:eastAsia="sk-SK"/>
              </w:rPr>
              <w:t>2</w:t>
            </w:r>
          </w:p>
        </w:tc>
        <w:tc>
          <w:tcPr>
            <w:tcW w:w="1134" w:type="dxa"/>
            <w:tcBorders>
              <w:top w:val="nil"/>
              <w:left w:val="nil"/>
              <w:bottom w:val="single" w:sz="8" w:space="0" w:color="auto"/>
              <w:right w:val="nil"/>
            </w:tcBorders>
            <w:shd w:val="clear" w:color="000000" w:fill="BFBFBF"/>
            <w:noWrap/>
            <w:vAlign w:val="center"/>
            <w:hideMark/>
          </w:tcPr>
          <w:p w14:paraId="31C7FC67" w14:textId="77777777" w:rsidR="00867564" w:rsidRPr="00C53668" w:rsidRDefault="00867564" w:rsidP="007F0D38">
            <w:pPr>
              <w:spacing w:after="0" w:line="240" w:lineRule="auto"/>
              <w:jc w:val="center"/>
              <w:rPr>
                <w:rFonts w:eastAsia="Times New Roman" w:cs="Times New Roman"/>
                <w:b/>
                <w:bCs/>
                <w:color w:val="000000"/>
                <w:sz w:val="18"/>
                <w:szCs w:val="18"/>
                <w:lang w:eastAsia="sk-SK"/>
              </w:rPr>
            </w:pPr>
            <w:r w:rsidRPr="00C53668">
              <w:rPr>
                <w:rFonts w:eastAsia="Times New Roman" w:cs="Times New Roman"/>
                <w:b/>
                <w:bCs/>
                <w:color w:val="000000"/>
                <w:sz w:val="18"/>
                <w:szCs w:val="18"/>
                <w:lang w:eastAsia="sk-SK"/>
              </w:rPr>
              <w:t>3</w:t>
            </w:r>
          </w:p>
        </w:tc>
        <w:tc>
          <w:tcPr>
            <w:tcW w:w="1076" w:type="dxa"/>
            <w:tcBorders>
              <w:top w:val="nil"/>
              <w:left w:val="nil"/>
              <w:bottom w:val="single" w:sz="8" w:space="0" w:color="auto"/>
              <w:right w:val="nil"/>
            </w:tcBorders>
            <w:shd w:val="clear" w:color="000000" w:fill="BFBFBF"/>
            <w:noWrap/>
            <w:vAlign w:val="center"/>
            <w:hideMark/>
          </w:tcPr>
          <w:p w14:paraId="602ABF27" w14:textId="77777777" w:rsidR="00867564" w:rsidRPr="00C53668" w:rsidRDefault="00867564" w:rsidP="007F0D38">
            <w:pPr>
              <w:spacing w:after="0" w:line="240" w:lineRule="auto"/>
              <w:jc w:val="center"/>
              <w:rPr>
                <w:rFonts w:eastAsia="Times New Roman" w:cs="Times New Roman"/>
                <w:b/>
                <w:bCs/>
                <w:color w:val="000000"/>
                <w:sz w:val="18"/>
                <w:szCs w:val="18"/>
                <w:lang w:eastAsia="sk-SK"/>
              </w:rPr>
            </w:pPr>
            <w:r w:rsidRPr="00C53668">
              <w:rPr>
                <w:rFonts w:eastAsia="Times New Roman" w:cs="Times New Roman"/>
                <w:b/>
                <w:bCs/>
                <w:color w:val="000000"/>
                <w:sz w:val="18"/>
                <w:szCs w:val="18"/>
                <w:lang w:eastAsia="sk-SK"/>
              </w:rPr>
              <w:t>4</w:t>
            </w:r>
          </w:p>
        </w:tc>
        <w:tc>
          <w:tcPr>
            <w:tcW w:w="1050" w:type="dxa"/>
            <w:tcBorders>
              <w:top w:val="nil"/>
              <w:left w:val="nil"/>
              <w:bottom w:val="single" w:sz="8" w:space="0" w:color="auto"/>
              <w:right w:val="nil"/>
            </w:tcBorders>
            <w:shd w:val="clear" w:color="000000" w:fill="BFBFBF"/>
            <w:noWrap/>
            <w:vAlign w:val="center"/>
            <w:hideMark/>
          </w:tcPr>
          <w:p w14:paraId="62F41CCC" w14:textId="77777777" w:rsidR="00867564" w:rsidRPr="00C53668" w:rsidRDefault="00867564" w:rsidP="007F0D38">
            <w:pPr>
              <w:spacing w:after="0" w:line="240" w:lineRule="auto"/>
              <w:jc w:val="center"/>
              <w:rPr>
                <w:rFonts w:eastAsia="Times New Roman" w:cs="Times New Roman"/>
                <w:b/>
                <w:bCs/>
                <w:color w:val="000000"/>
                <w:sz w:val="18"/>
                <w:szCs w:val="18"/>
                <w:lang w:eastAsia="sk-SK"/>
              </w:rPr>
            </w:pPr>
            <w:r w:rsidRPr="00C53668">
              <w:rPr>
                <w:rFonts w:eastAsia="Times New Roman" w:cs="Times New Roman"/>
                <w:b/>
                <w:bCs/>
                <w:color w:val="000000"/>
                <w:sz w:val="18"/>
                <w:szCs w:val="18"/>
                <w:lang w:eastAsia="sk-SK"/>
              </w:rPr>
              <w:t>5=4-3</w:t>
            </w:r>
          </w:p>
        </w:tc>
        <w:tc>
          <w:tcPr>
            <w:tcW w:w="992" w:type="dxa"/>
            <w:tcBorders>
              <w:top w:val="nil"/>
              <w:left w:val="nil"/>
              <w:bottom w:val="single" w:sz="8" w:space="0" w:color="auto"/>
              <w:right w:val="nil"/>
            </w:tcBorders>
            <w:shd w:val="clear" w:color="000000" w:fill="BFBFBF"/>
            <w:noWrap/>
            <w:vAlign w:val="center"/>
            <w:hideMark/>
          </w:tcPr>
          <w:p w14:paraId="4A01B1F3" w14:textId="77777777" w:rsidR="00867564" w:rsidRPr="00C53668" w:rsidRDefault="00867564" w:rsidP="007F0D38">
            <w:pPr>
              <w:spacing w:after="0" w:line="240" w:lineRule="auto"/>
              <w:jc w:val="center"/>
              <w:rPr>
                <w:rFonts w:eastAsia="Times New Roman" w:cs="Times New Roman"/>
                <w:b/>
                <w:bCs/>
                <w:color w:val="000000"/>
                <w:sz w:val="18"/>
                <w:szCs w:val="18"/>
                <w:lang w:eastAsia="sk-SK"/>
              </w:rPr>
            </w:pPr>
            <w:r w:rsidRPr="00C53668">
              <w:rPr>
                <w:rFonts w:eastAsia="Times New Roman" w:cs="Times New Roman"/>
                <w:b/>
                <w:bCs/>
                <w:color w:val="000000"/>
                <w:sz w:val="18"/>
                <w:szCs w:val="18"/>
                <w:lang w:eastAsia="sk-SK"/>
              </w:rPr>
              <w:t>6=4-3</w:t>
            </w:r>
          </w:p>
        </w:tc>
      </w:tr>
      <w:tr w:rsidR="00867564" w:rsidRPr="00C53668" w14:paraId="7A09477F" w14:textId="77777777" w:rsidTr="00C53668">
        <w:trPr>
          <w:trHeight w:val="300"/>
        </w:trPr>
        <w:tc>
          <w:tcPr>
            <w:tcW w:w="2942" w:type="dxa"/>
            <w:tcBorders>
              <w:top w:val="nil"/>
              <w:left w:val="nil"/>
              <w:bottom w:val="nil"/>
              <w:right w:val="nil"/>
            </w:tcBorders>
            <w:shd w:val="clear" w:color="auto" w:fill="auto"/>
            <w:vAlign w:val="center"/>
            <w:hideMark/>
          </w:tcPr>
          <w:p w14:paraId="3501C9BA" w14:textId="77777777" w:rsidR="00867564" w:rsidRPr="00C53668" w:rsidRDefault="00867564" w:rsidP="007F0D38">
            <w:pPr>
              <w:spacing w:after="0" w:line="240" w:lineRule="auto"/>
              <w:rPr>
                <w:rFonts w:eastAsia="Times New Roman" w:cs="Times New Roman"/>
                <w:color w:val="000000"/>
                <w:sz w:val="18"/>
                <w:szCs w:val="18"/>
                <w:lang w:eastAsia="sk-SK"/>
              </w:rPr>
            </w:pPr>
            <w:r w:rsidRPr="00C53668">
              <w:rPr>
                <w:rFonts w:eastAsia="Times New Roman" w:cs="Times New Roman"/>
                <w:color w:val="000000"/>
                <w:sz w:val="18"/>
                <w:szCs w:val="18"/>
                <w:lang w:eastAsia="sk-SK"/>
              </w:rPr>
              <w:t>Služby</w:t>
            </w:r>
          </w:p>
        </w:tc>
        <w:tc>
          <w:tcPr>
            <w:tcW w:w="883" w:type="dxa"/>
            <w:tcBorders>
              <w:top w:val="nil"/>
              <w:left w:val="nil"/>
              <w:bottom w:val="nil"/>
              <w:right w:val="nil"/>
            </w:tcBorders>
            <w:shd w:val="clear" w:color="auto" w:fill="auto"/>
            <w:noWrap/>
            <w:vAlign w:val="center"/>
            <w:hideMark/>
          </w:tcPr>
          <w:p w14:paraId="20A4C1B5" w14:textId="77777777" w:rsidR="00867564" w:rsidRPr="00C53668" w:rsidRDefault="00867564" w:rsidP="007F0D38">
            <w:pPr>
              <w:spacing w:after="0" w:line="240" w:lineRule="auto"/>
              <w:jc w:val="right"/>
              <w:rPr>
                <w:rFonts w:eastAsia="Times New Roman" w:cs="Times New Roman"/>
                <w:color w:val="000000"/>
                <w:sz w:val="18"/>
                <w:szCs w:val="18"/>
                <w:lang w:eastAsia="sk-SK"/>
              </w:rPr>
            </w:pPr>
            <w:r w:rsidRPr="00C53668">
              <w:rPr>
                <w:rFonts w:eastAsia="Times New Roman" w:cs="Times New Roman"/>
                <w:color w:val="000000"/>
                <w:sz w:val="18"/>
                <w:szCs w:val="18"/>
                <w:lang w:eastAsia="sk-SK"/>
              </w:rPr>
              <w:t>713 722</w:t>
            </w:r>
          </w:p>
        </w:tc>
        <w:tc>
          <w:tcPr>
            <w:tcW w:w="1082" w:type="dxa"/>
            <w:tcBorders>
              <w:top w:val="nil"/>
              <w:left w:val="nil"/>
              <w:bottom w:val="nil"/>
              <w:right w:val="nil"/>
            </w:tcBorders>
            <w:shd w:val="clear" w:color="auto" w:fill="auto"/>
            <w:noWrap/>
            <w:vAlign w:val="center"/>
            <w:hideMark/>
          </w:tcPr>
          <w:p w14:paraId="6BA80E20" w14:textId="77777777" w:rsidR="00867564" w:rsidRPr="00C53668" w:rsidRDefault="00867564" w:rsidP="007F0D38">
            <w:pPr>
              <w:spacing w:after="0" w:line="240" w:lineRule="auto"/>
              <w:jc w:val="right"/>
              <w:rPr>
                <w:rFonts w:eastAsia="Times New Roman" w:cs="Times New Roman"/>
                <w:color w:val="000000"/>
                <w:sz w:val="18"/>
                <w:szCs w:val="18"/>
                <w:lang w:eastAsia="sk-SK"/>
              </w:rPr>
            </w:pPr>
            <w:r w:rsidRPr="00C53668">
              <w:rPr>
                <w:rFonts w:eastAsia="Times New Roman" w:cs="Times New Roman"/>
                <w:color w:val="000000"/>
                <w:sz w:val="18"/>
                <w:szCs w:val="18"/>
                <w:lang w:eastAsia="sk-SK"/>
              </w:rPr>
              <w:t>735 990</w:t>
            </w:r>
          </w:p>
        </w:tc>
        <w:tc>
          <w:tcPr>
            <w:tcW w:w="1134" w:type="dxa"/>
            <w:tcBorders>
              <w:top w:val="nil"/>
              <w:left w:val="nil"/>
              <w:bottom w:val="nil"/>
              <w:right w:val="nil"/>
            </w:tcBorders>
            <w:shd w:val="clear" w:color="auto" w:fill="auto"/>
            <w:noWrap/>
            <w:vAlign w:val="center"/>
            <w:hideMark/>
          </w:tcPr>
          <w:p w14:paraId="2932C582" w14:textId="77777777" w:rsidR="00867564" w:rsidRPr="00C53668" w:rsidRDefault="00867564" w:rsidP="007F0D38">
            <w:pPr>
              <w:spacing w:after="0" w:line="240" w:lineRule="auto"/>
              <w:jc w:val="right"/>
              <w:rPr>
                <w:rFonts w:eastAsia="Times New Roman" w:cs="Times New Roman"/>
                <w:color w:val="000000"/>
                <w:sz w:val="18"/>
                <w:szCs w:val="18"/>
                <w:lang w:eastAsia="sk-SK"/>
              </w:rPr>
            </w:pPr>
            <w:r w:rsidRPr="00C53668">
              <w:rPr>
                <w:rFonts w:eastAsia="Times New Roman" w:cs="Times New Roman"/>
                <w:color w:val="000000"/>
                <w:sz w:val="18"/>
                <w:szCs w:val="18"/>
                <w:lang w:eastAsia="sk-SK"/>
              </w:rPr>
              <w:t>9 508 028</w:t>
            </w:r>
          </w:p>
        </w:tc>
        <w:tc>
          <w:tcPr>
            <w:tcW w:w="1076" w:type="dxa"/>
            <w:tcBorders>
              <w:top w:val="nil"/>
              <w:left w:val="nil"/>
              <w:bottom w:val="nil"/>
              <w:right w:val="nil"/>
            </w:tcBorders>
            <w:shd w:val="clear" w:color="000000" w:fill="BFBFBF"/>
            <w:noWrap/>
            <w:vAlign w:val="center"/>
            <w:hideMark/>
          </w:tcPr>
          <w:p w14:paraId="1BCFC4A6" w14:textId="77777777" w:rsidR="00867564" w:rsidRPr="00C53668" w:rsidRDefault="00867564" w:rsidP="007F0D38">
            <w:pPr>
              <w:spacing w:after="0" w:line="240" w:lineRule="auto"/>
              <w:jc w:val="right"/>
              <w:rPr>
                <w:rFonts w:eastAsia="Times New Roman" w:cs="Times New Roman"/>
                <w:color w:val="000000"/>
                <w:sz w:val="18"/>
                <w:szCs w:val="18"/>
                <w:lang w:eastAsia="sk-SK"/>
              </w:rPr>
            </w:pPr>
            <w:r w:rsidRPr="00C53668">
              <w:rPr>
                <w:rFonts w:eastAsia="Times New Roman" w:cs="Times New Roman"/>
                <w:color w:val="000000"/>
                <w:sz w:val="18"/>
                <w:szCs w:val="18"/>
                <w:lang w:eastAsia="sk-SK"/>
              </w:rPr>
              <w:t>1 085 979</w:t>
            </w:r>
          </w:p>
        </w:tc>
        <w:tc>
          <w:tcPr>
            <w:tcW w:w="1050" w:type="dxa"/>
            <w:tcBorders>
              <w:top w:val="nil"/>
              <w:left w:val="nil"/>
              <w:bottom w:val="nil"/>
              <w:right w:val="nil"/>
            </w:tcBorders>
            <w:shd w:val="clear" w:color="auto" w:fill="auto"/>
            <w:noWrap/>
            <w:vAlign w:val="center"/>
            <w:hideMark/>
          </w:tcPr>
          <w:p w14:paraId="0CB7E588" w14:textId="77777777" w:rsidR="00867564" w:rsidRPr="00C53668" w:rsidRDefault="00867564" w:rsidP="007F0D38">
            <w:pPr>
              <w:spacing w:after="0" w:line="240" w:lineRule="auto"/>
              <w:jc w:val="right"/>
              <w:rPr>
                <w:rFonts w:eastAsia="Times New Roman" w:cs="Times New Roman"/>
                <w:color w:val="000000"/>
                <w:sz w:val="18"/>
                <w:szCs w:val="18"/>
                <w:lang w:eastAsia="sk-SK"/>
              </w:rPr>
            </w:pPr>
            <w:r w:rsidRPr="00C53668">
              <w:rPr>
                <w:rFonts w:eastAsia="Times New Roman" w:cs="Times New Roman"/>
                <w:color w:val="000000"/>
                <w:sz w:val="18"/>
                <w:szCs w:val="18"/>
                <w:lang w:eastAsia="sk-SK"/>
              </w:rPr>
              <w:t>-8 422 049</w:t>
            </w:r>
          </w:p>
        </w:tc>
        <w:tc>
          <w:tcPr>
            <w:tcW w:w="992" w:type="dxa"/>
            <w:tcBorders>
              <w:top w:val="nil"/>
              <w:left w:val="nil"/>
              <w:bottom w:val="nil"/>
              <w:right w:val="nil"/>
            </w:tcBorders>
            <w:shd w:val="clear" w:color="auto" w:fill="auto"/>
            <w:noWrap/>
            <w:vAlign w:val="center"/>
            <w:hideMark/>
          </w:tcPr>
          <w:p w14:paraId="05ED41FD" w14:textId="77777777" w:rsidR="00867564" w:rsidRPr="00C53668" w:rsidRDefault="00867564" w:rsidP="007F0D38">
            <w:pPr>
              <w:spacing w:after="0" w:line="240" w:lineRule="auto"/>
              <w:jc w:val="right"/>
              <w:rPr>
                <w:rFonts w:eastAsia="Times New Roman" w:cs="Times New Roman"/>
                <w:color w:val="000000"/>
                <w:sz w:val="18"/>
                <w:szCs w:val="18"/>
                <w:lang w:eastAsia="sk-SK"/>
              </w:rPr>
            </w:pPr>
            <w:r w:rsidRPr="00C53668">
              <w:rPr>
                <w:rFonts w:eastAsia="Times New Roman" w:cs="Times New Roman"/>
                <w:color w:val="000000"/>
                <w:sz w:val="18"/>
                <w:szCs w:val="18"/>
                <w:lang w:eastAsia="sk-SK"/>
              </w:rPr>
              <w:t>-88,6</w:t>
            </w:r>
          </w:p>
        </w:tc>
      </w:tr>
      <w:tr w:rsidR="00867564" w:rsidRPr="00C53668" w14:paraId="666EEB7A" w14:textId="77777777" w:rsidTr="00C53668">
        <w:trPr>
          <w:trHeight w:val="300"/>
        </w:trPr>
        <w:tc>
          <w:tcPr>
            <w:tcW w:w="2942" w:type="dxa"/>
            <w:tcBorders>
              <w:top w:val="nil"/>
              <w:left w:val="nil"/>
              <w:bottom w:val="nil"/>
              <w:right w:val="nil"/>
            </w:tcBorders>
            <w:shd w:val="clear" w:color="auto" w:fill="auto"/>
            <w:vAlign w:val="center"/>
            <w:hideMark/>
          </w:tcPr>
          <w:p w14:paraId="5108C301" w14:textId="77777777" w:rsidR="00867564" w:rsidRPr="00C53668" w:rsidRDefault="00867564" w:rsidP="007F0D38">
            <w:pPr>
              <w:spacing w:after="0" w:line="240" w:lineRule="auto"/>
              <w:rPr>
                <w:rFonts w:eastAsia="Times New Roman" w:cs="Times New Roman"/>
                <w:color w:val="000000"/>
                <w:sz w:val="18"/>
                <w:szCs w:val="18"/>
                <w:lang w:eastAsia="sk-SK"/>
              </w:rPr>
            </w:pPr>
            <w:r w:rsidRPr="00C53668">
              <w:rPr>
                <w:rFonts w:eastAsia="Times New Roman" w:cs="Times New Roman"/>
                <w:color w:val="000000"/>
                <w:sz w:val="18"/>
                <w:szCs w:val="18"/>
                <w:lang w:eastAsia="sk-SK"/>
              </w:rPr>
              <w:t>Materiál</w:t>
            </w:r>
          </w:p>
        </w:tc>
        <w:tc>
          <w:tcPr>
            <w:tcW w:w="883" w:type="dxa"/>
            <w:tcBorders>
              <w:top w:val="nil"/>
              <w:left w:val="nil"/>
              <w:bottom w:val="nil"/>
              <w:right w:val="nil"/>
            </w:tcBorders>
            <w:shd w:val="clear" w:color="auto" w:fill="auto"/>
            <w:noWrap/>
            <w:vAlign w:val="center"/>
            <w:hideMark/>
          </w:tcPr>
          <w:p w14:paraId="582DDE8B" w14:textId="77777777" w:rsidR="00867564" w:rsidRPr="00C53668" w:rsidRDefault="00867564" w:rsidP="007F0D38">
            <w:pPr>
              <w:spacing w:after="0" w:line="240" w:lineRule="auto"/>
              <w:jc w:val="right"/>
              <w:rPr>
                <w:rFonts w:eastAsia="Times New Roman" w:cs="Times New Roman"/>
                <w:color w:val="000000"/>
                <w:sz w:val="18"/>
                <w:szCs w:val="18"/>
                <w:lang w:eastAsia="sk-SK"/>
              </w:rPr>
            </w:pPr>
            <w:r w:rsidRPr="00C53668">
              <w:rPr>
                <w:rFonts w:eastAsia="Times New Roman" w:cs="Times New Roman"/>
                <w:color w:val="000000"/>
                <w:sz w:val="18"/>
                <w:szCs w:val="18"/>
                <w:lang w:eastAsia="sk-SK"/>
              </w:rPr>
              <w:t>189 815</w:t>
            </w:r>
          </w:p>
        </w:tc>
        <w:tc>
          <w:tcPr>
            <w:tcW w:w="1082" w:type="dxa"/>
            <w:tcBorders>
              <w:top w:val="nil"/>
              <w:left w:val="nil"/>
              <w:bottom w:val="nil"/>
              <w:right w:val="nil"/>
            </w:tcBorders>
            <w:shd w:val="clear" w:color="auto" w:fill="auto"/>
            <w:noWrap/>
            <w:vAlign w:val="center"/>
            <w:hideMark/>
          </w:tcPr>
          <w:p w14:paraId="72BF6AE3" w14:textId="77777777" w:rsidR="00867564" w:rsidRPr="00C53668" w:rsidRDefault="00867564" w:rsidP="007F0D38">
            <w:pPr>
              <w:spacing w:after="0" w:line="240" w:lineRule="auto"/>
              <w:jc w:val="right"/>
              <w:rPr>
                <w:rFonts w:eastAsia="Times New Roman" w:cs="Times New Roman"/>
                <w:color w:val="000000"/>
                <w:sz w:val="18"/>
                <w:szCs w:val="18"/>
                <w:lang w:eastAsia="sk-SK"/>
              </w:rPr>
            </w:pPr>
            <w:r w:rsidRPr="00C53668">
              <w:rPr>
                <w:rFonts w:eastAsia="Times New Roman" w:cs="Times New Roman"/>
                <w:color w:val="000000"/>
                <w:sz w:val="18"/>
                <w:szCs w:val="18"/>
                <w:lang w:eastAsia="sk-SK"/>
              </w:rPr>
              <w:t>209 816</w:t>
            </w:r>
          </w:p>
        </w:tc>
        <w:tc>
          <w:tcPr>
            <w:tcW w:w="1134" w:type="dxa"/>
            <w:tcBorders>
              <w:top w:val="nil"/>
              <w:left w:val="nil"/>
              <w:bottom w:val="nil"/>
              <w:right w:val="nil"/>
            </w:tcBorders>
            <w:shd w:val="clear" w:color="auto" w:fill="auto"/>
            <w:noWrap/>
            <w:vAlign w:val="center"/>
            <w:hideMark/>
          </w:tcPr>
          <w:p w14:paraId="347471FD" w14:textId="77777777" w:rsidR="00867564" w:rsidRPr="00C53668" w:rsidRDefault="00867564" w:rsidP="007F0D38">
            <w:pPr>
              <w:spacing w:after="0" w:line="240" w:lineRule="auto"/>
              <w:jc w:val="right"/>
              <w:rPr>
                <w:rFonts w:eastAsia="Times New Roman" w:cs="Times New Roman"/>
                <w:color w:val="000000"/>
                <w:sz w:val="18"/>
                <w:szCs w:val="18"/>
                <w:lang w:eastAsia="sk-SK"/>
              </w:rPr>
            </w:pPr>
            <w:r w:rsidRPr="00C53668">
              <w:rPr>
                <w:rFonts w:eastAsia="Times New Roman" w:cs="Times New Roman"/>
                <w:color w:val="000000"/>
                <w:sz w:val="18"/>
                <w:szCs w:val="18"/>
                <w:lang w:eastAsia="sk-SK"/>
              </w:rPr>
              <w:t>198 477</w:t>
            </w:r>
          </w:p>
        </w:tc>
        <w:tc>
          <w:tcPr>
            <w:tcW w:w="1076" w:type="dxa"/>
            <w:tcBorders>
              <w:top w:val="nil"/>
              <w:left w:val="nil"/>
              <w:bottom w:val="nil"/>
              <w:right w:val="nil"/>
            </w:tcBorders>
            <w:shd w:val="clear" w:color="000000" w:fill="BFBFBF"/>
            <w:noWrap/>
            <w:vAlign w:val="center"/>
            <w:hideMark/>
          </w:tcPr>
          <w:p w14:paraId="7245C38F" w14:textId="77777777" w:rsidR="00867564" w:rsidRPr="00C53668" w:rsidRDefault="00867564" w:rsidP="007F0D38">
            <w:pPr>
              <w:spacing w:after="0" w:line="240" w:lineRule="auto"/>
              <w:jc w:val="right"/>
              <w:rPr>
                <w:rFonts w:eastAsia="Times New Roman" w:cs="Times New Roman"/>
                <w:color w:val="000000"/>
                <w:sz w:val="18"/>
                <w:szCs w:val="18"/>
                <w:lang w:eastAsia="sk-SK"/>
              </w:rPr>
            </w:pPr>
            <w:r w:rsidRPr="00C53668">
              <w:rPr>
                <w:rFonts w:eastAsia="Times New Roman" w:cs="Times New Roman"/>
                <w:color w:val="000000"/>
                <w:sz w:val="18"/>
                <w:szCs w:val="18"/>
                <w:lang w:eastAsia="sk-SK"/>
              </w:rPr>
              <w:t>366 310</w:t>
            </w:r>
          </w:p>
        </w:tc>
        <w:tc>
          <w:tcPr>
            <w:tcW w:w="1050" w:type="dxa"/>
            <w:tcBorders>
              <w:top w:val="nil"/>
              <w:left w:val="nil"/>
              <w:bottom w:val="nil"/>
              <w:right w:val="nil"/>
            </w:tcBorders>
            <w:shd w:val="clear" w:color="auto" w:fill="auto"/>
            <w:noWrap/>
            <w:vAlign w:val="center"/>
            <w:hideMark/>
          </w:tcPr>
          <w:p w14:paraId="796C3E2E" w14:textId="77777777" w:rsidR="00867564" w:rsidRPr="00C53668" w:rsidRDefault="00867564" w:rsidP="007F0D38">
            <w:pPr>
              <w:spacing w:after="0" w:line="240" w:lineRule="auto"/>
              <w:jc w:val="right"/>
              <w:rPr>
                <w:rFonts w:eastAsia="Times New Roman" w:cs="Times New Roman"/>
                <w:color w:val="000000"/>
                <w:sz w:val="18"/>
                <w:szCs w:val="18"/>
                <w:lang w:eastAsia="sk-SK"/>
              </w:rPr>
            </w:pPr>
            <w:r w:rsidRPr="00C53668">
              <w:rPr>
                <w:rFonts w:eastAsia="Times New Roman" w:cs="Times New Roman"/>
                <w:color w:val="000000"/>
                <w:sz w:val="18"/>
                <w:szCs w:val="18"/>
                <w:lang w:eastAsia="sk-SK"/>
              </w:rPr>
              <w:t>167 833</w:t>
            </w:r>
          </w:p>
        </w:tc>
        <w:tc>
          <w:tcPr>
            <w:tcW w:w="992" w:type="dxa"/>
            <w:tcBorders>
              <w:top w:val="nil"/>
              <w:left w:val="nil"/>
              <w:bottom w:val="nil"/>
              <w:right w:val="nil"/>
            </w:tcBorders>
            <w:shd w:val="clear" w:color="auto" w:fill="auto"/>
            <w:noWrap/>
            <w:vAlign w:val="center"/>
            <w:hideMark/>
          </w:tcPr>
          <w:p w14:paraId="489A6704" w14:textId="77777777" w:rsidR="00867564" w:rsidRPr="00C53668" w:rsidRDefault="00867564" w:rsidP="007F0D38">
            <w:pPr>
              <w:spacing w:after="0" w:line="240" w:lineRule="auto"/>
              <w:jc w:val="right"/>
              <w:rPr>
                <w:rFonts w:eastAsia="Times New Roman" w:cs="Times New Roman"/>
                <w:color w:val="000000"/>
                <w:sz w:val="18"/>
                <w:szCs w:val="18"/>
                <w:lang w:eastAsia="sk-SK"/>
              </w:rPr>
            </w:pPr>
            <w:r w:rsidRPr="00C53668">
              <w:rPr>
                <w:rFonts w:eastAsia="Times New Roman" w:cs="Times New Roman"/>
                <w:color w:val="000000"/>
                <w:sz w:val="18"/>
                <w:szCs w:val="18"/>
                <w:lang w:eastAsia="sk-SK"/>
              </w:rPr>
              <w:t>84,6</w:t>
            </w:r>
          </w:p>
        </w:tc>
      </w:tr>
      <w:tr w:rsidR="00867564" w:rsidRPr="00C53668" w14:paraId="05912637" w14:textId="77777777" w:rsidTr="00C53668">
        <w:trPr>
          <w:trHeight w:val="300"/>
        </w:trPr>
        <w:tc>
          <w:tcPr>
            <w:tcW w:w="2942" w:type="dxa"/>
            <w:tcBorders>
              <w:top w:val="nil"/>
              <w:left w:val="nil"/>
              <w:bottom w:val="nil"/>
              <w:right w:val="nil"/>
            </w:tcBorders>
            <w:shd w:val="clear" w:color="auto" w:fill="auto"/>
            <w:vAlign w:val="center"/>
            <w:hideMark/>
          </w:tcPr>
          <w:p w14:paraId="484C9E28" w14:textId="77777777" w:rsidR="00867564" w:rsidRPr="00C53668" w:rsidRDefault="00867564" w:rsidP="007F0D38">
            <w:pPr>
              <w:spacing w:after="0" w:line="240" w:lineRule="auto"/>
              <w:rPr>
                <w:rFonts w:eastAsia="Times New Roman" w:cs="Times New Roman"/>
                <w:color w:val="000000"/>
                <w:sz w:val="18"/>
                <w:szCs w:val="18"/>
                <w:lang w:eastAsia="sk-SK"/>
              </w:rPr>
            </w:pPr>
            <w:r w:rsidRPr="00C53668">
              <w:rPr>
                <w:rFonts w:eastAsia="Times New Roman" w:cs="Times New Roman"/>
                <w:color w:val="000000"/>
                <w:sz w:val="18"/>
                <w:szCs w:val="18"/>
                <w:lang w:eastAsia="sk-SK"/>
              </w:rPr>
              <w:t>Rutinná a štandardná údržba</w:t>
            </w:r>
          </w:p>
        </w:tc>
        <w:tc>
          <w:tcPr>
            <w:tcW w:w="883" w:type="dxa"/>
            <w:tcBorders>
              <w:top w:val="nil"/>
              <w:left w:val="nil"/>
              <w:bottom w:val="nil"/>
              <w:right w:val="nil"/>
            </w:tcBorders>
            <w:shd w:val="clear" w:color="auto" w:fill="auto"/>
            <w:noWrap/>
            <w:vAlign w:val="center"/>
            <w:hideMark/>
          </w:tcPr>
          <w:p w14:paraId="3E5C4185" w14:textId="77777777" w:rsidR="00867564" w:rsidRPr="00C53668" w:rsidRDefault="00867564" w:rsidP="007F0D38">
            <w:pPr>
              <w:spacing w:after="0" w:line="240" w:lineRule="auto"/>
              <w:jc w:val="right"/>
              <w:rPr>
                <w:rFonts w:eastAsia="Times New Roman" w:cs="Times New Roman"/>
                <w:color w:val="000000"/>
                <w:sz w:val="18"/>
                <w:szCs w:val="18"/>
                <w:lang w:eastAsia="sk-SK"/>
              </w:rPr>
            </w:pPr>
            <w:r w:rsidRPr="00C53668">
              <w:rPr>
                <w:rFonts w:eastAsia="Times New Roman" w:cs="Times New Roman"/>
                <w:color w:val="000000"/>
                <w:sz w:val="18"/>
                <w:szCs w:val="18"/>
                <w:lang w:eastAsia="sk-SK"/>
              </w:rPr>
              <w:t>288 069</w:t>
            </w:r>
          </w:p>
        </w:tc>
        <w:tc>
          <w:tcPr>
            <w:tcW w:w="1082" w:type="dxa"/>
            <w:tcBorders>
              <w:top w:val="nil"/>
              <w:left w:val="nil"/>
              <w:bottom w:val="nil"/>
              <w:right w:val="nil"/>
            </w:tcBorders>
            <w:shd w:val="clear" w:color="auto" w:fill="auto"/>
            <w:noWrap/>
            <w:vAlign w:val="center"/>
            <w:hideMark/>
          </w:tcPr>
          <w:p w14:paraId="744A4EC0" w14:textId="77777777" w:rsidR="00867564" w:rsidRPr="00C53668" w:rsidRDefault="00867564" w:rsidP="007F0D38">
            <w:pPr>
              <w:spacing w:after="0" w:line="240" w:lineRule="auto"/>
              <w:jc w:val="right"/>
              <w:rPr>
                <w:rFonts w:eastAsia="Times New Roman" w:cs="Times New Roman"/>
                <w:color w:val="000000"/>
                <w:sz w:val="18"/>
                <w:szCs w:val="18"/>
                <w:lang w:eastAsia="sk-SK"/>
              </w:rPr>
            </w:pPr>
            <w:r w:rsidRPr="00C53668">
              <w:rPr>
                <w:rFonts w:eastAsia="Times New Roman" w:cs="Times New Roman"/>
                <w:color w:val="000000"/>
                <w:sz w:val="18"/>
                <w:szCs w:val="18"/>
                <w:lang w:eastAsia="sk-SK"/>
              </w:rPr>
              <w:t>329 707</w:t>
            </w:r>
          </w:p>
        </w:tc>
        <w:tc>
          <w:tcPr>
            <w:tcW w:w="1134" w:type="dxa"/>
            <w:tcBorders>
              <w:top w:val="nil"/>
              <w:left w:val="nil"/>
              <w:bottom w:val="nil"/>
              <w:right w:val="nil"/>
            </w:tcBorders>
            <w:shd w:val="clear" w:color="auto" w:fill="auto"/>
            <w:noWrap/>
            <w:vAlign w:val="center"/>
            <w:hideMark/>
          </w:tcPr>
          <w:p w14:paraId="61BC07DF" w14:textId="77777777" w:rsidR="00867564" w:rsidRPr="00C53668" w:rsidRDefault="00867564" w:rsidP="007F0D38">
            <w:pPr>
              <w:spacing w:after="0" w:line="240" w:lineRule="auto"/>
              <w:jc w:val="right"/>
              <w:rPr>
                <w:rFonts w:eastAsia="Times New Roman" w:cs="Times New Roman"/>
                <w:color w:val="000000"/>
                <w:sz w:val="18"/>
                <w:szCs w:val="18"/>
                <w:lang w:eastAsia="sk-SK"/>
              </w:rPr>
            </w:pPr>
            <w:r w:rsidRPr="00C53668">
              <w:rPr>
                <w:rFonts w:eastAsia="Times New Roman" w:cs="Times New Roman"/>
                <w:color w:val="000000"/>
                <w:sz w:val="18"/>
                <w:szCs w:val="18"/>
                <w:lang w:eastAsia="sk-SK"/>
              </w:rPr>
              <w:t>259 868</w:t>
            </w:r>
          </w:p>
        </w:tc>
        <w:tc>
          <w:tcPr>
            <w:tcW w:w="1076" w:type="dxa"/>
            <w:tcBorders>
              <w:top w:val="nil"/>
              <w:left w:val="nil"/>
              <w:bottom w:val="nil"/>
              <w:right w:val="nil"/>
            </w:tcBorders>
            <w:shd w:val="clear" w:color="000000" w:fill="BFBFBF"/>
            <w:noWrap/>
            <w:vAlign w:val="center"/>
            <w:hideMark/>
          </w:tcPr>
          <w:p w14:paraId="0586D40D" w14:textId="77777777" w:rsidR="00867564" w:rsidRPr="00C53668" w:rsidRDefault="00867564" w:rsidP="007F0D38">
            <w:pPr>
              <w:spacing w:after="0" w:line="240" w:lineRule="auto"/>
              <w:jc w:val="right"/>
              <w:rPr>
                <w:rFonts w:eastAsia="Times New Roman" w:cs="Times New Roman"/>
                <w:color w:val="000000"/>
                <w:sz w:val="18"/>
                <w:szCs w:val="18"/>
                <w:lang w:eastAsia="sk-SK"/>
              </w:rPr>
            </w:pPr>
            <w:r w:rsidRPr="00C53668">
              <w:rPr>
                <w:rFonts w:eastAsia="Times New Roman" w:cs="Times New Roman"/>
                <w:color w:val="000000"/>
                <w:sz w:val="18"/>
                <w:szCs w:val="18"/>
                <w:lang w:eastAsia="sk-SK"/>
              </w:rPr>
              <w:t>343 076</w:t>
            </w:r>
          </w:p>
        </w:tc>
        <w:tc>
          <w:tcPr>
            <w:tcW w:w="1050" w:type="dxa"/>
            <w:tcBorders>
              <w:top w:val="nil"/>
              <w:left w:val="nil"/>
              <w:bottom w:val="nil"/>
              <w:right w:val="nil"/>
            </w:tcBorders>
            <w:shd w:val="clear" w:color="auto" w:fill="auto"/>
            <w:noWrap/>
            <w:vAlign w:val="center"/>
            <w:hideMark/>
          </w:tcPr>
          <w:p w14:paraId="2081A8A1" w14:textId="77777777" w:rsidR="00867564" w:rsidRPr="00C53668" w:rsidRDefault="00867564" w:rsidP="007F0D38">
            <w:pPr>
              <w:spacing w:after="0" w:line="240" w:lineRule="auto"/>
              <w:jc w:val="right"/>
              <w:rPr>
                <w:rFonts w:eastAsia="Times New Roman" w:cs="Times New Roman"/>
                <w:color w:val="000000"/>
                <w:sz w:val="18"/>
                <w:szCs w:val="18"/>
                <w:lang w:eastAsia="sk-SK"/>
              </w:rPr>
            </w:pPr>
            <w:r w:rsidRPr="00C53668">
              <w:rPr>
                <w:rFonts w:eastAsia="Times New Roman" w:cs="Times New Roman"/>
                <w:color w:val="000000"/>
                <w:sz w:val="18"/>
                <w:szCs w:val="18"/>
                <w:lang w:eastAsia="sk-SK"/>
              </w:rPr>
              <w:t>83 208</w:t>
            </w:r>
          </w:p>
        </w:tc>
        <w:tc>
          <w:tcPr>
            <w:tcW w:w="992" w:type="dxa"/>
            <w:tcBorders>
              <w:top w:val="nil"/>
              <w:left w:val="nil"/>
              <w:bottom w:val="nil"/>
              <w:right w:val="nil"/>
            </w:tcBorders>
            <w:shd w:val="clear" w:color="auto" w:fill="auto"/>
            <w:noWrap/>
            <w:vAlign w:val="center"/>
            <w:hideMark/>
          </w:tcPr>
          <w:p w14:paraId="292EDAEB" w14:textId="77777777" w:rsidR="00867564" w:rsidRPr="00C53668" w:rsidRDefault="00867564" w:rsidP="007F0D38">
            <w:pPr>
              <w:spacing w:after="0" w:line="240" w:lineRule="auto"/>
              <w:jc w:val="right"/>
              <w:rPr>
                <w:rFonts w:eastAsia="Times New Roman" w:cs="Times New Roman"/>
                <w:color w:val="000000"/>
                <w:sz w:val="18"/>
                <w:szCs w:val="18"/>
                <w:lang w:eastAsia="sk-SK"/>
              </w:rPr>
            </w:pPr>
            <w:r w:rsidRPr="00C53668">
              <w:rPr>
                <w:rFonts w:eastAsia="Times New Roman" w:cs="Times New Roman"/>
                <w:color w:val="000000"/>
                <w:sz w:val="18"/>
                <w:szCs w:val="18"/>
                <w:lang w:eastAsia="sk-SK"/>
              </w:rPr>
              <w:t>32,0</w:t>
            </w:r>
          </w:p>
        </w:tc>
      </w:tr>
      <w:tr w:rsidR="00867564" w:rsidRPr="00C53668" w14:paraId="19130CFF" w14:textId="77777777" w:rsidTr="00C53668">
        <w:trPr>
          <w:trHeight w:val="300"/>
        </w:trPr>
        <w:tc>
          <w:tcPr>
            <w:tcW w:w="2942" w:type="dxa"/>
            <w:tcBorders>
              <w:top w:val="nil"/>
              <w:left w:val="nil"/>
              <w:bottom w:val="nil"/>
              <w:right w:val="nil"/>
            </w:tcBorders>
            <w:shd w:val="clear" w:color="auto" w:fill="auto"/>
            <w:vAlign w:val="center"/>
            <w:hideMark/>
          </w:tcPr>
          <w:p w14:paraId="2C73D257" w14:textId="77777777" w:rsidR="00867564" w:rsidRPr="00C53668" w:rsidRDefault="00867564" w:rsidP="007F0D38">
            <w:pPr>
              <w:spacing w:after="0" w:line="240" w:lineRule="auto"/>
              <w:rPr>
                <w:rFonts w:eastAsia="Times New Roman" w:cs="Times New Roman"/>
                <w:color w:val="000000"/>
                <w:sz w:val="18"/>
                <w:szCs w:val="18"/>
                <w:lang w:eastAsia="sk-SK"/>
              </w:rPr>
            </w:pPr>
            <w:r w:rsidRPr="00C53668">
              <w:rPr>
                <w:rFonts w:eastAsia="Times New Roman" w:cs="Times New Roman"/>
                <w:color w:val="000000"/>
                <w:sz w:val="18"/>
                <w:szCs w:val="18"/>
                <w:lang w:eastAsia="sk-SK"/>
              </w:rPr>
              <w:t>Energie, voda a komunikácie</w:t>
            </w:r>
          </w:p>
        </w:tc>
        <w:tc>
          <w:tcPr>
            <w:tcW w:w="883" w:type="dxa"/>
            <w:tcBorders>
              <w:top w:val="nil"/>
              <w:left w:val="nil"/>
              <w:bottom w:val="nil"/>
              <w:right w:val="nil"/>
            </w:tcBorders>
            <w:shd w:val="clear" w:color="auto" w:fill="auto"/>
            <w:noWrap/>
            <w:vAlign w:val="center"/>
            <w:hideMark/>
          </w:tcPr>
          <w:p w14:paraId="72591C95" w14:textId="77777777" w:rsidR="00867564" w:rsidRPr="00C53668" w:rsidRDefault="00867564" w:rsidP="007F0D38">
            <w:pPr>
              <w:spacing w:after="0" w:line="240" w:lineRule="auto"/>
              <w:jc w:val="right"/>
              <w:rPr>
                <w:rFonts w:eastAsia="Times New Roman" w:cs="Times New Roman"/>
                <w:color w:val="000000"/>
                <w:sz w:val="18"/>
                <w:szCs w:val="18"/>
                <w:lang w:eastAsia="sk-SK"/>
              </w:rPr>
            </w:pPr>
            <w:r w:rsidRPr="00C53668">
              <w:rPr>
                <w:rFonts w:eastAsia="Times New Roman" w:cs="Times New Roman"/>
                <w:color w:val="000000"/>
                <w:sz w:val="18"/>
                <w:szCs w:val="18"/>
                <w:lang w:eastAsia="sk-SK"/>
              </w:rPr>
              <w:t>178 373</w:t>
            </w:r>
          </w:p>
        </w:tc>
        <w:tc>
          <w:tcPr>
            <w:tcW w:w="1082" w:type="dxa"/>
            <w:tcBorders>
              <w:top w:val="nil"/>
              <w:left w:val="nil"/>
              <w:bottom w:val="nil"/>
              <w:right w:val="nil"/>
            </w:tcBorders>
            <w:shd w:val="clear" w:color="auto" w:fill="auto"/>
            <w:noWrap/>
            <w:vAlign w:val="center"/>
            <w:hideMark/>
          </w:tcPr>
          <w:p w14:paraId="5FAA7D2F" w14:textId="77777777" w:rsidR="00867564" w:rsidRPr="00C53668" w:rsidRDefault="00867564" w:rsidP="007F0D38">
            <w:pPr>
              <w:spacing w:after="0" w:line="240" w:lineRule="auto"/>
              <w:jc w:val="right"/>
              <w:rPr>
                <w:rFonts w:eastAsia="Times New Roman" w:cs="Times New Roman"/>
                <w:color w:val="000000"/>
                <w:sz w:val="18"/>
                <w:szCs w:val="18"/>
                <w:lang w:eastAsia="sk-SK"/>
              </w:rPr>
            </w:pPr>
            <w:r w:rsidRPr="00C53668">
              <w:rPr>
                <w:rFonts w:eastAsia="Times New Roman" w:cs="Times New Roman"/>
                <w:color w:val="000000"/>
                <w:sz w:val="18"/>
                <w:szCs w:val="18"/>
                <w:lang w:eastAsia="sk-SK"/>
              </w:rPr>
              <w:t>174 697</w:t>
            </w:r>
          </w:p>
        </w:tc>
        <w:tc>
          <w:tcPr>
            <w:tcW w:w="1134" w:type="dxa"/>
            <w:tcBorders>
              <w:top w:val="nil"/>
              <w:left w:val="nil"/>
              <w:bottom w:val="nil"/>
              <w:right w:val="nil"/>
            </w:tcBorders>
            <w:shd w:val="clear" w:color="auto" w:fill="auto"/>
            <w:noWrap/>
            <w:vAlign w:val="center"/>
            <w:hideMark/>
          </w:tcPr>
          <w:p w14:paraId="2A91540F" w14:textId="77777777" w:rsidR="00867564" w:rsidRPr="00C53668" w:rsidRDefault="00867564" w:rsidP="007F0D38">
            <w:pPr>
              <w:spacing w:after="0" w:line="240" w:lineRule="auto"/>
              <w:jc w:val="right"/>
              <w:rPr>
                <w:rFonts w:eastAsia="Times New Roman" w:cs="Times New Roman"/>
                <w:color w:val="000000"/>
                <w:sz w:val="18"/>
                <w:szCs w:val="18"/>
                <w:lang w:eastAsia="sk-SK"/>
              </w:rPr>
            </w:pPr>
            <w:r w:rsidRPr="00C53668">
              <w:rPr>
                <w:rFonts w:eastAsia="Times New Roman" w:cs="Times New Roman"/>
                <w:color w:val="000000"/>
                <w:sz w:val="18"/>
                <w:szCs w:val="18"/>
                <w:lang w:eastAsia="sk-SK"/>
              </w:rPr>
              <w:t>170 065</w:t>
            </w:r>
          </w:p>
        </w:tc>
        <w:tc>
          <w:tcPr>
            <w:tcW w:w="1076" w:type="dxa"/>
            <w:tcBorders>
              <w:top w:val="nil"/>
              <w:left w:val="nil"/>
              <w:bottom w:val="nil"/>
              <w:right w:val="nil"/>
            </w:tcBorders>
            <w:shd w:val="clear" w:color="000000" w:fill="BFBFBF"/>
            <w:noWrap/>
            <w:vAlign w:val="center"/>
            <w:hideMark/>
          </w:tcPr>
          <w:p w14:paraId="24529114" w14:textId="77777777" w:rsidR="00867564" w:rsidRPr="00C53668" w:rsidRDefault="00867564" w:rsidP="007F0D38">
            <w:pPr>
              <w:spacing w:after="0" w:line="240" w:lineRule="auto"/>
              <w:jc w:val="right"/>
              <w:rPr>
                <w:rFonts w:eastAsia="Times New Roman" w:cs="Times New Roman"/>
                <w:color w:val="000000"/>
                <w:sz w:val="18"/>
                <w:szCs w:val="18"/>
                <w:lang w:eastAsia="sk-SK"/>
              </w:rPr>
            </w:pPr>
            <w:r w:rsidRPr="00C53668">
              <w:rPr>
                <w:rFonts w:eastAsia="Times New Roman" w:cs="Times New Roman"/>
                <w:color w:val="000000"/>
                <w:sz w:val="18"/>
                <w:szCs w:val="18"/>
                <w:lang w:eastAsia="sk-SK"/>
              </w:rPr>
              <w:t>198 151</w:t>
            </w:r>
          </w:p>
        </w:tc>
        <w:tc>
          <w:tcPr>
            <w:tcW w:w="1050" w:type="dxa"/>
            <w:tcBorders>
              <w:top w:val="nil"/>
              <w:left w:val="nil"/>
              <w:bottom w:val="nil"/>
              <w:right w:val="nil"/>
            </w:tcBorders>
            <w:shd w:val="clear" w:color="auto" w:fill="auto"/>
            <w:noWrap/>
            <w:vAlign w:val="center"/>
            <w:hideMark/>
          </w:tcPr>
          <w:p w14:paraId="0E9466A3" w14:textId="77777777" w:rsidR="00867564" w:rsidRPr="00C53668" w:rsidRDefault="00867564" w:rsidP="007F0D38">
            <w:pPr>
              <w:spacing w:after="0" w:line="240" w:lineRule="auto"/>
              <w:jc w:val="right"/>
              <w:rPr>
                <w:rFonts w:eastAsia="Times New Roman" w:cs="Times New Roman"/>
                <w:color w:val="000000"/>
                <w:sz w:val="18"/>
                <w:szCs w:val="18"/>
                <w:lang w:eastAsia="sk-SK"/>
              </w:rPr>
            </w:pPr>
            <w:r w:rsidRPr="00C53668">
              <w:rPr>
                <w:rFonts w:eastAsia="Times New Roman" w:cs="Times New Roman"/>
                <w:color w:val="000000"/>
                <w:sz w:val="18"/>
                <w:szCs w:val="18"/>
                <w:lang w:eastAsia="sk-SK"/>
              </w:rPr>
              <w:t>28 086</w:t>
            </w:r>
          </w:p>
        </w:tc>
        <w:tc>
          <w:tcPr>
            <w:tcW w:w="992" w:type="dxa"/>
            <w:tcBorders>
              <w:top w:val="nil"/>
              <w:left w:val="nil"/>
              <w:bottom w:val="nil"/>
              <w:right w:val="nil"/>
            </w:tcBorders>
            <w:shd w:val="clear" w:color="auto" w:fill="auto"/>
            <w:noWrap/>
            <w:vAlign w:val="center"/>
            <w:hideMark/>
          </w:tcPr>
          <w:p w14:paraId="6E3241CB" w14:textId="77777777" w:rsidR="00867564" w:rsidRPr="00C53668" w:rsidRDefault="00867564" w:rsidP="007F0D38">
            <w:pPr>
              <w:spacing w:after="0" w:line="240" w:lineRule="auto"/>
              <w:jc w:val="right"/>
              <w:rPr>
                <w:rFonts w:eastAsia="Times New Roman" w:cs="Times New Roman"/>
                <w:color w:val="000000"/>
                <w:sz w:val="18"/>
                <w:szCs w:val="18"/>
                <w:lang w:eastAsia="sk-SK"/>
              </w:rPr>
            </w:pPr>
            <w:r w:rsidRPr="00C53668">
              <w:rPr>
                <w:rFonts w:eastAsia="Times New Roman" w:cs="Times New Roman"/>
                <w:color w:val="000000"/>
                <w:sz w:val="18"/>
                <w:szCs w:val="18"/>
                <w:lang w:eastAsia="sk-SK"/>
              </w:rPr>
              <w:t>16,5</w:t>
            </w:r>
          </w:p>
        </w:tc>
      </w:tr>
      <w:tr w:rsidR="00867564" w:rsidRPr="00C53668" w14:paraId="3AB39341" w14:textId="77777777" w:rsidTr="00C53668">
        <w:trPr>
          <w:trHeight w:val="555"/>
        </w:trPr>
        <w:tc>
          <w:tcPr>
            <w:tcW w:w="2942" w:type="dxa"/>
            <w:tcBorders>
              <w:top w:val="nil"/>
              <w:left w:val="nil"/>
              <w:bottom w:val="nil"/>
              <w:right w:val="nil"/>
            </w:tcBorders>
            <w:shd w:val="clear" w:color="auto" w:fill="auto"/>
            <w:vAlign w:val="center"/>
            <w:hideMark/>
          </w:tcPr>
          <w:p w14:paraId="0AE65D0B" w14:textId="77777777" w:rsidR="00867564" w:rsidRPr="00C53668" w:rsidRDefault="00867564" w:rsidP="007F0D38">
            <w:pPr>
              <w:spacing w:after="0" w:line="240" w:lineRule="auto"/>
              <w:rPr>
                <w:rFonts w:eastAsia="Times New Roman" w:cs="Times New Roman"/>
                <w:color w:val="000000"/>
                <w:sz w:val="18"/>
                <w:szCs w:val="18"/>
                <w:lang w:eastAsia="sk-SK"/>
              </w:rPr>
            </w:pPr>
            <w:r w:rsidRPr="00C53668">
              <w:rPr>
                <w:rFonts w:eastAsia="Times New Roman" w:cs="Times New Roman"/>
                <w:color w:val="000000"/>
                <w:sz w:val="18"/>
                <w:szCs w:val="18"/>
                <w:lang w:eastAsia="sk-SK"/>
              </w:rPr>
              <w:t>Nájomné za nájom nehnuteľných a hnuteľných vecí</w:t>
            </w:r>
          </w:p>
        </w:tc>
        <w:tc>
          <w:tcPr>
            <w:tcW w:w="883" w:type="dxa"/>
            <w:tcBorders>
              <w:top w:val="nil"/>
              <w:left w:val="nil"/>
              <w:bottom w:val="nil"/>
              <w:right w:val="nil"/>
            </w:tcBorders>
            <w:shd w:val="clear" w:color="auto" w:fill="auto"/>
            <w:noWrap/>
            <w:vAlign w:val="center"/>
            <w:hideMark/>
          </w:tcPr>
          <w:p w14:paraId="428C30A2" w14:textId="77777777" w:rsidR="00867564" w:rsidRPr="00C53668" w:rsidRDefault="00867564" w:rsidP="007F0D38">
            <w:pPr>
              <w:spacing w:after="0" w:line="240" w:lineRule="auto"/>
              <w:jc w:val="right"/>
              <w:rPr>
                <w:rFonts w:eastAsia="Times New Roman" w:cs="Times New Roman"/>
                <w:color w:val="000000"/>
                <w:sz w:val="18"/>
                <w:szCs w:val="18"/>
                <w:lang w:eastAsia="sk-SK"/>
              </w:rPr>
            </w:pPr>
            <w:r w:rsidRPr="00C53668">
              <w:rPr>
                <w:rFonts w:eastAsia="Times New Roman" w:cs="Times New Roman"/>
                <w:color w:val="000000"/>
                <w:sz w:val="18"/>
                <w:szCs w:val="18"/>
                <w:lang w:eastAsia="sk-SK"/>
              </w:rPr>
              <w:t>163 704</w:t>
            </w:r>
          </w:p>
        </w:tc>
        <w:tc>
          <w:tcPr>
            <w:tcW w:w="1082" w:type="dxa"/>
            <w:tcBorders>
              <w:top w:val="nil"/>
              <w:left w:val="nil"/>
              <w:bottom w:val="nil"/>
              <w:right w:val="nil"/>
            </w:tcBorders>
            <w:shd w:val="clear" w:color="auto" w:fill="auto"/>
            <w:noWrap/>
            <w:vAlign w:val="center"/>
            <w:hideMark/>
          </w:tcPr>
          <w:p w14:paraId="17329530" w14:textId="77777777" w:rsidR="00867564" w:rsidRPr="00C53668" w:rsidRDefault="00867564" w:rsidP="007F0D38">
            <w:pPr>
              <w:spacing w:after="0" w:line="240" w:lineRule="auto"/>
              <w:jc w:val="right"/>
              <w:rPr>
                <w:rFonts w:eastAsia="Times New Roman" w:cs="Times New Roman"/>
                <w:color w:val="000000"/>
                <w:sz w:val="18"/>
                <w:szCs w:val="18"/>
                <w:lang w:eastAsia="sk-SK"/>
              </w:rPr>
            </w:pPr>
            <w:r w:rsidRPr="00C53668">
              <w:rPr>
                <w:rFonts w:eastAsia="Times New Roman" w:cs="Times New Roman"/>
                <w:color w:val="000000"/>
                <w:sz w:val="18"/>
                <w:szCs w:val="18"/>
                <w:lang w:eastAsia="sk-SK"/>
              </w:rPr>
              <w:t>168 435</w:t>
            </w:r>
          </w:p>
        </w:tc>
        <w:tc>
          <w:tcPr>
            <w:tcW w:w="1134" w:type="dxa"/>
            <w:tcBorders>
              <w:top w:val="nil"/>
              <w:left w:val="nil"/>
              <w:bottom w:val="nil"/>
              <w:right w:val="nil"/>
            </w:tcBorders>
            <w:shd w:val="clear" w:color="auto" w:fill="auto"/>
            <w:noWrap/>
            <w:vAlign w:val="center"/>
            <w:hideMark/>
          </w:tcPr>
          <w:p w14:paraId="0A922037" w14:textId="77777777" w:rsidR="00867564" w:rsidRPr="00C53668" w:rsidRDefault="00867564" w:rsidP="007F0D38">
            <w:pPr>
              <w:spacing w:after="0" w:line="240" w:lineRule="auto"/>
              <w:jc w:val="right"/>
              <w:rPr>
                <w:rFonts w:eastAsia="Times New Roman" w:cs="Times New Roman"/>
                <w:color w:val="000000"/>
                <w:sz w:val="18"/>
                <w:szCs w:val="18"/>
                <w:lang w:eastAsia="sk-SK"/>
              </w:rPr>
            </w:pPr>
            <w:r w:rsidRPr="00C53668">
              <w:rPr>
                <w:rFonts w:eastAsia="Times New Roman" w:cs="Times New Roman"/>
                <w:color w:val="000000"/>
                <w:sz w:val="18"/>
                <w:szCs w:val="18"/>
                <w:lang w:eastAsia="sk-SK"/>
              </w:rPr>
              <w:t>190 578</w:t>
            </w:r>
          </w:p>
        </w:tc>
        <w:tc>
          <w:tcPr>
            <w:tcW w:w="1076" w:type="dxa"/>
            <w:tcBorders>
              <w:top w:val="nil"/>
              <w:left w:val="nil"/>
              <w:bottom w:val="nil"/>
              <w:right w:val="nil"/>
            </w:tcBorders>
            <w:shd w:val="clear" w:color="000000" w:fill="BFBFBF"/>
            <w:noWrap/>
            <w:vAlign w:val="center"/>
            <w:hideMark/>
          </w:tcPr>
          <w:p w14:paraId="22EAA64A" w14:textId="77777777" w:rsidR="00867564" w:rsidRPr="00C53668" w:rsidRDefault="00867564" w:rsidP="007F0D38">
            <w:pPr>
              <w:spacing w:after="0" w:line="240" w:lineRule="auto"/>
              <w:jc w:val="right"/>
              <w:rPr>
                <w:rFonts w:eastAsia="Times New Roman" w:cs="Times New Roman"/>
                <w:color w:val="000000"/>
                <w:sz w:val="18"/>
                <w:szCs w:val="18"/>
                <w:lang w:eastAsia="sk-SK"/>
              </w:rPr>
            </w:pPr>
            <w:r w:rsidRPr="00C53668">
              <w:rPr>
                <w:rFonts w:eastAsia="Times New Roman" w:cs="Times New Roman"/>
                <w:color w:val="000000"/>
                <w:sz w:val="18"/>
                <w:szCs w:val="18"/>
                <w:lang w:eastAsia="sk-SK"/>
              </w:rPr>
              <w:t>177 259</w:t>
            </w:r>
          </w:p>
        </w:tc>
        <w:tc>
          <w:tcPr>
            <w:tcW w:w="1050" w:type="dxa"/>
            <w:tcBorders>
              <w:top w:val="nil"/>
              <w:left w:val="nil"/>
              <w:bottom w:val="nil"/>
              <w:right w:val="nil"/>
            </w:tcBorders>
            <w:shd w:val="clear" w:color="auto" w:fill="auto"/>
            <w:noWrap/>
            <w:vAlign w:val="center"/>
            <w:hideMark/>
          </w:tcPr>
          <w:p w14:paraId="1EFA233A" w14:textId="77777777" w:rsidR="00867564" w:rsidRPr="00C53668" w:rsidRDefault="00867564" w:rsidP="007F0D38">
            <w:pPr>
              <w:spacing w:after="0" w:line="240" w:lineRule="auto"/>
              <w:jc w:val="right"/>
              <w:rPr>
                <w:rFonts w:eastAsia="Times New Roman" w:cs="Times New Roman"/>
                <w:color w:val="000000"/>
                <w:sz w:val="18"/>
                <w:szCs w:val="18"/>
                <w:lang w:eastAsia="sk-SK"/>
              </w:rPr>
            </w:pPr>
            <w:r w:rsidRPr="00C53668">
              <w:rPr>
                <w:rFonts w:eastAsia="Times New Roman" w:cs="Times New Roman"/>
                <w:color w:val="000000"/>
                <w:sz w:val="18"/>
                <w:szCs w:val="18"/>
                <w:lang w:eastAsia="sk-SK"/>
              </w:rPr>
              <w:t>-13 319</w:t>
            </w:r>
          </w:p>
        </w:tc>
        <w:tc>
          <w:tcPr>
            <w:tcW w:w="992" w:type="dxa"/>
            <w:tcBorders>
              <w:top w:val="nil"/>
              <w:left w:val="nil"/>
              <w:bottom w:val="nil"/>
              <w:right w:val="nil"/>
            </w:tcBorders>
            <w:shd w:val="clear" w:color="auto" w:fill="auto"/>
            <w:noWrap/>
            <w:vAlign w:val="center"/>
            <w:hideMark/>
          </w:tcPr>
          <w:p w14:paraId="7D262057" w14:textId="77777777" w:rsidR="00867564" w:rsidRPr="00C53668" w:rsidRDefault="00867564" w:rsidP="007F0D38">
            <w:pPr>
              <w:spacing w:after="0" w:line="240" w:lineRule="auto"/>
              <w:jc w:val="right"/>
              <w:rPr>
                <w:rFonts w:eastAsia="Times New Roman" w:cs="Times New Roman"/>
                <w:color w:val="000000"/>
                <w:sz w:val="18"/>
                <w:szCs w:val="18"/>
                <w:lang w:eastAsia="sk-SK"/>
              </w:rPr>
            </w:pPr>
            <w:r w:rsidRPr="00C53668">
              <w:rPr>
                <w:rFonts w:eastAsia="Times New Roman" w:cs="Times New Roman"/>
                <w:color w:val="000000"/>
                <w:sz w:val="18"/>
                <w:szCs w:val="18"/>
                <w:lang w:eastAsia="sk-SK"/>
              </w:rPr>
              <w:t>-7,0</w:t>
            </w:r>
          </w:p>
        </w:tc>
      </w:tr>
      <w:tr w:rsidR="00867564" w:rsidRPr="00C53668" w14:paraId="7B2B604E" w14:textId="77777777" w:rsidTr="00C53668">
        <w:trPr>
          <w:trHeight w:val="300"/>
        </w:trPr>
        <w:tc>
          <w:tcPr>
            <w:tcW w:w="2942" w:type="dxa"/>
            <w:tcBorders>
              <w:top w:val="nil"/>
              <w:left w:val="nil"/>
              <w:bottom w:val="nil"/>
              <w:right w:val="nil"/>
            </w:tcBorders>
            <w:shd w:val="clear" w:color="auto" w:fill="auto"/>
            <w:vAlign w:val="center"/>
            <w:hideMark/>
          </w:tcPr>
          <w:p w14:paraId="162502F3" w14:textId="77777777" w:rsidR="00867564" w:rsidRPr="00C53668" w:rsidRDefault="00867564" w:rsidP="007F0D38">
            <w:pPr>
              <w:spacing w:after="0" w:line="240" w:lineRule="auto"/>
              <w:rPr>
                <w:rFonts w:eastAsia="Times New Roman" w:cs="Times New Roman"/>
                <w:color w:val="000000"/>
                <w:sz w:val="18"/>
                <w:szCs w:val="18"/>
                <w:lang w:eastAsia="sk-SK"/>
              </w:rPr>
            </w:pPr>
            <w:r w:rsidRPr="00C53668">
              <w:rPr>
                <w:rFonts w:eastAsia="Times New Roman" w:cs="Times New Roman"/>
                <w:color w:val="000000"/>
                <w:sz w:val="18"/>
                <w:szCs w:val="18"/>
                <w:lang w:eastAsia="sk-SK"/>
              </w:rPr>
              <w:t>Dopravné</w:t>
            </w:r>
          </w:p>
        </w:tc>
        <w:tc>
          <w:tcPr>
            <w:tcW w:w="883" w:type="dxa"/>
            <w:tcBorders>
              <w:top w:val="nil"/>
              <w:left w:val="nil"/>
              <w:bottom w:val="nil"/>
              <w:right w:val="nil"/>
            </w:tcBorders>
            <w:shd w:val="clear" w:color="auto" w:fill="auto"/>
            <w:noWrap/>
            <w:vAlign w:val="center"/>
            <w:hideMark/>
          </w:tcPr>
          <w:p w14:paraId="24EEF20E" w14:textId="77777777" w:rsidR="00867564" w:rsidRPr="00C53668" w:rsidRDefault="00867564" w:rsidP="007F0D38">
            <w:pPr>
              <w:spacing w:after="0" w:line="240" w:lineRule="auto"/>
              <w:jc w:val="right"/>
              <w:rPr>
                <w:rFonts w:eastAsia="Times New Roman" w:cs="Times New Roman"/>
                <w:color w:val="000000"/>
                <w:sz w:val="18"/>
                <w:szCs w:val="18"/>
                <w:lang w:eastAsia="sk-SK"/>
              </w:rPr>
            </w:pPr>
            <w:r w:rsidRPr="00C53668">
              <w:rPr>
                <w:rFonts w:eastAsia="Times New Roman" w:cs="Times New Roman"/>
                <w:color w:val="000000"/>
                <w:sz w:val="18"/>
                <w:szCs w:val="18"/>
                <w:lang w:eastAsia="sk-SK"/>
              </w:rPr>
              <w:t>67 937</w:t>
            </w:r>
          </w:p>
        </w:tc>
        <w:tc>
          <w:tcPr>
            <w:tcW w:w="1082" w:type="dxa"/>
            <w:tcBorders>
              <w:top w:val="nil"/>
              <w:left w:val="nil"/>
              <w:bottom w:val="nil"/>
              <w:right w:val="nil"/>
            </w:tcBorders>
            <w:shd w:val="clear" w:color="auto" w:fill="auto"/>
            <w:noWrap/>
            <w:vAlign w:val="center"/>
            <w:hideMark/>
          </w:tcPr>
          <w:p w14:paraId="7DC8CB63" w14:textId="77777777" w:rsidR="00867564" w:rsidRPr="00C53668" w:rsidRDefault="00867564" w:rsidP="007F0D38">
            <w:pPr>
              <w:spacing w:after="0" w:line="240" w:lineRule="auto"/>
              <w:jc w:val="right"/>
              <w:rPr>
                <w:rFonts w:eastAsia="Times New Roman" w:cs="Times New Roman"/>
                <w:color w:val="000000"/>
                <w:sz w:val="18"/>
                <w:szCs w:val="18"/>
                <w:lang w:eastAsia="sk-SK"/>
              </w:rPr>
            </w:pPr>
            <w:r w:rsidRPr="00C53668">
              <w:rPr>
                <w:rFonts w:eastAsia="Times New Roman" w:cs="Times New Roman"/>
                <w:color w:val="000000"/>
                <w:sz w:val="18"/>
                <w:szCs w:val="18"/>
                <w:lang w:eastAsia="sk-SK"/>
              </w:rPr>
              <w:t>72 742</w:t>
            </w:r>
          </w:p>
        </w:tc>
        <w:tc>
          <w:tcPr>
            <w:tcW w:w="1134" w:type="dxa"/>
            <w:tcBorders>
              <w:top w:val="nil"/>
              <w:left w:val="nil"/>
              <w:bottom w:val="nil"/>
              <w:right w:val="nil"/>
            </w:tcBorders>
            <w:shd w:val="clear" w:color="auto" w:fill="auto"/>
            <w:noWrap/>
            <w:vAlign w:val="center"/>
            <w:hideMark/>
          </w:tcPr>
          <w:p w14:paraId="1B2FA009" w14:textId="77777777" w:rsidR="00867564" w:rsidRPr="00C53668" w:rsidRDefault="00867564" w:rsidP="007F0D38">
            <w:pPr>
              <w:spacing w:after="0" w:line="240" w:lineRule="auto"/>
              <w:jc w:val="right"/>
              <w:rPr>
                <w:rFonts w:eastAsia="Times New Roman" w:cs="Times New Roman"/>
                <w:color w:val="000000"/>
                <w:sz w:val="18"/>
                <w:szCs w:val="18"/>
                <w:lang w:eastAsia="sk-SK"/>
              </w:rPr>
            </w:pPr>
            <w:r w:rsidRPr="00C53668">
              <w:rPr>
                <w:rFonts w:eastAsia="Times New Roman" w:cs="Times New Roman"/>
                <w:color w:val="000000"/>
                <w:sz w:val="18"/>
                <w:szCs w:val="18"/>
                <w:lang w:eastAsia="sk-SK"/>
              </w:rPr>
              <w:t>74 112</w:t>
            </w:r>
          </w:p>
        </w:tc>
        <w:tc>
          <w:tcPr>
            <w:tcW w:w="1076" w:type="dxa"/>
            <w:tcBorders>
              <w:top w:val="nil"/>
              <w:left w:val="nil"/>
              <w:bottom w:val="nil"/>
              <w:right w:val="nil"/>
            </w:tcBorders>
            <w:shd w:val="clear" w:color="000000" w:fill="BFBFBF"/>
            <w:noWrap/>
            <w:vAlign w:val="center"/>
            <w:hideMark/>
          </w:tcPr>
          <w:p w14:paraId="0D1B318B" w14:textId="77777777" w:rsidR="00867564" w:rsidRPr="00C53668" w:rsidRDefault="00867564" w:rsidP="007F0D38">
            <w:pPr>
              <w:spacing w:after="0" w:line="240" w:lineRule="auto"/>
              <w:jc w:val="right"/>
              <w:rPr>
                <w:rFonts w:eastAsia="Times New Roman" w:cs="Times New Roman"/>
                <w:color w:val="000000"/>
                <w:sz w:val="18"/>
                <w:szCs w:val="18"/>
                <w:lang w:eastAsia="sk-SK"/>
              </w:rPr>
            </w:pPr>
            <w:r w:rsidRPr="00C53668">
              <w:rPr>
                <w:rFonts w:eastAsia="Times New Roman" w:cs="Times New Roman"/>
                <w:color w:val="000000"/>
                <w:sz w:val="18"/>
                <w:szCs w:val="18"/>
                <w:lang w:eastAsia="sk-SK"/>
              </w:rPr>
              <w:t>75 780</w:t>
            </w:r>
          </w:p>
        </w:tc>
        <w:tc>
          <w:tcPr>
            <w:tcW w:w="1050" w:type="dxa"/>
            <w:tcBorders>
              <w:top w:val="nil"/>
              <w:left w:val="nil"/>
              <w:bottom w:val="nil"/>
              <w:right w:val="nil"/>
            </w:tcBorders>
            <w:shd w:val="clear" w:color="auto" w:fill="auto"/>
            <w:noWrap/>
            <w:vAlign w:val="center"/>
            <w:hideMark/>
          </w:tcPr>
          <w:p w14:paraId="674864C8" w14:textId="77777777" w:rsidR="00867564" w:rsidRPr="00C53668" w:rsidRDefault="00867564" w:rsidP="007F0D38">
            <w:pPr>
              <w:spacing w:after="0" w:line="240" w:lineRule="auto"/>
              <w:jc w:val="right"/>
              <w:rPr>
                <w:rFonts w:eastAsia="Times New Roman" w:cs="Times New Roman"/>
                <w:color w:val="000000"/>
                <w:sz w:val="18"/>
                <w:szCs w:val="18"/>
                <w:lang w:eastAsia="sk-SK"/>
              </w:rPr>
            </w:pPr>
            <w:r w:rsidRPr="00C53668">
              <w:rPr>
                <w:rFonts w:eastAsia="Times New Roman" w:cs="Times New Roman"/>
                <w:color w:val="000000"/>
                <w:sz w:val="18"/>
                <w:szCs w:val="18"/>
                <w:lang w:eastAsia="sk-SK"/>
              </w:rPr>
              <w:t>1 668</w:t>
            </w:r>
          </w:p>
        </w:tc>
        <w:tc>
          <w:tcPr>
            <w:tcW w:w="992" w:type="dxa"/>
            <w:tcBorders>
              <w:top w:val="nil"/>
              <w:left w:val="nil"/>
              <w:bottom w:val="nil"/>
              <w:right w:val="nil"/>
            </w:tcBorders>
            <w:shd w:val="clear" w:color="auto" w:fill="auto"/>
            <w:noWrap/>
            <w:vAlign w:val="center"/>
            <w:hideMark/>
          </w:tcPr>
          <w:p w14:paraId="5F4F2AD7" w14:textId="77777777" w:rsidR="00867564" w:rsidRPr="00C53668" w:rsidRDefault="00867564" w:rsidP="007F0D38">
            <w:pPr>
              <w:spacing w:after="0" w:line="240" w:lineRule="auto"/>
              <w:jc w:val="right"/>
              <w:rPr>
                <w:rFonts w:eastAsia="Times New Roman" w:cs="Times New Roman"/>
                <w:color w:val="000000"/>
                <w:sz w:val="18"/>
                <w:szCs w:val="18"/>
                <w:lang w:eastAsia="sk-SK"/>
              </w:rPr>
            </w:pPr>
            <w:r w:rsidRPr="00C53668">
              <w:rPr>
                <w:rFonts w:eastAsia="Times New Roman" w:cs="Times New Roman"/>
                <w:color w:val="000000"/>
                <w:sz w:val="18"/>
                <w:szCs w:val="18"/>
                <w:lang w:eastAsia="sk-SK"/>
              </w:rPr>
              <w:t>2,3</w:t>
            </w:r>
          </w:p>
        </w:tc>
      </w:tr>
      <w:tr w:rsidR="00867564" w:rsidRPr="00C53668" w14:paraId="09041EF0" w14:textId="77777777" w:rsidTr="00C53668">
        <w:trPr>
          <w:trHeight w:val="300"/>
        </w:trPr>
        <w:tc>
          <w:tcPr>
            <w:tcW w:w="2942" w:type="dxa"/>
            <w:tcBorders>
              <w:top w:val="nil"/>
              <w:left w:val="nil"/>
              <w:bottom w:val="nil"/>
              <w:right w:val="nil"/>
            </w:tcBorders>
            <w:shd w:val="clear" w:color="auto" w:fill="auto"/>
            <w:vAlign w:val="center"/>
            <w:hideMark/>
          </w:tcPr>
          <w:p w14:paraId="4A1A873F" w14:textId="77777777" w:rsidR="00867564" w:rsidRPr="00C53668" w:rsidRDefault="00867564" w:rsidP="007F0D38">
            <w:pPr>
              <w:spacing w:after="0" w:line="240" w:lineRule="auto"/>
              <w:rPr>
                <w:rFonts w:eastAsia="Times New Roman" w:cs="Times New Roman"/>
                <w:color w:val="000000"/>
                <w:sz w:val="18"/>
                <w:szCs w:val="18"/>
                <w:lang w:eastAsia="sk-SK"/>
              </w:rPr>
            </w:pPr>
            <w:r w:rsidRPr="00C53668">
              <w:rPr>
                <w:rFonts w:eastAsia="Times New Roman" w:cs="Times New Roman"/>
                <w:color w:val="000000"/>
                <w:sz w:val="18"/>
                <w:szCs w:val="18"/>
                <w:lang w:eastAsia="sk-SK"/>
              </w:rPr>
              <w:t>Cestovné náhrady</w:t>
            </w:r>
          </w:p>
        </w:tc>
        <w:tc>
          <w:tcPr>
            <w:tcW w:w="883" w:type="dxa"/>
            <w:tcBorders>
              <w:top w:val="nil"/>
              <w:left w:val="nil"/>
              <w:bottom w:val="nil"/>
              <w:right w:val="nil"/>
            </w:tcBorders>
            <w:shd w:val="clear" w:color="auto" w:fill="auto"/>
            <w:noWrap/>
            <w:vAlign w:val="center"/>
            <w:hideMark/>
          </w:tcPr>
          <w:p w14:paraId="76C35FEA" w14:textId="77777777" w:rsidR="00867564" w:rsidRPr="00C53668" w:rsidRDefault="00867564" w:rsidP="007F0D38">
            <w:pPr>
              <w:spacing w:after="0" w:line="240" w:lineRule="auto"/>
              <w:jc w:val="right"/>
              <w:rPr>
                <w:rFonts w:eastAsia="Times New Roman" w:cs="Times New Roman"/>
                <w:color w:val="000000"/>
                <w:sz w:val="18"/>
                <w:szCs w:val="18"/>
                <w:lang w:eastAsia="sk-SK"/>
              </w:rPr>
            </w:pPr>
            <w:r w:rsidRPr="00C53668">
              <w:rPr>
                <w:rFonts w:eastAsia="Times New Roman" w:cs="Times New Roman"/>
                <w:color w:val="000000"/>
                <w:sz w:val="18"/>
                <w:szCs w:val="18"/>
                <w:lang w:eastAsia="sk-SK"/>
              </w:rPr>
              <w:t>33 032</w:t>
            </w:r>
          </w:p>
        </w:tc>
        <w:tc>
          <w:tcPr>
            <w:tcW w:w="1082" w:type="dxa"/>
            <w:tcBorders>
              <w:top w:val="nil"/>
              <w:left w:val="nil"/>
              <w:bottom w:val="nil"/>
              <w:right w:val="nil"/>
            </w:tcBorders>
            <w:shd w:val="clear" w:color="auto" w:fill="auto"/>
            <w:noWrap/>
            <w:vAlign w:val="center"/>
            <w:hideMark/>
          </w:tcPr>
          <w:p w14:paraId="404380A7" w14:textId="77777777" w:rsidR="00867564" w:rsidRPr="00C53668" w:rsidRDefault="00867564" w:rsidP="007F0D38">
            <w:pPr>
              <w:spacing w:after="0" w:line="240" w:lineRule="auto"/>
              <w:jc w:val="right"/>
              <w:rPr>
                <w:rFonts w:eastAsia="Times New Roman" w:cs="Times New Roman"/>
                <w:color w:val="000000"/>
                <w:sz w:val="18"/>
                <w:szCs w:val="18"/>
                <w:lang w:eastAsia="sk-SK"/>
              </w:rPr>
            </w:pPr>
            <w:r w:rsidRPr="00C53668">
              <w:rPr>
                <w:rFonts w:eastAsia="Times New Roman" w:cs="Times New Roman"/>
                <w:color w:val="000000"/>
                <w:sz w:val="18"/>
                <w:szCs w:val="18"/>
                <w:lang w:eastAsia="sk-SK"/>
              </w:rPr>
              <w:t>36 595</w:t>
            </w:r>
          </w:p>
        </w:tc>
        <w:tc>
          <w:tcPr>
            <w:tcW w:w="1134" w:type="dxa"/>
            <w:tcBorders>
              <w:top w:val="nil"/>
              <w:left w:val="nil"/>
              <w:bottom w:val="nil"/>
              <w:right w:val="nil"/>
            </w:tcBorders>
            <w:shd w:val="clear" w:color="auto" w:fill="auto"/>
            <w:noWrap/>
            <w:vAlign w:val="center"/>
            <w:hideMark/>
          </w:tcPr>
          <w:p w14:paraId="78AB6F31" w14:textId="77777777" w:rsidR="00867564" w:rsidRPr="00C53668" w:rsidRDefault="00867564" w:rsidP="007F0D38">
            <w:pPr>
              <w:spacing w:after="0" w:line="240" w:lineRule="auto"/>
              <w:jc w:val="right"/>
              <w:rPr>
                <w:rFonts w:eastAsia="Times New Roman" w:cs="Times New Roman"/>
                <w:color w:val="000000"/>
                <w:sz w:val="18"/>
                <w:szCs w:val="18"/>
                <w:lang w:eastAsia="sk-SK"/>
              </w:rPr>
            </w:pPr>
            <w:r w:rsidRPr="00C53668">
              <w:rPr>
                <w:rFonts w:eastAsia="Times New Roman" w:cs="Times New Roman"/>
                <w:color w:val="000000"/>
                <w:sz w:val="18"/>
                <w:szCs w:val="18"/>
                <w:lang w:eastAsia="sk-SK"/>
              </w:rPr>
              <w:t>32 963</w:t>
            </w:r>
          </w:p>
        </w:tc>
        <w:tc>
          <w:tcPr>
            <w:tcW w:w="1076" w:type="dxa"/>
            <w:tcBorders>
              <w:top w:val="nil"/>
              <w:left w:val="nil"/>
              <w:bottom w:val="nil"/>
              <w:right w:val="nil"/>
            </w:tcBorders>
            <w:shd w:val="clear" w:color="auto" w:fill="BFBFBF" w:themeFill="background1" w:themeFillShade="BF"/>
            <w:noWrap/>
            <w:vAlign w:val="center"/>
            <w:hideMark/>
          </w:tcPr>
          <w:p w14:paraId="63D5938C" w14:textId="77777777" w:rsidR="00867564" w:rsidRPr="00C53668" w:rsidRDefault="00867564" w:rsidP="007F0D38">
            <w:pPr>
              <w:spacing w:after="0" w:line="240" w:lineRule="auto"/>
              <w:jc w:val="right"/>
              <w:rPr>
                <w:rFonts w:eastAsia="Times New Roman" w:cs="Times New Roman"/>
                <w:color w:val="000000"/>
                <w:sz w:val="18"/>
                <w:szCs w:val="18"/>
                <w:lang w:eastAsia="sk-SK"/>
              </w:rPr>
            </w:pPr>
            <w:r w:rsidRPr="00C53668">
              <w:rPr>
                <w:rFonts w:eastAsia="Times New Roman" w:cs="Times New Roman"/>
                <w:color w:val="000000"/>
                <w:sz w:val="18"/>
                <w:szCs w:val="18"/>
                <w:lang w:eastAsia="sk-SK"/>
              </w:rPr>
              <w:t>20 542</w:t>
            </w:r>
          </w:p>
        </w:tc>
        <w:tc>
          <w:tcPr>
            <w:tcW w:w="1050" w:type="dxa"/>
            <w:tcBorders>
              <w:top w:val="nil"/>
              <w:left w:val="nil"/>
              <w:bottom w:val="single" w:sz="8" w:space="0" w:color="auto"/>
              <w:right w:val="nil"/>
            </w:tcBorders>
            <w:shd w:val="clear" w:color="auto" w:fill="auto"/>
            <w:noWrap/>
            <w:vAlign w:val="center"/>
            <w:hideMark/>
          </w:tcPr>
          <w:p w14:paraId="138A5FAB" w14:textId="77777777" w:rsidR="00867564" w:rsidRPr="00C53668" w:rsidRDefault="00867564" w:rsidP="007F0D38">
            <w:pPr>
              <w:spacing w:after="0" w:line="240" w:lineRule="auto"/>
              <w:jc w:val="right"/>
              <w:rPr>
                <w:rFonts w:eastAsia="Times New Roman" w:cs="Times New Roman"/>
                <w:color w:val="000000"/>
                <w:sz w:val="18"/>
                <w:szCs w:val="18"/>
                <w:lang w:eastAsia="sk-SK"/>
              </w:rPr>
            </w:pPr>
            <w:r w:rsidRPr="00C53668">
              <w:rPr>
                <w:rFonts w:eastAsia="Times New Roman" w:cs="Times New Roman"/>
                <w:color w:val="000000"/>
                <w:sz w:val="18"/>
                <w:szCs w:val="18"/>
                <w:lang w:eastAsia="sk-SK"/>
              </w:rPr>
              <w:t>-12 421</w:t>
            </w:r>
          </w:p>
        </w:tc>
        <w:tc>
          <w:tcPr>
            <w:tcW w:w="992" w:type="dxa"/>
            <w:tcBorders>
              <w:top w:val="nil"/>
              <w:left w:val="nil"/>
              <w:bottom w:val="single" w:sz="8" w:space="0" w:color="auto"/>
              <w:right w:val="nil"/>
            </w:tcBorders>
            <w:shd w:val="clear" w:color="auto" w:fill="auto"/>
            <w:noWrap/>
            <w:vAlign w:val="center"/>
            <w:hideMark/>
          </w:tcPr>
          <w:p w14:paraId="3E84D5A0" w14:textId="77777777" w:rsidR="00867564" w:rsidRPr="00C53668" w:rsidRDefault="00867564" w:rsidP="007F0D38">
            <w:pPr>
              <w:spacing w:after="0" w:line="240" w:lineRule="auto"/>
              <w:jc w:val="right"/>
              <w:rPr>
                <w:rFonts w:eastAsia="Times New Roman" w:cs="Times New Roman"/>
                <w:color w:val="000000"/>
                <w:sz w:val="18"/>
                <w:szCs w:val="18"/>
                <w:lang w:eastAsia="sk-SK"/>
              </w:rPr>
            </w:pPr>
            <w:r w:rsidRPr="00C53668">
              <w:rPr>
                <w:rFonts w:eastAsia="Times New Roman" w:cs="Times New Roman"/>
                <w:color w:val="000000"/>
                <w:sz w:val="18"/>
                <w:szCs w:val="18"/>
                <w:lang w:eastAsia="sk-SK"/>
              </w:rPr>
              <w:t>-37,7</w:t>
            </w:r>
          </w:p>
        </w:tc>
      </w:tr>
      <w:tr w:rsidR="00867564" w:rsidRPr="00C53668" w14:paraId="46F5D62F" w14:textId="77777777" w:rsidTr="00C53668">
        <w:trPr>
          <w:trHeight w:val="300"/>
        </w:trPr>
        <w:tc>
          <w:tcPr>
            <w:tcW w:w="2942" w:type="dxa"/>
            <w:tcBorders>
              <w:top w:val="single" w:sz="8" w:space="0" w:color="auto"/>
              <w:left w:val="nil"/>
              <w:bottom w:val="single" w:sz="8" w:space="0" w:color="auto"/>
              <w:right w:val="nil"/>
            </w:tcBorders>
            <w:shd w:val="clear" w:color="auto" w:fill="auto"/>
            <w:vAlign w:val="center"/>
            <w:hideMark/>
          </w:tcPr>
          <w:p w14:paraId="7E239F6C" w14:textId="77777777" w:rsidR="00867564" w:rsidRPr="00C53668" w:rsidRDefault="00867564" w:rsidP="007F0D38">
            <w:pPr>
              <w:spacing w:after="0" w:line="240" w:lineRule="auto"/>
              <w:rPr>
                <w:rFonts w:eastAsia="Times New Roman" w:cs="Times New Roman"/>
                <w:b/>
                <w:bCs/>
                <w:color w:val="000000"/>
                <w:sz w:val="18"/>
                <w:szCs w:val="18"/>
                <w:lang w:eastAsia="sk-SK"/>
              </w:rPr>
            </w:pPr>
            <w:r w:rsidRPr="00C53668">
              <w:rPr>
                <w:rFonts w:eastAsia="Times New Roman" w:cs="Times New Roman"/>
                <w:b/>
                <w:bCs/>
                <w:color w:val="000000"/>
                <w:sz w:val="18"/>
                <w:szCs w:val="18"/>
                <w:lang w:eastAsia="sk-SK"/>
              </w:rPr>
              <w:t>Tovary a služby spolu</w:t>
            </w:r>
          </w:p>
        </w:tc>
        <w:tc>
          <w:tcPr>
            <w:tcW w:w="883" w:type="dxa"/>
            <w:tcBorders>
              <w:top w:val="single" w:sz="8" w:space="0" w:color="auto"/>
              <w:left w:val="nil"/>
              <w:bottom w:val="single" w:sz="8" w:space="0" w:color="auto"/>
              <w:right w:val="nil"/>
            </w:tcBorders>
            <w:shd w:val="clear" w:color="auto" w:fill="auto"/>
            <w:noWrap/>
            <w:vAlign w:val="center"/>
            <w:hideMark/>
          </w:tcPr>
          <w:p w14:paraId="37A7E1F4" w14:textId="77777777" w:rsidR="00867564" w:rsidRPr="00C53668" w:rsidRDefault="00867564" w:rsidP="007F0D38">
            <w:pPr>
              <w:spacing w:after="0" w:line="240" w:lineRule="auto"/>
              <w:jc w:val="right"/>
              <w:rPr>
                <w:rFonts w:eastAsia="Times New Roman" w:cs="Times New Roman"/>
                <w:b/>
                <w:bCs/>
                <w:color w:val="000000"/>
                <w:sz w:val="18"/>
                <w:szCs w:val="18"/>
                <w:lang w:eastAsia="sk-SK"/>
              </w:rPr>
            </w:pPr>
            <w:r w:rsidRPr="00C53668">
              <w:rPr>
                <w:rFonts w:eastAsia="Times New Roman" w:cs="Times New Roman"/>
                <w:b/>
                <w:bCs/>
                <w:color w:val="000000"/>
                <w:sz w:val="18"/>
                <w:szCs w:val="18"/>
                <w:lang w:eastAsia="sk-SK"/>
              </w:rPr>
              <w:t>1 634 652</w:t>
            </w:r>
          </w:p>
        </w:tc>
        <w:tc>
          <w:tcPr>
            <w:tcW w:w="1082" w:type="dxa"/>
            <w:tcBorders>
              <w:top w:val="single" w:sz="8" w:space="0" w:color="auto"/>
              <w:left w:val="nil"/>
              <w:bottom w:val="single" w:sz="8" w:space="0" w:color="auto"/>
              <w:right w:val="nil"/>
            </w:tcBorders>
            <w:shd w:val="clear" w:color="auto" w:fill="auto"/>
            <w:noWrap/>
            <w:vAlign w:val="center"/>
            <w:hideMark/>
          </w:tcPr>
          <w:p w14:paraId="3E9420E3" w14:textId="77777777" w:rsidR="00867564" w:rsidRPr="00C53668" w:rsidRDefault="00867564" w:rsidP="007F0D38">
            <w:pPr>
              <w:spacing w:after="0" w:line="240" w:lineRule="auto"/>
              <w:jc w:val="right"/>
              <w:rPr>
                <w:rFonts w:eastAsia="Times New Roman" w:cs="Times New Roman"/>
                <w:b/>
                <w:bCs/>
                <w:color w:val="000000"/>
                <w:sz w:val="18"/>
                <w:szCs w:val="18"/>
                <w:lang w:eastAsia="sk-SK"/>
              </w:rPr>
            </w:pPr>
            <w:r w:rsidRPr="00C53668">
              <w:rPr>
                <w:rFonts w:eastAsia="Times New Roman" w:cs="Times New Roman"/>
                <w:b/>
                <w:bCs/>
                <w:color w:val="000000"/>
                <w:sz w:val="18"/>
                <w:szCs w:val="18"/>
                <w:lang w:eastAsia="sk-SK"/>
              </w:rPr>
              <w:t>1 727 982</w:t>
            </w:r>
          </w:p>
        </w:tc>
        <w:tc>
          <w:tcPr>
            <w:tcW w:w="1134" w:type="dxa"/>
            <w:tcBorders>
              <w:top w:val="single" w:sz="8" w:space="0" w:color="auto"/>
              <w:left w:val="nil"/>
              <w:bottom w:val="single" w:sz="8" w:space="0" w:color="auto"/>
              <w:right w:val="nil"/>
            </w:tcBorders>
            <w:shd w:val="clear" w:color="auto" w:fill="auto"/>
            <w:noWrap/>
            <w:vAlign w:val="center"/>
            <w:hideMark/>
          </w:tcPr>
          <w:p w14:paraId="53BE76BC" w14:textId="77777777" w:rsidR="00867564" w:rsidRPr="00C53668" w:rsidRDefault="00867564" w:rsidP="007F0D38">
            <w:pPr>
              <w:spacing w:after="0" w:line="240" w:lineRule="auto"/>
              <w:jc w:val="right"/>
              <w:rPr>
                <w:rFonts w:eastAsia="Times New Roman" w:cs="Times New Roman"/>
                <w:b/>
                <w:bCs/>
                <w:color w:val="000000"/>
                <w:sz w:val="18"/>
                <w:szCs w:val="18"/>
                <w:lang w:eastAsia="sk-SK"/>
              </w:rPr>
            </w:pPr>
            <w:r w:rsidRPr="00C53668">
              <w:rPr>
                <w:rFonts w:eastAsia="Times New Roman" w:cs="Times New Roman"/>
                <w:b/>
                <w:bCs/>
                <w:color w:val="000000"/>
                <w:sz w:val="18"/>
                <w:szCs w:val="18"/>
                <w:lang w:eastAsia="sk-SK"/>
              </w:rPr>
              <w:t>10 434 091</w:t>
            </w:r>
          </w:p>
        </w:tc>
        <w:tc>
          <w:tcPr>
            <w:tcW w:w="1076" w:type="dxa"/>
            <w:tcBorders>
              <w:top w:val="single" w:sz="8" w:space="0" w:color="auto"/>
              <w:left w:val="nil"/>
              <w:bottom w:val="single" w:sz="8" w:space="0" w:color="auto"/>
              <w:right w:val="nil"/>
            </w:tcBorders>
            <w:shd w:val="clear" w:color="auto" w:fill="BFBFBF" w:themeFill="background1" w:themeFillShade="BF"/>
            <w:noWrap/>
            <w:vAlign w:val="center"/>
            <w:hideMark/>
          </w:tcPr>
          <w:p w14:paraId="4CDDF512" w14:textId="77777777" w:rsidR="00867564" w:rsidRPr="00C53668" w:rsidRDefault="00867564" w:rsidP="007F0D38">
            <w:pPr>
              <w:spacing w:after="0" w:line="240" w:lineRule="auto"/>
              <w:jc w:val="right"/>
              <w:rPr>
                <w:rFonts w:eastAsia="Times New Roman" w:cs="Times New Roman"/>
                <w:b/>
                <w:bCs/>
                <w:color w:val="000000"/>
                <w:sz w:val="18"/>
                <w:szCs w:val="18"/>
                <w:lang w:eastAsia="sk-SK"/>
              </w:rPr>
            </w:pPr>
            <w:r w:rsidRPr="00C53668">
              <w:rPr>
                <w:rFonts w:eastAsia="Times New Roman" w:cs="Times New Roman"/>
                <w:b/>
                <w:bCs/>
                <w:color w:val="000000"/>
                <w:sz w:val="18"/>
                <w:szCs w:val="18"/>
                <w:lang w:eastAsia="sk-SK"/>
              </w:rPr>
              <w:t>2 267 097</w:t>
            </w:r>
          </w:p>
        </w:tc>
        <w:tc>
          <w:tcPr>
            <w:tcW w:w="1050" w:type="dxa"/>
            <w:tcBorders>
              <w:top w:val="nil"/>
              <w:left w:val="nil"/>
              <w:bottom w:val="single" w:sz="8" w:space="0" w:color="auto"/>
              <w:right w:val="nil"/>
            </w:tcBorders>
            <w:shd w:val="clear" w:color="auto" w:fill="auto"/>
            <w:noWrap/>
            <w:vAlign w:val="center"/>
            <w:hideMark/>
          </w:tcPr>
          <w:p w14:paraId="7A0F8728" w14:textId="77777777" w:rsidR="00867564" w:rsidRPr="00C53668" w:rsidRDefault="00867564" w:rsidP="007F0D38">
            <w:pPr>
              <w:spacing w:after="0" w:line="240" w:lineRule="auto"/>
              <w:jc w:val="right"/>
              <w:rPr>
                <w:rFonts w:eastAsia="Times New Roman" w:cs="Times New Roman"/>
                <w:b/>
                <w:bCs/>
                <w:color w:val="000000"/>
                <w:sz w:val="18"/>
                <w:szCs w:val="18"/>
                <w:lang w:eastAsia="sk-SK"/>
              </w:rPr>
            </w:pPr>
            <w:r w:rsidRPr="00C53668">
              <w:rPr>
                <w:rFonts w:eastAsia="Times New Roman" w:cs="Times New Roman"/>
                <w:b/>
                <w:bCs/>
                <w:color w:val="000000"/>
                <w:sz w:val="18"/>
                <w:szCs w:val="18"/>
                <w:lang w:eastAsia="sk-SK"/>
              </w:rPr>
              <w:t>-8 166 994</w:t>
            </w:r>
          </w:p>
        </w:tc>
        <w:tc>
          <w:tcPr>
            <w:tcW w:w="992" w:type="dxa"/>
            <w:tcBorders>
              <w:top w:val="nil"/>
              <w:left w:val="nil"/>
              <w:bottom w:val="single" w:sz="8" w:space="0" w:color="auto"/>
              <w:right w:val="nil"/>
            </w:tcBorders>
            <w:shd w:val="clear" w:color="auto" w:fill="auto"/>
            <w:noWrap/>
            <w:vAlign w:val="center"/>
            <w:hideMark/>
          </w:tcPr>
          <w:p w14:paraId="40C0FEA5" w14:textId="77777777" w:rsidR="00867564" w:rsidRPr="00C53668" w:rsidRDefault="00867564" w:rsidP="007F0D38">
            <w:pPr>
              <w:spacing w:after="0" w:line="240" w:lineRule="auto"/>
              <w:jc w:val="right"/>
              <w:rPr>
                <w:rFonts w:eastAsia="Times New Roman" w:cs="Times New Roman"/>
                <w:b/>
                <w:color w:val="000000"/>
                <w:sz w:val="18"/>
                <w:szCs w:val="18"/>
                <w:lang w:eastAsia="sk-SK"/>
              </w:rPr>
            </w:pPr>
            <w:r w:rsidRPr="00C53668">
              <w:rPr>
                <w:rFonts w:eastAsia="Times New Roman" w:cs="Times New Roman"/>
                <w:b/>
                <w:color w:val="000000"/>
                <w:sz w:val="18"/>
                <w:szCs w:val="18"/>
                <w:lang w:eastAsia="sk-SK"/>
              </w:rPr>
              <w:t>-78,3</w:t>
            </w:r>
          </w:p>
        </w:tc>
      </w:tr>
    </w:tbl>
    <w:p w14:paraId="1CBAF659" w14:textId="765108F7" w:rsidR="00F108F7" w:rsidRDefault="00F108F7" w:rsidP="00F108F7">
      <w:pPr>
        <w:jc w:val="right"/>
      </w:pPr>
      <w:r w:rsidRPr="00F75FB1">
        <w:rPr>
          <w:rFonts w:eastAsia="Times New Roman" w:cs="Times New Roman"/>
          <w:color w:val="000000"/>
          <w:sz w:val="18"/>
          <w:szCs w:val="18"/>
          <w:lang w:eastAsia="sk-SK"/>
        </w:rPr>
        <w:t>Zdroj: MF SR</w:t>
      </w:r>
    </w:p>
    <w:p w14:paraId="4251C593" w14:textId="1E61B3AD" w:rsidR="00867564" w:rsidRPr="00D715AF" w:rsidRDefault="00867564" w:rsidP="001665F3">
      <w:pPr>
        <w:spacing w:line="240" w:lineRule="auto"/>
        <w:rPr>
          <w:rFonts w:cs="Times New Roman"/>
          <w:color w:val="000000"/>
          <w:sz w:val="24"/>
          <w:szCs w:val="24"/>
        </w:rPr>
      </w:pPr>
      <w:r w:rsidRPr="00D715AF">
        <w:rPr>
          <w:sz w:val="24"/>
          <w:szCs w:val="24"/>
        </w:rPr>
        <w:t xml:space="preserve">Z celkových výdavkov za </w:t>
      </w:r>
      <w:r w:rsidRPr="00D715AF">
        <w:rPr>
          <w:b/>
          <w:sz w:val="24"/>
          <w:szCs w:val="24"/>
        </w:rPr>
        <w:t>služby</w:t>
      </w:r>
      <w:r w:rsidRPr="00D715AF">
        <w:rPr>
          <w:sz w:val="24"/>
          <w:szCs w:val="24"/>
        </w:rPr>
        <w:t>,</w:t>
      </w:r>
      <w:r w:rsidRPr="00D715AF">
        <w:rPr>
          <w:b/>
          <w:i/>
          <w:sz w:val="24"/>
          <w:szCs w:val="24"/>
        </w:rPr>
        <w:t xml:space="preserve"> </w:t>
      </w:r>
      <w:r w:rsidRPr="00D715AF">
        <w:rPr>
          <w:sz w:val="24"/>
          <w:szCs w:val="24"/>
        </w:rPr>
        <w:t>realizovaných vo výške 1 085 979 tis. eur,</w:t>
      </w:r>
      <w:r w:rsidRPr="00D715AF">
        <w:rPr>
          <w:i/>
          <w:sz w:val="24"/>
          <w:szCs w:val="24"/>
        </w:rPr>
        <w:t xml:space="preserve"> </w:t>
      </w:r>
      <w:r w:rsidRPr="00D715AF">
        <w:rPr>
          <w:sz w:val="24"/>
          <w:szCs w:val="24"/>
        </w:rPr>
        <w:t xml:space="preserve">boli najvyššie výdavky vynaložené na </w:t>
      </w:r>
      <w:r w:rsidRPr="00D715AF">
        <w:rPr>
          <w:b/>
          <w:i/>
          <w:sz w:val="24"/>
          <w:szCs w:val="24"/>
        </w:rPr>
        <w:t xml:space="preserve">nezrovnalosti a iné </w:t>
      </w:r>
      <w:proofErr w:type="spellStart"/>
      <w:r w:rsidRPr="00D715AF">
        <w:rPr>
          <w:b/>
          <w:i/>
          <w:sz w:val="24"/>
          <w:szCs w:val="24"/>
        </w:rPr>
        <w:t>vratky</w:t>
      </w:r>
      <w:proofErr w:type="spellEnd"/>
      <w:r w:rsidRPr="00D715AF">
        <w:rPr>
          <w:b/>
          <w:i/>
          <w:sz w:val="24"/>
          <w:szCs w:val="24"/>
        </w:rPr>
        <w:t xml:space="preserve"> za prostriedky </w:t>
      </w:r>
      <w:r w:rsidRPr="00D715AF">
        <w:rPr>
          <w:rFonts w:cs="Times New Roman"/>
          <w:b/>
          <w:i/>
          <w:sz w:val="24"/>
          <w:szCs w:val="24"/>
        </w:rPr>
        <w:t>Európskej únie zaradené do</w:t>
      </w:r>
      <w:r w:rsidR="00676CEF" w:rsidRPr="00D715AF">
        <w:rPr>
          <w:rFonts w:cs="Times New Roman"/>
          <w:b/>
          <w:i/>
          <w:sz w:val="24"/>
          <w:szCs w:val="24"/>
        </w:rPr>
        <w:t> </w:t>
      </w:r>
      <w:r w:rsidRPr="00D715AF">
        <w:rPr>
          <w:rFonts w:cs="Times New Roman"/>
          <w:b/>
          <w:i/>
          <w:sz w:val="24"/>
          <w:szCs w:val="24"/>
        </w:rPr>
        <w:t>štátneho rozpočtu a za prostriedky spolufinancovania</w:t>
      </w:r>
      <w:r w:rsidRPr="00D715AF">
        <w:rPr>
          <w:rFonts w:cs="Times New Roman"/>
          <w:sz w:val="24"/>
          <w:szCs w:val="24"/>
        </w:rPr>
        <w:t xml:space="preserve"> v sume 341 157 tis. eur, ktoré boli realizované </w:t>
      </w:r>
      <w:r w:rsidRPr="00D715AF">
        <w:rPr>
          <w:rFonts w:cs="Times New Roman"/>
          <w:color w:val="000000"/>
          <w:sz w:val="24"/>
          <w:szCs w:val="24"/>
        </w:rPr>
        <w:t xml:space="preserve">prevažne kapitolou </w:t>
      </w:r>
      <w:r w:rsidRPr="00D715AF">
        <w:rPr>
          <w:rFonts w:cs="Times New Roman"/>
          <w:color w:val="000000"/>
          <w:sz w:val="24"/>
          <w:szCs w:val="24"/>
          <w:u w:val="single"/>
        </w:rPr>
        <w:t>Všeobecná pokladničná správa</w:t>
      </w:r>
      <w:r w:rsidRPr="00D715AF">
        <w:rPr>
          <w:rFonts w:cs="Times New Roman"/>
          <w:color w:val="000000"/>
          <w:sz w:val="24"/>
          <w:szCs w:val="24"/>
        </w:rPr>
        <w:t>. Tá z celkovej čiastky 324 219 tis. eur poukázala najviac finančných prostriedkov za nezrovnalosti na účet Operačného programu Doprava (96 596 tis. eur), Operačného programu Výskum a vývoj (58 288 tis. eur), Regionálneho operačného programu (42 357 tis. eur), Operačného programu Životné prostredie (41 015 tis. eur) a ďalších.</w:t>
      </w:r>
    </w:p>
    <w:p w14:paraId="45204400" w14:textId="77777777" w:rsidR="007C5767" w:rsidRDefault="00867564" w:rsidP="001665F3">
      <w:pPr>
        <w:pStyle w:val="xmsonormal"/>
        <w:shd w:val="clear" w:color="auto" w:fill="FFFFFF"/>
        <w:spacing w:before="0" w:beforeAutospacing="0" w:after="120" w:afterAutospacing="0"/>
        <w:jc w:val="both"/>
      </w:pPr>
      <w:r w:rsidRPr="00D715AF">
        <w:t>Druhou podpoložkou z hľadiska významnosti sú</w:t>
      </w:r>
      <w:r w:rsidRPr="00D715AF">
        <w:rPr>
          <w:b/>
          <w:i/>
        </w:rPr>
        <w:t xml:space="preserve"> špeciálne služby</w:t>
      </w:r>
      <w:r w:rsidRPr="00D715AF">
        <w:t>,</w:t>
      </w:r>
      <w:r w:rsidRPr="00D715AF">
        <w:rPr>
          <w:color w:val="FF0000"/>
        </w:rPr>
        <w:t xml:space="preserve"> </w:t>
      </w:r>
      <w:r w:rsidRPr="00D715AF">
        <w:t xml:space="preserve">vo výške 227 570 tis. eur, pričom najviac prostriedkov na tento účel vyčerpalo </w:t>
      </w:r>
      <w:r w:rsidRPr="00D715AF">
        <w:rPr>
          <w:u w:val="single"/>
        </w:rPr>
        <w:t>Ministerstvo obrany SR</w:t>
      </w:r>
      <w:r w:rsidRPr="00D715AF">
        <w:t>, a to v sume</w:t>
      </w:r>
      <w:r w:rsidRPr="00D715AF">
        <w:rPr>
          <w:color w:val="FF0000"/>
        </w:rPr>
        <w:t xml:space="preserve"> </w:t>
      </w:r>
      <w:r w:rsidRPr="00D715AF">
        <w:t>110 599 tis. eur, najmä na</w:t>
      </w:r>
      <w:r w:rsidRPr="00D715AF">
        <w:rPr>
          <w:color w:val="FF0000"/>
        </w:rPr>
        <w:t xml:space="preserve"> </w:t>
      </w:r>
      <w:r w:rsidRPr="00D715AF">
        <w:t>zabezpečenie obrany štátu, na sanáciu environmentálnej záťaže</w:t>
      </w:r>
      <w:r w:rsidR="00167C7A" w:rsidRPr="00D715AF">
        <w:t xml:space="preserve"> územia v rezorte obrany </w:t>
      </w:r>
      <w:r w:rsidR="00220F9B" w:rsidRPr="00D715AF">
        <w:t>(Piešťany, Michalovce, Martin, Sliač a Jamník)</w:t>
      </w:r>
      <w:r w:rsidRPr="00D715AF">
        <w:t xml:space="preserve"> a v súvislosti s realizáciou modernizačných projektov rezortu obrany (napr. viacúčelové taktické lie</w:t>
      </w:r>
      <w:r w:rsidR="007C5767">
        <w:t>tadlá a viacúčelové vrtuľníky).</w:t>
      </w:r>
    </w:p>
    <w:p w14:paraId="56156607" w14:textId="19E5D22A" w:rsidR="00867564" w:rsidRPr="00D715AF" w:rsidRDefault="00867564" w:rsidP="001665F3">
      <w:pPr>
        <w:pStyle w:val="xmsonormal"/>
        <w:shd w:val="clear" w:color="auto" w:fill="FFFFFF"/>
        <w:spacing w:before="0" w:beforeAutospacing="0" w:after="120" w:afterAutospacing="0"/>
        <w:jc w:val="both"/>
        <w:rPr>
          <w:color w:val="212121"/>
        </w:rPr>
      </w:pPr>
      <w:r w:rsidRPr="00D715AF">
        <w:t>Významnou sumou na čerpaní výdavkov na špeciálne služby sa taktiež podieľalo</w:t>
      </w:r>
      <w:r w:rsidRPr="00D715AF">
        <w:rPr>
          <w:color w:val="FF0000"/>
        </w:rPr>
        <w:t xml:space="preserve"> </w:t>
      </w:r>
      <w:r w:rsidRPr="00D715AF">
        <w:rPr>
          <w:u w:val="single"/>
        </w:rPr>
        <w:t>Ministerstvo financií SR</w:t>
      </w:r>
      <w:r w:rsidRPr="00D715AF">
        <w:t xml:space="preserve">, a to v objeme 24 495 tis. eur. Financovali sa z nich najmä mimosúdne vyrovnania (18 227 tis. eur), z titulu náhrady škody za neoprávnene vybratú daň z emisných </w:t>
      </w:r>
      <w:r w:rsidR="00424B19" w:rsidRPr="00D715AF">
        <w:t>kvót, najmä s</w:t>
      </w:r>
      <w:r w:rsidR="005036E3">
        <w:t> </w:t>
      </w:r>
      <w:r w:rsidRPr="00D715AF">
        <w:t xml:space="preserve">U.S. Steel Košice, s. r. o. (9 891 tis. eur), SLOVNAFT, a.s. (2 099 tis. eur), SLOVMAG, a.s. (1 167 tis. eur) a iné. Ďalej sa </w:t>
      </w:r>
      <w:r w:rsidR="000B790D" w:rsidRPr="00D715AF">
        <w:t>financovali výdavky súvisiace s </w:t>
      </w:r>
      <w:r w:rsidRPr="00D715AF">
        <w:t>poskytovaním audítorských služieb pri výkone auditu konsolidovaných účtovných závierok vybraných účtovných jednotiek verejnej správy a ústrednej správy (1 680 tis. eur), týkajúce sa auditu a overenia účtovných závierok za rok 2018, ktoré boli fakturované v roku 2020, arbitrážne konania vedené voči Slovenskej republike a ďalšie výdavky sa týkali projektov - Riadenie, kontrola a audit EŠIF – prioritná os 1 Operačného programu Technická pomoc 2014 – 2020, Posilnené inštitucionálne kapacity a efektívna verejná správa – prioritná os 1. Operačného programu Efektívna verejná správa 2014 – 2020.</w:t>
      </w:r>
    </w:p>
    <w:p w14:paraId="0DF7FB47" w14:textId="6912E475" w:rsidR="00867564" w:rsidRPr="00D715AF" w:rsidRDefault="00867564" w:rsidP="001665F3">
      <w:pPr>
        <w:spacing w:line="240" w:lineRule="auto"/>
        <w:rPr>
          <w:rFonts w:cs="Times New Roman"/>
          <w:sz w:val="24"/>
          <w:szCs w:val="24"/>
        </w:rPr>
      </w:pPr>
      <w:r w:rsidRPr="00D715AF">
        <w:rPr>
          <w:sz w:val="24"/>
          <w:szCs w:val="24"/>
          <w:u w:val="single"/>
        </w:rPr>
        <w:t>Ministerstvo životného prostredia SR</w:t>
      </w:r>
      <w:r w:rsidRPr="00D715AF">
        <w:rPr>
          <w:sz w:val="24"/>
          <w:szCs w:val="24"/>
        </w:rPr>
        <w:t xml:space="preserve"> vo výdavkoch na špeciálne služby čerpalo 17 900 tis. eur</w:t>
      </w:r>
      <w:r w:rsidRPr="00D715AF">
        <w:rPr>
          <w:color w:val="FF0000"/>
          <w:sz w:val="24"/>
          <w:szCs w:val="24"/>
        </w:rPr>
        <w:t xml:space="preserve"> </w:t>
      </w:r>
      <w:r w:rsidRPr="00D715AF">
        <w:rPr>
          <w:rFonts w:cs="Times New Roman"/>
          <w:sz w:val="24"/>
          <w:szCs w:val="24"/>
        </w:rPr>
        <w:t>a</w:t>
      </w:r>
      <w:r w:rsidR="00676CEF" w:rsidRPr="00D715AF">
        <w:rPr>
          <w:rFonts w:cs="Times New Roman"/>
          <w:sz w:val="24"/>
          <w:szCs w:val="24"/>
        </w:rPr>
        <w:t> </w:t>
      </w:r>
      <w:r w:rsidRPr="00D715AF">
        <w:rPr>
          <w:rFonts w:cs="Times New Roman"/>
          <w:sz w:val="24"/>
          <w:szCs w:val="24"/>
        </w:rPr>
        <w:t>tieto prostriedky použilo v prevažnej miere na sanácie environmentálnych záťaží v rámci projektov, ako napríklad služby na podporu riadenia a implementácie, Operačný program Kvalita životného prostredia,</w:t>
      </w:r>
      <w:r w:rsidRPr="00D715AF">
        <w:rPr>
          <w:sz w:val="24"/>
          <w:szCs w:val="24"/>
        </w:rPr>
        <w:t xml:space="preserve"> </w:t>
      </w:r>
      <w:r w:rsidRPr="00D715AF">
        <w:rPr>
          <w:rFonts w:cs="Times New Roman"/>
          <w:sz w:val="24"/>
          <w:szCs w:val="24"/>
        </w:rPr>
        <w:t>geologický prieskum vybraných pravdepodobných environmentálnych záťaží, sanácia vybraných environmentálnych záťaží SR a sanácia svahových deformácií na</w:t>
      </w:r>
      <w:r w:rsidR="00676CEF" w:rsidRPr="00D715AF">
        <w:rPr>
          <w:rFonts w:cs="Times New Roman"/>
          <w:sz w:val="24"/>
          <w:szCs w:val="24"/>
        </w:rPr>
        <w:t> </w:t>
      </w:r>
      <w:r w:rsidRPr="00D715AF">
        <w:rPr>
          <w:rFonts w:cs="Times New Roman"/>
          <w:sz w:val="24"/>
          <w:szCs w:val="24"/>
        </w:rPr>
        <w:t>vybraných lokalitách Slovenska.</w:t>
      </w:r>
    </w:p>
    <w:p w14:paraId="7D6F995F" w14:textId="77777777" w:rsidR="00867564" w:rsidRPr="00D715AF" w:rsidRDefault="00867564" w:rsidP="001665F3">
      <w:pPr>
        <w:spacing w:line="240" w:lineRule="auto"/>
        <w:rPr>
          <w:color w:val="FF0000"/>
          <w:sz w:val="24"/>
          <w:szCs w:val="24"/>
        </w:rPr>
      </w:pPr>
      <w:r w:rsidRPr="00D715AF">
        <w:rPr>
          <w:sz w:val="24"/>
          <w:szCs w:val="24"/>
          <w:u w:val="single"/>
        </w:rPr>
        <w:t>Ministerstvo spravodlivosti SR</w:t>
      </w:r>
      <w:r w:rsidRPr="00D715AF">
        <w:rPr>
          <w:sz w:val="24"/>
          <w:szCs w:val="24"/>
        </w:rPr>
        <w:t xml:space="preserve"> sa na čerpaní výdavkov na špeciálne služby podieľalo sumou 15 566 tis. eur </w:t>
      </w:r>
      <w:r w:rsidRPr="00D715AF">
        <w:rPr>
          <w:rFonts w:cs="Times New Roman"/>
          <w:sz w:val="24"/>
          <w:szCs w:val="24"/>
        </w:rPr>
        <w:t>a prostredníctvom týchto finančných prostriedkov boli realizované v prevažnej miere úhrady súvisiace s osobným bankrotom, ktoré realizuje Centrum právnej pomoci (odmena pre správcu konkurzu) a výdavky na súdne konania na súdoch (služby advokátov, exekútorov a notárov).</w:t>
      </w:r>
    </w:p>
    <w:p w14:paraId="3D5BD5C3" w14:textId="7216E7C7" w:rsidR="00867564" w:rsidRPr="00D715AF" w:rsidRDefault="00867564" w:rsidP="001665F3">
      <w:pPr>
        <w:spacing w:line="240" w:lineRule="auto"/>
        <w:rPr>
          <w:sz w:val="24"/>
          <w:szCs w:val="24"/>
        </w:rPr>
      </w:pPr>
      <w:r w:rsidRPr="00D715AF">
        <w:rPr>
          <w:sz w:val="24"/>
          <w:szCs w:val="24"/>
          <w:u w:val="single"/>
        </w:rPr>
        <w:t>Ministerstvo vnútra SR</w:t>
      </w:r>
      <w:r w:rsidRPr="00D715AF">
        <w:rPr>
          <w:sz w:val="24"/>
          <w:szCs w:val="24"/>
        </w:rPr>
        <w:t xml:space="preserve"> sa na výdavkoch na špeciálne služby podieľalo sumou 12 320 tis. eur </w:t>
      </w:r>
      <w:r w:rsidR="00F960F6" w:rsidRPr="00D715AF">
        <w:rPr>
          <w:sz w:val="24"/>
          <w:szCs w:val="24"/>
        </w:rPr>
        <w:t>a</w:t>
      </w:r>
      <w:r w:rsidR="005036E3">
        <w:rPr>
          <w:sz w:val="24"/>
          <w:szCs w:val="24"/>
        </w:rPr>
        <w:t> </w:t>
      </w:r>
      <w:r w:rsidRPr="00D715AF">
        <w:rPr>
          <w:rFonts w:cs="Times New Roman"/>
          <w:sz w:val="24"/>
          <w:szCs w:val="24"/>
        </w:rPr>
        <w:t>prevažne</w:t>
      </w:r>
      <w:r w:rsidRPr="00D715AF">
        <w:rPr>
          <w:rFonts w:cs="Times New Roman"/>
          <w:color w:val="FF0000"/>
          <w:sz w:val="24"/>
          <w:szCs w:val="24"/>
        </w:rPr>
        <w:t xml:space="preserve"> </w:t>
      </w:r>
      <w:r w:rsidRPr="00D715AF">
        <w:rPr>
          <w:rFonts w:cs="Times New Roman"/>
          <w:sz w:val="24"/>
          <w:szCs w:val="24"/>
        </w:rPr>
        <w:t>uhrádzalo</w:t>
      </w:r>
      <w:r w:rsidRPr="00D715AF">
        <w:rPr>
          <w:rFonts w:cs="Times New Roman"/>
          <w:color w:val="FF0000"/>
          <w:sz w:val="24"/>
          <w:szCs w:val="24"/>
        </w:rPr>
        <w:t xml:space="preserve"> </w:t>
      </w:r>
      <w:r w:rsidRPr="00D715AF">
        <w:rPr>
          <w:rFonts w:cs="Times New Roman"/>
          <w:sz w:val="24"/>
          <w:szCs w:val="24"/>
        </w:rPr>
        <w:t>výdavky na súdne konania na súdoch (advokátom, znalcom, tlmočníkom, prekladateľom, exekútorom, notárom, svedkom a prísediacim).</w:t>
      </w:r>
      <w:r w:rsidRPr="00D715AF">
        <w:rPr>
          <w:sz w:val="24"/>
          <w:szCs w:val="24"/>
        </w:rPr>
        <w:t xml:space="preserve"> </w:t>
      </w:r>
    </w:p>
    <w:p w14:paraId="0724643F" w14:textId="281E8B1E" w:rsidR="00867564" w:rsidRPr="00D715AF" w:rsidRDefault="00867564" w:rsidP="001665F3">
      <w:pPr>
        <w:spacing w:line="240" w:lineRule="auto"/>
        <w:rPr>
          <w:rFonts w:cs="Times New Roman"/>
          <w:bCs/>
          <w:color w:val="FF0000"/>
          <w:sz w:val="24"/>
          <w:szCs w:val="24"/>
        </w:rPr>
      </w:pPr>
      <w:r w:rsidRPr="00D715AF">
        <w:rPr>
          <w:rFonts w:cs="Times New Roman"/>
          <w:sz w:val="24"/>
          <w:szCs w:val="24"/>
        </w:rPr>
        <w:t>Výdavky na špeciálne služby boli v skutočnosti nižšie oproti schválenému rozpočtu</w:t>
      </w:r>
      <w:r w:rsidR="008F23E5" w:rsidRPr="00D715AF">
        <w:rPr>
          <w:rFonts w:cs="Times New Roman"/>
          <w:sz w:val="24"/>
          <w:szCs w:val="24"/>
        </w:rPr>
        <w:t xml:space="preserve"> </w:t>
      </w:r>
      <w:r w:rsidRPr="00D715AF">
        <w:rPr>
          <w:rFonts w:cs="Times New Roman"/>
          <w:sz w:val="24"/>
          <w:szCs w:val="24"/>
        </w:rPr>
        <w:t>o 41</w:t>
      </w:r>
      <w:r w:rsidR="00F960F6" w:rsidRPr="00D715AF">
        <w:rPr>
          <w:rFonts w:cs="Times New Roman"/>
          <w:sz w:val="24"/>
          <w:szCs w:val="24"/>
        </w:rPr>
        <w:t> </w:t>
      </w:r>
      <w:r w:rsidRPr="00D715AF">
        <w:rPr>
          <w:rFonts w:cs="Times New Roman"/>
          <w:sz w:val="24"/>
          <w:szCs w:val="24"/>
        </w:rPr>
        <w:t>276</w:t>
      </w:r>
      <w:r w:rsidR="00F960F6" w:rsidRPr="00D715AF">
        <w:rPr>
          <w:rFonts w:cs="Times New Roman"/>
          <w:sz w:val="24"/>
          <w:szCs w:val="24"/>
        </w:rPr>
        <w:t> </w:t>
      </w:r>
      <w:r w:rsidRPr="00D715AF">
        <w:rPr>
          <w:rFonts w:cs="Times New Roman"/>
          <w:sz w:val="24"/>
          <w:szCs w:val="24"/>
        </w:rPr>
        <w:t>tis. eur, a túto skutočnosť ovplyvnila najmä kapitola</w:t>
      </w:r>
      <w:r w:rsidR="00F960F6" w:rsidRPr="00D715AF">
        <w:rPr>
          <w:rFonts w:cs="Times New Roman"/>
          <w:color w:val="FF0000"/>
          <w:sz w:val="24"/>
          <w:szCs w:val="24"/>
        </w:rPr>
        <w:t xml:space="preserve"> </w:t>
      </w:r>
      <w:r w:rsidRPr="00D715AF">
        <w:rPr>
          <w:rFonts w:cs="Times New Roman"/>
          <w:sz w:val="24"/>
          <w:szCs w:val="24"/>
        </w:rPr>
        <w:t>Ministerstva obrany SR z dôvodu presunu finančných prostriedkov na plnenie iných úloh v rámci rezortu obrany.</w:t>
      </w:r>
    </w:p>
    <w:p w14:paraId="1A268687" w14:textId="6CF37E61" w:rsidR="00867564" w:rsidRPr="00D715AF" w:rsidRDefault="00867564" w:rsidP="001665F3">
      <w:pPr>
        <w:spacing w:line="240" w:lineRule="auto"/>
        <w:rPr>
          <w:rFonts w:cs="Times New Roman"/>
          <w:sz w:val="24"/>
          <w:szCs w:val="24"/>
        </w:rPr>
      </w:pPr>
      <w:r w:rsidRPr="00D715AF">
        <w:rPr>
          <w:sz w:val="24"/>
          <w:szCs w:val="24"/>
        </w:rPr>
        <w:t>Treťou najvyššou položkou v rámci služieb sú výdavky na</w:t>
      </w:r>
      <w:r w:rsidRPr="00D715AF">
        <w:rPr>
          <w:b/>
          <w:i/>
          <w:sz w:val="24"/>
          <w:szCs w:val="24"/>
        </w:rPr>
        <w:t xml:space="preserve"> všeobecné služby</w:t>
      </w:r>
      <w:r w:rsidRPr="00D715AF">
        <w:rPr>
          <w:sz w:val="24"/>
          <w:szCs w:val="24"/>
        </w:rPr>
        <w:t>,</w:t>
      </w:r>
      <w:r w:rsidRPr="00D715AF">
        <w:rPr>
          <w:color w:val="FF0000"/>
          <w:sz w:val="24"/>
          <w:szCs w:val="24"/>
        </w:rPr>
        <w:t xml:space="preserve"> </w:t>
      </w:r>
      <w:r w:rsidRPr="00D715AF">
        <w:rPr>
          <w:sz w:val="24"/>
          <w:szCs w:val="24"/>
        </w:rPr>
        <w:t>ktoré dosiahli 75 575 tis. eur</w:t>
      </w:r>
      <w:r w:rsidRPr="00D715AF">
        <w:rPr>
          <w:i/>
          <w:sz w:val="24"/>
          <w:szCs w:val="24"/>
        </w:rPr>
        <w:t>.</w:t>
      </w:r>
      <w:r w:rsidRPr="00D715AF">
        <w:rPr>
          <w:b/>
          <w:i/>
          <w:sz w:val="24"/>
          <w:szCs w:val="24"/>
        </w:rPr>
        <w:t xml:space="preserve"> </w:t>
      </w:r>
      <w:r w:rsidRPr="00D715AF">
        <w:rPr>
          <w:sz w:val="24"/>
          <w:szCs w:val="24"/>
        </w:rPr>
        <w:t>Ide o výkony obstarávané dodávateľským spôsobom, ktoré predstavujú širokú paletu služieb súvisiacich so správou štátnych budov a zariadení (napr. čistiace a upratovacie služby, odvoz a</w:t>
      </w:r>
      <w:r w:rsidR="00C414C0" w:rsidRPr="00D715AF">
        <w:rPr>
          <w:sz w:val="24"/>
          <w:szCs w:val="24"/>
        </w:rPr>
        <w:t xml:space="preserve"> </w:t>
      </w:r>
      <w:r w:rsidRPr="00D715AF">
        <w:rPr>
          <w:sz w:val="24"/>
          <w:szCs w:val="24"/>
        </w:rPr>
        <w:t>likvidácia odpadu, ako aj platby za externé služby</w:t>
      </w:r>
      <w:r w:rsidR="00C414C0" w:rsidRPr="00D715AF">
        <w:rPr>
          <w:sz w:val="24"/>
          <w:szCs w:val="24"/>
        </w:rPr>
        <w:t>,</w:t>
      </w:r>
      <w:r w:rsidRPr="00D715AF">
        <w:rPr>
          <w:sz w:val="24"/>
          <w:szCs w:val="24"/>
        </w:rPr>
        <w:t xml:space="preserve"> ako sú tlmočenie, prekladateľské služby, výkon revízií a kontrol dopravnej techniky, výdavky na prevádzku varovného systému civilnej obrany, odmeny asistentov poslancov a podobne).</w:t>
      </w:r>
      <w:r w:rsidRPr="00D715AF">
        <w:rPr>
          <w:color w:val="FF0000"/>
          <w:sz w:val="24"/>
          <w:szCs w:val="24"/>
        </w:rPr>
        <w:t xml:space="preserve"> </w:t>
      </w:r>
      <w:r w:rsidRPr="00D715AF">
        <w:rPr>
          <w:sz w:val="24"/>
          <w:szCs w:val="24"/>
          <w:u w:val="single"/>
        </w:rPr>
        <w:t>Kapitola Ministerstva vnútra SR</w:t>
      </w:r>
      <w:r w:rsidRPr="00D715AF">
        <w:rPr>
          <w:sz w:val="24"/>
          <w:szCs w:val="24"/>
        </w:rPr>
        <w:t xml:space="preserve"> disponuje najväčším počtom budov, zariadení a dopravnej techniky a dosiahla najvýznamnejšie výdavky na všeobecné služby, a to 16 869 tis. eur. </w:t>
      </w:r>
      <w:r w:rsidRPr="00D715AF">
        <w:rPr>
          <w:rFonts w:cs="Times New Roman"/>
          <w:sz w:val="24"/>
          <w:szCs w:val="24"/>
          <w:u w:val="single"/>
        </w:rPr>
        <w:t>Ministerstvo pôdohospodárstva a rozvoja vidieka SR</w:t>
      </w:r>
      <w:r w:rsidRPr="00D715AF">
        <w:rPr>
          <w:rFonts w:cs="Times New Roman"/>
          <w:sz w:val="24"/>
          <w:szCs w:val="24"/>
        </w:rPr>
        <w:t xml:space="preserve"> vynaložilo na všeobecné služby čiastku 6 563 tis. eur,</w:t>
      </w:r>
      <w:r w:rsidRPr="00D715AF">
        <w:rPr>
          <w:rFonts w:cs="Times New Roman"/>
          <w:color w:val="FF0000"/>
          <w:sz w:val="24"/>
          <w:szCs w:val="24"/>
        </w:rPr>
        <w:t xml:space="preserve"> </w:t>
      </w:r>
      <w:r w:rsidRPr="00D715AF">
        <w:rPr>
          <w:rFonts w:cs="Times New Roman"/>
          <w:sz w:val="24"/>
          <w:szCs w:val="24"/>
          <w:u w:val="single"/>
        </w:rPr>
        <w:t>Ministerstvo financií SR</w:t>
      </w:r>
      <w:r w:rsidRPr="00D715AF">
        <w:rPr>
          <w:rFonts w:cs="Times New Roman"/>
          <w:sz w:val="24"/>
          <w:szCs w:val="24"/>
        </w:rPr>
        <w:t xml:space="preserve"> sumu 6 241 tis. eur, </w:t>
      </w:r>
      <w:r w:rsidRPr="00D715AF">
        <w:rPr>
          <w:rFonts w:cs="Times New Roman"/>
          <w:sz w:val="24"/>
          <w:szCs w:val="24"/>
          <w:u w:val="single"/>
        </w:rPr>
        <w:t>Ministerstvo školstva, vedy, výskumu a športu SR</w:t>
      </w:r>
      <w:r w:rsidRPr="00D715AF">
        <w:rPr>
          <w:rFonts w:cs="Times New Roman"/>
          <w:sz w:val="24"/>
          <w:szCs w:val="24"/>
        </w:rPr>
        <w:t xml:space="preserve"> sumu 6 202 tis. eur, </w:t>
      </w:r>
      <w:r w:rsidRPr="00D715AF">
        <w:rPr>
          <w:rFonts w:cs="Times New Roman"/>
          <w:sz w:val="24"/>
          <w:szCs w:val="24"/>
          <w:u w:val="single"/>
        </w:rPr>
        <w:t>Úrad vlády SR</w:t>
      </w:r>
      <w:r w:rsidRPr="00D715AF">
        <w:rPr>
          <w:rFonts w:cs="Times New Roman"/>
          <w:sz w:val="24"/>
          <w:szCs w:val="24"/>
        </w:rPr>
        <w:t xml:space="preserve"> sumu 5 751 tis. eur, </w:t>
      </w:r>
      <w:r w:rsidRPr="00D715AF">
        <w:rPr>
          <w:rFonts w:cs="Times New Roman"/>
          <w:sz w:val="24"/>
          <w:szCs w:val="24"/>
          <w:u w:val="single"/>
        </w:rPr>
        <w:t>Ministerstvo práce, sociálnych vecí a rodiny SR</w:t>
      </w:r>
      <w:r w:rsidR="00E90F1F" w:rsidRPr="00D715AF">
        <w:rPr>
          <w:rFonts w:cs="Times New Roman"/>
          <w:sz w:val="24"/>
          <w:szCs w:val="24"/>
        </w:rPr>
        <w:t xml:space="preserve"> sumu 5 322 tis. eur. </w:t>
      </w:r>
      <w:r w:rsidRPr="00D715AF">
        <w:rPr>
          <w:rFonts w:cs="Times New Roman"/>
          <w:sz w:val="24"/>
          <w:szCs w:val="24"/>
        </w:rPr>
        <w:t>Ostatné kapitoly poskytli na tento účel menšie čiastky.</w:t>
      </w:r>
    </w:p>
    <w:p w14:paraId="5303A103" w14:textId="57CE8015" w:rsidR="00867564" w:rsidRPr="00D715AF" w:rsidRDefault="00867564" w:rsidP="001665F3">
      <w:pPr>
        <w:spacing w:line="240" w:lineRule="auto"/>
        <w:rPr>
          <w:sz w:val="24"/>
          <w:szCs w:val="24"/>
        </w:rPr>
      </w:pPr>
      <w:r w:rsidRPr="00D715AF">
        <w:rPr>
          <w:sz w:val="24"/>
          <w:szCs w:val="24"/>
        </w:rPr>
        <w:t>Výdavky na</w:t>
      </w:r>
      <w:r w:rsidRPr="00D715AF">
        <w:rPr>
          <w:i/>
          <w:sz w:val="24"/>
          <w:szCs w:val="24"/>
        </w:rPr>
        <w:t xml:space="preserve"> </w:t>
      </w:r>
      <w:r w:rsidRPr="00D715AF">
        <w:rPr>
          <w:b/>
          <w:i/>
          <w:sz w:val="24"/>
          <w:szCs w:val="24"/>
        </w:rPr>
        <w:t>stravovanie</w:t>
      </w:r>
      <w:r w:rsidRPr="00D715AF">
        <w:rPr>
          <w:sz w:val="24"/>
          <w:szCs w:val="24"/>
        </w:rPr>
        <w:t xml:space="preserve"> zamestnancov podľa platných predpisov boli v sume 74 576 tis. eur, kde najvýznamnejšiu sumu čerpalo </w:t>
      </w:r>
      <w:r w:rsidRPr="00D715AF">
        <w:rPr>
          <w:sz w:val="24"/>
          <w:szCs w:val="24"/>
          <w:u w:val="single"/>
        </w:rPr>
        <w:t>Ministerstvo vnútra SR</w:t>
      </w:r>
      <w:r w:rsidR="00C414C0" w:rsidRPr="00D715AF">
        <w:rPr>
          <w:sz w:val="24"/>
          <w:szCs w:val="24"/>
        </w:rPr>
        <w:t xml:space="preserve">, a </w:t>
      </w:r>
      <w:r w:rsidRPr="00D715AF">
        <w:rPr>
          <w:sz w:val="24"/>
          <w:szCs w:val="24"/>
        </w:rPr>
        <w:t>to v sume 39 756 tis. eur na</w:t>
      </w:r>
      <w:r w:rsidR="00676CEF" w:rsidRPr="00D715AF">
        <w:rPr>
          <w:sz w:val="24"/>
          <w:szCs w:val="24"/>
        </w:rPr>
        <w:t> </w:t>
      </w:r>
      <w:r w:rsidRPr="00D715AF">
        <w:rPr>
          <w:sz w:val="24"/>
          <w:szCs w:val="24"/>
        </w:rPr>
        <w:t>zabezpečenie stravovania zamestnancov rezortu, na pitný režim a na výdavky súvisiace so</w:t>
      </w:r>
      <w:r w:rsidR="00676CEF" w:rsidRPr="00D715AF">
        <w:rPr>
          <w:sz w:val="24"/>
          <w:szCs w:val="24"/>
        </w:rPr>
        <w:t> </w:t>
      </w:r>
      <w:r w:rsidRPr="00D715AF">
        <w:rPr>
          <w:sz w:val="24"/>
          <w:szCs w:val="24"/>
        </w:rPr>
        <w:t>zaradením bezpečnostných zložiek a kritickej infraštruktúry do nepretržitého výkonu služby v súvislosti s mimoriadnou situáciou a vyhláseným núdzovým stavom. Ministerstvo práce sociálnych vecí a rodiny SR čerpalo v rámci tej</w:t>
      </w:r>
      <w:r w:rsidR="00F960F6" w:rsidRPr="00D715AF">
        <w:rPr>
          <w:sz w:val="24"/>
          <w:szCs w:val="24"/>
        </w:rPr>
        <w:t xml:space="preserve">to podpoložky 7 374 tis. eur, </w:t>
      </w:r>
      <w:r w:rsidRPr="00D715AF">
        <w:rPr>
          <w:sz w:val="24"/>
          <w:szCs w:val="24"/>
        </w:rPr>
        <w:t xml:space="preserve">Ministerstvo obrany SR 6 471 tis. eur, Ministerstvo financií </w:t>
      </w:r>
      <w:r w:rsidR="003F0535" w:rsidRPr="00D715AF">
        <w:rPr>
          <w:sz w:val="24"/>
          <w:szCs w:val="24"/>
        </w:rPr>
        <w:t xml:space="preserve">SR </w:t>
      </w:r>
      <w:r w:rsidRPr="00D715AF">
        <w:rPr>
          <w:sz w:val="24"/>
          <w:szCs w:val="24"/>
        </w:rPr>
        <w:t xml:space="preserve">5 408 tis. eur a Ministerstvo spravodlivosti </w:t>
      </w:r>
      <w:r w:rsidR="00F960F6" w:rsidRPr="00D715AF">
        <w:rPr>
          <w:sz w:val="24"/>
          <w:szCs w:val="24"/>
        </w:rPr>
        <w:t xml:space="preserve">SR </w:t>
      </w:r>
      <w:r w:rsidRPr="00D715AF">
        <w:rPr>
          <w:sz w:val="24"/>
          <w:szCs w:val="24"/>
        </w:rPr>
        <w:t>sumu 4 514 tis. eur.</w:t>
      </w:r>
    </w:p>
    <w:p w14:paraId="2B72A6CE" w14:textId="77777777" w:rsidR="007C5767" w:rsidRDefault="00867564" w:rsidP="001665F3">
      <w:pPr>
        <w:spacing w:line="240" w:lineRule="auto"/>
        <w:rPr>
          <w:sz w:val="24"/>
          <w:szCs w:val="24"/>
        </w:rPr>
      </w:pPr>
      <w:r w:rsidRPr="00D715AF">
        <w:rPr>
          <w:b/>
          <w:i/>
          <w:sz w:val="24"/>
          <w:szCs w:val="24"/>
        </w:rPr>
        <w:t>Služby v oblasti informačno-komunikačných technológií</w:t>
      </w:r>
      <w:r w:rsidRPr="00D715AF">
        <w:rPr>
          <w:i/>
          <w:sz w:val="24"/>
          <w:szCs w:val="24"/>
        </w:rPr>
        <w:t xml:space="preserve"> </w:t>
      </w:r>
      <w:r w:rsidRPr="00D715AF">
        <w:rPr>
          <w:sz w:val="24"/>
          <w:szCs w:val="24"/>
        </w:rPr>
        <w:t xml:space="preserve">dosiahli 43 866 tis. eur. Ide o výdavky na zaškolenie IT pracovníkov pri nadobúdaní nových softvérov, výdavky za údržbu a vytvorenie intranetových a internetových webových sídiel, na výkony aplikačnej podpory k informačným systémom štátu, štúdie, expertízy a posudky týkajúce sa informačných technológií. V najvyššej miere sa na týchto službách podieľalo </w:t>
      </w:r>
      <w:r w:rsidRPr="007C5767">
        <w:rPr>
          <w:sz w:val="24"/>
          <w:szCs w:val="24"/>
          <w:u w:val="single"/>
        </w:rPr>
        <w:t>Ministerstvo financií SR</w:t>
      </w:r>
      <w:r w:rsidRPr="00D715AF">
        <w:rPr>
          <w:sz w:val="24"/>
          <w:szCs w:val="24"/>
        </w:rPr>
        <w:t>, a to sumou 23 952 tis. eur.</w:t>
      </w:r>
      <w:r w:rsidRPr="00D715AF">
        <w:rPr>
          <w:color w:val="FF0000"/>
          <w:sz w:val="24"/>
          <w:szCs w:val="24"/>
        </w:rPr>
        <w:t xml:space="preserve"> </w:t>
      </w:r>
      <w:r w:rsidRPr="00D715AF">
        <w:rPr>
          <w:sz w:val="24"/>
          <w:szCs w:val="24"/>
        </w:rPr>
        <w:t>Čerpanie finančných prostriedkov súviselo najmä s prevádzkou informačného systému pre</w:t>
      </w:r>
      <w:r w:rsidR="00676CEF" w:rsidRPr="00D715AF">
        <w:rPr>
          <w:sz w:val="24"/>
          <w:szCs w:val="24"/>
        </w:rPr>
        <w:t> </w:t>
      </w:r>
      <w:r w:rsidRPr="00D715AF">
        <w:rPr>
          <w:sz w:val="24"/>
          <w:szCs w:val="24"/>
        </w:rPr>
        <w:t>systém štátnej pokladnice (11 006 tis. eur), na podpornú infraštruktúru pre informačné systémy riadenia verejných fina</w:t>
      </w:r>
      <w:r w:rsidR="007C5767">
        <w:rPr>
          <w:sz w:val="24"/>
          <w:szCs w:val="24"/>
        </w:rPr>
        <w:t>ncií (9 950 tis. eur) a ďalšie.</w:t>
      </w:r>
    </w:p>
    <w:p w14:paraId="66F473BD" w14:textId="6875E687" w:rsidR="00867564" w:rsidRPr="00D715AF" w:rsidRDefault="00867564" w:rsidP="001665F3">
      <w:pPr>
        <w:spacing w:line="240" w:lineRule="auto"/>
        <w:rPr>
          <w:rFonts w:cs="Times New Roman"/>
          <w:sz w:val="24"/>
          <w:szCs w:val="24"/>
        </w:rPr>
      </w:pPr>
      <w:r w:rsidRPr="00D715AF">
        <w:rPr>
          <w:sz w:val="24"/>
          <w:szCs w:val="24"/>
        </w:rPr>
        <w:t xml:space="preserve">Druhú najvýznamnejšiu sumu v tejto podpoložke čerpalo </w:t>
      </w:r>
      <w:r w:rsidRPr="007C5767">
        <w:rPr>
          <w:sz w:val="24"/>
          <w:szCs w:val="24"/>
          <w:u w:val="single"/>
        </w:rPr>
        <w:t>Ministerstvo školstva, vedy, výskumu a športu SR</w:t>
      </w:r>
      <w:r w:rsidRPr="00D715AF">
        <w:rPr>
          <w:sz w:val="24"/>
          <w:szCs w:val="24"/>
        </w:rPr>
        <w:t xml:space="preserve"> v sume 6 213 tis. eur,</w:t>
      </w:r>
      <w:r w:rsidRPr="00D715AF">
        <w:rPr>
          <w:color w:val="FF0000"/>
          <w:sz w:val="24"/>
          <w:szCs w:val="24"/>
        </w:rPr>
        <w:t xml:space="preserve"> </w:t>
      </w:r>
      <w:r w:rsidRPr="00D715AF">
        <w:rPr>
          <w:sz w:val="24"/>
          <w:szCs w:val="24"/>
        </w:rPr>
        <w:t xml:space="preserve">ktoré financovalo najmä </w:t>
      </w:r>
      <w:r w:rsidRPr="00D715AF">
        <w:rPr>
          <w:rFonts w:eastAsia="Times New Roman"/>
          <w:sz w:val="24"/>
          <w:szCs w:val="24"/>
        </w:rPr>
        <w:t>servis Centrálneho úložiska digitálneho edukačného obsahu, servisné služby a realizáciu zmenových požiadaviek pre projekt Elektronizácia vzdelávacieho systému regionálneho školstva.</w:t>
      </w:r>
      <w:r w:rsidRPr="00D715AF">
        <w:rPr>
          <w:rFonts w:eastAsia="Times New Roman"/>
          <w:color w:val="FF0000"/>
          <w:sz w:val="24"/>
          <w:szCs w:val="24"/>
        </w:rPr>
        <w:t xml:space="preserve"> </w:t>
      </w:r>
      <w:r w:rsidRPr="00D715AF">
        <w:rPr>
          <w:rFonts w:cs="Times New Roman"/>
          <w:sz w:val="24"/>
          <w:szCs w:val="24"/>
        </w:rPr>
        <w:t>Štatistický úrad SR sa na týchto výdavkoch podieľal sumou 4 584 tis. eur, najmä na služby pre podporné systémy, služby v oblasti podpory Registra právnických osôb a služby pre prípravu Sčítania obyvateľov, domov a bytov.</w:t>
      </w:r>
    </w:p>
    <w:p w14:paraId="4B08FE5D" w14:textId="0F5D74C0" w:rsidR="00867564" w:rsidRPr="00D715AF" w:rsidRDefault="00867564" w:rsidP="001665F3">
      <w:pPr>
        <w:spacing w:line="240" w:lineRule="auto"/>
        <w:rPr>
          <w:rFonts w:cs="Times New Roman"/>
          <w:color w:val="FF0000"/>
          <w:sz w:val="24"/>
          <w:szCs w:val="24"/>
        </w:rPr>
      </w:pPr>
      <w:r w:rsidRPr="00D715AF">
        <w:rPr>
          <w:sz w:val="24"/>
          <w:szCs w:val="24"/>
        </w:rPr>
        <w:t xml:space="preserve">Na </w:t>
      </w:r>
      <w:r w:rsidRPr="00D715AF">
        <w:rPr>
          <w:b/>
          <w:i/>
          <w:sz w:val="24"/>
          <w:szCs w:val="24"/>
        </w:rPr>
        <w:t>š</w:t>
      </w:r>
      <w:r w:rsidRPr="00D715AF">
        <w:rPr>
          <w:rFonts w:cs="Times New Roman"/>
          <w:b/>
          <w:i/>
          <w:sz w:val="24"/>
          <w:szCs w:val="24"/>
        </w:rPr>
        <w:t>kolenia, kurzy, semináre, a konferencie</w:t>
      </w:r>
      <w:r w:rsidRPr="00D715AF">
        <w:rPr>
          <w:i/>
          <w:sz w:val="24"/>
          <w:szCs w:val="24"/>
        </w:rPr>
        <w:t xml:space="preserve"> </w:t>
      </w:r>
      <w:r w:rsidRPr="00D715AF">
        <w:rPr>
          <w:sz w:val="24"/>
          <w:szCs w:val="24"/>
        </w:rPr>
        <w:t>sa použilo 41 047 tis. eur.</w:t>
      </w:r>
      <w:r w:rsidRPr="00D715AF">
        <w:rPr>
          <w:color w:val="FF0000"/>
          <w:sz w:val="24"/>
          <w:szCs w:val="24"/>
        </w:rPr>
        <w:t xml:space="preserve"> </w:t>
      </w:r>
      <w:r w:rsidRPr="00D715AF">
        <w:rPr>
          <w:sz w:val="24"/>
          <w:szCs w:val="24"/>
        </w:rPr>
        <w:t>Na týchto výdavkoch sa najviac podieľalo Ministerstvo obrany SR v sume</w:t>
      </w:r>
      <w:r w:rsidRPr="00D715AF">
        <w:rPr>
          <w:color w:val="FF0000"/>
          <w:sz w:val="24"/>
          <w:szCs w:val="24"/>
        </w:rPr>
        <w:t xml:space="preserve"> </w:t>
      </w:r>
      <w:r w:rsidRPr="00D715AF">
        <w:rPr>
          <w:sz w:val="24"/>
          <w:szCs w:val="24"/>
        </w:rPr>
        <w:t>36 747 tis. eur.</w:t>
      </w:r>
      <w:r w:rsidRPr="00D715AF">
        <w:rPr>
          <w:color w:val="FF0000"/>
          <w:sz w:val="24"/>
          <w:szCs w:val="24"/>
        </w:rPr>
        <w:t xml:space="preserve"> </w:t>
      </w:r>
      <w:r w:rsidRPr="00D715AF">
        <w:rPr>
          <w:sz w:val="24"/>
          <w:szCs w:val="24"/>
        </w:rPr>
        <w:t>Prostriedky boli čerpané najmä v programe Rozvoj obrany a súviseli</w:t>
      </w:r>
      <w:r w:rsidRPr="00D715AF">
        <w:rPr>
          <w:rFonts w:cs="Times New Roman"/>
          <w:sz w:val="24"/>
          <w:szCs w:val="24"/>
        </w:rPr>
        <w:t xml:space="preserve"> s realizáciou modernizačných projektov. Na medziročnom zvýšení výdavkov na tieto služby sa podieľala práve kapitola Ministerstva obrany SR</w:t>
      </w:r>
      <w:r w:rsidRPr="00D715AF">
        <w:rPr>
          <w:rFonts w:cs="Times New Roman"/>
          <w:color w:val="FF0000"/>
          <w:sz w:val="24"/>
          <w:szCs w:val="24"/>
        </w:rPr>
        <w:t xml:space="preserve"> </w:t>
      </w:r>
      <w:r w:rsidRPr="00D715AF">
        <w:rPr>
          <w:rFonts w:cs="Times New Roman"/>
          <w:sz w:val="24"/>
          <w:szCs w:val="24"/>
        </w:rPr>
        <w:t xml:space="preserve">(o 32 703 tis. eur), z dôvodu úhrad za </w:t>
      </w:r>
      <w:r w:rsidRPr="00D715AF">
        <w:rPr>
          <w:sz w:val="24"/>
          <w:szCs w:val="24"/>
        </w:rPr>
        <w:t>výcvik pilotov k vrtuľníkom a k viacúčelovým taktickým lietadlám.</w:t>
      </w:r>
    </w:p>
    <w:p w14:paraId="3313146C" w14:textId="4706C557" w:rsidR="00867564" w:rsidRPr="00D715AF" w:rsidRDefault="00867564" w:rsidP="001665F3">
      <w:pPr>
        <w:spacing w:line="240" w:lineRule="auto"/>
        <w:rPr>
          <w:color w:val="FF0000"/>
          <w:sz w:val="24"/>
          <w:szCs w:val="24"/>
        </w:rPr>
      </w:pPr>
      <w:r w:rsidRPr="00BE56E0">
        <w:rPr>
          <w:rFonts w:cs="Times New Roman"/>
          <w:b/>
          <w:sz w:val="24"/>
          <w:szCs w:val="24"/>
        </w:rPr>
        <w:t>Z ostatných položiek služieb</w:t>
      </w:r>
      <w:r w:rsidRPr="00D715AF">
        <w:rPr>
          <w:rFonts w:cs="Times New Roman"/>
          <w:sz w:val="24"/>
          <w:szCs w:val="24"/>
        </w:rPr>
        <w:t xml:space="preserve"> boli významné napr. </w:t>
      </w:r>
      <w:r w:rsidRPr="00D715AF">
        <w:rPr>
          <w:b/>
          <w:i/>
          <w:sz w:val="24"/>
          <w:szCs w:val="24"/>
        </w:rPr>
        <w:t xml:space="preserve">prídel do sociálneho fondu </w:t>
      </w:r>
      <w:r w:rsidRPr="00D715AF">
        <w:rPr>
          <w:sz w:val="24"/>
          <w:szCs w:val="24"/>
        </w:rPr>
        <w:t>(29 311 tis. eur) realizovaný v súlade so zákonom č. 152/1994 Z. z. o sociálnom fonde a o doplnení zákona č. 286/1992 Zb. o daniach z príjmov v znení neskorších predpisov, kde je stanovená hranica minimálnej výšky tvorby sociálneho fondu, ktorá je pre každého zamestnávateľa záväzná,</w:t>
      </w:r>
      <w:r w:rsidRPr="00D715AF">
        <w:rPr>
          <w:color w:val="FF0000"/>
          <w:sz w:val="24"/>
          <w:szCs w:val="24"/>
        </w:rPr>
        <w:t xml:space="preserve"> </w:t>
      </w:r>
      <w:r w:rsidRPr="00D715AF">
        <w:rPr>
          <w:sz w:val="24"/>
          <w:szCs w:val="24"/>
        </w:rPr>
        <w:t xml:space="preserve">výdavky </w:t>
      </w:r>
      <w:r w:rsidRPr="00D715AF">
        <w:rPr>
          <w:b/>
          <w:i/>
          <w:sz w:val="24"/>
          <w:szCs w:val="24"/>
        </w:rPr>
        <w:t>na náhrady</w:t>
      </w:r>
      <w:r w:rsidRPr="00D715AF">
        <w:rPr>
          <w:color w:val="FF0000"/>
          <w:sz w:val="24"/>
          <w:szCs w:val="24"/>
        </w:rPr>
        <w:t xml:space="preserve"> </w:t>
      </w:r>
      <w:r w:rsidRPr="00D715AF">
        <w:rPr>
          <w:sz w:val="24"/>
          <w:szCs w:val="24"/>
        </w:rPr>
        <w:t>(29 072 tis. eur), čerpané najmä na Ministerstve vnútra SR na zabezpečenie zdravotnej starostlivosti pre vybrané skupiny zamestnancov (špecializované vyšetrenia, vyšetrenia leteckého personálu a iné služby týkajúce sa poskytovania zdravotnej starostlivosti),</w:t>
      </w:r>
      <w:r w:rsidRPr="00D715AF">
        <w:rPr>
          <w:color w:val="FF0000"/>
          <w:sz w:val="24"/>
          <w:szCs w:val="24"/>
        </w:rPr>
        <w:t xml:space="preserve"> </w:t>
      </w:r>
      <w:r w:rsidRPr="00D715AF">
        <w:rPr>
          <w:sz w:val="24"/>
          <w:szCs w:val="24"/>
        </w:rPr>
        <w:t>ďalej výdavky</w:t>
      </w:r>
      <w:r w:rsidRPr="00D715AF">
        <w:rPr>
          <w:b/>
          <w:i/>
          <w:sz w:val="24"/>
          <w:szCs w:val="24"/>
        </w:rPr>
        <w:t xml:space="preserve"> na štúdie, expertízy a posudky</w:t>
      </w:r>
      <w:r w:rsidR="00C414C0" w:rsidRPr="00D715AF">
        <w:rPr>
          <w:sz w:val="24"/>
          <w:szCs w:val="24"/>
        </w:rPr>
        <w:t xml:space="preserve"> (22 411 tis. eur)</w:t>
      </w:r>
      <w:r w:rsidRPr="00D715AF">
        <w:rPr>
          <w:sz w:val="24"/>
          <w:szCs w:val="24"/>
        </w:rPr>
        <w:t xml:space="preserve"> čerpané v rozhodujúcej miere Ministerstvom vnútra SR v sume 14 869 tis. eur, najmä na znalecké posudky a odborné vyjadrenia pre činnosť Policajného zboru.</w:t>
      </w:r>
      <w:r w:rsidRPr="00D715AF">
        <w:rPr>
          <w:color w:val="FF0000"/>
          <w:sz w:val="24"/>
          <w:szCs w:val="24"/>
        </w:rPr>
        <w:t xml:space="preserve"> </w:t>
      </w:r>
      <w:r w:rsidRPr="00D715AF">
        <w:rPr>
          <w:sz w:val="24"/>
          <w:szCs w:val="24"/>
        </w:rPr>
        <w:t>Na </w:t>
      </w:r>
      <w:r w:rsidRPr="00D715AF">
        <w:rPr>
          <w:b/>
          <w:i/>
          <w:sz w:val="24"/>
          <w:szCs w:val="24"/>
        </w:rPr>
        <w:t>odmeny zamestnancom mimo pracovného pomeru</w:t>
      </w:r>
      <w:r w:rsidRPr="00D715AF">
        <w:rPr>
          <w:sz w:val="24"/>
          <w:szCs w:val="24"/>
        </w:rPr>
        <w:t xml:space="preserve"> bolo vynaložených 21 601 tis. eur, z toho najviac</w:t>
      </w:r>
      <w:r w:rsidRPr="00D715AF">
        <w:rPr>
          <w:color w:val="FF0000"/>
          <w:sz w:val="24"/>
          <w:szCs w:val="24"/>
        </w:rPr>
        <w:t xml:space="preserve"> </w:t>
      </w:r>
      <w:r w:rsidRPr="00D715AF">
        <w:rPr>
          <w:sz w:val="24"/>
          <w:szCs w:val="24"/>
        </w:rPr>
        <w:t>na kapitolách Ministerstva školstva vedy, výskumu a športu SR 2 907 tis. eur, Ministerstva vnútra SR v sume 2 780 tis. eur a Ministerstva práce, sociálnych vecí a rodiny SR v sume 2 498 tis. eur.</w:t>
      </w:r>
      <w:r w:rsidRPr="00D715AF">
        <w:rPr>
          <w:color w:val="FF0000"/>
          <w:sz w:val="24"/>
          <w:szCs w:val="24"/>
        </w:rPr>
        <w:t xml:space="preserve"> </w:t>
      </w:r>
      <w:r w:rsidRPr="00D715AF">
        <w:rPr>
          <w:sz w:val="24"/>
          <w:szCs w:val="24"/>
        </w:rPr>
        <w:t>Ďalšie kapitoly sa podieľali na tomto čerpaní v menších objemoch.</w:t>
      </w:r>
      <w:r w:rsidRPr="00D715AF">
        <w:rPr>
          <w:color w:val="FF0000"/>
          <w:sz w:val="24"/>
          <w:szCs w:val="24"/>
        </w:rPr>
        <w:t xml:space="preserve"> </w:t>
      </w:r>
      <w:r w:rsidRPr="00D715AF">
        <w:rPr>
          <w:sz w:val="24"/>
          <w:szCs w:val="24"/>
        </w:rPr>
        <w:t xml:space="preserve">Výdavky </w:t>
      </w:r>
      <w:r w:rsidRPr="00D715AF">
        <w:rPr>
          <w:b/>
          <w:i/>
          <w:sz w:val="24"/>
          <w:szCs w:val="24"/>
        </w:rPr>
        <w:t xml:space="preserve">na dane </w:t>
      </w:r>
      <w:r w:rsidRPr="00D715AF">
        <w:rPr>
          <w:sz w:val="24"/>
          <w:szCs w:val="24"/>
        </w:rPr>
        <w:t xml:space="preserve">boli čerpané v sume 19 687 tis. eur, </w:t>
      </w:r>
      <w:r w:rsidRPr="00D715AF">
        <w:rPr>
          <w:b/>
          <w:i/>
          <w:sz w:val="24"/>
          <w:szCs w:val="24"/>
        </w:rPr>
        <w:t xml:space="preserve">na odmeny a príspevky </w:t>
      </w:r>
      <w:r w:rsidRPr="00D715AF">
        <w:rPr>
          <w:sz w:val="24"/>
          <w:szCs w:val="24"/>
        </w:rPr>
        <w:t xml:space="preserve">14 922 tis. eur a </w:t>
      </w:r>
      <w:r w:rsidRPr="00D715AF">
        <w:rPr>
          <w:b/>
          <w:i/>
          <w:sz w:val="24"/>
          <w:szCs w:val="24"/>
        </w:rPr>
        <w:t>na propagáciu, reklamu a inzerciu</w:t>
      </w:r>
      <w:r w:rsidRPr="00D715AF">
        <w:rPr>
          <w:sz w:val="24"/>
          <w:szCs w:val="24"/>
        </w:rPr>
        <w:t xml:space="preserve"> boli čerpané v sume 14 891 tis. eur.</w:t>
      </w:r>
      <w:r w:rsidRPr="00D715AF">
        <w:rPr>
          <w:color w:val="FF0000"/>
          <w:sz w:val="24"/>
          <w:szCs w:val="24"/>
        </w:rPr>
        <w:t xml:space="preserve"> </w:t>
      </w:r>
    </w:p>
    <w:p w14:paraId="275ED7F5" w14:textId="77777777" w:rsidR="00BE56E0" w:rsidRDefault="00867564" w:rsidP="001665F3">
      <w:pPr>
        <w:spacing w:line="240" w:lineRule="auto"/>
        <w:rPr>
          <w:color w:val="FF0000"/>
          <w:sz w:val="24"/>
          <w:szCs w:val="24"/>
        </w:rPr>
      </w:pPr>
      <w:r w:rsidRPr="00D715AF">
        <w:rPr>
          <w:sz w:val="24"/>
          <w:szCs w:val="24"/>
        </w:rPr>
        <w:t>Výdavky na</w:t>
      </w:r>
      <w:r w:rsidRPr="00D715AF">
        <w:rPr>
          <w:b/>
          <w:sz w:val="24"/>
          <w:szCs w:val="24"/>
        </w:rPr>
        <w:t xml:space="preserve"> materiál</w:t>
      </w:r>
      <w:r w:rsidRPr="00D715AF">
        <w:rPr>
          <w:sz w:val="24"/>
          <w:szCs w:val="24"/>
        </w:rPr>
        <w:t xml:space="preserve"> predstavujú druhé najvyššie čerpanie finančných prostriedkov v rámci tovarov a služieb. Dosiahli sumu 366 310 tis. eur, pričom ide o výdavky, ktoré súvisia priamo s prevádzkou jednotlivých rozpočtových organizácií, ale aj s poskytovaním určitej formy pomoci napr. pre fyzické osoby.</w:t>
      </w:r>
    </w:p>
    <w:p w14:paraId="7E033684" w14:textId="39C2C1AF" w:rsidR="00867564" w:rsidRPr="00D715AF" w:rsidRDefault="00867564" w:rsidP="001665F3">
      <w:pPr>
        <w:spacing w:line="240" w:lineRule="auto"/>
        <w:rPr>
          <w:sz w:val="24"/>
          <w:szCs w:val="24"/>
        </w:rPr>
      </w:pPr>
      <w:r w:rsidRPr="00D715AF">
        <w:rPr>
          <w:sz w:val="24"/>
          <w:szCs w:val="24"/>
        </w:rPr>
        <w:t xml:space="preserve">Najviac prostriedkov sa vynaložilo na </w:t>
      </w:r>
      <w:r w:rsidRPr="00D715AF">
        <w:rPr>
          <w:b/>
          <w:i/>
          <w:sz w:val="24"/>
          <w:szCs w:val="24"/>
        </w:rPr>
        <w:t>špeciálny</w:t>
      </w:r>
      <w:r w:rsidRPr="00D715AF">
        <w:rPr>
          <w:sz w:val="24"/>
          <w:szCs w:val="24"/>
        </w:rPr>
        <w:t xml:space="preserve"> </w:t>
      </w:r>
      <w:r w:rsidRPr="00D715AF">
        <w:rPr>
          <w:b/>
          <w:i/>
          <w:sz w:val="24"/>
          <w:szCs w:val="24"/>
        </w:rPr>
        <w:t>materiál</w:t>
      </w:r>
      <w:r w:rsidRPr="00D715AF">
        <w:rPr>
          <w:sz w:val="24"/>
          <w:szCs w:val="24"/>
        </w:rPr>
        <w:t xml:space="preserve"> (103 596 tis. eur). Na tejto podpoložke sa najvýznamnejšie podieľalo Ministerstvo obrany SR sumou 90 008 tis. eur, </w:t>
      </w:r>
      <w:r w:rsidRPr="00D715AF">
        <w:rPr>
          <w:rFonts w:cs="Times New Roman"/>
          <w:sz w:val="24"/>
          <w:szCs w:val="24"/>
          <w:shd w:val="clear" w:color="auto" w:fill="FFFFFF"/>
        </w:rPr>
        <w:t>ktoré realizovalo úhrady v rámci programu Rozvoj obrany, v </w:t>
      </w:r>
      <w:r w:rsidR="00F960F6" w:rsidRPr="00D715AF">
        <w:rPr>
          <w:rFonts w:cs="Times New Roman"/>
          <w:sz w:val="24"/>
          <w:szCs w:val="24"/>
          <w:shd w:val="clear" w:color="auto" w:fill="FFFFFF"/>
        </w:rPr>
        <w:t xml:space="preserve">celkovej sume 64 525 tis. eur, </w:t>
      </w:r>
      <w:r w:rsidRPr="00D715AF">
        <w:rPr>
          <w:rFonts w:cs="Times New Roman"/>
          <w:sz w:val="24"/>
          <w:szCs w:val="24"/>
          <w:shd w:val="clear" w:color="auto" w:fill="FFFFFF"/>
        </w:rPr>
        <w:t>najmä v súvislosti s</w:t>
      </w:r>
      <w:r w:rsidR="0023537F">
        <w:rPr>
          <w:rFonts w:cs="Times New Roman"/>
          <w:sz w:val="24"/>
          <w:szCs w:val="24"/>
          <w:shd w:val="clear" w:color="auto" w:fill="FFFFFF"/>
        </w:rPr>
        <w:t> </w:t>
      </w:r>
      <w:r w:rsidRPr="00D715AF">
        <w:rPr>
          <w:rFonts w:cs="Times New Roman"/>
          <w:sz w:val="24"/>
          <w:szCs w:val="24"/>
          <w:shd w:val="clear" w:color="auto" w:fill="FFFFFF"/>
        </w:rPr>
        <w:t>realizáciou projektov - viacúčelové taktické lietadlá a samohybnej kanónovej húfnice Zuzana</w:t>
      </w:r>
      <w:r w:rsidR="0023537F">
        <w:rPr>
          <w:rFonts w:cs="Times New Roman"/>
          <w:sz w:val="24"/>
          <w:szCs w:val="24"/>
          <w:shd w:val="clear" w:color="auto" w:fill="FFFFFF"/>
        </w:rPr>
        <w:t> </w:t>
      </w:r>
      <w:r w:rsidRPr="00D715AF">
        <w:rPr>
          <w:rFonts w:cs="Times New Roman"/>
          <w:sz w:val="24"/>
          <w:szCs w:val="24"/>
          <w:shd w:val="clear" w:color="auto" w:fill="FFFFFF"/>
        </w:rPr>
        <w:t xml:space="preserve">2. V programe Obrana čerpalo sumu 25 483 tis. eur, najmä na zabezpečenie činnosti Ozbrojených síl Slovenskej republiky. </w:t>
      </w:r>
      <w:r w:rsidRPr="00D715AF">
        <w:rPr>
          <w:sz w:val="24"/>
          <w:szCs w:val="24"/>
        </w:rPr>
        <w:t xml:space="preserve">Ministerstvo vnútra SR čerpalo v rámci tejto podpoložky sumu 9 869 tis. eur na nákup špeciálneho materiálu ako napr. občianske preukazy formátu EÚ, cestovné pasy s biometriou, osvedčenia o evidencii vozidla, testy na alkohol a iné. </w:t>
      </w:r>
    </w:p>
    <w:p w14:paraId="5C4F6A80" w14:textId="24BAC953" w:rsidR="00867564" w:rsidRPr="00D715AF" w:rsidRDefault="00867564" w:rsidP="001665F3">
      <w:pPr>
        <w:spacing w:line="240" w:lineRule="auto"/>
        <w:rPr>
          <w:sz w:val="24"/>
          <w:szCs w:val="24"/>
        </w:rPr>
      </w:pPr>
      <w:r w:rsidRPr="00D715AF">
        <w:rPr>
          <w:rFonts w:cs="Times New Roman"/>
          <w:sz w:val="24"/>
          <w:szCs w:val="24"/>
        </w:rPr>
        <w:t xml:space="preserve">Na podpoložke </w:t>
      </w:r>
      <w:r w:rsidRPr="00D715AF">
        <w:rPr>
          <w:rFonts w:cs="Times New Roman"/>
          <w:b/>
          <w:i/>
          <w:sz w:val="24"/>
          <w:szCs w:val="24"/>
        </w:rPr>
        <w:t>pracovné odevy a pracovné pomôcky</w:t>
      </w:r>
      <w:r w:rsidRPr="00D715AF">
        <w:rPr>
          <w:rFonts w:cs="Times New Roman"/>
          <w:sz w:val="24"/>
          <w:szCs w:val="24"/>
        </w:rPr>
        <w:t xml:space="preserve"> (76 457 tis. eur) sa významne podieľala kapitola Ministerstva vnútra SR sumou 46 269 tis. eur. Finančné prostriedky použila najmä na</w:t>
      </w:r>
      <w:r w:rsidR="00676CEF" w:rsidRPr="00D715AF">
        <w:rPr>
          <w:rFonts w:cs="Times New Roman"/>
          <w:sz w:val="24"/>
          <w:szCs w:val="24"/>
        </w:rPr>
        <w:t> </w:t>
      </w:r>
      <w:r w:rsidRPr="00D715AF">
        <w:rPr>
          <w:rFonts w:cs="Times New Roman"/>
          <w:sz w:val="24"/>
          <w:szCs w:val="24"/>
        </w:rPr>
        <w:t>nákup osobných ochranných pomôcok v sume 37 340 tis. eur, obstaraných v súvislosti s pandémiou COVID-1</w:t>
      </w:r>
      <w:r w:rsidR="003F0535" w:rsidRPr="00D715AF">
        <w:rPr>
          <w:rFonts w:cs="Times New Roman"/>
          <w:sz w:val="24"/>
          <w:szCs w:val="24"/>
        </w:rPr>
        <w:t xml:space="preserve">9 </w:t>
      </w:r>
      <w:r w:rsidRPr="00D715AF">
        <w:rPr>
          <w:rFonts w:cs="Times New Roman"/>
          <w:sz w:val="24"/>
          <w:szCs w:val="24"/>
        </w:rPr>
        <w:t>pre príslušníko</w:t>
      </w:r>
      <w:r w:rsidR="003F0535" w:rsidRPr="00D715AF">
        <w:rPr>
          <w:rFonts w:cs="Times New Roman"/>
          <w:sz w:val="24"/>
          <w:szCs w:val="24"/>
        </w:rPr>
        <w:t xml:space="preserve">v Policajného zboru, Hasičský a </w:t>
      </w:r>
      <w:r w:rsidRPr="00D715AF">
        <w:rPr>
          <w:rFonts w:cs="Times New Roman"/>
          <w:sz w:val="24"/>
          <w:szCs w:val="24"/>
        </w:rPr>
        <w:t>záchranársky zväz a</w:t>
      </w:r>
      <w:r w:rsidR="00167C7A" w:rsidRPr="00D715AF">
        <w:rPr>
          <w:rFonts w:cs="Times New Roman"/>
          <w:sz w:val="24"/>
          <w:szCs w:val="24"/>
        </w:rPr>
        <w:t> </w:t>
      </w:r>
      <w:r w:rsidRPr="00D715AF">
        <w:rPr>
          <w:rFonts w:cs="Times New Roman"/>
          <w:sz w:val="24"/>
          <w:szCs w:val="24"/>
        </w:rPr>
        <w:t>pre</w:t>
      </w:r>
      <w:r w:rsidR="00676CEF" w:rsidRPr="00D715AF">
        <w:rPr>
          <w:rFonts w:cs="Times New Roman"/>
          <w:sz w:val="24"/>
          <w:szCs w:val="24"/>
        </w:rPr>
        <w:t> </w:t>
      </w:r>
      <w:r w:rsidRPr="00D715AF">
        <w:rPr>
          <w:rFonts w:cs="Times New Roman"/>
          <w:sz w:val="24"/>
          <w:szCs w:val="24"/>
        </w:rPr>
        <w:t>pracovníkov kritickej infraštruktúry (ako napr. rúška,</w:t>
      </w:r>
      <w:r w:rsidR="003F0535" w:rsidRPr="00D715AF">
        <w:rPr>
          <w:rFonts w:cs="Times New Roman"/>
          <w:sz w:val="24"/>
          <w:szCs w:val="24"/>
        </w:rPr>
        <w:t xml:space="preserve"> </w:t>
      </w:r>
      <w:r w:rsidRPr="00D715AF">
        <w:rPr>
          <w:rFonts w:cs="Times New Roman"/>
          <w:sz w:val="24"/>
          <w:szCs w:val="24"/>
        </w:rPr>
        <w:t>respirátory, ochranné obleky, ochranné okuliare, jednorazové rukavice, ochranné návleky na obuv a iné). Taktiež boli realizované úhrady za pracovné odevy a</w:t>
      </w:r>
      <w:r w:rsidR="003F0535" w:rsidRPr="00D715AF">
        <w:rPr>
          <w:rFonts w:cs="Times New Roman"/>
          <w:sz w:val="24"/>
          <w:szCs w:val="24"/>
        </w:rPr>
        <w:t xml:space="preserve"> </w:t>
      </w:r>
      <w:r w:rsidRPr="00D715AF">
        <w:rPr>
          <w:rFonts w:cs="Times New Roman"/>
          <w:sz w:val="24"/>
          <w:szCs w:val="24"/>
        </w:rPr>
        <w:t xml:space="preserve">obuv, uniformy pre príslušníkov Policajného zboru SR a výstrojný materiál (napr. potreby na </w:t>
      </w:r>
      <w:proofErr w:type="spellStart"/>
      <w:r w:rsidRPr="00D715AF">
        <w:rPr>
          <w:rFonts w:cs="Times New Roman"/>
          <w:sz w:val="24"/>
          <w:szCs w:val="24"/>
        </w:rPr>
        <w:t>zlaňovanie</w:t>
      </w:r>
      <w:proofErr w:type="spellEnd"/>
      <w:r w:rsidRPr="00D715AF">
        <w:rPr>
          <w:rFonts w:cs="Times New Roman"/>
          <w:sz w:val="24"/>
          <w:szCs w:val="24"/>
        </w:rPr>
        <w:t>, vesty, prilby, ochranné štíty a iné). Výrazné navýšenie skutočnosti oproti schválenému rozpočtu (o 38 298 tis. eur) súviselo s nutnosťou zabezpečiť ochranné pracovné potreby pre zamestnancov v súvislosti s pandémiou COVID-19. Na výdavkoch na</w:t>
      </w:r>
      <w:r w:rsidR="00676CEF" w:rsidRPr="00D715AF">
        <w:rPr>
          <w:rFonts w:cs="Times New Roman"/>
          <w:sz w:val="24"/>
          <w:szCs w:val="24"/>
        </w:rPr>
        <w:t> </w:t>
      </w:r>
      <w:r w:rsidRPr="00D715AF">
        <w:rPr>
          <w:rFonts w:cs="Times New Roman"/>
          <w:sz w:val="24"/>
          <w:szCs w:val="24"/>
        </w:rPr>
        <w:t xml:space="preserve">pracovné odevy a pracovné pomôcky sa významne podieľalo taktiež Ministerstvo obrany SR sumou 17 717 tis. eur a Ministerstvo financií SR vo výške 5 888 tis. eur. </w:t>
      </w:r>
    </w:p>
    <w:p w14:paraId="6DB596C6" w14:textId="4E5AC225" w:rsidR="00867564" w:rsidRPr="00D715AF" w:rsidRDefault="00867564" w:rsidP="001665F3">
      <w:pPr>
        <w:spacing w:line="240" w:lineRule="auto"/>
        <w:rPr>
          <w:sz w:val="24"/>
          <w:szCs w:val="24"/>
        </w:rPr>
      </w:pPr>
      <w:r w:rsidRPr="00D715AF">
        <w:rPr>
          <w:sz w:val="24"/>
          <w:szCs w:val="24"/>
        </w:rPr>
        <w:t>Výdavky na</w:t>
      </w:r>
      <w:r w:rsidRPr="00D715AF">
        <w:rPr>
          <w:b/>
          <w:i/>
          <w:color w:val="FF0000"/>
          <w:sz w:val="24"/>
          <w:szCs w:val="24"/>
        </w:rPr>
        <w:t xml:space="preserve"> </w:t>
      </w:r>
      <w:r w:rsidRPr="00D715AF">
        <w:rPr>
          <w:b/>
          <w:i/>
          <w:sz w:val="24"/>
          <w:szCs w:val="24"/>
        </w:rPr>
        <w:t xml:space="preserve">všeobecný materiál </w:t>
      </w:r>
      <w:r w:rsidRPr="00D715AF">
        <w:rPr>
          <w:sz w:val="24"/>
          <w:szCs w:val="24"/>
        </w:rPr>
        <w:t xml:space="preserve">(70 565 tis. eur) boli ďalšou významnou podpoložkou v rámci čerpania bežných výdavkov na materiál, najmä prostredníctvom Ministerstva vnútra SR, ktoré čerpalo 26 33 tis. eur a Ministerstva obrany SR v sume 13 016 tis. eur. </w:t>
      </w:r>
      <w:r w:rsidRPr="00D715AF">
        <w:rPr>
          <w:rFonts w:cs="Times New Roman"/>
          <w:sz w:val="24"/>
          <w:szCs w:val="24"/>
        </w:rPr>
        <w:t>Ministerstvo vnútra SR použilo finančné prostriedky najmä na nákup tabuliek s evidenčným číslom na dopravné prostriedky v hodnote 6 838 tis. eur, na výpočtovú techniku a príslušenstvo do tlačiarní v</w:t>
      </w:r>
      <w:r w:rsidR="00F960F6" w:rsidRPr="00D715AF">
        <w:rPr>
          <w:rFonts w:cs="Times New Roman"/>
          <w:sz w:val="24"/>
          <w:szCs w:val="24"/>
        </w:rPr>
        <w:t> </w:t>
      </w:r>
      <w:r w:rsidRPr="00D715AF">
        <w:rPr>
          <w:rFonts w:cs="Times New Roman"/>
          <w:sz w:val="24"/>
          <w:szCs w:val="24"/>
        </w:rPr>
        <w:t>sume</w:t>
      </w:r>
      <w:r w:rsidR="00F960F6" w:rsidRPr="00D715AF">
        <w:rPr>
          <w:rFonts w:cs="Times New Roman"/>
          <w:sz w:val="24"/>
          <w:szCs w:val="24"/>
        </w:rPr>
        <w:t xml:space="preserve"> </w:t>
      </w:r>
      <w:r w:rsidRPr="00D715AF">
        <w:rPr>
          <w:rFonts w:cs="Times New Roman"/>
          <w:sz w:val="24"/>
          <w:szCs w:val="24"/>
        </w:rPr>
        <w:t>6 063 tis. eur a v rámci programu COVID bolo čerpaných 5 093 tis. eur na</w:t>
      </w:r>
      <w:r w:rsidR="00676CEF" w:rsidRPr="00D715AF">
        <w:rPr>
          <w:rFonts w:cs="Times New Roman"/>
          <w:sz w:val="24"/>
          <w:szCs w:val="24"/>
        </w:rPr>
        <w:t> </w:t>
      </w:r>
      <w:r w:rsidRPr="00D715AF">
        <w:rPr>
          <w:rFonts w:cs="Times New Roman"/>
          <w:sz w:val="24"/>
          <w:szCs w:val="24"/>
        </w:rPr>
        <w:t>nákup dezinfekč</w:t>
      </w:r>
      <w:r w:rsidR="00F960F6" w:rsidRPr="00D715AF">
        <w:rPr>
          <w:rFonts w:cs="Times New Roman"/>
          <w:sz w:val="24"/>
          <w:szCs w:val="24"/>
        </w:rPr>
        <w:t>ných a čistiacich prostriedkov,</w:t>
      </w:r>
      <w:r w:rsidRPr="00D715AF">
        <w:rPr>
          <w:rFonts w:cs="Times New Roman"/>
          <w:sz w:val="24"/>
          <w:szCs w:val="24"/>
        </w:rPr>
        <w:t xml:space="preserve"> testov na </w:t>
      </w:r>
      <w:proofErr w:type="spellStart"/>
      <w:r w:rsidRPr="00D715AF">
        <w:rPr>
          <w:rFonts w:cs="Times New Roman"/>
          <w:sz w:val="24"/>
          <w:szCs w:val="24"/>
        </w:rPr>
        <w:t>koronavírus</w:t>
      </w:r>
      <w:proofErr w:type="spellEnd"/>
      <w:r w:rsidRPr="00D715AF">
        <w:rPr>
          <w:rFonts w:cs="Times New Roman"/>
          <w:sz w:val="24"/>
          <w:szCs w:val="24"/>
        </w:rPr>
        <w:t xml:space="preserve">, medicínskych certifikátov a iného drobného zdravotníckeho materiálu. Ministerstvo obrany SR taktiež použilo finančné prostriedky z tejto podpoložky na nákup </w:t>
      </w:r>
      <w:r w:rsidRPr="00D715AF">
        <w:rPr>
          <w:rFonts w:cs="Times New Roman"/>
          <w:sz w:val="24"/>
          <w:szCs w:val="24"/>
          <w:shd w:val="clear" w:color="auto" w:fill="FFFFFF"/>
        </w:rPr>
        <w:t>hygienických a čistiacich prostriedkov, zdravotníckeho materiálu, dezinfekčných prostriedkov, lekárničiek, operačnej a ochrannej výstroje zdravotníckeho personálu, kancelárskych potrieb, tonerov a pod.</w:t>
      </w:r>
      <w:r w:rsidRPr="00D715AF">
        <w:rPr>
          <w:rFonts w:ascii="Arial Narrow" w:hAnsi="Arial Narrow"/>
          <w:color w:val="548235"/>
          <w:sz w:val="24"/>
          <w:szCs w:val="24"/>
          <w:shd w:val="clear" w:color="auto" w:fill="FFFFFF"/>
        </w:rPr>
        <w:t> </w:t>
      </w:r>
    </w:p>
    <w:p w14:paraId="6A6627CF" w14:textId="1E40470F" w:rsidR="00867564" w:rsidRPr="00D715AF" w:rsidRDefault="00867564" w:rsidP="001665F3">
      <w:pPr>
        <w:spacing w:line="240" w:lineRule="auto"/>
        <w:rPr>
          <w:sz w:val="24"/>
          <w:szCs w:val="24"/>
        </w:rPr>
      </w:pPr>
      <w:r w:rsidRPr="00D715AF">
        <w:rPr>
          <w:sz w:val="24"/>
          <w:szCs w:val="24"/>
        </w:rPr>
        <w:t xml:space="preserve">V rámci výdavkov na materiál boli významne čerpané finančné prostriedky na </w:t>
      </w:r>
      <w:r w:rsidRPr="00D715AF">
        <w:rPr>
          <w:b/>
          <w:i/>
          <w:sz w:val="24"/>
          <w:szCs w:val="24"/>
        </w:rPr>
        <w:t xml:space="preserve">špeciálne stroje, prístroje, zariadenie, </w:t>
      </w:r>
      <w:r w:rsidRPr="00D715AF">
        <w:rPr>
          <w:rFonts w:cs="Times New Roman"/>
          <w:b/>
          <w:i/>
          <w:sz w:val="24"/>
          <w:szCs w:val="24"/>
          <w:shd w:val="clear" w:color="auto" w:fill="FFFFFF"/>
        </w:rPr>
        <w:t>techniku a náradie</w:t>
      </w:r>
      <w:r w:rsidRPr="00D715AF">
        <w:rPr>
          <w:sz w:val="24"/>
          <w:szCs w:val="24"/>
        </w:rPr>
        <w:t xml:space="preserve"> (46 313 tis. eur), </w:t>
      </w:r>
      <w:r w:rsidRPr="00D715AF">
        <w:rPr>
          <w:b/>
          <w:i/>
          <w:sz w:val="24"/>
          <w:szCs w:val="24"/>
        </w:rPr>
        <w:t>potraviny</w:t>
      </w:r>
      <w:r w:rsidRPr="00D715AF">
        <w:rPr>
          <w:sz w:val="24"/>
          <w:szCs w:val="24"/>
        </w:rPr>
        <w:t xml:space="preserve"> (21 588 tis. eur), </w:t>
      </w:r>
      <w:r w:rsidRPr="00D715AF">
        <w:rPr>
          <w:b/>
          <w:i/>
          <w:sz w:val="24"/>
          <w:szCs w:val="24"/>
        </w:rPr>
        <w:t>výpočtovú</w:t>
      </w:r>
      <w:r w:rsidRPr="00D715AF">
        <w:rPr>
          <w:sz w:val="24"/>
          <w:szCs w:val="24"/>
        </w:rPr>
        <w:t xml:space="preserve"> </w:t>
      </w:r>
      <w:r w:rsidRPr="00D715AF">
        <w:rPr>
          <w:b/>
          <w:i/>
          <w:sz w:val="24"/>
          <w:szCs w:val="24"/>
        </w:rPr>
        <w:t>techniku</w:t>
      </w:r>
      <w:r w:rsidRPr="00D715AF">
        <w:rPr>
          <w:sz w:val="24"/>
          <w:szCs w:val="24"/>
        </w:rPr>
        <w:t xml:space="preserve"> (16 895 tis</w:t>
      </w:r>
      <w:r w:rsidR="008F23E5" w:rsidRPr="00D715AF">
        <w:rPr>
          <w:sz w:val="24"/>
          <w:szCs w:val="24"/>
        </w:rPr>
        <w:t>.</w:t>
      </w:r>
      <w:r w:rsidRPr="00D715AF">
        <w:rPr>
          <w:sz w:val="24"/>
          <w:szCs w:val="24"/>
        </w:rPr>
        <w:t> eur).</w:t>
      </w:r>
    </w:p>
    <w:p w14:paraId="6C121008" w14:textId="0650302A" w:rsidR="00867564" w:rsidRPr="00D715AF" w:rsidRDefault="00867564" w:rsidP="001665F3">
      <w:pPr>
        <w:spacing w:line="240" w:lineRule="auto"/>
        <w:rPr>
          <w:sz w:val="24"/>
          <w:szCs w:val="24"/>
        </w:rPr>
      </w:pPr>
      <w:r w:rsidRPr="00D715AF">
        <w:rPr>
          <w:b/>
          <w:sz w:val="24"/>
          <w:szCs w:val="24"/>
        </w:rPr>
        <w:t>Rutinná a štandardná údržba</w:t>
      </w:r>
      <w:r w:rsidRPr="00D715AF">
        <w:rPr>
          <w:sz w:val="24"/>
          <w:szCs w:val="24"/>
        </w:rPr>
        <w:t xml:space="preserve"> predstavovala výdavky v sume 343 076 tis. eur.</w:t>
      </w:r>
      <w:r w:rsidRPr="00D715AF">
        <w:rPr>
          <w:color w:val="FF0000"/>
          <w:sz w:val="24"/>
          <w:szCs w:val="24"/>
        </w:rPr>
        <w:t xml:space="preserve"> </w:t>
      </w:r>
      <w:r w:rsidRPr="00D715AF">
        <w:rPr>
          <w:sz w:val="24"/>
          <w:szCs w:val="24"/>
        </w:rPr>
        <w:t xml:space="preserve">Išlo najmä o dodávateľsky obstarávané práce a výkony, ktorými sa zabezpečuje bežná prevádzka majetku, napr. budov, prevádzkového zariadenia, kancelárskeho vybavenia, softvéru a pod. Objemovo najväčšie čerpanie si vyžiadala údržba </w:t>
      </w:r>
      <w:r w:rsidRPr="00D715AF">
        <w:rPr>
          <w:b/>
          <w:i/>
          <w:sz w:val="24"/>
          <w:szCs w:val="24"/>
        </w:rPr>
        <w:t>softvéru</w:t>
      </w:r>
      <w:r w:rsidRPr="00D715AF">
        <w:rPr>
          <w:sz w:val="24"/>
          <w:szCs w:val="24"/>
        </w:rPr>
        <w:t xml:space="preserve"> (123 895 tis. eur), údržba </w:t>
      </w:r>
      <w:r w:rsidRPr="00D715AF">
        <w:rPr>
          <w:b/>
          <w:i/>
          <w:sz w:val="24"/>
          <w:szCs w:val="24"/>
        </w:rPr>
        <w:t>špeciálnych strojov, prístrojov, zariadení</w:t>
      </w:r>
      <w:r w:rsidRPr="00D715AF">
        <w:rPr>
          <w:sz w:val="24"/>
          <w:szCs w:val="24"/>
        </w:rPr>
        <w:t xml:space="preserve"> </w:t>
      </w:r>
      <w:r w:rsidRPr="00D715AF">
        <w:rPr>
          <w:b/>
          <w:i/>
          <w:sz w:val="24"/>
          <w:szCs w:val="24"/>
        </w:rPr>
        <w:t xml:space="preserve">a techniky </w:t>
      </w:r>
      <w:r w:rsidRPr="00D715AF">
        <w:rPr>
          <w:sz w:val="24"/>
          <w:szCs w:val="24"/>
        </w:rPr>
        <w:t xml:space="preserve">(72 925 tis. eur), údržba </w:t>
      </w:r>
      <w:r w:rsidRPr="00D715AF">
        <w:rPr>
          <w:b/>
          <w:i/>
          <w:sz w:val="24"/>
          <w:szCs w:val="24"/>
        </w:rPr>
        <w:t>budov, objektov alebo ich častí</w:t>
      </w:r>
      <w:r w:rsidRPr="00D715AF">
        <w:rPr>
          <w:sz w:val="24"/>
          <w:szCs w:val="24"/>
        </w:rPr>
        <w:t xml:space="preserve"> (67 896 tis. eur), </w:t>
      </w:r>
      <w:r w:rsidRPr="00D715AF">
        <w:rPr>
          <w:b/>
          <w:i/>
          <w:sz w:val="24"/>
          <w:szCs w:val="24"/>
        </w:rPr>
        <w:t>komunikačnej infraštruktúry</w:t>
      </w:r>
      <w:r w:rsidRPr="00D715AF">
        <w:rPr>
          <w:sz w:val="24"/>
          <w:szCs w:val="24"/>
        </w:rPr>
        <w:t xml:space="preserve"> (32 636 tis. eur) a ďalej údržba </w:t>
      </w:r>
      <w:r w:rsidRPr="00D715AF">
        <w:rPr>
          <w:b/>
          <w:i/>
          <w:sz w:val="24"/>
          <w:szCs w:val="24"/>
        </w:rPr>
        <w:t>prevádzkových strojov, prístrojov, zariadení</w:t>
      </w:r>
      <w:r w:rsidRPr="00D715AF">
        <w:rPr>
          <w:sz w:val="24"/>
          <w:szCs w:val="24"/>
        </w:rPr>
        <w:t xml:space="preserve"> </w:t>
      </w:r>
      <w:r w:rsidRPr="00D715AF">
        <w:rPr>
          <w:rFonts w:cs="Times New Roman"/>
          <w:b/>
          <w:i/>
          <w:sz w:val="24"/>
          <w:szCs w:val="24"/>
          <w:shd w:val="clear" w:color="auto" w:fill="FFFFFF"/>
        </w:rPr>
        <w:t>techniky a náradia</w:t>
      </w:r>
      <w:r w:rsidRPr="00D715AF">
        <w:rPr>
          <w:sz w:val="24"/>
          <w:szCs w:val="24"/>
        </w:rPr>
        <w:t xml:space="preserve"> (16 410 tis. eur), </w:t>
      </w:r>
      <w:r w:rsidRPr="00D715AF">
        <w:rPr>
          <w:b/>
          <w:i/>
          <w:sz w:val="24"/>
          <w:szCs w:val="24"/>
        </w:rPr>
        <w:t>výpočtovej techniky</w:t>
      </w:r>
      <w:r w:rsidRPr="00D715AF">
        <w:rPr>
          <w:sz w:val="24"/>
          <w:szCs w:val="24"/>
        </w:rPr>
        <w:t xml:space="preserve"> (14 601 tis. eur) a</w:t>
      </w:r>
      <w:r w:rsidR="00F960F6" w:rsidRPr="00D715AF">
        <w:rPr>
          <w:sz w:val="24"/>
          <w:szCs w:val="24"/>
        </w:rPr>
        <w:t xml:space="preserve"> </w:t>
      </w:r>
      <w:r w:rsidRPr="00D715AF">
        <w:rPr>
          <w:b/>
          <w:i/>
          <w:sz w:val="24"/>
          <w:szCs w:val="24"/>
        </w:rPr>
        <w:t xml:space="preserve">telekomunikačnej techniky </w:t>
      </w:r>
      <w:r w:rsidRPr="00D715AF">
        <w:rPr>
          <w:sz w:val="24"/>
          <w:szCs w:val="24"/>
        </w:rPr>
        <w:t>(14 342 tis. eur).</w:t>
      </w:r>
    </w:p>
    <w:p w14:paraId="0BFDE8F6" w14:textId="3355F5D9" w:rsidR="00867564" w:rsidRPr="00D715AF" w:rsidRDefault="00867564" w:rsidP="001665F3">
      <w:pPr>
        <w:spacing w:line="240" w:lineRule="auto"/>
        <w:rPr>
          <w:rFonts w:cs="Times New Roman"/>
          <w:color w:val="FF0000"/>
          <w:sz w:val="24"/>
          <w:szCs w:val="24"/>
        </w:rPr>
      </w:pPr>
      <w:r w:rsidRPr="00D715AF">
        <w:rPr>
          <w:sz w:val="24"/>
          <w:szCs w:val="24"/>
        </w:rPr>
        <w:t xml:space="preserve">Najvyšší objem finančných prostriedkov na </w:t>
      </w:r>
      <w:r w:rsidRPr="00D715AF">
        <w:rPr>
          <w:b/>
          <w:i/>
          <w:sz w:val="24"/>
          <w:szCs w:val="24"/>
        </w:rPr>
        <w:t>údržbu softvéru</w:t>
      </w:r>
      <w:r w:rsidRPr="00D715AF">
        <w:rPr>
          <w:sz w:val="24"/>
          <w:szCs w:val="24"/>
        </w:rPr>
        <w:t xml:space="preserve"> čerpalo</w:t>
      </w:r>
      <w:r w:rsidRPr="00D715AF">
        <w:rPr>
          <w:color w:val="FF0000"/>
          <w:sz w:val="24"/>
          <w:szCs w:val="24"/>
        </w:rPr>
        <w:t xml:space="preserve"> </w:t>
      </w:r>
      <w:r w:rsidRPr="00D715AF">
        <w:rPr>
          <w:sz w:val="24"/>
          <w:szCs w:val="24"/>
        </w:rPr>
        <w:t>Ministerstvo financií SR v sume 42 275 tis. eur. V rámci tejto podpoložky boli čerpané aj zdroje EÚ a príslušné spolufinancovanie. Oproti schválenému rozpočtu boli skutočné výdavky</w:t>
      </w:r>
      <w:r w:rsidRPr="00D715AF">
        <w:rPr>
          <w:color w:val="FF0000"/>
          <w:sz w:val="24"/>
          <w:szCs w:val="24"/>
        </w:rPr>
        <w:t xml:space="preserve"> </w:t>
      </w:r>
      <w:r w:rsidRPr="00D715AF">
        <w:rPr>
          <w:sz w:val="24"/>
          <w:szCs w:val="24"/>
        </w:rPr>
        <w:t>vyššie o 22 103 tis. eur, najmä z dôvodu</w:t>
      </w:r>
      <w:r w:rsidRPr="00D715AF">
        <w:rPr>
          <w:color w:val="FF0000"/>
          <w:sz w:val="24"/>
          <w:szCs w:val="24"/>
        </w:rPr>
        <w:t xml:space="preserve"> </w:t>
      </w:r>
      <w:r w:rsidRPr="00D715AF">
        <w:rPr>
          <w:rFonts w:cs="Times New Roman"/>
          <w:sz w:val="24"/>
          <w:szCs w:val="24"/>
        </w:rPr>
        <w:t>priebežného uvoľňovania finančných prostriedkov z kapitoly Všeobecná pokladničná správa na financovanie obstarávaných centrálnych licenčných zmlúv (SAP a ORACLE), financovanie rozpočtového informačného systému, informačného systému pre</w:t>
      </w:r>
      <w:r w:rsidR="00676CEF" w:rsidRPr="00D715AF">
        <w:rPr>
          <w:rFonts w:cs="Times New Roman"/>
          <w:sz w:val="24"/>
          <w:szCs w:val="24"/>
        </w:rPr>
        <w:t> </w:t>
      </w:r>
      <w:r w:rsidRPr="00D715AF">
        <w:rPr>
          <w:rFonts w:cs="Times New Roman"/>
          <w:sz w:val="24"/>
          <w:szCs w:val="24"/>
        </w:rPr>
        <w:t>podporu boja proti podvodom, zabezpečenia financovania legislatívnych zmien do daňových a colných informačných systémov a iné.</w:t>
      </w:r>
      <w:r w:rsidRPr="00D715AF">
        <w:rPr>
          <w:rFonts w:cs="Times New Roman"/>
          <w:color w:val="FF0000"/>
          <w:sz w:val="24"/>
          <w:szCs w:val="24"/>
        </w:rPr>
        <w:t xml:space="preserve"> </w:t>
      </w:r>
    </w:p>
    <w:p w14:paraId="26DEE821" w14:textId="4D5466F1" w:rsidR="00867564" w:rsidRPr="00D715AF" w:rsidRDefault="00867564" w:rsidP="001665F3">
      <w:pPr>
        <w:spacing w:line="240" w:lineRule="auto"/>
        <w:rPr>
          <w:sz w:val="24"/>
          <w:szCs w:val="24"/>
        </w:rPr>
      </w:pPr>
      <w:r w:rsidRPr="00D715AF">
        <w:rPr>
          <w:sz w:val="24"/>
          <w:szCs w:val="24"/>
        </w:rPr>
        <w:t xml:space="preserve">Najvyšší objem finančných prostriedkov na údržbu </w:t>
      </w:r>
      <w:r w:rsidRPr="00D715AF">
        <w:rPr>
          <w:b/>
          <w:i/>
          <w:sz w:val="24"/>
          <w:szCs w:val="24"/>
        </w:rPr>
        <w:t xml:space="preserve">špeciálnych strojov, prístrojov, zariadení a techniky </w:t>
      </w:r>
      <w:r w:rsidRPr="00D715AF">
        <w:rPr>
          <w:sz w:val="24"/>
          <w:szCs w:val="24"/>
        </w:rPr>
        <w:t>čerpalo najmä Ministerstvo obrany SR, a to 59 303 tis. eur na údržbu pozemnej a leteckej techniky ozbrojených síl SR.</w:t>
      </w:r>
    </w:p>
    <w:p w14:paraId="507C0DC2" w14:textId="3E14F405" w:rsidR="00867564" w:rsidRPr="00D715AF" w:rsidRDefault="00867564" w:rsidP="001665F3">
      <w:pPr>
        <w:spacing w:line="240" w:lineRule="auto"/>
        <w:rPr>
          <w:sz w:val="24"/>
          <w:szCs w:val="24"/>
        </w:rPr>
      </w:pPr>
      <w:r w:rsidRPr="00D715AF">
        <w:rPr>
          <w:sz w:val="24"/>
          <w:szCs w:val="24"/>
        </w:rPr>
        <w:t xml:space="preserve">Na výdavkoch spojených s údržbou </w:t>
      </w:r>
      <w:r w:rsidRPr="00D715AF">
        <w:rPr>
          <w:b/>
          <w:i/>
          <w:sz w:val="24"/>
          <w:szCs w:val="24"/>
        </w:rPr>
        <w:t>budov a objektov alebo ich častí</w:t>
      </w:r>
      <w:r w:rsidRPr="00D715AF">
        <w:rPr>
          <w:sz w:val="24"/>
          <w:szCs w:val="24"/>
        </w:rPr>
        <w:t xml:space="preserve"> použila kapitola Ministerstva dopravy a výstavby SR</w:t>
      </w:r>
      <w:r w:rsidR="003F0535" w:rsidRPr="00D715AF">
        <w:rPr>
          <w:sz w:val="24"/>
          <w:szCs w:val="24"/>
        </w:rPr>
        <w:t xml:space="preserve"> </w:t>
      </w:r>
      <w:r w:rsidRPr="00D715AF">
        <w:rPr>
          <w:sz w:val="24"/>
          <w:szCs w:val="24"/>
        </w:rPr>
        <w:t>finančné prostriedky v sume 38 104 tis. eur, z toho</w:t>
      </w:r>
      <w:r w:rsidRPr="00D715AF">
        <w:rPr>
          <w:rFonts w:cs="Times New Roman"/>
          <w:sz w:val="24"/>
          <w:szCs w:val="24"/>
        </w:rPr>
        <w:t xml:space="preserve"> Slovenská správa ciest sumu 37 991 tis. eur na bežnú údržbu a opravy úsekov ciest I. triedy.</w:t>
      </w:r>
      <w:r w:rsidRPr="00D715AF">
        <w:rPr>
          <w:sz w:val="24"/>
          <w:szCs w:val="24"/>
        </w:rPr>
        <w:t xml:space="preserve"> Na</w:t>
      </w:r>
      <w:r w:rsidR="00676CEF" w:rsidRPr="00D715AF">
        <w:rPr>
          <w:sz w:val="24"/>
          <w:szCs w:val="24"/>
        </w:rPr>
        <w:t> </w:t>
      </w:r>
      <w:r w:rsidRPr="00D715AF">
        <w:rPr>
          <w:sz w:val="24"/>
          <w:szCs w:val="24"/>
        </w:rPr>
        <w:t>týchto výdavkoch sa významne podieľalo</w:t>
      </w:r>
      <w:r w:rsidRPr="00D715AF">
        <w:rPr>
          <w:color w:val="FF0000"/>
          <w:sz w:val="24"/>
          <w:szCs w:val="24"/>
        </w:rPr>
        <w:t xml:space="preserve"> </w:t>
      </w:r>
      <w:r w:rsidRPr="00D715AF">
        <w:rPr>
          <w:sz w:val="24"/>
          <w:szCs w:val="24"/>
        </w:rPr>
        <w:t>aj Ministerstvo vnútra SR</w:t>
      </w:r>
      <w:r w:rsidR="00F87CEC" w:rsidRPr="00D715AF">
        <w:rPr>
          <w:sz w:val="24"/>
          <w:szCs w:val="24"/>
        </w:rPr>
        <w:t xml:space="preserve"> sumou</w:t>
      </w:r>
      <w:r w:rsidRPr="00D715AF">
        <w:rPr>
          <w:b/>
          <w:sz w:val="24"/>
          <w:szCs w:val="24"/>
        </w:rPr>
        <w:t xml:space="preserve"> </w:t>
      </w:r>
      <w:r w:rsidRPr="00D715AF">
        <w:rPr>
          <w:sz w:val="24"/>
          <w:szCs w:val="24"/>
        </w:rPr>
        <w:t>12 015 tis. eur, ktoré ich</w:t>
      </w:r>
      <w:r w:rsidRPr="00D715AF">
        <w:rPr>
          <w:b/>
          <w:bCs/>
          <w:sz w:val="24"/>
          <w:szCs w:val="24"/>
        </w:rPr>
        <w:t xml:space="preserve"> </w:t>
      </w:r>
      <w:r w:rsidRPr="00D715AF">
        <w:rPr>
          <w:bCs/>
          <w:sz w:val="24"/>
          <w:szCs w:val="24"/>
        </w:rPr>
        <w:t>p</w:t>
      </w:r>
      <w:r w:rsidRPr="00D715AF">
        <w:rPr>
          <w:sz w:val="24"/>
          <w:szCs w:val="24"/>
        </w:rPr>
        <w:t>oužilo na úhradu výdavkov za práce a služby, ktorými sa zabezpečuje bežná prevádzka majetku, stavebné práce, údržba a opravy.</w:t>
      </w:r>
    </w:p>
    <w:p w14:paraId="4228A82A" w14:textId="09D6CA2A" w:rsidR="00867564" w:rsidRPr="00D715AF" w:rsidRDefault="00867564" w:rsidP="001665F3">
      <w:pPr>
        <w:spacing w:line="240" w:lineRule="auto"/>
        <w:rPr>
          <w:rFonts w:cs="Times New Roman"/>
          <w:sz w:val="24"/>
          <w:szCs w:val="24"/>
        </w:rPr>
      </w:pPr>
      <w:r w:rsidRPr="00D715AF">
        <w:rPr>
          <w:rFonts w:cs="Times New Roman"/>
          <w:sz w:val="24"/>
          <w:szCs w:val="24"/>
        </w:rPr>
        <w:t xml:space="preserve">Položku </w:t>
      </w:r>
      <w:r w:rsidRPr="00D715AF">
        <w:rPr>
          <w:rFonts w:cs="Times New Roman"/>
          <w:b/>
          <w:sz w:val="24"/>
          <w:szCs w:val="24"/>
        </w:rPr>
        <w:t>energie, voda a komunikácie</w:t>
      </w:r>
      <w:r w:rsidRPr="00D715AF">
        <w:rPr>
          <w:rFonts w:cs="Times New Roman"/>
          <w:sz w:val="24"/>
          <w:szCs w:val="24"/>
        </w:rPr>
        <w:t>, ktorá dosiahla úhrnom sumu 198 151 tis. eur, tvoria prevažne výdavky na všetky druhy energií, poštové a telekomunikačné služby, ako aj výdavky na</w:t>
      </w:r>
      <w:r w:rsidR="00676CEF" w:rsidRPr="00D715AF">
        <w:rPr>
          <w:rFonts w:cs="Times New Roman"/>
          <w:sz w:val="24"/>
          <w:szCs w:val="24"/>
        </w:rPr>
        <w:t> </w:t>
      </w:r>
      <w:r w:rsidRPr="00D715AF">
        <w:rPr>
          <w:rFonts w:cs="Times New Roman"/>
          <w:sz w:val="24"/>
          <w:szCs w:val="24"/>
        </w:rPr>
        <w:t>komunikačnú infraštruktúru. V rozhodujúcej miere sa na nich podieľajú úhrady</w:t>
      </w:r>
      <w:r w:rsidRPr="00D715AF">
        <w:rPr>
          <w:rFonts w:cs="Times New Roman"/>
          <w:color w:val="FF0000"/>
          <w:sz w:val="24"/>
          <w:szCs w:val="24"/>
        </w:rPr>
        <w:t xml:space="preserve"> </w:t>
      </w:r>
      <w:r w:rsidRPr="00D715AF">
        <w:rPr>
          <w:rFonts w:cs="Times New Roman"/>
          <w:b/>
          <w:i/>
          <w:sz w:val="24"/>
          <w:szCs w:val="24"/>
        </w:rPr>
        <w:t>energií</w:t>
      </w:r>
      <w:r w:rsidRPr="00D715AF">
        <w:rPr>
          <w:rFonts w:cs="Times New Roman"/>
          <w:sz w:val="24"/>
          <w:szCs w:val="24"/>
        </w:rPr>
        <w:t xml:space="preserve"> (82 858 tis. eur) a </w:t>
      </w:r>
      <w:r w:rsidRPr="00D715AF">
        <w:rPr>
          <w:rFonts w:cs="Times New Roman"/>
          <w:b/>
          <w:i/>
          <w:sz w:val="24"/>
          <w:szCs w:val="24"/>
        </w:rPr>
        <w:t>komunikačná infraštruktúra</w:t>
      </w:r>
      <w:r w:rsidRPr="00D715AF">
        <w:rPr>
          <w:rFonts w:cs="Times New Roman"/>
          <w:sz w:val="24"/>
          <w:szCs w:val="24"/>
        </w:rPr>
        <w:t xml:space="preserve"> (64 011 tis. eur). V rámci komunikačnej infraštruktúry sa uhrádzajú napríklad poplatky za užívanie rezortných a medzinárodných spojovacích sietí, elektronický prenos dát, prístup k internetu, poplatok za vydanie kvalifikovaného certifikátu pre elektronický podpis a podobne. Na energiách sa významne podieľajú najmä kapitoly</w:t>
      </w:r>
      <w:r w:rsidRPr="00D715AF">
        <w:rPr>
          <w:rFonts w:cs="Times New Roman"/>
          <w:color w:val="FF0000"/>
          <w:sz w:val="24"/>
          <w:szCs w:val="24"/>
        </w:rPr>
        <w:t xml:space="preserve"> </w:t>
      </w:r>
      <w:r w:rsidRPr="00D715AF">
        <w:rPr>
          <w:rFonts w:cs="Times New Roman"/>
          <w:sz w:val="24"/>
          <w:szCs w:val="24"/>
        </w:rPr>
        <w:t>Ministerstvo vnútra SR (28 916 tis. eur) a Ministerstvo obrany SR (19 420 tis. eur) a na komunikačnej infraštruktúre</w:t>
      </w:r>
      <w:r w:rsidRPr="00D715AF">
        <w:rPr>
          <w:rFonts w:cs="Times New Roman"/>
          <w:color w:val="FF0000"/>
          <w:sz w:val="24"/>
          <w:szCs w:val="24"/>
        </w:rPr>
        <w:t xml:space="preserve"> </w:t>
      </w:r>
      <w:r w:rsidRPr="00D715AF">
        <w:rPr>
          <w:rFonts w:cs="Times New Roman"/>
          <w:sz w:val="24"/>
          <w:szCs w:val="24"/>
        </w:rPr>
        <w:t xml:space="preserve">Ministerstvo vnútra SR (16 807 tis. eur) a Ministerstvo školstva, vedy, výskumu a športu SR (16 053 tis. eur). </w:t>
      </w:r>
    </w:p>
    <w:p w14:paraId="2CC8212F" w14:textId="48A61A25" w:rsidR="00867564" w:rsidRPr="00D715AF" w:rsidRDefault="00867564" w:rsidP="001665F3">
      <w:pPr>
        <w:suppressAutoHyphens/>
        <w:spacing w:line="240" w:lineRule="auto"/>
        <w:rPr>
          <w:b/>
          <w:i/>
          <w:color w:val="FF0000"/>
          <w:sz w:val="24"/>
          <w:szCs w:val="24"/>
        </w:rPr>
      </w:pPr>
      <w:r w:rsidRPr="00D715AF">
        <w:rPr>
          <w:sz w:val="24"/>
          <w:szCs w:val="24"/>
        </w:rPr>
        <w:t xml:space="preserve">Výdavky na </w:t>
      </w:r>
      <w:r w:rsidRPr="00D715AF">
        <w:rPr>
          <w:b/>
          <w:sz w:val="24"/>
          <w:szCs w:val="24"/>
        </w:rPr>
        <w:t xml:space="preserve">nájomné za nájom </w:t>
      </w:r>
      <w:r w:rsidRPr="00D715AF">
        <w:rPr>
          <w:sz w:val="24"/>
          <w:szCs w:val="24"/>
        </w:rPr>
        <w:t>dosiahli súhrnne 177 259 tis. eur, z toho za nájom budov a</w:t>
      </w:r>
      <w:r w:rsidR="00676CEF" w:rsidRPr="00D715AF">
        <w:rPr>
          <w:sz w:val="24"/>
          <w:szCs w:val="24"/>
        </w:rPr>
        <w:t> </w:t>
      </w:r>
      <w:r w:rsidRPr="00D715AF">
        <w:rPr>
          <w:sz w:val="24"/>
          <w:szCs w:val="24"/>
        </w:rPr>
        <w:t xml:space="preserve">objektov alebo ich častí 174 784 tis. eur. Najvýznamnejšiu sumu čerpalo Ministerstvo dopravy a výstavby SR </w:t>
      </w:r>
      <w:r w:rsidRPr="00D715AF">
        <w:rPr>
          <w:rFonts w:cs="Times New Roman"/>
          <w:sz w:val="24"/>
          <w:szCs w:val="24"/>
        </w:rPr>
        <w:t xml:space="preserve">v sume 130 282 tis. eur, hlavne na úhradu </w:t>
      </w:r>
      <w:proofErr w:type="spellStart"/>
      <w:r w:rsidRPr="00D715AF">
        <w:rPr>
          <w:rFonts w:cs="Times New Roman"/>
          <w:sz w:val="24"/>
          <w:szCs w:val="24"/>
        </w:rPr>
        <w:t>nerozporovaných</w:t>
      </w:r>
      <w:proofErr w:type="spellEnd"/>
      <w:r w:rsidRPr="00D715AF">
        <w:rPr>
          <w:rFonts w:cs="Times New Roman"/>
          <w:sz w:val="24"/>
          <w:szCs w:val="24"/>
        </w:rPr>
        <w:t xml:space="preserve"> častí mesačných jednotkových platieb za mesiace november a december 2019 a január až október 2020 fakturovaných spoločnosťou GRANVIA, a.s. v súlade s Koncesnou zmluvou R1, a to v sume 126 273 tis. eur.</w:t>
      </w:r>
      <w:r w:rsidRPr="00D715AF">
        <w:rPr>
          <w:color w:val="FF0000"/>
          <w:sz w:val="24"/>
          <w:szCs w:val="24"/>
        </w:rPr>
        <w:t xml:space="preserve"> </w:t>
      </w:r>
    </w:p>
    <w:p w14:paraId="14ADDE52" w14:textId="3056AE1F" w:rsidR="00867564" w:rsidRPr="00D715AF" w:rsidRDefault="00867564" w:rsidP="001665F3">
      <w:pPr>
        <w:suppressAutoHyphens/>
        <w:spacing w:line="240" w:lineRule="auto"/>
        <w:rPr>
          <w:rFonts w:cs="Times New Roman"/>
          <w:sz w:val="24"/>
          <w:szCs w:val="24"/>
        </w:rPr>
      </w:pPr>
      <w:r w:rsidRPr="00D715AF">
        <w:rPr>
          <w:sz w:val="24"/>
          <w:szCs w:val="24"/>
        </w:rPr>
        <w:t xml:space="preserve">V </w:t>
      </w:r>
      <w:r w:rsidRPr="00D715AF">
        <w:rPr>
          <w:b/>
          <w:sz w:val="24"/>
          <w:szCs w:val="24"/>
        </w:rPr>
        <w:t>dopravnom</w:t>
      </w:r>
      <w:r w:rsidRPr="00D715AF">
        <w:rPr>
          <w:b/>
          <w:i/>
          <w:sz w:val="24"/>
          <w:szCs w:val="24"/>
        </w:rPr>
        <w:t xml:space="preserve"> </w:t>
      </w:r>
      <w:r w:rsidRPr="00D715AF">
        <w:rPr>
          <w:sz w:val="24"/>
          <w:szCs w:val="24"/>
        </w:rPr>
        <w:t>sú zahrnuté celkové výdavky vo výške 75 780 tis. eur, z toho na pohonné hmoty</w:t>
      </w:r>
      <w:r w:rsidR="003F0535" w:rsidRPr="00D715AF">
        <w:rPr>
          <w:sz w:val="24"/>
          <w:szCs w:val="24"/>
        </w:rPr>
        <w:t xml:space="preserve"> </w:t>
      </w:r>
      <w:r w:rsidRPr="00D715AF">
        <w:rPr>
          <w:sz w:val="24"/>
          <w:szCs w:val="24"/>
        </w:rPr>
        <w:t>32 000 tis. eur a na servis dopravných prostriedkov, údržbu, opravy a výdavky s tým spojené bolo vynaložených 31 505 tis. eur. Rozhodujúcou kapitolou v tejto podpoložke je Ministerstvo vnútra SR (20 148 tis. eur),</w:t>
      </w:r>
      <w:r w:rsidRPr="00D715AF">
        <w:rPr>
          <w:color w:val="FF0000"/>
          <w:sz w:val="24"/>
          <w:szCs w:val="24"/>
        </w:rPr>
        <w:t xml:space="preserve"> </w:t>
      </w:r>
      <w:r w:rsidRPr="00D715AF">
        <w:rPr>
          <w:rFonts w:cs="Times New Roman"/>
          <w:sz w:val="24"/>
          <w:szCs w:val="24"/>
        </w:rPr>
        <w:t xml:space="preserve">ktoré použilo tieto </w:t>
      </w:r>
      <w:r w:rsidRPr="00D715AF">
        <w:rPr>
          <w:rFonts w:cs="Times New Roman"/>
          <w:sz w:val="24"/>
          <w:szCs w:val="24"/>
          <w:shd w:val="clear" w:color="auto" w:fill="FFFFFF"/>
        </w:rPr>
        <w:t>finančné prostriedky najmä na servisné prehliadky, údržbu a opravu automobilov v hodnote 14 763 tis. eur, servis, údržbu a opravy leteckej techniky v sume 3 202 tis. eur a v rámci prevencie COVID-19 boli zvýšené výdavky na</w:t>
      </w:r>
      <w:r w:rsidR="00FC7EAC">
        <w:rPr>
          <w:rFonts w:cs="Times New Roman"/>
          <w:sz w:val="24"/>
          <w:szCs w:val="24"/>
          <w:shd w:val="clear" w:color="auto" w:fill="FFFFFF"/>
        </w:rPr>
        <w:t> </w:t>
      </w:r>
      <w:r w:rsidRPr="00D715AF">
        <w:rPr>
          <w:rFonts w:cs="Times New Roman"/>
          <w:sz w:val="24"/>
          <w:szCs w:val="24"/>
          <w:shd w:val="clear" w:color="auto" w:fill="FFFFFF"/>
        </w:rPr>
        <w:t>pravidelnú dezinfekciu vozidiel.</w:t>
      </w:r>
      <w:r w:rsidRPr="00D715AF">
        <w:rPr>
          <w:rFonts w:cs="Times New Roman"/>
          <w:sz w:val="24"/>
          <w:szCs w:val="24"/>
        </w:rPr>
        <w:t xml:space="preserve"> </w:t>
      </w:r>
    </w:p>
    <w:p w14:paraId="6486D4D9" w14:textId="78C0DD14" w:rsidR="00867564" w:rsidRPr="00A1063B" w:rsidRDefault="00867564" w:rsidP="00A1063B">
      <w:pPr>
        <w:spacing w:before="240"/>
        <w:rPr>
          <w:b/>
          <w:color w:val="5B9BD5" w:themeColor="accent1"/>
          <w:sz w:val="24"/>
          <w:szCs w:val="24"/>
        </w:rPr>
      </w:pPr>
      <w:r w:rsidRPr="00A1063B">
        <w:rPr>
          <w:b/>
          <w:color w:val="5B9BD5" w:themeColor="accent1"/>
          <w:sz w:val="24"/>
          <w:szCs w:val="24"/>
        </w:rPr>
        <w:t>Bežné transfery</w:t>
      </w:r>
    </w:p>
    <w:p w14:paraId="23A06B84" w14:textId="77777777" w:rsidR="00867564" w:rsidRPr="001B4861" w:rsidRDefault="00867564" w:rsidP="001665F3">
      <w:pPr>
        <w:spacing w:line="240" w:lineRule="auto"/>
      </w:pPr>
      <w:r w:rsidRPr="00D715AF">
        <w:rPr>
          <w:sz w:val="24"/>
          <w:szCs w:val="24"/>
        </w:rPr>
        <w:t>Transfery, ako platby jednotlivcom alebo skupinám subjektov tvorili</w:t>
      </w:r>
      <w:r w:rsidRPr="00D715AF">
        <w:rPr>
          <w:color w:val="FF0000"/>
          <w:sz w:val="24"/>
          <w:szCs w:val="24"/>
        </w:rPr>
        <w:t xml:space="preserve"> </w:t>
      </w:r>
      <w:r w:rsidRPr="00D715AF">
        <w:rPr>
          <w:sz w:val="24"/>
          <w:szCs w:val="24"/>
        </w:rPr>
        <w:t>v roku 2020 až</w:t>
      </w:r>
      <w:r w:rsidRPr="00D715AF">
        <w:rPr>
          <w:color w:val="FF0000"/>
          <w:sz w:val="24"/>
          <w:szCs w:val="24"/>
        </w:rPr>
        <w:t xml:space="preserve"> </w:t>
      </w:r>
      <w:r w:rsidRPr="00D715AF">
        <w:rPr>
          <w:sz w:val="24"/>
          <w:szCs w:val="24"/>
        </w:rPr>
        <w:t>64,1 % z celkových výdavkov štátneho rozpočtu.</w:t>
      </w:r>
      <w:r w:rsidRPr="001B4861">
        <w:t xml:space="preserve"> </w:t>
      </w:r>
    </w:p>
    <w:p w14:paraId="5C4962E5" w14:textId="0477AE29" w:rsidR="005C4AEB" w:rsidRDefault="00867564" w:rsidP="001665F3">
      <w:pPr>
        <w:spacing w:line="240" w:lineRule="auto"/>
        <w:rPr>
          <w:sz w:val="24"/>
          <w:szCs w:val="24"/>
        </w:rPr>
      </w:pPr>
      <w:r w:rsidRPr="00D715AF">
        <w:rPr>
          <w:sz w:val="24"/>
          <w:szCs w:val="24"/>
        </w:rPr>
        <w:t>Bežné transfery boli realizované zo štátneho rozpočtu vo výške 15 076 858 tis. eur, pričom rozpočet bol schválený vo výške 10 974 578 tis. eur. Prehľad bežných transferov podľa skupín prijímateľov poskytuje nasledovná tabuľka:</w:t>
      </w:r>
    </w:p>
    <w:p w14:paraId="7E611410" w14:textId="77777777" w:rsidR="005C4AEB" w:rsidRDefault="005C4AEB">
      <w:pPr>
        <w:spacing w:after="160" w:line="259" w:lineRule="auto"/>
        <w:jc w:val="left"/>
        <w:rPr>
          <w:sz w:val="24"/>
          <w:szCs w:val="24"/>
        </w:rPr>
      </w:pPr>
      <w:r>
        <w:rPr>
          <w:sz w:val="24"/>
          <w:szCs w:val="24"/>
        </w:rPr>
        <w:br w:type="page"/>
      </w:r>
    </w:p>
    <w:tbl>
      <w:tblPr>
        <w:tblW w:w="9082" w:type="dxa"/>
        <w:jc w:val="center"/>
        <w:tblCellMar>
          <w:left w:w="70" w:type="dxa"/>
          <w:right w:w="70" w:type="dxa"/>
        </w:tblCellMar>
        <w:tblLook w:val="04A0" w:firstRow="1" w:lastRow="0" w:firstColumn="1" w:lastColumn="0" w:noHBand="0" w:noVBand="1"/>
      </w:tblPr>
      <w:tblGrid>
        <w:gridCol w:w="2860"/>
        <w:gridCol w:w="1039"/>
        <w:gridCol w:w="1087"/>
        <w:gridCol w:w="1134"/>
        <w:gridCol w:w="1110"/>
        <w:gridCol w:w="1002"/>
        <w:gridCol w:w="850"/>
      </w:tblGrid>
      <w:tr w:rsidR="00867564" w:rsidRPr="0058288E" w14:paraId="3E5680E3" w14:textId="77777777" w:rsidTr="00C53668">
        <w:trPr>
          <w:trHeight w:val="395"/>
          <w:jc w:val="center"/>
        </w:trPr>
        <w:tc>
          <w:tcPr>
            <w:tcW w:w="9082" w:type="dxa"/>
            <w:gridSpan w:val="7"/>
            <w:tcBorders>
              <w:top w:val="nil"/>
              <w:left w:val="nil"/>
              <w:bottom w:val="nil"/>
              <w:right w:val="nil"/>
            </w:tcBorders>
            <w:shd w:val="clear" w:color="000000" w:fill="000000"/>
            <w:noWrap/>
            <w:vAlign w:val="center"/>
            <w:hideMark/>
          </w:tcPr>
          <w:p w14:paraId="0663D106" w14:textId="666D55A9" w:rsidR="00867564" w:rsidRPr="0058288E" w:rsidRDefault="00867564" w:rsidP="00C53668">
            <w:pPr>
              <w:spacing w:after="0"/>
              <w:rPr>
                <w:rFonts w:eastAsia="Times New Roman" w:cs="Times New Roman"/>
                <w:b/>
                <w:bCs/>
                <w:color w:val="FFFFFF"/>
                <w:sz w:val="18"/>
                <w:szCs w:val="18"/>
                <w:lang w:eastAsia="sk-SK"/>
              </w:rPr>
            </w:pPr>
            <w:r w:rsidRPr="0058288E">
              <w:rPr>
                <w:rFonts w:eastAsia="Times New Roman" w:cs="Times New Roman"/>
                <w:b/>
                <w:bCs/>
                <w:color w:val="FFFFFF"/>
                <w:sz w:val="18"/>
                <w:szCs w:val="18"/>
                <w:lang w:eastAsia="sk-SK"/>
              </w:rPr>
              <w:t xml:space="preserve">Bežné transfery                                                                                           </w:t>
            </w:r>
            <w:r w:rsidR="00793D48" w:rsidRPr="0058288E">
              <w:rPr>
                <w:rFonts w:eastAsia="Times New Roman" w:cs="Times New Roman"/>
                <w:b/>
                <w:bCs/>
                <w:color w:val="FFFFFF"/>
                <w:sz w:val="18"/>
                <w:szCs w:val="18"/>
                <w:lang w:eastAsia="sk-SK"/>
              </w:rPr>
              <w:t xml:space="preserve">                        </w:t>
            </w:r>
            <w:r w:rsidRPr="0058288E">
              <w:rPr>
                <w:rFonts w:eastAsia="Times New Roman" w:cs="Times New Roman"/>
                <w:b/>
                <w:bCs/>
                <w:color w:val="FFFFFF"/>
                <w:sz w:val="18"/>
                <w:szCs w:val="18"/>
                <w:lang w:eastAsia="sk-SK"/>
              </w:rPr>
              <w:t xml:space="preserve">                             </w:t>
            </w:r>
            <w:r w:rsidR="0023537F">
              <w:rPr>
                <w:rFonts w:eastAsia="Times New Roman" w:cs="Times New Roman"/>
                <w:b/>
                <w:bCs/>
                <w:color w:val="FFFFFF"/>
                <w:sz w:val="18"/>
                <w:szCs w:val="18"/>
                <w:lang w:eastAsia="sk-SK"/>
              </w:rPr>
              <w:t xml:space="preserve">           </w:t>
            </w:r>
            <w:r w:rsidRPr="0058288E">
              <w:rPr>
                <w:rFonts w:eastAsia="Times New Roman" w:cs="Times New Roman"/>
                <w:b/>
                <w:bCs/>
                <w:color w:val="FFFFFF"/>
                <w:sz w:val="18"/>
                <w:szCs w:val="18"/>
                <w:lang w:eastAsia="sk-SK"/>
              </w:rPr>
              <w:t xml:space="preserve">  v tis. eur                                                                        </w:t>
            </w:r>
          </w:p>
        </w:tc>
      </w:tr>
      <w:tr w:rsidR="00867564" w:rsidRPr="0058288E" w14:paraId="5FB8E2C2" w14:textId="77777777" w:rsidTr="005C4AEB">
        <w:trPr>
          <w:trHeight w:val="73"/>
          <w:jc w:val="center"/>
        </w:trPr>
        <w:tc>
          <w:tcPr>
            <w:tcW w:w="2860" w:type="dxa"/>
            <w:vMerge w:val="restart"/>
            <w:tcBorders>
              <w:top w:val="nil"/>
              <w:left w:val="nil"/>
              <w:bottom w:val="nil"/>
              <w:right w:val="nil"/>
            </w:tcBorders>
            <w:shd w:val="clear" w:color="000000" w:fill="BFBFBF"/>
            <w:vAlign w:val="center"/>
            <w:hideMark/>
          </w:tcPr>
          <w:p w14:paraId="179B56AA" w14:textId="77777777" w:rsidR="00867564" w:rsidRPr="0058288E" w:rsidRDefault="00867564" w:rsidP="00ED1E29">
            <w:pPr>
              <w:jc w:val="center"/>
              <w:rPr>
                <w:rFonts w:eastAsia="Times New Roman" w:cs="Times New Roman"/>
                <w:b/>
                <w:bCs/>
                <w:color w:val="000000"/>
                <w:sz w:val="18"/>
                <w:szCs w:val="18"/>
                <w:lang w:eastAsia="sk-SK"/>
              </w:rPr>
            </w:pPr>
            <w:r w:rsidRPr="0058288E">
              <w:rPr>
                <w:rFonts w:eastAsia="Times New Roman" w:cs="Times New Roman"/>
                <w:b/>
                <w:bCs/>
                <w:color w:val="000000"/>
                <w:sz w:val="18"/>
                <w:szCs w:val="18"/>
                <w:lang w:eastAsia="sk-SK"/>
              </w:rPr>
              <w:t xml:space="preserve"> </w:t>
            </w:r>
          </w:p>
        </w:tc>
        <w:tc>
          <w:tcPr>
            <w:tcW w:w="2126" w:type="dxa"/>
            <w:gridSpan w:val="2"/>
            <w:tcBorders>
              <w:top w:val="nil"/>
              <w:left w:val="nil"/>
              <w:bottom w:val="nil"/>
              <w:right w:val="nil"/>
            </w:tcBorders>
            <w:shd w:val="clear" w:color="000000" w:fill="BFBFBF"/>
            <w:noWrap/>
            <w:vAlign w:val="center"/>
            <w:hideMark/>
          </w:tcPr>
          <w:p w14:paraId="3D587533" w14:textId="77777777" w:rsidR="00867564" w:rsidRPr="0058288E" w:rsidRDefault="00867564" w:rsidP="005C4AEB">
            <w:pPr>
              <w:spacing w:after="0" w:line="240" w:lineRule="auto"/>
              <w:jc w:val="center"/>
              <w:rPr>
                <w:rFonts w:eastAsia="Times New Roman" w:cs="Times New Roman"/>
                <w:b/>
                <w:bCs/>
                <w:color w:val="000000"/>
                <w:sz w:val="18"/>
                <w:szCs w:val="18"/>
                <w:lang w:eastAsia="sk-SK"/>
              </w:rPr>
            </w:pPr>
            <w:r w:rsidRPr="0058288E">
              <w:rPr>
                <w:rFonts w:eastAsia="Times New Roman" w:cs="Times New Roman"/>
                <w:b/>
                <w:bCs/>
                <w:color w:val="000000"/>
                <w:sz w:val="18"/>
                <w:szCs w:val="18"/>
                <w:lang w:eastAsia="sk-SK"/>
              </w:rPr>
              <w:t>Skutočnosť</w:t>
            </w:r>
          </w:p>
        </w:tc>
        <w:tc>
          <w:tcPr>
            <w:tcW w:w="1134" w:type="dxa"/>
            <w:tcBorders>
              <w:top w:val="nil"/>
              <w:left w:val="nil"/>
              <w:bottom w:val="nil"/>
              <w:right w:val="nil"/>
            </w:tcBorders>
            <w:shd w:val="clear" w:color="000000" w:fill="BFBFBF"/>
            <w:noWrap/>
            <w:vAlign w:val="center"/>
            <w:hideMark/>
          </w:tcPr>
          <w:p w14:paraId="0594FD46" w14:textId="77777777" w:rsidR="00867564" w:rsidRPr="0058288E" w:rsidRDefault="00867564" w:rsidP="005C4AEB">
            <w:pPr>
              <w:spacing w:after="0" w:line="240" w:lineRule="auto"/>
              <w:jc w:val="center"/>
              <w:rPr>
                <w:rFonts w:eastAsia="Times New Roman" w:cs="Times New Roman"/>
                <w:b/>
                <w:bCs/>
                <w:color w:val="000000"/>
                <w:sz w:val="18"/>
                <w:szCs w:val="18"/>
                <w:lang w:eastAsia="sk-SK"/>
              </w:rPr>
            </w:pPr>
            <w:r w:rsidRPr="0058288E">
              <w:rPr>
                <w:rFonts w:eastAsia="Times New Roman" w:cs="Times New Roman"/>
                <w:b/>
                <w:bCs/>
                <w:color w:val="000000"/>
                <w:sz w:val="18"/>
                <w:szCs w:val="18"/>
                <w:lang w:eastAsia="sk-SK"/>
              </w:rPr>
              <w:t>Rozpočet</w:t>
            </w:r>
          </w:p>
        </w:tc>
        <w:tc>
          <w:tcPr>
            <w:tcW w:w="1110" w:type="dxa"/>
            <w:tcBorders>
              <w:top w:val="nil"/>
              <w:left w:val="nil"/>
              <w:bottom w:val="nil"/>
              <w:right w:val="nil"/>
            </w:tcBorders>
            <w:shd w:val="clear" w:color="000000" w:fill="BFBFBF"/>
            <w:noWrap/>
            <w:vAlign w:val="center"/>
            <w:hideMark/>
          </w:tcPr>
          <w:p w14:paraId="3FC50E71" w14:textId="77777777" w:rsidR="00867564" w:rsidRPr="0058288E" w:rsidRDefault="00867564" w:rsidP="005C4AEB">
            <w:pPr>
              <w:spacing w:after="0" w:line="240" w:lineRule="auto"/>
              <w:jc w:val="center"/>
              <w:rPr>
                <w:rFonts w:eastAsia="Times New Roman" w:cs="Times New Roman"/>
                <w:b/>
                <w:bCs/>
                <w:color w:val="000000"/>
                <w:sz w:val="18"/>
                <w:szCs w:val="18"/>
                <w:lang w:eastAsia="sk-SK"/>
              </w:rPr>
            </w:pPr>
            <w:r w:rsidRPr="0058288E">
              <w:rPr>
                <w:rFonts w:eastAsia="Times New Roman" w:cs="Times New Roman"/>
                <w:b/>
                <w:bCs/>
                <w:color w:val="000000"/>
                <w:sz w:val="18"/>
                <w:szCs w:val="18"/>
                <w:lang w:eastAsia="sk-SK"/>
              </w:rPr>
              <w:t>Skutočnosť</w:t>
            </w:r>
          </w:p>
        </w:tc>
        <w:tc>
          <w:tcPr>
            <w:tcW w:w="1852" w:type="dxa"/>
            <w:gridSpan w:val="2"/>
            <w:tcBorders>
              <w:top w:val="nil"/>
              <w:left w:val="nil"/>
              <w:bottom w:val="nil"/>
              <w:right w:val="nil"/>
            </w:tcBorders>
            <w:shd w:val="clear" w:color="000000" w:fill="BFBFBF"/>
            <w:noWrap/>
            <w:vAlign w:val="center"/>
            <w:hideMark/>
          </w:tcPr>
          <w:p w14:paraId="05C7DEBE" w14:textId="77777777" w:rsidR="00867564" w:rsidRPr="0058288E" w:rsidRDefault="00867564" w:rsidP="005C4AEB">
            <w:pPr>
              <w:spacing w:after="0" w:line="240" w:lineRule="auto"/>
              <w:jc w:val="center"/>
              <w:rPr>
                <w:rFonts w:eastAsia="Times New Roman" w:cs="Times New Roman"/>
                <w:b/>
                <w:bCs/>
                <w:color w:val="000000"/>
                <w:sz w:val="18"/>
                <w:szCs w:val="18"/>
                <w:lang w:eastAsia="sk-SK"/>
              </w:rPr>
            </w:pPr>
            <w:r w:rsidRPr="0058288E">
              <w:rPr>
                <w:rFonts w:eastAsia="Times New Roman" w:cs="Times New Roman"/>
                <w:b/>
                <w:bCs/>
                <w:color w:val="000000"/>
                <w:sz w:val="18"/>
                <w:szCs w:val="18"/>
                <w:lang w:eastAsia="sk-SK"/>
              </w:rPr>
              <w:t>Rozdiel</w:t>
            </w:r>
          </w:p>
        </w:tc>
      </w:tr>
      <w:tr w:rsidR="00867564" w:rsidRPr="0058288E" w14:paraId="6EC2C86B" w14:textId="77777777" w:rsidTr="005C4AEB">
        <w:trPr>
          <w:trHeight w:val="73"/>
          <w:jc w:val="center"/>
        </w:trPr>
        <w:tc>
          <w:tcPr>
            <w:tcW w:w="2860" w:type="dxa"/>
            <w:vMerge/>
            <w:tcBorders>
              <w:top w:val="nil"/>
              <w:left w:val="nil"/>
              <w:bottom w:val="nil"/>
              <w:right w:val="nil"/>
            </w:tcBorders>
            <w:vAlign w:val="center"/>
            <w:hideMark/>
          </w:tcPr>
          <w:p w14:paraId="52E00E1B" w14:textId="77777777" w:rsidR="00867564" w:rsidRPr="0058288E" w:rsidRDefault="00867564" w:rsidP="00ED1E29">
            <w:pPr>
              <w:rPr>
                <w:rFonts w:eastAsia="Times New Roman" w:cs="Times New Roman"/>
                <w:b/>
                <w:bCs/>
                <w:color w:val="000000"/>
                <w:sz w:val="18"/>
                <w:szCs w:val="18"/>
                <w:lang w:eastAsia="sk-SK"/>
              </w:rPr>
            </w:pPr>
          </w:p>
        </w:tc>
        <w:tc>
          <w:tcPr>
            <w:tcW w:w="1039" w:type="dxa"/>
            <w:tcBorders>
              <w:top w:val="nil"/>
              <w:left w:val="nil"/>
              <w:bottom w:val="nil"/>
              <w:right w:val="nil"/>
            </w:tcBorders>
            <w:shd w:val="clear" w:color="000000" w:fill="BFBFBF"/>
            <w:noWrap/>
            <w:vAlign w:val="center"/>
            <w:hideMark/>
          </w:tcPr>
          <w:p w14:paraId="788A15A5" w14:textId="77777777" w:rsidR="00867564" w:rsidRPr="0058288E" w:rsidRDefault="00867564" w:rsidP="00ED1E29">
            <w:pPr>
              <w:jc w:val="center"/>
              <w:rPr>
                <w:rFonts w:eastAsia="Times New Roman" w:cs="Times New Roman"/>
                <w:b/>
                <w:bCs/>
                <w:color w:val="000000"/>
                <w:sz w:val="18"/>
                <w:szCs w:val="18"/>
                <w:lang w:eastAsia="sk-SK"/>
              </w:rPr>
            </w:pPr>
            <w:r w:rsidRPr="0058288E">
              <w:rPr>
                <w:rFonts w:eastAsia="Times New Roman" w:cs="Times New Roman"/>
                <w:b/>
                <w:bCs/>
                <w:color w:val="000000"/>
                <w:sz w:val="18"/>
                <w:szCs w:val="18"/>
                <w:lang w:eastAsia="sk-SK"/>
              </w:rPr>
              <w:t>2018</w:t>
            </w:r>
          </w:p>
        </w:tc>
        <w:tc>
          <w:tcPr>
            <w:tcW w:w="1087" w:type="dxa"/>
            <w:tcBorders>
              <w:top w:val="nil"/>
              <w:left w:val="nil"/>
              <w:bottom w:val="nil"/>
              <w:right w:val="nil"/>
            </w:tcBorders>
            <w:shd w:val="clear" w:color="000000" w:fill="BFBFBF"/>
            <w:noWrap/>
            <w:vAlign w:val="center"/>
            <w:hideMark/>
          </w:tcPr>
          <w:p w14:paraId="646D5419" w14:textId="77777777" w:rsidR="00867564" w:rsidRPr="0058288E" w:rsidRDefault="00867564" w:rsidP="005C4AEB">
            <w:pPr>
              <w:spacing w:after="0" w:line="240" w:lineRule="auto"/>
              <w:jc w:val="center"/>
              <w:rPr>
                <w:rFonts w:eastAsia="Times New Roman" w:cs="Times New Roman"/>
                <w:b/>
                <w:bCs/>
                <w:color w:val="000000"/>
                <w:sz w:val="18"/>
                <w:szCs w:val="18"/>
                <w:lang w:eastAsia="sk-SK"/>
              </w:rPr>
            </w:pPr>
            <w:r w:rsidRPr="0058288E">
              <w:rPr>
                <w:rFonts w:eastAsia="Times New Roman" w:cs="Times New Roman"/>
                <w:b/>
                <w:bCs/>
                <w:color w:val="000000"/>
                <w:sz w:val="18"/>
                <w:szCs w:val="18"/>
                <w:lang w:eastAsia="sk-SK"/>
              </w:rPr>
              <w:t>2019</w:t>
            </w:r>
          </w:p>
        </w:tc>
        <w:tc>
          <w:tcPr>
            <w:tcW w:w="1134" w:type="dxa"/>
            <w:tcBorders>
              <w:top w:val="nil"/>
              <w:left w:val="nil"/>
              <w:bottom w:val="nil"/>
              <w:right w:val="nil"/>
            </w:tcBorders>
            <w:shd w:val="clear" w:color="000000" w:fill="BFBFBF"/>
            <w:noWrap/>
            <w:vAlign w:val="center"/>
            <w:hideMark/>
          </w:tcPr>
          <w:p w14:paraId="51403858" w14:textId="77777777" w:rsidR="00867564" w:rsidRPr="0058288E" w:rsidRDefault="00867564" w:rsidP="005C4AEB">
            <w:pPr>
              <w:spacing w:after="0" w:line="240" w:lineRule="auto"/>
              <w:jc w:val="center"/>
              <w:rPr>
                <w:rFonts w:eastAsia="Times New Roman" w:cs="Times New Roman"/>
                <w:b/>
                <w:bCs/>
                <w:color w:val="000000"/>
                <w:sz w:val="18"/>
                <w:szCs w:val="18"/>
                <w:lang w:eastAsia="sk-SK"/>
              </w:rPr>
            </w:pPr>
            <w:r w:rsidRPr="0058288E">
              <w:rPr>
                <w:rFonts w:eastAsia="Times New Roman" w:cs="Times New Roman"/>
                <w:b/>
                <w:bCs/>
                <w:color w:val="000000"/>
                <w:sz w:val="18"/>
                <w:szCs w:val="18"/>
                <w:lang w:eastAsia="sk-SK"/>
              </w:rPr>
              <w:t>2020</w:t>
            </w:r>
          </w:p>
        </w:tc>
        <w:tc>
          <w:tcPr>
            <w:tcW w:w="1110" w:type="dxa"/>
            <w:tcBorders>
              <w:top w:val="nil"/>
              <w:left w:val="nil"/>
              <w:bottom w:val="nil"/>
              <w:right w:val="nil"/>
            </w:tcBorders>
            <w:shd w:val="clear" w:color="000000" w:fill="BFBFBF"/>
            <w:noWrap/>
            <w:vAlign w:val="center"/>
            <w:hideMark/>
          </w:tcPr>
          <w:p w14:paraId="27BE6C13" w14:textId="77777777" w:rsidR="00867564" w:rsidRPr="0058288E" w:rsidRDefault="00867564" w:rsidP="005C4AEB">
            <w:pPr>
              <w:spacing w:after="0" w:line="240" w:lineRule="auto"/>
              <w:jc w:val="center"/>
              <w:rPr>
                <w:rFonts w:eastAsia="Times New Roman" w:cs="Times New Roman"/>
                <w:b/>
                <w:bCs/>
                <w:color w:val="000000"/>
                <w:sz w:val="18"/>
                <w:szCs w:val="18"/>
                <w:lang w:eastAsia="sk-SK"/>
              </w:rPr>
            </w:pPr>
            <w:r w:rsidRPr="0058288E">
              <w:rPr>
                <w:rFonts w:eastAsia="Times New Roman" w:cs="Times New Roman"/>
                <w:b/>
                <w:bCs/>
                <w:color w:val="000000"/>
                <w:sz w:val="18"/>
                <w:szCs w:val="18"/>
                <w:lang w:eastAsia="sk-SK"/>
              </w:rPr>
              <w:t>2020</w:t>
            </w:r>
          </w:p>
        </w:tc>
        <w:tc>
          <w:tcPr>
            <w:tcW w:w="1002" w:type="dxa"/>
            <w:tcBorders>
              <w:top w:val="nil"/>
              <w:left w:val="nil"/>
              <w:bottom w:val="nil"/>
              <w:right w:val="nil"/>
            </w:tcBorders>
            <w:shd w:val="clear" w:color="000000" w:fill="BFBFBF"/>
            <w:noWrap/>
            <w:vAlign w:val="center"/>
            <w:hideMark/>
          </w:tcPr>
          <w:p w14:paraId="4F44E227" w14:textId="77777777" w:rsidR="00867564" w:rsidRPr="0058288E" w:rsidRDefault="00867564" w:rsidP="005C4AEB">
            <w:pPr>
              <w:spacing w:after="0" w:line="240" w:lineRule="auto"/>
              <w:jc w:val="center"/>
              <w:rPr>
                <w:rFonts w:eastAsia="Times New Roman" w:cs="Times New Roman"/>
                <w:b/>
                <w:bCs/>
                <w:color w:val="000000"/>
                <w:sz w:val="18"/>
                <w:szCs w:val="18"/>
                <w:lang w:eastAsia="sk-SK"/>
              </w:rPr>
            </w:pPr>
            <w:r w:rsidRPr="0058288E">
              <w:rPr>
                <w:rFonts w:eastAsia="Times New Roman" w:cs="Times New Roman"/>
                <w:b/>
                <w:bCs/>
                <w:color w:val="000000"/>
                <w:sz w:val="18"/>
                <w:szCs w:val="18"/>
                <w:lang w:eastAsia="sk-SK"/>
              </w:rPr>
              <w:t>v tis. eur</w:t>
            </w:r>
          </w:p>
        </w:tc>
        <w:tc>
          <w:tcPr>
            <w:tcW w:w="850" w:type="dxa"/>
            <w:tcBorders>
              <w:top w:val="nil"/>
              <w:left w:val="nil"/>
              <w:bottom w:val="nil"/>
              <w:right w:val="nil"/>
            </w:tcBorders>
            <w:shd w:val="clear" w:color="000000" w:fill="BFBFBF"/>
            <w:noWrap/>
            <w:vAlign w:val="center"/>
            <w:hideMark/>
          </w:tcPr>
          <w:p w14:paraId="20A4D66D" w14:textId="77777777" w:rsidR="00867564" w:rsidRPr="0058288E" w:rsidRDefault="00867564" w:rsidP="005C4AEB">
            <w:pPr>
              <w:spacing w:after="0" w:line="240" w:lineRule="auto"/>
              <w:jc w:val="center"/>
              <w:rPr>
                <w:rFonts w:eastAsia="Times New Roman" w:cs="Times New Roman"/>
                <w:b/>
                <w:bCs/>
                <w:color w:val="000000"/>
                <w:sz w:val="18"/>
                <w:szCs w:val="18"/>
                <w:lang w:eastAsia="sk-SK"/>
              </w:rPr>
            </w:pPr>
            <w:r w:rsidRPr="0058288E">
              <w:rPr>
                <w:rFonts w:eastAsia="Times New Roman" w:cs="Times New Roman"/>
                <w:b/>
                <w:bCs/>
                <w:color w:val="000000"/>
                <w:sz w:val="18"/>
                <w:szCs w:val="18"/>
                <w:lang w:eastAsia="sk-SK"/>
              </w:rPr>
              <w:t>v %</w:t>
            </w:r>
          </w:p>
        </w:tc>
      </w:tr>
      <w:tr w:rsidR="00867564" w:rsidRPr="0058288E" w14:paraId="27A527E3" w14:textId="77777777" w:rsidTr="007F069B">
        <w:trPr>
          <w:trHeight w:val="122"/>
          <w:jc w:val="center"/>
        </w:trPr>
        <w:tc>
          <w:tcPr>
            <w:tcW w:w="2860" w:type="dxa"/>
            <w:tcBorders>
              <w:top w:val="nil"/>
              <w:left w:val="nil"/>
              <w:bottom w:val="single" w:sz="8" w:space="0" w:color="auto"/>
              <w:right w:val="nil"/>
            </w:tcBorders>
            <w:shd w:val="clear" w:color="000000" w:fill="BFBFBF"/>
            <w:vAlign w:val="center"/>
            <w:hideMark/>
          </w:tcPr>
          <w:p w14:paraId="418FB33F" w14:textId="77777777" w:rsidR="00867564" w:rsidRPr="0058288E" w:rsidRDefault="00867564" w:rsidP="00ED1E29">
            <w:pPr>
              <w:jc w:val="center"/>
              <w:rPr>
                <w:rFonts w:eastAsia="Times New Roman" w:cs="Times New Roman"/>
                <w:b/>
                <w:bCs/>
                <w:color w:val="000000"/>
                <w:sz w:val="18"/>
                <w:szCs w:val="18"/>
                <w:lang w:eastAsia="sk-SK"/>
              </w:rPr>
            </w:pPr>
            <w:r w:rsidRPr="0058288E">
              <w:rPr>
                <w:rFonts w:eastAsia="Times New Roman" w:cs="Times New Roman"/>
                <w:b/>
                <w:bCs/>
                <w:color w:val="000000"/>
                <w:sz w:val="18"/>
                <w:szCs w:val="18"/>
                <w:lang w:eastAsia="sk-SK"/>
              </w:rPr>
              <w:t> </w:t>
            </w:r>
          </w:p>
        </w:tc>
        <w:tc>
          <w:tcPr>
            <w:tcW w:w="1039" w:type="dxa"/>
            <w:tcBorders>
              <w:top w:val="nil"/>
              <w:left w:val="nil"/>
              <w:bottom w:val="single" w:sz="8" w:space="0" w:color="auto"/>
              <w:right w:val="nil"/>
            </w:tcBorders>
            <w:shd w:val="clear" w:color="000000" w:fill="BFBFBF"/>
            <w:noWrap/>
            <w:vAlign w:val="center"/>
            <w:hideMark/>
          </w:tcPr>
          <w:p w14:paraId="40DC53D3" w14:textId="77777777" w:rsidR="00867564" w:rsidRPr="0058288E" w:rsidRDefault="00867564" w:rsidP="00ED1E29">
            <w:pPr>
              <w:jc w:val="center"/>
              <w:rPr>
                <w:rFonts w:eastAsia="Times New Roman" w:cs="Times New Roman"/>
                <w:b/>
                <w:bCs/>
                <w:color w:val="000000"/>
                <w:sz w:val="18"/>
                <w:szCs w:val="18"/>
                <w:lang w:eastAsia="sk-SK"/>
              </w:rPr>
            </w:pPr>
            <w:r w:rsidRPr="0058288E">
              <w:rPr>
                <w:rFonts w:eastAsia="Times New Roman" w:cs="Times New Roman"/>
                <w:b/>
                <w:bCs/>
                <w:color w:val="000000"/>
                <w:sz w:val="18"/>
                <w:szCs w:val="18"/>
                <w:lang w:eastAsia="sk-SK"/>
              </w:rPr>
              <w:t>1</w:t>
            </w:r>
          </w:p>
        </w:tc>
        <w:tc>
          <w:tcPr>
            <w:tcW w:w="1087" w:type="dxa"/>
            <w:tcBorders>
              <w:top w:val="nil"/>
              <w:left w:val="nil"/>
              <w:bottom w:val="single" w:sz="8" w:space="0" w:color="auto"/>
              <w:right w:val="nil"/>
            </w:tcBorders>
            <w:shd w:val="clear" w:color="000000" w:fill="BFBFBF"/>
            <w:noWrap/>
            <w:vAlign w:val="center"/>
            <w:hideMark/>
          </w:tcPr>
          <w:p w14:paraId="5F889A9F" w14:textId="77777777" w:rsidR="00867564" w:rsidRPr="0058288E" w:rsidRDefault="00867564" w:rsidP="005C4AEB">
            <w:pPr>
              <w:spacing w:after="0" w:line="240" w:lineRule="auto"/>
              <w:jc w:val="center"/>
              <w:rPr>
                <w:rFonts w:eastAsia="Times New Roman" w:cs="Times New Roman"/>
                <w:b/>
                <w:bCs/>
                <w:color w:val="000000"/>
                <w:sz w:val="18"/>
                <w:szCs w:val="18"/>
                <w:lang w:eastAsia="sk-SK"/>
              </w:rPr>
            </w:pPr>
            <w:r w:rsidRPr="0058288E">
              <w:rPr>
                <w:rFonts w:eastAsia="Times New Roman" w:cs="Times New Roman"/>
                <w:b/>
                <w:bCs/>
                <w:color w:val="000000"/>
                <w:sz w:val="18"/>
                <w:szCs w:val="18"/>
                <w:lang w:eastAsia="sk-SK"/>
              </w:rPr>
              <w:t>2</w:t>
            </w:r>
          </w:p>
        </w:tc>
        <w:tc>
          <w:tcPr>
            <w:tcW w:w="1134" w:type="dxa"/>
            <w:tcBorders>
              <w:top w:val="nil"/>
              <w:left w:val="nil"/>
              <w:bottom w:val="single" w:sz="8" w:space="0" w:color="auto"/>
              <w:right w:val="nil"/>
            </w:tcBorders>
            <w:shd w:val="clear" w:color="000000" w:fill="BFBFBF"/>
            <w:noWrap/>
            <w:vAlign w:val="center"/>
            <w:hideMark/>
          </w:tcPr>
          <w:p w14:paraId="16A09EDB" w14:textId="77777777" w:rsidR="00867564" w:rsidRPr="0058288E" w:rsidRDefault="00867564" w:rsidP="005C4AEB">
            <w:pPr>
              <w:spacing w:after="0" w:line="240" w:lineRule="auto"/>
              <w:jc w:val="center"/>
              <w:rPr>
                <w:rFonts w:eastAsia="Times New Roman" w:cs="Times New Roman"/>
                <w:b/>
                <w:bCs/>
                <w:color w:val="000000"/>
                <w:sz w:val="18"/>
                <w:szCs w:val="18"/>
                <w:lang w:eastAsia="sk-SK"/>
              </w:rPr>
            </w:pPr>
            <w:r w:rsidRPr="0058288E">
              <w:rPr>
                <w:rFonts w:eastAsia="Times New Roman" w:cs="Times New Roman"/>
                <w:b/>
                <w:bCs/>
                <w:color w:val="000000"/>
                <w:sz w:val="18"/>
                <w:szCs w:val="18"/>
                <w:lang w:eastAsia="sk-SK"/>
              </w:rPr>
              <w:t>3</w:t>
            </w:r>
          </w:p>
        </w:tc>
        <w:tc>
          <w:tcPr>
            <w:tcW w:w="1110" w:type="dxa"/>
            <w:tcBorders>
              <w:top w:val="nil"/>
              <w:left w:val="nil"/>
              <w:bottom w:val="single" w:sz="8" w:space="0" w:color="auto"/>
              <w:right w:val="nil"/>
            </w:tcBorders>
            <w:shd w:val="clear" w:color="000000" w:fill="BFBFBF"/>
            <w:noWrap/>
            <w:vAlign w:val="center"/>
            <w:hideMark/>
          </w:tcPr>
          <w:p w14:paraId="2AFAE9E9" w14:textId="77777777" w:rsidR="00867564" w:rsidRPr="0058288E" w:rsidRDefault="00867564" w:rsidP="005C4AEB">
            <w:pPr>
              <w:spacing w:after="0" w:line="240" w:lineRule="auto"/>
              <w:jc w:val="center"/>
              <w:rPr>
                <w:rFonts w:eastAsia="Times New Roman" w:cs="Times New Roman"/>
                <w:b/>
                <w:bCs/>
                <w:color w:val="000000"/>
                <w:sz w:val="18"/>
                <w:szCs w:val="18"/>
                <w:lang w:eastAsia="sk-SK"/>
              </w:rPr>
            </w:pPr>
            <w:r w:rsidRPr="0058288E">
              <w:rPr>
                <w:rFonts w:eastAsia="Times New Roman" w:cs="Times New Roman"/>
                <w:b/>
                <w:bCs/>
                <w:color w:val="000000"/>
                <w:sz w:val="18"/>
                <w:szCs w:val="18"/>
                <w:lang w:eastAsia="sk-SK"/>
              </w:rPr>
              <w:t>4</w:t>
            </w:r>
          </w:p>
        </w:tc>
        <w:tc>
          <w:tcPr>
            <w:tcW w:w="1002" w:type="dxa"/>
            <w:tcBorders>
              <w:top w:val="nil"/>
              <w:left w:val="nil"/>
              <w:bottom w:val="single" w:sz="8" w:space="0" w:color="auto"/>
              <w:right w:val="nil"/>
            </w:tcBorders>
            <w:shd w:val="clear" w:color="000000" w:fill="BFBFBF"/>
            <w:noWrap/>
            <w:vAlign w:val="center"/>
            <w:hideMark/>
          </w:tcPr>
          <w:p w14:paraId="76EC6BE1" w14:textId="77777777" w:rsidR="00867564" w:rsidRPr="0058288E" w:rsidRDefault="00867564" w:rsidP="005C4AEB">
            <w:pPr>
              <w:spacing w:after="0" w:line="240" w:lineRule="auto"/>
              <w:jc w:val="center"/>
              <w:rPr>
                <w:rFonts w:eastAsia="Times New Roman" w:cs="Times New Roman"/>
                <w:b/>
                <w:bCs/>
                <w:color w:val="000000"/>
                <w:sz w:val="18"/>
                <w:szCs w:val="18"/>
                <w:lang w:eastAsia="sk-SK"/>
              </w:rPr>
            </w:pPr>
            <w:r w:rsidRPr="0058288E">
              <w:rPr>
                <w:rFonts w:eastAsia="Times New Roman" w:cs="Times New Roman"/>
                <w:b/>
                <w:bCs/>
                <w:color w:val="000000"/>
                <w:sz w:val="18"/>
                <w:szCs w:val="18"/>
                <w:lang w:eastAsia="sk-SK"/>
              </w:rPr>
              <w:t>5=4-3</w:t>
            </w:r>
          </w:p>
        </w:tc>
        <w:tc>
          <w:tcPr>
            <w:tcW w:w="850" w:type="dxa"/>
            <w:tcBorders>
              <w:top w:val="nil"/>
              <w:left w:val="nil"/>
              <w:bottom w:val="single" w:sz="8" w:space="0" w:color="auto"/>
              <w:right w:val="nil"/>
            </w:tcBorders>
            <w:shd w:val="clear" w:color="000000" w:fill="BFBFBF"/>
            <w:noWrap/>
            <w:vAlign w:val="center"/>
            <w:hideMark/>
          </w:tcPr>
          <w:p w14:paraId="66F38794" w14:textId="77777777" w:rsidR="00867564" w:rsidRPr="0058288E" w:rsidRDefault="00867564" w:rsidP="005C4AEB">
            <w:pPr>
              <w:spacing w:after="0" w:line="240" w:lineRule="auto"/>
              <w:jc w:val="center"/>
              <w:rPr>
                <w:rFonts w:eastAsia="Times New Roman" w:cs="Times New Roman"/>
                <w:b/>
                <w:bCs/>
                <w:color w:val="000000"/>
                <w:sz w:val="18"/>
                <w:szCs w:val="18"/>
                <w:lang w:eastAsia="sk-SK"/>
              </w:rPr>
            </w:pPr>
            <w:r w:rsidRPr="0058288E">
              <w:rPr>
                <w:rFonts w:eastAsia="Times New Roman" w:cs="Times New Roman"/>
                <w:b/>
                <w:bCs/>
                <w:color w:val="000000"/>
                <w:sz w:val="18"/>
                <w:szCs w:val="18"/>
                <w:lang w:eastAsia="sk-SK"/>
              </w:rPr>
              <w:t>6=4-3</w:t>
            </w:r>
          </w:p>
        </w:tc>
      </w:tr>
      <w:tr w:rsidR="00867564" w:rsidRPr="0058288E" w14:paraId="450D0245" w14:textId="77777777" w:rsidTr="00C53668">
        <w:trPr>
          <w:trHeight w:val="365"/>
          <w:jc w:val="center"/>
        </w:trPr>
        <w:tc>
          <w:tcPr>
            <w:tcW w:w="2860" w:type="dxa"/>
            <w:tcBorders>
              <w:top w:val="nil"/>
              <w:left w:val="nil"/>
              <w:bottom w:val="nil"/>
              <w:right w:val="nil"/>
            </w:tcBorders>
            <w:shd w:val="clear" w:color="auto" w:fill="auto"/>
            <w:noWrap/>
            <w:vAlign w:val="center"/>
            <w:hideMark/>
          </w:tcPr>
          <w:p w14:paraId="05F7F141" w14:textId="38838FEC" w:rsidR="00867564" w:rsidRPr="0058288E" w:rsidRDefault="0058288E" w:rsidP="0058288E">
            <w:pPr>
              <w:spacing w:after="0" w:line="240" w:lineRule="auto"/>
              <w:rPr>
                <w:rFonts w:eastAsia="Times New Roman" w:cs="Times New Roman"/>
                <w:color w:val="000000" w:themeColor="text1"/>
                <w:sz w:val="18"/>
                <w:szCs w:val="18"/>
                <w:lang w:eastAsia="sk-SK"/>
              </w:rPr>
            </w:pPr>
            <w:r>
              <w:rPr>
                <w:rFonts w:eastAsia="Times New Roman" w:cs="Times New Roman"/>
                <w:color w:val="000000" w:themeColor="text1"/>
                <w:sz w:val="18"/>
                <w:szCs w:val="18"/>
                <w:lang w:eastAsia="sk-SK"/>
              </w:rPr>
              <w:t>V</w:t>
            </w:r>
            <w:r w:rsidR="00867564" w:rsidRPr="0058288E">
              <w:rPr>
                <w:rFonts w:eastAsia="Times New Roman" w:cs="Times New Roman"/>
                <w:color w:val="000000" w:themeColor="text1"/>
                <w:sz w:val="18"/>
                <w:szCs w:val="18"/>
                <w:lang w:eastAsia="sk-SK"/>
              </w:rPr>
              <w:t xml:space="preserve"> rámci verejnej správy</w:t>
            </w:r>
          </w:p>
        </w:tc>
        <w:tc>
          <w:tcPr>
            <w:tcW w:w="1039" w:type="dxa"/>
            <w:tcBorders>
              <w:top w:val="nil"/>
              <w:left w:val="nil"/>
              <w:bottom w:val="nil"/>
              <w:right w:val="nil"/>
            </w:tcBorders>
            <w:shd w:val="clear" w:color="auto" w:fill="auto"/>
            <w:vAlign w:val="center"/>
            <w:hideMark/>
          </w:tcPr>
          <w:p w14:paraId="13EF1086" w14:textId="77777777" w:rsidR="00867564" w:rsidRPr="0058288E" w:rsidRDefault="00867564" w:rsidP="00F63BD6">
            <w:pPr>
              <w:spacing w:after="0" w:line="240" w:lineRule="auto"/>
              <w:jc w:val="right"/>
              <w:rPr>
                <w:rFonts w:eastAsia="Times New Roman" w:cs="Times New Roman"/>
                <w:color w:val="000000" w:themeColor="text1"/>
                <w:sz w:val="18"/>
                <w:szCs w:val="18"/>
                <w:lang w:eastAsia="sk-SK"/>
              </w:rPr>
            </w:pPr>
            <w:r w:rsidRPr="0058288E">
              <w:rPr>
                <w:rFonts w:eastAsia="Times New Roman" w:cs="Times New Roman"/>
                <w:color w:val="000000" w:themeColor="text1"/>
                <w:sz w:val="18"/>
                <w:szCs w:val="18"/>
                <w:lang w:eastAsia="sk-SK"/>
              </w:rPr>
              <w:t>4 411 134</w:t>
            </w:r>
          </w:p>
        </w:tc>
        <w:tc>
          <w:tcPr>
            <w:tcW w:w="1087" w:type="dxa"/>
            <w:tcBorders>
              <w:top w:val="nil"/>
              <w:left w:val="nil"/>
              <w:bottom w:val="nil"/>
              <w:right w:val="nil"/>
            </w:tcBorders>
            <w:shd w:val="clear" w:color="auto" w:fill="auto"/>
            <w:vAlign w:val="center"/>
            <w:hideMark/>
          </w:tcPr>
          <w:p w14:paraId="5559AA36" w14:textId="77777777" w:rsidR="00867564" w:rsidRPr="0058288E" w:rsidRDefault="00867564" w:rsidP="00F63BD6">
            <w:pPr>
              <w:spacing w:after="0" w:line="240" w:lineRule="auto"/>
              <w:jc w:val="right"/>
              <w:rPr>
                <w:rFonts w:eastAsia="Times New Roman" w:cs="Times New Roman"/>
                <w:color w:val="000000" w:themeColor="text1"/>
                <w:sz w:val="18"/>
                <w:szCs w:val="18"/>
                <w:lang w:eastAsia="sk-SK"/>
              </w:rPr>
            </w:pPr>
            <w:r w:rsidRPr="0058288E">
              <w:rPr>
                <w:rFonts w:eastAsia="Times New Roman" w:cs="Times New Roman"/>
                <w:color w:val="000000" w:themeColor="text1"/>
                <w:sz w:val="18"/>
                <w:szCs w:val="18"/>
                <w:lang w:eastAsia="sk-SK"/>
              </w:rPr>
              <w:t>4 612 021</w:t>
            </w:r>
          </w:p>
        </w:tc>
        <w:tc>
          <w:tcPr>
            <w:tcW w:w="1134" w:type="dxa"/>
            <w:tcBorders>
              <w:top w:val="nil"/>
              <w:left w:val="nil"/>
              <w:bottom w:val="nil"/>
              <w:right w:val="nil"/>
            </w:tcBorders>
            <w:shd w:val="clear" w:color="auto" w:fill="auto"/>
            <w:vAlign w:val="center"/>
            <w:hideMark/>
          </w:tcPr>
          <w:p w14:paraId="6BE3C908" w14:textId="77777777" w:rsidR="00867564" w:rsidRPr="0058288E" w:rsidRDefault="00867564" w:rsidP="00F63BD6">
            <w:pPr>
              <w:spacing w:after="0" w:line="240" w:lineRule="auto"/>
              <w:jc w:val="right"/>
              <w:rPr>
                <w:rFonts w:eastAsia="Times New Roman" w:cs="Times New Roman"/>
                <w:color w:val="000000" w:themeColor="text1"/>
                <w:sz w:val="18"/>
                <w:szCs w:val="18"/>
                <w:lang w:eastAsia="sk-SK"/>
              </w:rPr>
            </w:pPr>
            <w:r w:rsidRPr="0058288E">
              <w:rPr>
                <w:rFonts w:eastAsia="Times New Roman" w:cs="Times New Roman"/>
                <w:color w:val="000000" w:themeColor="text1"/>
                <w:sz w:val="18"/>
                <w:szCs w:val="18"/>
                <w:lang w:eastAsia="sk-SK"/>
              </w:rPr>
              <w:t>4 741 599</w:t>
            </w:r>
          </w:p>
        </w:tc>
        <w:tc>
          <w:tcPr>
            <w:tcW w:w="1110" w:type="dxa"/>
            <w:tcBorders>
              <w:top w:val="nil"/>
              <w:left w:val="nil"/>
              <w:bottom w:val="nil"/>
              <w:right w:val="nil"/>
            </w:tcBorders>
            <w:shd w:val="clear" w:color="000000" w:fill="BFBFBF"/>
            <w:vAlign w:val="center"/>
            <w:hideMark/>
          </w:tcPr>
          <w:p w14:paraId="1CA43BEF" w14:textId="77777777" w:rsidR="00867564" w:rsidRPr="0058288E" w:rsidRDefault="00867564" w:rsidP="00F63BD6">
            <w:pPr>
              <w:spacing w:after="0" w:line="240" w:lineRule="auto"/>
              <w:jc w:val="right"/>
              <w:rPr>
                <w:rFonts w:eastAsia="Times New Roman" w:cs="Times New Roman"/>
                <w:color w:val="000000" w:themeColor="text1"/>
                <w:sz w:val="18"/>
                <w:szCs w:val="18"/>
                <w:lang w:eastAsia="sk-SK"/>
              </w:rPr>
            </w:pPr>
            <w:r w:rsidRPr="0058288E">
              <w:rPr>
                <w:rFonts w:eastAsia="Times New Roman" w:cs="Times New Roman"/>
                <w:color w:val="000000" w:themeColor="text1"/>
                <w:sz w:val="18"/>
                <w:szCs w:val="18"/>
                <w:lang w:eastAsia="sk-SK"/>
              </w:rPr>
              <w:t>7 534 939</w:t>
            </w:r>
          </w:p>
        </w:tc>
        <w:tc>
          <w:tcPr>
            <w:tcW w:w="1002" w:type="dxa"/>
            <w:tcBorders>
              <w:top w:val="nil"/>
              <w:left w:val="nil"/>
              <w:bottom w:val="nil"/>
              <w:right w:val="nil"/>
            </w:tcBorders>
            <w:shd w:val="clear" w:color="auto" w:fill="auto"/>
            <w:vAlign w:val="center"/>
            <w:hideMark/>
          </w:tcPr>
          <w:p w14:paraId="639BF565" w14:textId="77777777" w:rsidR="00867564" w:rsidRPr="0058288E" w:rsidRDefault="00867564" w:rsidP="00F63BD6">
            <w:pPr>
              <w:spacing w:after="0" w:line="240" w:lineRule="auto"/>
              <w:jc w:val="right"/>
              <w:rPr>
                <w:rFonts w:eastAsia="Times New Roman" w:cs="Times New Roman"/>
                <w:color w:val="000000" w:themeColor="text1"/>
                <w:sz w:val="18"/>
                <w:szCs w:val="18"/>
                <w:lang w:eastAsia="sk-SK"/>
              </w:rPr>
            </w:pPr>
            <w:r w:rsidRPr="0058288E">
              <w:rPr>
                <w:rFonts w:eastAsia="Times New Roman" w:cs="Times New Roman"/>
                <w:color w:val="000000" w:themeColor="text1"/>
                <w:sz w:val="18"/>
                <w:szCs w:val="18"/>
                <w:lang w:eastAsia="sk-SK"/>
              </w:rPr>
              <w:t>2 793 340</w:t>
            </w:r>
          </w:p>
        </w:tc>
        <w:tc>
          <w:tcPr>
            <w:tcW w:w="850" w:type="dxa"/>
            <w:tcBorders>
              <w:top w:val="nil"/>
              <w:left w:val="nil"/>
              <w:bottom w:val="nil"/>
              <w:right w:val="nil"/>
            </w:tcBorders>
            <w:shd w:val="clear" w:color="auto" w:fill="auto"/>
            <w:vAlign w:val="center"/>
            <w:hideMark/>
          </w:tcPr>
          <w:p w14:paraId="71221F05" w14:textId="77777777" w:rsidR="00867564" w:rsidRPr="0058288E" w:rsidRDefault="00867564" w:rsidP="00F63BD6">
            <w:pPr>
              <w:spacing w:after="0" w:line="240" w:lineRule="auto"/>
              <w:jc w:val="right"/>
              <w:rPr>
                <w:rFonts w:eastAsia="Times New Roman" w:cs="Times New Roman"/>
                <w:color w:val="000000" w:themeColor="text1"/>
                <w:sz w:val="18"/>
                <w:szCs w:val="18"/>
                <w:lang w:eastAsia="sk-SK"/>
              </w:rPr>
            </w:pPr>
            <w:r w:rsidRPr="0058288E">
              <w:rPr>
                <w:rFonts w:eastAsia="Times New Roman" w:cs="Times New Roman"/>
                <w:color w:val="000000" w:themeColor="text1"/>
                <w:sz w:val="18"/>
                <w:szCs w:val="18"/>
                <w:lang w:eastAsia="sk-SK"/>
              </w:rPr>
              <w:t>58,9</w:t>
            </w:r>
          </w:p>
        </w:tc>
      </w:tr>
      <w:tr w:rsidR="00867564" w:rsidRPr="0058288E" w14:paraId="54F19583" w14:textId="77777777" w:rsidTr="00C53668">
        <w:trPr>
          <w:trHeight w:val="495"/>
          <w:jc w:val="center"/>
        </w:trPr>
        <w:tc>
          <w:tcPr>
            <w:tcW w:w="2860" w:type="dxa"/>
            <w:tcBorders>
              <w:top w:val="nil"/>
              <w:left w:val="nil"/>
              <w:bottom w:val="nil"/>
              <w:right w:val="nil"/>
            </w:tcBorders>
            <w:shd w:val="clear" w:color="auto" w:fill="auto"/>
            <w:vAlign w:val="center"/>
            <w:hideMark/>
          </w:tcPr>
          <w:p w14:paraId="1F1CE9DC" w14:textId="5AED2B24" w:rsidR="00867564" w:rsidRPr="0058288E" w:rsidRDefault="0058288E" w:rsidP="0058288E">
            <w:pPr>
              <w:spacing w:after="0" w:line="240" w:lineRule="auto"/>
              <w:jc w:val="left"/>
              <w:rPr>
                <w:rFonts w:eastAsia="Times New Roman" w:cs="Times New Roman"/>
                <w:color w:val="000000" w:themeColor="text1"/>
                <w:sz w:val="18"/>
                <w:szCs w:val="18"/>
                <w:lang w:eastAsia="sk-SK"/>
              </w:rPr>
            </w:pPr>
            <w:r>
              <w:rPr>
                <w:rFonts w:eastAsia="Times New Roman" w:cs="Times New Roman"/>
                <w:color w:val="000000" w:themeColor="text1"/>
                <w:sz w:val="18"/>
                <w:szCs w:val="18"/>
                <w:lang w:eastAsia="sk-SK"/>
              </w:rPr>
              <w:t>J</w:t>
            </w:r>
            <w:r w:rsidR="00867564" w:rsidRPr="0058288E">
              <w:rPr>
                <w:rFonts w:eastAsia="Times New Roman" w:cs="Times New Roman"/>
                <w:color w:val="000000" w:themeColor="text1"/>
                <w:sz w:val="18"/>
                <w:szCs w:val="18"/>
                <w:lang w:eastAsia="sk-SK"/>
              </w:rPr>
              <w:t xml:space="preserve">ednotlivcom a nezisk. </w:t>
            </w:r>
            <w:r>
              <w:rPr>
                <w:rFonts w:eastAsia="Times New Roman" w:cs="Times New Roman"/>
                <w:color w:val="000000" w:themeColor="text1"/>
                <w:sz w:val="18"/>
                <w:szCs w:val="18"/>
                <w:lang w:eastAsia="sk-SK"/>
              </w:rPr>
              <w:t>PO</w:t>
            </w:r>
          </w:p>
        </w:tc>
        <w:tc>
          <w:tcPr>
            <w:tcW w:w="1039" w:type="dxa"/>
            <w:tcBorders>
              <w:top w:val="nil"/>
              <w:left w:val="nil"/>
              <w:bottom w:val="nil"/>
              <w:right w:val="nil"/>
            </w:tcBorders>
            <w:shd w:val="clear" w:color="auto" w:fill="auto"/>
            <w:vAlign w:val="center"/>
            <w:hideMark/>
          </w:tcPr>
          <w:p w14:paraId="334459C4" w14:textId="77777777" w:rsidR="00867564" w:rsidRPr="0058288E" w:rsidRDefault="00867564" w:rsidP="00F63BD6">
            <w:pPr>
              <w:spacing w:after="0" w:line="240" w:lineRule="auto"/>
              <w:jc w:val="right"/>
              <w:rPr>
                <w:rFonts w:eastAsia="Times New Roman" w:cs="Times New Roman"/>
                <w:color w:val="000000" w:themeColor="text1"/>
                <w:sz w:val="18"/>
                <w:szCs w:val="18"/>
                <w:lang w:eastAsia="sk-SK"/>
              </w:rPr>
            </w:pPr>
            <w:r w:rsidRPr="0058288E">
              <w:rPr>
                <w:rFonts w:eastAsia="Times New Roman" w:cs="Times New Roman"/>
                <w:color w:val="000000" w:themeColor="text1"/>
                <w:sz w:val="18"/>
                <w:szCs w:val="18"/>
                <w:lang w:eastAsia="sk-SK"/>
              </w:rPr>
              <w:t>3 757 414</w:t>
            </w:r>
          </w:p>
        </w:tc>
        <w:tc>
          <w:tcPr>
            <w:tcW w:w="1087" w:type="dxa"/>
            <w:tcBorders>
              <w:top w:val="nil"/>
              <w:left w:val="nil"/>
              <w:bottom w:val="nil"/>
              <w:right w:val="nil"/>
            </w:tcBorders>
            <w:shd w:val="clear" w:color="auto" w:fill="auto"/>
            <w:vAlign w:val="center"/>
            <w:hideMark/>
          </w:tcPr>
          <w:p w14:paraId="60347A8F" w14:textId="77777777" w:rsidR="00867564" w:rsidRPr="0058288E" w:rsidRDefault="00867564" w:rsidP="00F63BD6">
            <w:pPr>
              <w:spacing w:after="0" w:line="240" w:lineRule="auto"/>
              <w:jc w:val="right"/>
              <w:rPr>
                <w:rFonts w:eastAsia="Times New Roman" w:cs="Times New Roman"/>
                <w:color w:val="000000" w:themeColor="text1"/>
                <w:sz w:val="18"/>
                <w:szCs w:val="18"/>
                <w:lang w:eastAsia="sk-SK"/>
              </w:rPr>
            </w:pPr>
            <w:r w:rsidRPr="0058288E">
              <w:rPr>
                <w:rFonts w:eastAsia="Times New Roman" w:cs="Times New Roman"/>
                <w:color w:val="000000" w:themeColor="text1"/>
                <w:sz w:val="18"/>
                <w:szCs w:val="18"/>
                <w:lang w:eastAsia="sk-SK"/>
              </w:rPr>
              <w:t>4 002 928</w:t>
            </w:r>
          </w:p>
        </w:tc>
        <w:tc>
          <w:tcPr>
            <w:tcW w:w="1134" w:type="dxa"/>
            <w:tcBorders>
              <w:top w:val="nil"/>
              <w:left w:val="nil"/>
              <w:bottom w:val="nil"/>
              <w:right w:val="nil"/>
            </w:tcBorders>
            <w:shd w:val="clear" w:color="auto" w:fill="auto"/>
            <w:vAlign w:val="center"/>
            <w:hideMark/>
          </w:tcPr>
          <w:p w14:paraId="584EAF4B" w14:textId="77777777" w:rsidR="00867564" w:rsidRPr="0058288E" w:rsidRDefault="00867564" w:rsidP="00F63BD6">
            <w:pPr>
              <w:spacing w:after="0" w:line="240" w:lineRule="auto"/>
              <w:jc w:val="right"/>
              <w:rPr>
                <w:rFonts w:eastAsia="Times New Roman" w:cs="Times New Roman"/>
                <w:color w:val="000000" w:themeColor="text1"/>
                <w:sz w:val="18"/>
                <w:szCs w:val="18"/>
                <w:lang w:eastAsia="sk-SK"/>
              </w:rPr>
            </w:pPr>
            <w:r w:rsidRPr="0058288E">
              <w:rPr>
                <w:rFonts w:eastAsia="Times New Roman" w:cs="Times New Roman"/>
                <w:color w:val="000000" w:themeColor="text1"/>
                <w:sz w:val="18"/>
                <w:szCs w:val="18"/>
                <w:lang w:eastAsia="sk-SK"/>
              </w:rPr>
              <w:t>4 381 650</w:t>
            </w:r>
          </w:p>
        </w:tc>
        <w:tc>
          <w:tcPr>
            <w:tcW w:w="1110" w:type="dxa"/>
            <w:tcBorders>
              <w:top w:val="nil"/>
              <w:left w:val="nil"/>
              <w:bottom w:val="nil"/>
              <w:right w:val="nil"/>
            </w:tcBorders>
            <w:shd w:val="clear" w:color="000000" w:fill="BFBFBF"/>
            <w:vAlign w:val="center"/>
            <w:hideMark/>
          </w:tcPr>
          <w:p w14:paraId="5DA7A6F0" w14:textId="77777777" w:rsidR="00867564" w:rsidRPr="0058288E" w:rsidRDefault="00867564" w:rsidP="00F63BD6">
            <w:pPr>
              <w:spacing w:after="0" w:line="240" w:lineRule="auto"/>
              <w:jc w:val="right"/>
              <w:rPr>
                <w:rFonts w:eastAsia="Times New Roman" w:cs="Times New Roman"/>
                <w:color w:val="000000" w:themeColor="text1"/>
                <w:sz w:val="18"/>
                <w:szCs w:val="18"/>
                <w:lang w:eastAsia="sk-SK"/>
              </w:rPr>
            </w:pPr>
            <w:r w:rsidRPr="0058288E">
              <w:rPr>
                <w:rFonts w:eastAsia="Times New Roman" w:cs="Times New Roman"/>
                <w:color w:val="000000" w:themeColor="text1"/>
                <w:sz w:val="18"/>
                <w:szCs w:val="18"/>
                <w:lang w:eastAsia="sk-SK"/>
              </w:rPr>
              <w:t>5 400 185</w:t>
            </w:r>
          </w:p>
        </w:tc>
        <w:tc>
          <w:tcPr>
            <w:tcW w:w="1002" w:type="dxa"/>
            <w:tcBorders>
              <w:top w:val="nil"/>
              <w:left w:val="nil"/>
              <w:bottom w:val="nil"/>
              <w:right w:val="nil"/>
            </w:tcBorders>
            <w:shd w:val="clear" w:color="auto" w:fill="auto"/>
            <w:vAlign w:val="center"/>
            <w:hideMark/>
          </w:tcPr>
          <w:p w14:paraId="03BC251A" w14:textId="77777777" w:rsidR="00867564" w:rsidRPr="0058288E" w:rsidRDefault="00867564" w:rsidP="00F63BD6">
            <w:pPr>
              <w:spacing w:after="0" w:line="240" w:lineRule="auto"/>
              <w:jc w:val="right"/>
              <w:rPr>
                <w:rFonts w:eastAsia="Times New Roman" w:cs="Times New Roman"/>
                <w:color w:val="000000" w:themeColor="text1"/>
                <w:sz w:val="18"/>
                <w:szCs w:val="18"/>
                <w:lang w:eastAsia="sk-SK"/>
              </w:rPr>
            </w:pPr>
            <w:r w:rsidRPr="0058288E">
              <w:rPr>
                <w:rFonts w:eastAsia="Times New Roman" w:cs="Times New Roman"/>
                <w:color w:val="000000" w:themeColor="text1"/>
                <w:sz w:val="18"/>
                <w:szCs w:val="18"/>
                <w:lang w:eastAsia="sk-SK"/>
              </w:rPr>
              <w:t>1 018 535</w:t>
            </w:r>
          </w:p>
        </w:tc>
        <w:tc>
          <w:tcPr>
            <w:tcW w:w="850" w:type="dxa"/>
            <w:tcBorders>
              <w:top w:val="nil"/>
              <w:left w:val="nil"/>
              <w:bottom w:val="nil"/>
              <w:right w:val="nil"/>
            </w:tcBorders>
            <w:shd w:val="clear" w:color="auto" w:fill="auto"/>
            <w:vAlign w:val="center"/>
            <w:hideMark/>
          </w:tcPr>
          <w:p w14:paraId="63E7F6BD" w14:textId="77777777" w:rsidR="00867564" w:rsidRPr="0058288E" w:rsidRDefault="00867564" w:rsidP="00F63BD6">
            <w:pPr>
              <w:spacing w:after="0" w:line="240" w:lineRule="auto"/>
              <w:jc w:val="right"/>
              <w:rPr>
                <w:rFonts w:eastAsia="Times New Roman" w:cs="Times New Roman"/>
                <w:color w:val="000000" w:themeColor="text1"/>
                <w:sz w:val="18"/>
                <w:szCs w:val="18"/>
                <w:lang w:eastAsia="sk-SK"/>
              </w:rPr>
            </w:pPr>
            <w:r w:rsidRPr="0058288E">
              <w:rPr>
                <w:rFonts w:eastAsia="Times New Roman" w:cs="Times New Roman"/>
                <w:color w:val="000000" w:themeColor="text1"/>
                <w:sz w:val="18"/>
                <w:szCs w:val="18"/>
                <w:lang w:eastAsia="sk-SK"/>
              </w:rPr>
              <w:t>23,2</w:t>
            </w:r>
          </w:p>
        </w:tc>
      </w:tr>
      <w:tr w:rsidR="00867564" w:rsidRPr="0058288E" w14:paraId="3F2B0174" w14:textId="77777777" w:rsidTr="00C53668">
        <w:trPr>
          <w:trHeight w:val="300"/>
          <w:jc w:val="center"/>
        </w:trPr>
        <w:tc>
          <w:tcPr>
            <w:tcW w:w="2860" w:type="dxa"/>
            <w:tcBorders>
              <w:top w:val="nil"/>
              <w:left w:val="nil"/>
              <w:bottom w:val="nil"/>
              <w:right w:val="nil"/>
            </w:tcBorders>
            <w:shd w:val="clear" w:color="auto" w:fill="auto"/>
            <w:noWrap/>
            <w:vAlign w:val="center"/>
            <w:hideMark/>
          </w:tcPr>
          <w:p w14:paraId="5301AF29" w14:textId="4E570BB7" w:rsidR="00867564" w:rsidRPr="0058288E" w:rsidRDefault="0058288E" w:rsidP="0058288E">
            <w:pPr>
              <w:spacing w:after="0" w:line="240" w:lineRule="auto"/>
              <w:jc w:val="left"/>
              <w:rPr>
                <w:rFonts w:eastAsia="Times New Roman" w:cs="Times New Roman"/>
                <w:color w:val="000000" w:themeColor="text1"/>
                <w:sz w:val="18"/>
                <w:szCs w:val="18"/>
                <w:lang w:eastAsia="sk-SK"/>
              </w:rPr>
            </w:pPr>
            <w:r>
              <w:rPr>
                <w:rFonts w:eastAsia="Times New Roman" w:cs="Times New Roman"/>
                <w:color w:val="000000" w:themeColor="text1"/>
                <w:sz w:val="18"/>
                <w:szCs w:val="18"/>
                <w:lang w:eastAsia="sk-SK"/>
              </w:rPr>
              <w:t>N</w:t>
            </w:r>
            <w:r w:rsidR="00867564" w:rsidRPr="0058288E">
              <w:rPr>
                <w:rFonts w:eastAsia="Times New Roman" w:cs="Times New Roman"/>
                <w:color w:val="000000" w:themeColor="text1"/>
                <w:sz w:val="18"/>
                <w:szCs w:val="18"/>
                <w:lang w:eastAsia="sk-SK"/>
              </w:rPr>
              <w:t>efinančným subjektom</w:t>
            </w:r>
          </w:p>
        </w:tc>
        <w:tc>
          <w:tcPr>
            <w:tcW w:w="1039" w:type="dxa"/>
            <w:tcBorders>
              <w:top w:val="nil"/>
              <w:left w:val="nil"/>
              <w:bottom w:val="nil"/>
              <w:right w:val="nil"/>
            </w:tcBorders>
            <w:shd w:val="clear" w:color="auto" w:fill="auto"/>
            <w:vAlign w:val="center"/>
            <w:hideMark/>
          </w:tcPr>
          <w:p w14:paraId="02A9994E" w14:textId="77777777" w:rsidR="00867564" w:rsidRPr="0058288E" w:rsidRDefault="00867564" w:rsidP="00F63BD6">
            <w:pPr>
              <w:spacing w:after="0" w:line="240" w:lineRule="auto"/>
              <w:jc w:val="right"/>
              <w:rPr>
                <w:rFonts w:eastAsia="Times New Roman" w:cs="Times New Roman"/>
                <w:color w:val="000000" w:themeColor="text1"/>
                <w:sz w:val="18"/>
                <w:szCs w:val="18"/>
                <w:lang w:eastAsia="sk-SK"/>
              </w:rPr>
            </w:pPr>
            <w:r w:rsidRPr="0058288E">
              <w:rPr>
                <w:rFonts w:eastAsia="Times New Roman" w:cs="Times New Roman"/>
                <w:color w:val="000000" w:themeColor="text1"/>
                <w:sz w:val="18"/>
                <w:szCs w:val="18"/>
                <w:lang w:eastAsia="sk-SK"/>
              </w:rPr>
              <w:t>713 871</w:t>
            </w:r>
          </w:p>
        </w:tc>
        <w:tc>
          <w:tcPr>
            <w:tcW w:w="1087" w:type="dxa"/>
            <w:tcBorders>
              <w:top w:val="nil"/>
              <w:left w:val="nil"/>
              <w:bottom w:val="nil"/>
              <w:right w:val="nil"/>
            </w:tcBorders>
            <w:shd w:val="clear" w:color="auto" w:fill="auto"/>
            <w:vAlign w:val="center"/>
            <w:hideMark/>
          </w:tcPr>
          <w:p w14:paraId="3F6AFDE8" w14:textId="77777777" w:rsidR="00867564" w:rsidRPr="0058288E" w:rsidRDefault="00867564" w:rsidP="00F63BD6">
            <w:pPr>
              <w:spacing w:after="0" w:line="240" w:lineRule="auto"/>
              <w:jc w:val="right"/>
              <w:rPr>
                <w:rFonts w:eastAsia="Times New Roman" w:cs="Times New Roman"/>
                <w:color w:val="000000" w:themeColor="text1"/>
                <w:sz w:val="18"/>
                <w:szCs w:val="18"/>
                <w:lang w:eastAsia="sk-SK"/>
              </w:rPr>
            </w:pPr>
            <w:r w:rsidRPr="0058288E">
              <w:rPr>
                <w:rFonts w:eastAsia="Times New Roman" w:cs="Times New Roman"/>
                <w:color w:val="000000" w:themeColor="text1"/>
                <w:sz w:val="18"/>
                <w:szCs w:val="18"/>
                <w:lang w:eastAsia="sk-SK"/>
              </w:rPr>
              <w:t>814 907</w:t>
            </w:r>
          </w:p>
        </w:tc>
        <w:tc>
          <w:tcPr>
            <w:tcW w:w="1134" w:type="dxa"/>
            <w:tcBorders>
              <w:top w:val="nil"/>
              <w:left w:val="nil"/>
              <w:bottom w:val="nil"/>
              <w:right w:val="nil"/>
            </w:tcBorders>
            <w:shd w:val="clear" w:color="auto" w:fill="auto"/>
            <w:vAlign w:val="center"/>
            <w:hideMark/>
          </w:tcPr>
          <w:p w14:paraId="069B8C72" w14:textId="77777777" w:rsidR="00867564" w:rsidRPr="0058288E" w:rsidRDefault="00867564" w:rsidP="00F63BD6">
            <w:pPr>
              <w:spacing w:after="0" w:line="240" w:lineRule="auto"/>
              <w:jc w:val="right"/>
              <w:rPr>
                <w:rFonts w:eastAsia="Times New Roman" w:cs="Times New Roman"/>
                <w:color w:val="000000" w:themeColor="text1"/>
                <w:sz w:val="18"/>
                <w:szCs w:val="18"/>
                <w:lang w:eastAsia="sk-SK"/>
              </w:rPr>
            </w:pPr>
            <w:r w:rsidRPr="0058288E">
              <w:rPr>
                <w:rFonts w:eastAsia="Times New Roman" w:cs="Times New Roman"/>
                <w:color w:val="000000" w:themeColor="text1"/>
                <w:sz w:val="18"/>
                <w:szCs w:val="18"/>
                <w:lang w:eastAsia="sk-SK"/>
              </w:rPr>
              <w:t>848 014</w:t>
            </w:r>
          </w:p>
        </w:tc>
        <w:tc>
          <w:tcPr>
            <w:tcW w:w="1110" w:type="dxa"/>
            <w:tcBorders>
              <w:top w:val="nil"/>
              <w:left w:val="nil"/>
              <w:bottom w:val="nil"/>
              <w:right w:val="nil"/>
            </w:tcBorders>
            <w:shd w:val="clear" w:color="000000" w:fill="BFBFBF"/>
            <w:vAlign w:val="center"/>
            <w:hideMark/>
          </w:tcPr>
          <w:p w14:paraId="1867AFC2" w14:textId="77777777" w:rsidR="00867564" w:rsidRPr="0058288E" w:rsidRDefault="00867564" w:rsidP="00F63BD6">
            <w:pPr>
              <w:spacing w:after="0" w:line="240" w:lineRule="auto"/>
              <w:jc w:val="right"/>
              <w:rPr>
                <w:rFonts w:eastAsia="Times New Roman" w:cs="Times New Roman"/>
                <w:color w:val="000000" w:themeColor="text1"/>
                <w:sz w:val="18"/>
                <w:szCs w:val="18"/>
                <w:lang w:eastAsia="sk-SK"/>
              </w:rPr>
            </w:pPr>
            <w:r w:rsidRPr="0058288E">
              <w:rPr>
                <w:rFonts w:eastAsia="Times New Roman" w:cs="Times New Roman"/>
                <w:color w:val="000000" w:themeColor="text1"/>
                <w:sz w:val="18"/>
                <w:szCs w:val="18"/>
                <w:lang w:eastAsia="sk-SK"/>
              </w:rPr>
              <w:t>1 163 129</w:t>
            </w:r>
          </w:p>
        </w:tc>
        <w:tc>
          <w:tcPr>
            <w:tcW w:w="1002" w:type="dxa"/>
            <w:tcBorders>
              <w:top w:val="nil"/>
              <w:left w:val="nil"/>
              <w:bottom w:val="nil"/>
              <w:right w:val="nil"/>
            </w:tcBorders>
            <w:shd w:val="clear" w:color="auto" w:fill="auto"/>
            <w:vAlign w:val="center"/>
            <w:hideMark/>
          </w:tcPr>
          <w:p w14:paraId="5CCE5DBF" w14:textId="77777777" w:rsidR="00867564" w:rsidRPr="0058288E" w:rsidRDefault="00867564" w:rsidP="00F63BD6">
            <w:pPr>
              <w:spacing w:after="0" w:line="240" w:lineRule="auto"/>
              <w:jc w:val="right"/>
              <w:rPr>
                <w:rFonts w:eastAsia="Times New Roman" w:cs="Times New Roman"/>
                <w:color w:val="000000" w:themeColor="text1"/>
                <w:sz w:val="18"/>
                <w:szCs w:val="18"/>
                <w:lang w:eastAsia="sk-SK"/>
              </w:rPr>
            </w:pPr>
            <w:r w:rsidRPr="0058288E">
              <w:rPr>
                <w:rFonts w:eastAsia="Times New Roman" w:cs="Times New Roman"/>
                <w:color w:val="000000" w:themeColor="text1"/>
                <w:sz w:val="18"/>
                <w:szCs w:val="18"/>
                <w:lang w:eastAsia="sk-SK"/>
              </w:rPr>
              <w:t>315 115</w:t>
            </w:r>
          </w:p>
        </w:tc>
        <w:tc>
          <w:tcPr>
            <w:tcW w:w="850" w:type="dxa"/>
            <w:tcBorders>
              <w:top w:val="nil"/>
              <w:left w:val="nil"/>
              <w:bottom w:val="nil"/>
              <w:right w:val="nil"/>
            </w:tcBorders>
            <w:shd w:val="clear" w:color="auto" w:fill="auto"/>
            <w:vAlign w:val="center"/>
            <w:hideMark/>
          </w:tcPr>
          <w:p w14:paraId="73EF5208" w14:textId="77777777" w:rsidR="00867564" w:rsidRPr="0058288E" w:rsidRDefault="00867564" w:rsidP="00F63BD6">
            <w:pPr>
              <w:spacing w:after="0" w:line="240" w:lineRule="auto"/>
              <w:jc w:val="right"/>
              <w:rPr>
                <w:rFonts w:eastAsia="Times New Roman" w:cs="Times New Roman"/>
                <w:color w:val="000000" w:themeColor="text1"/>
                <w:sz w:val="18"/>
                <w:szCs w:val="18"/>
                <w:lang w:eastAsia="sk-SK"/>
              </w:rPr>
            </w:pPr>
            <w:r w:rsidRPr="0058288E">
              <w:rPr>
                <w:rFonts w:eastAsia="Times New Roman" w:cs="Times New Roman"/>
                <w:color w:val="000000" w:themeColor="text1"/>
                <w:sz w:val="18"/>
                <w:szCs w:val="18"/>
                <w:lang w:eastAsia="sk-SK"/>
              </w:rPr>
              <w:t>37,2</w:t>
            </w:r>
          </w:p>
        </w:tc>
      </w:tr>
      <w:tr w:rsidR="00867564" w:rsidRPr="0058288E" w14:paraId="207B503C" w14:textId="77777777" w:rsidTr="00C53668">
        <w:trPr>
          <w:trHeight w:val="300"/>
          <w:jc w:val="center"/>
        </w:trPr>
        <w:tc>
          <w:tcPr>
            <w:tcW w:w="2860" w:type="dxa"/>
            <w:tcBorders>
              <w:top w:val="nil"/>
              <w:left w:val="nil"/>
              <w:bottom w:val="nil"/>
              <w:right w:val="nil"/>
            </w:tcBorders>
            <w:shd w:val="clear" w:color="auto" w:fill="auto"/>
            <w:noWrap/>
            <w:vAlign w:val="center"/>
            <w:hideMark/>
          </w:tcPr>
          <w:p w14:paraId="6FE3A56A" w14:textId="060C8445" w:rsidR="00867564" w:rsidRPr="0058288E" w:rsidRDefault="0058288E" w:rsidP="00F63BD6">
            <w:pPr>
              <w:spacing w:after="0" w:line="240" w:lineRule="auto"/>
              <w:rPr>
                <w:rFonts w:eastAsia="Times New Roman" w:cs="Times New Roman"/>
                <w:color w:val="000000" w:themeColor="text1"/>
                <w:sz w:val="18"/>
                <w:szCs w:val="18"/>
                <w:lang w:eastAsia="sk-SK"/>
              </w:rPr>
            </w:pPr>
            <w:r>
              <w:rPr>
                <w:rFonts w:eastAsia="Times New Roman" w:cs="Times New Roman"/>
                <w:color w:val="000000" w:themeColor="text1"/>
                <w:sz w:val="18"/>
                <w:szCs w:val="18"/>
                <w:lang w:eastAsia="sk-SK"/>
              </w:rPr>
              <w:t>D</w:t>
            </w:r>
            <w:r w:rsidR="00867564" w:rsidRPr="0058288E">
              <w:rPr>
                <w:rFonts w:eastAsia="Times New Roman" w:cs="Times New Roman"/>
                <w:color w:val="000000" w:themeColor="text1"/>
                <w:sz w:val="18"/>
                <w:szCs w:val="18"/>
                <w:lang w:eastAsia="sk-SK"/>
              </w:rPr>
              <w:t>o zahraničia</w:t>
            </w:r>
          </w:p>
        </w:tc>
        <w:tc>
          <w:tcPr>
            <w:tcW w:w="1039" w:type="dxa"/>
            <w:tcBorders>
              <w:top w:val="nil"/>
              <w:left w:val="nil"/>
              <w:bottom w:val="nil"/>
              <w:right w:val="nil"/>
            </w:tcBorders>
            <w:shd w:val="clear" w:color="auto" w:fill="auto"/>
            <w:vAlign w:val="center"/>
            <w:hideMark/>
          </w:tcPr>
          <w:p w14:paraId="0B4DD164" w14:textId="77777777" w:rsidR="00867564" w:rsidRPr="0058288E" w:rsidRDefault="00867564" w:rsidP="00F63BD6">
            <w:pPr>
              <w:spacing w:after="0" w:line="240" w:lineRule="auto"/>
              <w:jc w:val="right"/>
              <w:rPr>
                <w:rFonts w:eastAsia="Times New Roman" w:cs="Times New Roman"/>
                <w:color w:val="000000" w:themeColor="text1"/>
                <w:sz w:val="18"/>
                <w:szCs w:val="18"/>
                <w:lang w:eastAsia="sk-SK"/>
              </w:rPr>
            </w:pPr>
            <w:r w:rsidRPr="0058288E">
              <w:rPr>
                <w:rFonts w:eastAsia="Times New Roman" w:cs="Times New Roman"/>
                <w:color w:val="000000" w:themeColor="text1"/>
                <w:sz w:val="18"/>
                <w:szCs w:val="18"/>
                <w:lang w:eastAsia="sk-SK"/>
              </w:rPr>
              <w:t>824 498</w:t>
            </w:r>
          </w:p>
        </w:tc>
        <w:tc>
          <w:tcPr>
            <w:tcW w:w="1087" w:type="dxa"/>
            <w:tcBorders>
              <w:top w:val="nil"/>
              <w:left w:val="nil"/>
              <w:bottom w:val="nil"/>
              <w:right w:val="nil"/>
            </w:tcBorders>
            <w:shd w:val="clear" w:color="auto" w:fill="auto"/>
            <w:vAlign w:val="center"/>
            <w:hideMark/>
          </w:tcPr>
          <w:p w14:paraId="4366A2CC" w14:textId="77777777" w:rsidR="00867564" w:rsidRPr="0058288E" w:rsidRDefault="00867564" w:rsidP="00F63BD6">
            <w:pPr>
              <w:spacing w:after="0" w:line="240" w:lineRule="auto"/>
              <w:jc w:val="right"/>
              <w:rPr>
                <w:rFonts w:eastAsia="Times New Roman" w:cs="Times New Roman"/>
                <w:color w:val="000000" w:themeColor="text1"/>
                <w:sz w:val="18"/>
                <w:szCs w:val="18"/>
                <w:lang w:eastAsia="sk-SK"/>
              </w:rPr>
            </w:pPr>
            <w:r w:rsidRPr="0058288E">
              <w:rPr>
                <w:rFonts w:eastAsia="Times New Roman" w:cs="Times New Roman"/>
                <w:color w:val="000000" w:themeColor="text1"/>
                <w:sz w:val="18"/>
                <w:szCs w:val="18"/>
                <w:lang w:eastAsia="sk-SK"/>
              </w:rPr>
              <w:t>845 667</w:t>
            </w:r>
          </w:p>
        </w:tc>
        <w:tc>
          <w:tcPr>
            <w:tcW w:w="1134" w:type="dxa"/>
            <w:tcBorders>
              <w:top w:val="nil"/>
              <w:left w:val="nil"/>
              <w:bottom w:val="nil"/>
              <w:right w:val="nil"/>
            </w:tcBorders>
            <w:shd w:val="clear" w:color="auto" w:fill="auto"/>
            <w:vAlign w:val="center"/>
            <w:hideMark/>
          </w:tcPr>
          <w:p w14:paraId="53805229" w14:textId="77777777" w:rsidR="00867564" w:rsidRPr="0058288E" w:rsidRDefault="00867564" w:rsidP="00F63BD6">
            <w:pPr>
              <w:spacing w:after="0" w:line="240" w:lineRule="auto"/>
              <w:jc w:val="right"/>
              <w:rPr>
                <w:rFonts w:eastAsia="Times New Roman" w:cs="Times New Roman"/>
                <w:color w:val="000000" w:themeColor="text1"/>
                <w:sz w:val="18"/>
                <w:szCs w:val="18"/>
                <w:lang w:eastAsia="sk-SK"/>
              </w:rPr>
            </w:pPr>
            <w:r w:rsidRPr="0058288E">
              <w:rPr>
                <w:rFonts w:eastAsia="Times New Roman" w:cs="Times New Roman"/>
                <w:color w:val="000000" w:themeColor="text1"/>
                <w:sz w:val="18"/>
                <w:szCs w:val="18"/>
                <w:lang w:eastAsia="sk-SK"/>
              </w:rPr>
              <w:t>1 001 112</w:t>
            </w:r>
          </w:p>
        </w:tc>
        <w:tc>
          <w:tcPr>
            <w:tcW w:w="1110" w:type="dxa"/>
            <w:tcBorders>
              <w:top w:val="nil"/>
              <w:left w:val="nil"/>
              <w:bottom w:val="nil"/>
              <w:right w:val="nil"/>
            </w:tcBorders>
            <w:shd w:val="clear" w:color="000000" w:fill="BFBFBF"/>
            <w:vAlign w:val="center"/>
            <w:hideMark/>
          </w:tcPr>
          <w:p w14:paraId="7CDCD7DE" w14:textId="77777777" w:rsidR="00867564" w:rsidRPr="0058288E" w:rsidRDefault="00867564" w:rsidP="00F63BD6">
            <w:pPr>
              <w:spacing w:after="0" w:line="240" w:lineRule="auto"/>
              <w:jc w:val="right"/>
              <w:rPr>
                <w:rFonts w:eastAsia="Times New Roman" w:cs="Times New Roman"/>
                <w:color w:val="000000" w:themeColor="text1"/>
                <w:sz w:val="18"/>
                <w:szCs w:val="18"/>
                <w:lang w:eastAsia="sk-SK"/>
              </w:rPr>
            </w:pPr>
            <w:r w:rsidRPr="0058288E">
              <w:rPr>
                <w:rFonts w:eastAsia="Times New Roman" w:cs="Times New Roman"/>
                <w:color w:val="000000" w:themeColor="text1"/>
                <w:sz w:val="18"/>
                <w:szCs w:val="18"/>
                <w:lang w:eastAsia="sk-SK"/>
              </w:rPr>
              <w:t>976 976</w:t>
            </w:r>
          </w:p>
        </w:tc>
        <w:tc>
          <w:tcPr>
            <w:tcW w:w="1002" w:type="dxa"/>
            <w:tcBorders>
              <w:top w:val="nil"/>
              <w:left w:val="nil"/>
              <w:bottom w:val="nil"/>
              <w:right w:val="nil"/>
            </w:tcBorders>
            <w:shd w:val="clear" w:color="auto" w:fill="auto"/>
            <w:vAlign w:val="center"/>
            <w:hideMark/>
          </w:tcPr>
          <w:p w14:paraId="3F524BD8" w14:textId="77777777" w:rsidR="00867564" w:rsidRPr="0058288E" w:rsidRDefault="00867564" w:rsidP="00F63BD6">
            <w:pPr>
              <w:spacing w:after="0" w:line="240" w:lineRule="auto"/>
              <w:jc w:val="right"/>
              <w:rPr>
                <w:rFonts w:eastAsia="Times New Roman" w:cs="Times New Roman"/>
                <w:color w:val="000000" w:themeColor="text1"/>
                <w:sz w:val="18"/>
                <w:szCs w:val="18"/>
                <w:lang w:eastAsia="sk-SK"/>
              </w:rPr>
            </w:pPr>
            <w:r w:rsidRPr="0058288E">
              <w:rPr>
                <w:rFonts w:eastAsia="Times New Roman" w:cs="Times New Roman"/>
                <w:color w:val="000000" w:themeColor="text1"/>
                <w:sz w:val="18"/>
                <w:szCs w:val="18"/>
                <w:lang w:eastAsia="sk-SK"/>
              </w:rPr>
              <w:t>-24 136</w:t>
            </w:r>
          </w:p>
        </w:tc>
        <w:tc>
          <w:tcPr>
            <w:tcW w:w="850" w:type="dxa"/>
            <w:tcBorders>
              <w:top w:val="nil"/>
              <w:left w:val="nil"/>
              <w:bottom w:val="nil"/>
              <w:right w:val="nil"/>
            </w:tcBorders>
            <w:shd w:val="clear" w:color="auto" w:fill="auto"/>
            <w:vAlign w:val="center"/>
            <w:hideMark/>
          </w:tcPr>
          <w:p w14:paraId="53348265" w14:textId="77777777" w:rsidR="00867564" w:rsidRPr="0058288E" w:rsidRDefault="00867564" w:rsidP="00F63BD6">
            <w:pPr>
              <w:spacing w:after="0" w:line="240" w:lineRule="auto"/>
              <w:jc w:val="right"/>
              <w:rPr>
                <w:rFonts w:eastAsia="Times New Roman" w:cs="Times New Roman"/>
                <w:color w:val="000000" w:themeColor="text1"/>
                <w:sz w:val="18"/>
                <w:szCs w:val="18"/>
                <w:lang w:eastAsia="sk-SK"/>
              </w:rPr>
            </w:pPr>
            <w:r w:rsidRPr="0058288E">
              <w:rPr>
                <w:rFonts w:eastAsia="Times New Roman" w:cs="Times New Roman"/>
                <w:color w:val="000000" w:themeColor="text1"/>
                <w:sz w:val="18"/>
                <w:szCs w:val="18"/>
                <w:lang w:eastAsia="sk-SK"/>
              </w:rPr>
              <w:t>-2,4</w:t>
            </w:r>
          </w:p>
        </w:tc>
      </w:tr>
      <w:tr w:rsidR="00867564" w:rsidRPr="0058288E" w14:paraId="5829BEE8" w14:textId="77777777" w:rsidTr="00C53668">
        <w:trPr>
          <w:trHeight w:val="540"/>
          <w:jc w:val="center"/>
        </w:trPr>
        <w:tc>
          <w:tcPr>
            <w:tcW w:w="2860" w:type="dxa"/>
            <w:tcBorders>
              <w:top w:val="nil"/>
              <w:left w:val="nil"/>
              <w:bottom w:val="nil"/>
              <w:right w:val="nil"/>
            </w:tcBorders>
            <w:shd w:val="clear" w:color="auto" w:fill="auto"/>
            <w:vAlign w:val="center"/>
            <w:hideMark/>
          </w:tcPr>
          <w:p w14:paraId="35C1C4B8" w14:textId="7F4A27CC" w:rsidR="00867564" w:rsidRPr="0058288E" w:rsidRDefault="0058288E" w:rsidP="0058288E">
            <w:pPr>
              <w:spacing w:after="0" w:line="240" w:lineRule="auto"/>
              <w:jc w:val="left"/>
              <w:rPr>
                <w:rFonts w:eastAsia="Times New Roman" w:cs="Times New Roman"/>
                <w:color w:val="000000" w:themeColor="text1"/>
                <w:sz w:val="18"/>
                <w:szCs w:val="18"/>
                <w:lang w:eastAsia="sk-SK"/>
              </w:rPr>
            </w:pPr>
            <w:r>
              <w:rPr>
                <w:rFonts w:eastAsia="Times New Roman" w:cs="Times New Roman"/>
                <w:color w:val="000000" w:themeColor="text1"/>
                <w:sz w:val="18"/>
                <w:szCs w:val="18"/>
                <w:lang w:eastAsia="sk-SK"/>
              </w:rPr>
              <w:t>D</w:t>
            </w:r>
            <w:r w:rsidR="00867564" w:rsidRPr="0058288E">
              <w:rPr>
                <w:rFonts w:eastAsia="Times New Roman" w:cs="Times New Roman"/>
                <w:color w:val="000000" w:themeColor="text1"/>
                <w:sz w:val="18"/>
                <w:szCs w:val="18"/>
                <w:lang w:eastAsia="sk-SK"/>
              </w:rPr>
              <w:t>o tuzemských finančných inštitúcií</w:t>
            </w:r>
          </w:p>
        </w:tc>
        <w:tc>
          <w:tcPr>
            <w:tcW w:w="1039" w:type="dxa"/>
            <w:tcBorders>
              <w:top w:val="nil"/>
              <w:left w:val="nil"/>
              <w:bottom w:val="nil"/>
              <w:right w:val="nil"/>
            </w:tcBorders>
            <w:shd w:val="clear" w:color="auto" w:fill="auto"/>
            <w:vAlign w:val="center"/>
            <w:hideMark/>
          </w:tcPr>
          <w:p w14:paraId="65A4A627" w14:textId="77777777" w:rsidR="00867564" w:rsidRPr="0058288E" w:rsidRDefault="00867564" w:rsidP="00F63BD6">
            <w:pPr>
              <w:spacing w:after="0" w:line="240" w:lineRule="auto"/>
              <w:jc w:val="right"/>
              <w:rPr>
                <w:rFonts w:eastAsia="Times New Roman" w:cs="Times New Roman"/>
                <w:color w:val="000000" w:themeColor="text1"/>
                <w:sz w:val="18"/>
                <w:szCs w:val="18"/>
                <w:lang w:eastAsia="sk-SK"/>
              </w:rPr>
            </w:pPr>
            <w:r w:rsidRPr="0058288E">
              <w:rPr>
                <w:rFonts w:eastAsia="Times New Roman" w:cs="Times New Roman"/>
                <w:color w:val="000000" w:themeColor="text1"/>
                <w:sz w:val="18"/>
                <w:szCs w:val="18"/>
                <w:lang w:eastAsia="sk-SK"/>
              </w:rPr>
              <w:t>64 740</w:t>
            </w:r>
          </w:p>
        </w:tc>
        <w:tc>
          <w:tcPr>
            <w:tcW w:w="1087" w:type="dxa"/>
            <w:tcBorders>
              <w:top w:val="nil"/>
              <w:left w:val="nil"/>
              <w:bottom w:val="nil"/>
              <w:right w:val="nil"/>
            </w:tcBorders>
            <w:shd w:val="clear" w:color="auto" w:fill="auto"/>
            <w:vAlign w:val="center"/>
            <w:hideMark/>
          </w:tcPr>
          <w:p w14:paraId="788701CD" w14:textId="77777777" w:rsidR="00867564" w:rsidRPr="0058288E" w:rsidRDefault="00867564" w:rsidP="00F63BD6">
            <w:pPr>
              <w:spacing w:after="0" w:line="240" w:lineRule="auto"/>
              <w:jc w:val="right"/>
              <w:rPr>
                <w:rFonts w:eastAsia="Times New Roman" w:cs="Times New Roman"/>
                <w:color w:val="000000" w:themeColor="text1"/>
                <w:sz w:val="18"/>
                <w:szCs w:val="18"/>
                <w:lang w:eastAsia="sk-SK"/>
              </w:rPr>
            </w:pPr>
            <w:r w:rsidRPr="0058288E">
              <w:rPr>
                <w:rFonts w:eastAsia="Times New Roman" w:cs="Times New Roman"/>
                <w:color w:val="000000" w:themeColor="text1"/>
                <w:sz w:val="18"/>
                <w:szCs w:val="18"/>
                <w:lang w:eastAsia="sk-SK"/>
              </w:rPr>
              <w:t>8 501</w:t>
            </w:r>
          </w:p>
        </w:tc>
        <w:tc>
          <w:tcPr>
            <w:tcW w:w="1134" w:type="dxa"/>
            <w:tcBorders>
              <w:top w:val="nil"/>
              <w:left w:val="nil"/>
              <w:bottom w:val="nil"/>
              <w:right w:val="nil"/>
            </w:tcBorders>
            <w:shd w:val="clear" w:color="auto" w:fill="auto"/>
            <w:vAlign w:val="center"/>
            <w:hideMark/>
          </w:tcPr>
          <w:p w14:paraId="6E5D1B4B" w14:textId="77777777" w:rsidR="00867564" w:rsidRPr="0058288E" w:rsidRDefault="00867564" w:rsidP="00F63BD6">
            <w:pPr>
              <w:spacing w:after="0" w:line="240" w:lineRule="auto"/>
              <w:jc w:val="right"/>
              <w:rPr>
                <w:rFonts w:eastAsia="Times New Roman" w:cs="Times New Roman"/>
                <w:color w:val="000000" w:themeColor="text1"/>
                <w:sz w:val="18"/>
                <w:szCs w:val="18"/>
                <w:lang w:eastAsia="sk-SK"/>
              </w:rPr>
            </w:pPr>
            <w:r w:rsidRPr="0058288E">
              <w:rPr>
                <w:rFonts w:eastAsia="Times New Roman" w:cs="Times New Roman"/>
                <w:color w:val="000000" w:themeColor="text1"/>
                <w:sz w:val="18"/>
                <w:szCs w:val="18"/>
                <w:lang w:eastAsia="sk-SK"/>
              </w:rPr>
              <w:t>2 203</w:t>
            </w:r>
          </w:p>
        </w:tc>
        <w:tc>
          <w:tcPr>
            <w:tcW w:w="1110" w:type="dxa"/>
            <w:tcBorders>
              <w:top w:val="nil"/>
              <w:left w:val="nil"/>
              <w:bottom w:val="nil"/>
              <w:right w:val="nil"/>
            </w:tcBorders>
            <w:shd w:val="clear" w:color="auto" w:fill="BFBFBF" w:themeFill="background1" w:themeFillShade="BF"/>
            <w:vAlign w:val="center"/>
            <w:hideMark/>
          </w:tcPr>
          <w:p w14:paraId="04ECF5F9" w14:textId="77777777" w:rsidR="00867564" w:rsidRPr="0058288E" w:rsidRDefault="00867564" w:rsidP="00F63BD6">
            <w:pPr>
              <w:spacing w:after="0" w:line="240" w:lineRule="auto"/>
              <w:jc w:val="right"/>
              <w:rPr>
                <w:rFonts w:eastAsia="Times New Roman" w:cs="Times New Roman"/>
                <w:color w:val="000000" w:themeColor="text1"/>
                <w:sz w:val="18"/>
                <w:szCs w:val="18"/>
                <w:lang w:eastAsia="sk-SK"/>
              </w:rPr>
            </w:pPr>
            <w:r w:rsidRPr="0058288E">
              <w:rPr>
                <w:rFonts w:eastAsia="Times New Roman" w:cs="Times New Roman"/>
                <w:color w:val="000000" w:themeColor="text1"/>
                <w:sz w:val="18"/>
                <w:szCs w:val="18"/>
                <w:lang w:eastAsia="sk-SK"/>
              </w:rPr>
              <w:t>1 629</w:t>
            </w:r>
          </w:p>
        </w:tc>
        <w:tc>
          <w:tcPr>
            <w:tcW w:w="1002" w:type="dxa"/>
            <w:tcBorders>
              <w:top w:val="nil"/>
              <w:left w:val="nil"/>
              <w:bottom w:val="single" w:sz="8" w:space="0" w:color="auto"/>
              <w:right w:val="nil"/>
            </w:tcBorders>
            <w:shd w:val="clear" w:color="auto" w:fill="auto"/>
            <w:vAlign w:val="center"/>
            <w:hideMark/>
          </w:tcPr>
          <w:p w14:paraId="11A51053" w14:textId="77777777" w:rsidR="00867564" w:rsidRPr="0058288E" w:rsidRDefault="00867564" w:rsidP="00F63BD6">
            <w:pPr>
              <w:spacing w:after="0" w:line="240" w:lineRule="auto"/>
              <w:jc w:val="right"/>
              <w:rPr>
                <w:rFonts w:eastAsia="Times New Roman" w:cs="Times New Roman"/>
                <w:color w:val="000000" w:themeColor="text1"/>
                <w:sz w:val="18"/>
                <w:szCs w:val="18"/>
                <w:lang w:eastAsia="sk-SK"/>
              </w:rPr>
            </w:pPr>
            <w:r w:rsidRPr="0058288E">
              <w:rPr>
                <w:rFonts w:eastAsia="Times New Roman" w:cs="Times New Roman"/>
                <w:color w:val="000000" w:themeColor="text1"/>
                <w:sz w:val="18"/>
                <w:szCs w:val="18"/>
                <w:lang w:eastAsia="sk-SK"/>
              </w:rPr>
              <w:t>-574</w:t>
            </w:r>
          </w:p>
        </w:tc>
        <w:tc>
          <w:tcPr>
            <w:tcW w:w="850" w:type="dxa"/>
            <w:tcBorders>
              <w:top w:val="nil"/>
              <w:left w:val="nil"/>
              <w:bottom w:val="single" w:sz="8" w:space="0" w:color="auto"/>
              <w:right w:val="nil"/>
            </w:tcBorders>
            <w:shd w:val="clear" w:color="auto" w:fill="auto"/>
            <w:vAlign w:val="center"/>
            <w:hideMark/>
          </w:tcPr>
          <w:p w14:paraId="047002D8" w14:textId="77777777" w:rsidR="00867564" w:rsidRPr="0058288E" w:rsidRDefault="00867564" w:rsidP="00F63BD6">
            <w:pPr>
              <w:spacing w:after="0" w:line="240" w:lineRule="auto"/>
              <w:jc w:val="right"/>
              <w:rPr>
                <w:rFonts w:eastAsia="Times New Roman" w:cs="Times New Roman"/>
                <w:color w:val="000000" w:themeColor="text1"/>
                <w:sz w:val="18"/>
                <w:szCs w:val="18"/>
                <w:lang w:eastAsia="sk-SK"/>
              </w:rPr>
            </w:pPr>
            <w:r w:rsidRPr="0058288E">
              <w:rPr>
                <w:rFonts w:eastAsia="Times New Roman" w:cs="Times New Roman"/>
                <w:color w:val="000000" w:themeColor="text1"/>
                <w:sz w:val="18"/>
                <w:szCs w:val="18"/>
                <w:lang w:eastAsia="sk-SK"/>
              </w:rPr>
              <w:t>-26,1</w:t>
            </w:r>
          </w:p>
        </w:tc>
      </w:tr>
      <w:tr w:rsidR="00867564" w:rsidRPr="0058288E" w14:paraId="4A6606CC" w14:textId="77777777" w:rsidTr="00C53668">
        <w:trPr>
          <w:trHeight w:val="300"/>
          <w:jc w:val="center"/>
        </w:trPr>
        <w:tc>
          <w:tcPr>
            <w:tcW w:w="2860" w:type="dxa"/>
            <w:tcBorders>
              <w:top w:val="single" w:sz="8" w:space="0" w:color="auto"/>
              <w:left w:val="nil"/>
              <w:bottom w:val="single" w:sz="8" w:space="0" w:color="auto"/>
              <w:right w:val="nil"/>
            </w:tcBorders>
            <w:shd w:val="clear" w:color="auto" w:fill="auto"/>
            <w:vAlign w:val="center"/>
            <w:hideMark/>
          </w:tcPr>
          <w:p w14:paraId="548DAB16" w14:textId="77777777" w:rsidR="00867564" w:rsidRPr="0058288E" w:rsidRDefault="00867564" w:rsidP="00F63BD6">
            <w:pPr>
              <w:spacing w:after="0" w:line="240" w:lineRule="auto"/>
              <w:rPr>
                <w:rFonts w:eastAsia="Times New Roman" w:cs="Times New Roman"/>
                <w:b/>
                <w:color w:val="000000" w:themeColor="text1"/>
                <w:sz w:val="18"/>
                <w:szCs w:val="18"/>
                <w:lang w:eastAsia="sk-SK"/>
              </w:rPr>
            </w:pPr>
            <w:r w:rsidRPr="0058288E">
              <w:rPr>
                <w:rFonts w:eastAsia="Times New Roman" w:cs="Times New Roman"/>
                <w:b/>
                <w:color w:val="000000" w:themeColor="text1"/>
                <w:sz w:val="18"/>
                <w:szCs w:val="18"/>
                <w:lang w:eastAsia="sk-SK"/>
              </w:rPr>
              <w:t>Spolu</w:t>
            </w:r>
          </w:p>
        </w:tc>
        <w:tc>
          <w:tcPr>
            <w:tcW w:w="1039" w:type="dxa"/>
            <w:tcBorders>
              <w:top w:val="single" w:sz="8" w:space="0" w:color="auto"/>
              <w:left w:val="nil"/>
              <w:bottom w:val="single" w:sz="8" w:space="0" w:color="auto"/>
              <w:right w:val="nil"/>
            </w:tcBorders>
            <w:shd w:val="clear" w:color="auto" w:fill="auto"/>
            <w:noWrap/>
            <w:vAlign w:val="center"/>
            <w:hideMark/>
          </w:tcPr>
          <w:p w14:paraId="59E95EE8" w14:textId="77777777" w:rsidR="00867564" w:rsidRPr="0058288E" w:rsidRDefault="00867564" w:rsidP="00F63BD6">
            <w:pPr>
              <w:spacing w:after="0" w:line="240" w:lineRule="auto"/>
              <w:jc w:val="right"/>
              <w:rPr>
                <w:rFonts w:eastAsia="Times New Roman" w:cs="Times New Roman"/>
                <w:b/>
                <w:color w:val="000000" w:themeColor="text1"/>
                <w:sz w:val="18"/>
                <w:szCs w:val="18"/>
                <w:lang w:eastAsia="sk-SK"/>
              </w:rPr>
            </w:pPr>
            <w:r w:rsidRPr="0058288E">
              <w:rPr>
                <w:rFonts w:eastAsia="Times New Roman" w:cs="Times New Roman"/>
                <w:b/>
                <w:color w:val="000000" w:themeColor="text1"/>
                <w:sz w:val="18"/>
                <w:szCs w:val="18"/>
                <w:lang w:eastAsia="sk-SK"/>
              </w:rPr>
              <w:t>9 771 657</w:t>
            </w:r>
          </w:p>
        </w:tc>
        <w:tc>
          <w:tcPr>
            <w:tcW w:w="1087" w:type="dxa"/>
            <w:tcBorders>
              <w:top w:val="single" w:sz="8" w:space="0" w:color="auto"/>
              <w:left w:val="nil"/>
              <w:bottom w:val="single" w:sz="8" w:space="0" w:color="auto"/>
              <w:right w:val="nil"/>
            </w:tcBorders>
            <w:shd w:val="clear" w:color="auto" w:fill="auto"/>
            <w:noWrap/>
            <w:vAlign w:val="center"/>
            <w:hideMark/>
          </w:tcPr>
          <w:p w14:paraId="68EAC40B" w14:textId="77777777" w:rsidR="00867564" w:rsidRPr="0058288E" w:rsidRDefault="00867564" w:rsidP="00F63BD6">
            <w:pPr>
              <w:spacing w:after="0" w:line="240" w:lineRule="auto"/>
              <w:jc w:val="right"/>
              <w:rPr>
                <w:rFonts w:eastAsia="Times New Roman" w:cs="Times New Roman"/>
                <w:b/>
                <w:color w:val="000000" w:themeColor="text1"/>
                <w:sz w:val="18"/>
                <w:szCs w:val="18"/>
                <w:lang w:eastAsia="sk-SK"/>
              </w:rPr>
            </w:pPr>
            <w:r w:rsidRPr="0058288E">
              <w:rPr>
                <w:rFonts w:eastAsia="Times New Roman" w:cs="Times New Roman"/>
                <w:b/>
                <w:color w:val="000000" w:themeColor="text1"/>
                <w:sz w:val="18"/>
                <w:szCs w:val="18"/>
                <w:lang w:eastAsia="sk-SK"/>
              </w:rPr>
              <w:t>10 284 024</w:t>
            </w:r>
          </w:p>
        </w:tc>
        <w:tc>
          <w:tcPr>
            <w:tcW w:w="1134" w:type="dxa"/>
            <w:tcBorders>
              <w:top w:val="single" w:sz="8" w:space="0" w:color="auto"/>
              <w:left w:val="nil"/>
              <w:bottom w:val="single" w:sz="8" w:space="0" w:color="auto"/>
              <w:right w:val="nil"/>
            </w:tcBorders>
            <w:shd w:val="clear" w:color="auto" w:fill="auto"/>
            <w:noWrap/>
            <w:vAlign w:val="center"/>
            <w:hideMark/>
          </w:tcPr>
          <w:p w14:paraId="116FCB11" w14:textId="77777777" w:rsidR="00867564" w:rsidRPr="0058288E" w:rsidRDefault="00867564" w:rsidP="00F63BD6">
            <w:pPr>
              <w:spacing w:after="0" w:line="240" w:lineRule="auto"/>
              <w:jc w:val="right"/>
              <w:rPr>
                <w:rFonts w:eastAsia="Times New Roman" w:cs="Times New Roman"/>
                <w:b/>
                <w:color w:val="000000" w:themeColor="text1"/>
                <w:sz w:val="18"/>
                <w:szCs w:val="18"/>
                <w:lang w:eastAsia="sk-SK"/>
              </w:rPr>
            </w:pPr>
            <w:r w:rsidRPr="0058288E">
              <w:rPr>
                <w:rFonts w:eastAsia="Times New Roman" w:cs="Times New Roman"/>
                <w:b/>
                <w:color w:val="000000" w:themeColor="text1"/>
                <w:sz w:val="18"/>
                <w:szCs w:val="18"/>
                <w:lang w:eastAsia="sk-SK"/>
              </w:rPr>
              <w:t>10 974 578</w:t>
            </w:r>
          </w:p>
        </w:tc>
        <w:tc>
          <w:tcPr>
            <w:tcW w:w="1110" w:type="dxa"/>
            <w:tcBorders>
              <w:top w:val="single" w:sz="8" w:space="0" w:color="auto"/>
              <w:left w:val="nil"/>
              <w:bottom w:val="single" w:sz="8" w:space="0" w:color="auto"/>
              <w:right w:val="nil"/>
            </w:tcBorders>
            <w:shd w:val="clear" w:color="auto" w:fill="BFBFBF" w:themeFill="background1" w:themeFillShade="BF"/>
            <w:noWrap/>
            <w:vAlign w:val="center"/>
            <w:hideMark/>
          </w:tcPr>
          <w:p w14:paraId="08CE0254" w14:textId="77777777" w:rsidR="00867564" w:rsidRPr="0058288E" w:rsidRDefault="00867564" w:rsidP="00F63BD6">
            <w:pPr>
              <w:spacing w:after="0" w:line="240" w:lineRule="auto"/>
              <w:jc w:val="right"/>
              <w:rPr>
                <w:rFonts w:eastAsia="Times New Roman" w:cs="Times New Roman"/>
                <w:b/>
                <w:color w:val="000000" w:themeColor="text1"/>
                <w:sz w:val="18"/>
                <w:szCs w:val="18"/>
                <w:lang w:eastAsia="sk-SK"/>
              </w:rPr>
            </w:pPr>
            <w:r w:rsidRPr="0058288E">
              <w:rPr>
                <w:rFonts w:eastAsia="Times New Roman" w:cs="Times New Roman"/>
                <w:b/>
                <w:color w:val="000000" w:themeColor="text1"/>
                <w:sz w:val="18"/>
                <w:szCs w:val="18"/>
                <w:lang w:eastAsia="sk-SK"/>
              </w:rPr>
              <w:t>15 076 858</w:t>
            </w:r>
          </w:p>
        </w:tc>
        <w:tc>
          <w:tcPr>
            <w:tcW w:w="1002" w:type="dxa"/>
            <w:tcBorders>
              <w:top w:val="nil"/>
              <w:left w:val="nil"/>
              <w:bottom w:val="single" w:sz="8" w:space="0" w:color="auto"/>
              <w:right w:val="nil"/>
            </w:tcBorders>
            <w:shd w:val="clear" w:color="auto" w:fill="auto"/>
            <w:vAlign w:val="center"/>
            <w:hideMark/>
          </w:tcPr>
          <w:p w14:paraId="623BF800" w14:textId="77777777" w:rsidR="00867564" w:rsidRPr="0058288E" w:rsidRDefault="00867564" w:rsidP="00F63BD6">
            <w:pPr>
              <w:spacing w:after="0" w:line="240" w:lineRule="auto"/>
              <w:jc w:val="right"/>
              <w:rPr>
                <w:rFonts w:eastAsia="Times New Roman" w:cs="Times New Roman"/>
                <w:b/>
                <w:color w:val="000000" w:themeColor="text1"/>
                <w:sz w:val="18"/>
                <w:szCs w:val="18"/>
                <w:lang w:eastAsia="sk-SK"/>
              </w:rPr>
            </w:pPr>
            <w:r w:rsidRPr="0058288E">
              <w:rPr>
                <w:rFonts w:eastAsia="Times New Roman" w:cs="Times New Roman"/>
                <w:b/>
                <w:color w:val="000000" w:themeColor="text1"/>
                <w:sz w:val="18"/>
                <w:szCs w:val="18"/>
                <w:lang w:eastAsia="sk-SK"/>
              </w:rPr>
              <w:t>4 102 280</w:t>
            </w:r>
          </w:p>
        </w:tc>
        <w:tc>
          <w:tcPr>
            <w:tcW w:w="850" w:type="dxa"/>
            <w:tcBorders>
              <w:top w:val="nil"/>
              <w:left w:val="nil"/>
              <w:bottom w:val="single" w:sz="8" w:space="0" w:color="auto"/>
              <w:right w:val="nil"/>
            </w:tcBorders>
            <w:shd w:val="clear" w:color="auto" w:fill="auto"/>
            <w:vAlign w:val="center"/>
            <w:hideMark/>
          </w:tcPr>
          <w:p w14:paraId="31A60DA3" w14:textId="77777777" w:rsidR="00867564" w:rsidRPr="0058288E" w:rsidRDefault="00867564" w:rsidP="00F63BD6">
            <w:pPr>
              <w:spacing w:after="0" w:line="240" w:lineRule="auto"/>
              <w:jc w:val="right"/>
              <w:rPr>
                <w:rFonts w:eastAsia="Times New Roman" w:cs="Times New Roman"/>
                <w:b/>
                <w:color w:val="000000" w:themeColor="text1"/>
                <w:sz w:val="18"/>
                <w:szCs w:val="18"/>
                <w:lang w:eastAsia="sk-SK"/>
              </w:rPr>
            </w:pPr>
            <w:r w:rsidRPr="0058288E">
              <w:rPr>
                <w:rFonts w:eastAsia="Times New Roman" w:cs="Times New Roman"/>
                <w:b/>
                <w:color w:val="000000" w:themeColor="text1"/>
                <w:sz w:val="18"/>
                <w:szCs w:val="18"/>
                <w:lang w:eastAsia="sk-SK"/>
              </w:rPr>
              <w:t>37,4</w:t>
            </w:r>
          </w:p>
        </w:tc>
      </w:tr>
    </w:tbl>
    <w:p w14:paraId="2F887C5E" w14:textId="2217EFA0" w:rsidR="00F108F7" w:rsidRDefault="00F108F7" w:rsidP="00F108F7">
      <w:pPr>
        <w:jc w:val="right"/>
        <w:rPr>
          <w:b/>
        </w:rPr>
      </w:pPr>
      <w:r w:rsidRPr="00C43C11">
        <w:rPr>
          <w:rFonts w:eastAsia="Times New Roman" w:cs="Times New Roman"/>
          <w:color w:val="000000"/>
          <w:sz w:val="18"/>
          <w:szCs w:val="18"/>
          <w:lang w:eastAsia="sk-SK"/>
        </w:rPr>
        <w:t>Zdroj: MF SR</w:t>
      </w:r>
    </w:p>
    <w:p w14:paraId="56548E4C" w14:textId="7AC5D5BD" w:rsidR="00867564" w:rsidRPr="00D715AF" w:rsidRDefault="00867564" w:rsidP="001665F3">
      <w:pPr>
        <w:spacing w:line="240" w:lineRule="auto"/>
        <w:rPr>
          <w:sz w:val="24"/>
          <w:szCs w:val="24"/>
        </w:rPr>
      </w:pPr>
      <w:r w:rsidRPr="00D715AF">
        <w:rPr>
          <w:b/>
          <w:sz w:val="24"/>
          <w:szCs w:val="24"/>
        </w:rPr>
        <w:t>Transfery v rámci verejnej správy</w:t>
      </w:r>
      <w:r w:rsidRPr="00D715AF">
        <w:rPr>
          <w:b/>
          <w:i/>
          <w:sz w:val="24"/>
          <w:szCs w:val="24"/>
        </w:rPr>
        <w:t xml:space="preserve"> </w:t>
      </w:r>
      <w:r w:rsidRPr="00D715AF">
        <w:rPr>
          <w:sz w:val="24"/>
          <w:szCs w:val="24"/>
        </w:rPr>
        <w:t>predstavujú platby subjektom, ktoré sú v registri organizácií vedenom Štatistickým úradom klasifikované pod jedným zo subsektorov ústredná správa</w:t>
      </w:r>
      <w:r w:rsidR="00957C24">
        <w:rPr>
          <w:sz w:val="24"/>
          <w:szCs w:val="24"/>
        </w:rPr>
        <w:t xml:space="preserve"> (S</w:t>
      </w:r>
      <w:r w:rsidR="00A1063B">
        <w:rPr>
          <w:sz w:val="24"/>
          <w:szCs w:val="24"/>
        </w:rPr>
        <w:t>.1311)</w:t>
      </w:r>
      <w:r w:rsidRPr="00D715AF">
        <w:rPr>
          <w:sz w:val="24"/>
          <w:szCs w:val="24"/>
        </w:rPr>
        <w:t>, územná samospráva</w:t>
      </w:r>
      <w:r w:rsidR="00A1063B">
        <w:rPr>
          <w:sz w:val="24"/>
          <w:szCs w:val="24"/>
        </w:rPr>
        <w:t xml:space="preserve"> (S.1313)</w:t>
      </w:r>
      <w:r w:rsidRPr="00D715AF">
        <w:rPr>
          <w:sz w:val="24"/>
          <w:szCs w:val="24"/>
        </w:rPr>
        <w:t xml:space="preserve"> alebo fondy sociálneho a zdravotného zabezpečenia</w:t>
      </w:r>
      <w:r w:rsidR="00A1063B">
        <w:rPr>
          <w:sz w:val="24"/>
          <w:szCs w:val="24"/>
        </w:rPr>
        <w:t xml:space="preserve"> (S.1314)</w:t>
      </w:r>
      <w:r w:rsidRPr="00D715AF">
        <w:rPr>
          <w:sz w:val="24"/>
          <w:szCs w:val="24"/>
        </w:rPr>
        <w:t xml:space="preserve">. </w:t>
      </w:r>
    </w:p>
    <w:p w14:paraId="73E5C1CD" w14:textId="12A5B331" w:rsidR="000C4CC0" w:rsidRPr="00D715AF" w:rsidRDefault="00867564" w:rsidP="001665F3">
      <w:pPr>
        <w:spacing w:line="240" w:lineRule="auto"/>
        <w:rPr>
          <w:sz w:val="24"/>
          <w:szCs w:val="24"/>
        </w:rPr>
      </w:pPr>
      <w:r w:rsidRPr="00D715AF">
        <w:rPr>
          <w:rFonts w:cs="Times New Roman"/>
          <w:sz w:val="24"/>
          <w:szCs w:val="24"/>
        </w:rPr>
        <w:t>Na </w:t>
      </w:r>
      <w:r w:rsidRPr="00D715AF">
        <w:rPr>
          <w:rFonts w:cs="Times New Roman"/>
          <w:iCs/>
          <w:sz w:val="24"/>
          <w:szCs w:val="24"/>
        </w:rPr>
        <w:t>transfery</w:t>
      </w:r>
      <w:r w:rsidRPr="00D715AF">
        <w:rPr>
          <w:rFonts w:cs="Times New Roman"/>
          <w:i/>
          <w:iCs/>
          <w:sz w:val="24"/>
          <w:szCs w:val="24"/>
        </w:rPr>
        <w:t xml:space="preserve"> </w:t>
      </w:r>
      <w:r w:rsidRPr="00957C24">
        <w:rPr>
          <w:rFonts w:cs="Times New Roman"/>
          <w:b/>
          <w:i/>
          <w:iCs/>
          <w:sz w:val="24"/>
          <w:szCs w:val="24"/>
        </w:rPr>
        <w:t>rozpočtovej organizácii</w:t>
      </w:r>
      <w:r w:rsidRPr="00D715AF">
        <w:rPr>
          <w:rFonts w:cs="Times New Roman"/>
          <w:sz w:val="24"/>
          <w:szCs w:val="24"/>
        </w:rPr>
        <w:t> sa vynaložilo 2 401 445 tis. eur, z toho najviac</w:t>
      </w:r>
      <w:r w:rsidRPr="00D715AF">
        <w:rPr>
          <w:rFonts w:cs="Times New Roman"/>
          <w:color w:val="FF0000"/>
          <w:sz w:val="24"/>
          <w:szCs w:val="24"/>
        </w:rPr>
        <w:t xml:space="preserve"> </w:t>
      </w:r>
      <w:r w:rsidRPr="00D715AF">
        <w:rPr>
          <w:rFonts w:cs="Times New Roman"/>
          <w:sz w:val="24"/>
          <w:szCs w:val="24"/>
          <w:u w:val="single"/>
        </w:rPr>
        <w:t>Všeobecná pokladničná správa</w:t>
      </w:r>
      <w:r w:rsidRPr="00D715AF">
        <w:rPr>
          <w:rFonts w:cs="Times New Roman"/>
          <w:sz w:val="24"/>
          <w:szCs w:val="24"/>
        </w:rPr>
        <w:t xml:space="preserve"> (2 359 367 tis. eur), pričom n</w:t>
      </w:r>
      <w:r w:rsidRPr="00D715AF">
        <w:rPr>
          <w:sz w:val="24"/>
          <w:szCs w:val="24"/>
        </w:rPr>
        <w:t xml:space="preserve">ajvyššiu hodnotu predstavuje dotovanie štátnych finančných aktív </w:t>
      </w:r>
      <w:r w:rsidR="00510AEE" w:rsidRPr="00D715AF">
        <w:rPr>
          <w:sz w:val="24"/>
          <w:szCs w:val="24"/>
        </w:rPr>
        <w:t xml:space="preserve">za účelom realizácie opatrení na zmiernenie dopadu pandémie COVID-19. </w:t>
      </w:r>
      <w:r w:rsidRPr="00D715AF">
        <w:rPr>
          <w:sz w:val="24"/>
          <w:szCs w:val="24"/>
        </w:rPr>
        <w:t>Z</w:t>
      </w:r>
      <w:r w:rsidR="00676CEF" w:rsidRPr="00D715AF">
        <w:rPr>
          <w:sz w:val="24"/>
          <w:szCs w:val="24"/>
        </w:rPr>
        <w:t> </w:t>
      </w:r>
      <w:r w:rsidRPr="00D715AF">
        <w:rPr>
          <w:sz w:val="24"/>
          <w:szCs w:val="24"/>
        </w:rPr>
        <w:t>týchto prostriedkov bola určená suma 575 000 tis. eur na základe Uznesenia vlády SR č. 757/2020 k návrhu finančnej stabilizácii zdravotníckych zariadení a ďalšiu sumu 500 000 tis. eur predstavujú poskytnuté prostriedky</w:t>
      </w:r>
      <w:r w:rsidR="00F960F6" w:rsidRPr="00D715AF">
        <w:rPr>
          <w:sz w:val="24"/>
          <w:szCs w:val="24"/>
        </w:rPr>
        <w:t xml:space="preserve"> na základe Uznesenia vlády č. </w:t>
      </w:r>
      <w:r w:rsidRPr="00D715AF">
        <w:rPr>
          <w:sz w:val="24"/>
          <w:szCs w:val="24"/>
        </w:rPr>
        <w:t xml:space="preserve">444/2020. </w:t>
      </w:r>
    </w:p>
    <w:p w14:paraId="04E3E523" w14:textId="7D1D0208" w:rsidR="00867564" w:rsidRPr="003E5F65" w:rsidRDefault="00867564" w:rsidP="001665F3">
      <w:pPr>
        <w:spacing w:line="240" w:lineRule="auto"/>
      </w:pPr>
      <w:r w:rsidRPr="00D715AF">
        <w:rPr>
          <w:sz w:val="24"/>
          <w:szCs w:val="24"/>
        </w:rPr>
        <w:t>Ďalšie výdavky v rámci transferov rozpočtovej organizácii vynaložila kapitola Všeobecnej pokladničnej správy na vyrovnanie samostatného účtu štátneho dlhu</w:t>
      </w:r>
      <w:r w:rsidRPr="00D715AF">
        <w:rPr>
          <w:i/>
          <w:sz w:val="24"/>
          <w:szCs w:val="24"/>
        </w:rPr>
        <w:t xml:space="preserve"> </w:t>
      </w:r>
      <w:r w:rsidRPr="00D715AF">
        <w:rPr>
          <w:sz w:val="24"/>
          <w:szCs w:val="24"/>
        </w:rPr>
        <w:t>(vedeného Ministerstvom financií SR),</w:t>
      </w:r>
      <w:r w:rsidRPr="00D715AF">
        <w:rPr>
          <w:b/>
          <w:sz w:val="24"/>
          <w:szCs w:val="24"/>
        </w:rPr>
        <w:t xml:space="preserve"> </w:t>
      </w:r>
      <w:r w:rsidRPr="00D715AF">
        <w:rPr>
          <w:sz w:val="24"/>
          <w:szCs w:val="24"/>
        </w:rPr>
        <w:t>ktorý</w:t>
      </w:r>
      <w:r w:rsidRPr="00D715AF">
        <w:rPr>
          <w:b/>
          <w:sz w:val="24"/>
          <w:szCs w:val="24"/>
        </w:rPr>
        <w:t xml:space="preserve"> </w:t>
      </w:r>
      <w:r w:rsidRPr="00D715AF">
        <w:rPr>
          <w:sz w:val="24"/>
          <w:szCs w:val="24"/>
        </w:rPr>
        <w:t>bol uhradený v objeme 796 703 tis. eur. Ide o účet s povoleným debetným zostatkom, prostredníctvom ktorého ARDAL realizuje transakcie súvisiace s </w:t>
      </w:r>
      <w:r w:rsidR="0028379F" w:rsidRPr="00D715AF">
        <w:rPr>
          <w:sz w:val="24"/>
          <w:szCs w:val="24"/>
        </w:rPr>
        <w:t>úrokmi a</w:t>
      </w:r>
      <w:r w:rsidR="00FC7EAC">
        <w:rPr>
          <w:sz w:val="24"/>
          <w:szCs w:val="24"/>
        </w:rPr>
        <w:t> </w:t>
      </w:r>
      <w:r w:rsidRPr="00D715AF">
        <w:rPr>
          <w:sz w:val="24"/>
          <w:szCs w:val="24"/>
        </w:rPr>
        <w:t>poplatkami, a</w:t>
      </w:r>
      <w:r w:rsidR="007A2DF8" w:rsidRPr="00D715AF">
        <w:rPr>
          <w:sz w:val="24"/>
          <w:szCs w:val="24"/>
        </w:rPr>
        <w:t xml:space="preserve"> </w:t>
      </w:r>
      <w:r w:rsidRPr="00D715AF">
        <w:rPr>
          <w:sz w:val="24"/>
          <w:szCs w:val="24"/>
        </w:rPr>
        <w:t>na</w:t>
      </w:r>
      <w:r w:rsidR="003F3205" w:rsidRPr="00D715AF">
        <w:rPr>
          <w:sz w:val="24"/>
          <w:szCs w:val="24"/>
        </w:rPr>
        <w:t xml:space="preserve"> </w:t>
      </w:r>
      <w:r w:rsidRPr="00D715AF">
        <w:rPr>
          <w:sz w:val="24"/>
          <w:szCs w:val="24"/>
        </w:rPr>
        <w:t>ktorý</w:t>
      </w:r>
      <w:r w:rsidR="003F3205" w:rsidRPr="00D715AF">
        <w:rPr>
          <w:sz w:val="24"/>
          <w:szCs w:val="24"/>
        </w:rPr>
        <w:t xml:space="preserve"> </w:t>
      </w:r>
      <w:r w:rsidRPr="00D715AF">
        <w:rPr>
          <w:sz w:val="24"/>
          <w:szCs w:val="24"/>
        </w:rPr>
        <w:t>ARDAL</w:t>
      </w:r>
      <w:r w:rsidR="003F3205" w:rsidRPr="00D715AF">
        <w:rPr>
          <w:sz w:val="24"/>
          <w:szCs w:val="24"/>
        </w:rPr>
        <w:t xml:space="preserve"> </w:t>
      </w:r>
      <w:r w:rsidRPr="00D715AF">
        <w:rPr>
          <w:sz w:val="24"/>
          <w:szCs w:val="24"/>
        </w:rPr>
        <w:t>p</w:t>
      </w:r>
      <w:r w:rsidR="0028379F" w:rsidRPr="00D715AF">
        <w:rPr>
          <w:sz w:val="24"/>
          <w:szCs w:val="24"/>
        </w:rPr>
        <w:t>riebežne</w:t>
      </w:r>
      <w:r w:rsidR="003F3205" w:rsidRPr="00D715AF">
        <w:rPr>
          <w:sz w:val="24"/>
          <w:szCs w:val="24"/>
        </w:rPr>
        <w:t xml:space="preserve"> </w:t>
      </w:r>
      <w:r w:rsidR="0028379F" w:rsidRPr="00D715AF">
        <w:rPr>
          <w:sz w:val="24"/>
          <w:szCs w:val="24"/>
        </w:rPr>
        <w:t>prevádza</w:t>
      </w:r>
      <w:r w:rsidR="003F3205" w:rsidRPr="00D715AF">
        <w:rPr>
          <w:sz w:val="24"/>
          <w:szCs w:val="24"/>
        </w:rPr>
        <w:t xml:space="preserve"> </w:t>
      </w:r>
      <w:r w:rsidR="0028379F" w:rsidRPr="00D715AF">
        <w:rPr>
          <w:sz w:val="24"/>
          <w:szCs w:val="24"/>
        </w:rPr>
        <w:t>prijaté</w:t>
      </w:r>
      <w:r w:rsidR="003F3205" w:rsidRPr="00D715AF">
        <w:rPr>
          <w:sz w:val="24"/>
          <w:szCs w:val="24"/>
        </w:rPr>
        <w:t xml:space="preserve"> </w:t>
      </w:r>
      <w:r w:rsidR="0028379F" w:rsidRPr="00D715AF">
        <w:rPr>
          <w:sz w:val="24"/>
          <w:szCs w:val="24"/>
        </w:rPr>
        <w:t>úroky</w:t>
      </w:r>
      <w:r w:rsidR="003F3205" w:rsidRPr="00D715AF">
        <w:rPr>
          <w:sz w:val="24"/>
          <w:szCs w:val="24"/>
        </w:rPr>
        <w:t xml:space="preserve"> </w:t>
      </w:r>
      <w:r w:rsidRPr="00D715AF">
        <w:rPr>
          <w:sz w:val="24"/>
          <w:szCs w:val="24"/>
        </w:rPr>
        <w:t>a</w:t>
      </w:r>
      <w:r w:rsidR="007A2DF8" w:rsidRPr="00D715AF">
        <w:rPr>
          <w:sz w:val="24"/>
          <w:szCs w:val="24"/>
        </w:rPr>
        <w:t xml:space="preserve"> </w:t>
      </w:r>
      <w:r w:rsidRPr="00D715AF">
        <w:rPr>
          <w:sz w:val="24"/>
          <w:szCs w:val="24"/>
        </w:rPr>
        <w:t>poplatky</w:t>
      </w:r>
      <w:r w:rsidR="003F3205" w:rsidRPr="00D715AF">
        <w:rPr>
          <w:sz w:val="24"/>
          <w:szCs w:val="24"/>
        </w:rPr>
        <w:t xml:space="preserve"> </w:t>
      </w:r>
      <w:r w:rsidRPr="00D715AF">
        <w:rPr>
          <w:sz w:val="24"/>
          <w:szCs w:val="24"/>
        </w:rPr>
        <w:t>súvisiace s finančnými operáciami vykonávaným</w:t>
      </w:r>
      <w:r w:rsidR="0028379F" w:rsidRPr="00D715AF">
        <w:rPr>
          <w:sz w:val="24"/>
          <w:szCs w:val="24"/>
        </w:rPr>
        <w:t xml:space="preserve">i v mene a na účet Ministerstva </w:t>
      </w:r>
      <w:r w:rsidRPr="00D715AF">
        <w:rPr>
          <w:sz w:val="24"/>
          <w:szCs w:val="24"/>
        </w:rPr>
        <w:t>financií SR</w:t>
      </w:r>
      <w:r w:rsidRPr="00F507AC">
        <w:rPr>
          <w:vertAlign w:val="superscript"/>
        </w:rPr>
        <w:footnoteReference w:id="34"/>
      </w:r>
      <w:r w:rsidRPr="00F507AC">
        <w:t>.</w:t>
      </w:r>
    </w:p>
    <w:tbl>
      <w:tblPr>
        <w:tblW w:w="9007" w:type="dxa"/>
        <w:tblInd w:w="55" w:type="dxa"/>
        <w:tblCellMar>
          <w:left w:w="70" w:type="dxa"/>
          <w:right w:w="70" w:type="dxa"/>
        </w:tblCellMar>
        <w:tblLook w:val="04A0" w:firstRow="1" w:lastRow="0" w:firstColumn="1" w:lastColumn="0" w:noHBand="0" w:noVBand="1"/>
      </w:tblPr>
      <w:tblGrid>
        <w:gridCol w:w="2500"/>
        <w:gridCol w:w="1121"/>
        <w:gridCol w:w="1134"/>
        <w:gridCol w:w="960"/>
        <w:gridCol w:w="1080"/>
        <w:gridCol w:w="960"/>
        <w:gridCol w:w="1252"/>
      </w:tblGrid>
      <w:tr w:rsidR="00867564" w:rsidRPr="00D5241C" w14:paraId="0A88175E" w14:textId="77777777" w:rsidTr="00D5241C">
        <w:trPr>
          <w:trHeight w:val="277"/>
        </w:trPr>
        <w:tc>
          <w:tcPr>
            <w:tcW w:w="9007" w:type="dxa"/>
            <w:gridSpan w:val="7"/>
            <w:tcBorders>
              <w:top w:val="single" w:sz="8" w:space="0" w:color="FFFFFF"/>
              <w:left w:val="single" w:sz="8" w:space="0" w:color="auto"/>
              <w:bottom w:val="nil"/>
              <w:right w:val="single" w:sz="8" w:space="0" w:color="000000"/>
            </w:tcBorders>
            <w:shd w:val="clear" w:color="000000" w:fill="000000"/>
            <w:noWrap/>
            <w:vAlign w:val="center"/>
            <w:hideMark/>
          </w:tcPr>
          <w:p w14:paraId="35DA15EE" w14:textId="6F542938" w:rsidR="00867564" w:rsidRPr="00D5241C" w:rsidRDefault="00867564" w:rsidP="00F63BD6">
            <w:pPr>
              <w:spacing w:after="0" w:line="240" w:lineRule="auto"/>
              <w:rPr>
                <w:rFonts w:eastAsia="Times New Roman" w:cs="Times New Roman"/>
                <w:b/>
                <w:bCs/>
                <w:sz w:val="18"/>
                <w:szCs w:val="18"/>
                <w:lang w:eastAsia="sk-SK"/>
              </w:rPr>
            </w:pPr>
            <w:r w:rsidRPr="00D5241C">
              <w:rPr>
                <w:rFonts w:eastAsia="Times New Roman" w:cs="Times New Roman"/>
                <w:b/>
                <w:bCs/>
                <w:sz w:val="18"/>
                <w:szCs w:val="18"/>
                <w:lang w:eastAsia="sk-SK"/>
              </w:rPr>
              <w:t xml:space="preserve">Výdavky štátneho dlhu                                                                                                                            </w:t>
            </w:r>
            <w:r w:rsidR="00D5241C">
              <w:rPr>
                <w:rFonts w:eastAsia="Times New Roman" w:cs="Times New Roman"/>
                <w:b/>
                <w:bCs/>
                <w:sz w:val="18"/>
                <w:szCs w:val="18"/>
                <w:lang w:eastAsia="sk-SK"/>
              </w:rPr>
              <w:t xml:space="preserve">            </w:t>
            </w:r>
            <w:r w:rsidR="0023537F">
              <w:rPr>
                <w:rFonts w:eastAsia="Times New Roman" w:cs="Times New Roman"/>
                <w:b/>
                <w:bCs/>
                <w:sz w:val="18"/>
                <w:szCs w:val="18"/>
                <w:lang w:eastAsia="sk-SK"/>
              </w:rPr>
              <w:t xml:space="preserve">  </w:t>
            </w:r>
            <w:r w:rsidR="00D5241C">
              <w:rPr>
                <w:rFonts w:eastAsia="Times New Roman" w:cs="Times New Roman"/>
                <w:b/>
                <w:bCs/>
                <w:sz w:val="18"/>
                <w:szCs w:val="18"/>
                <w:lang w:eastAsia="sk-SK"/>
              </w:rPr>
              <w:t xml:space="preserve">  </w:t>
            </w:r>
            <w:r w:rsidRPr="00D5241C">
              <w:rPr>
                <w:rFonts w:eastAsia="Times New Roman" w:cs="Times New Roman"/>
                <w:b/>
                <w:bCs/>
                <w:sz w:val="18"/>
                <w:szCs w:val="18"/>
                <w:lang w:eastAsia="sk-SK"/>
              </w:rPr>
              <w:t xml:space="preserve">v tis. </w:t>
            </w:r>
            <w:r w:rsidR="00F63BD6" w:rsidRPr="00D5241C">
              <w:rPr>
                <w:rFonts w:eastAsia="Times New Roman" w:cs="Times New Roman"/>
                <w:b/>
                <w:bCs/>
                <w:sz w:val="18"/>
                <w:szCs w:val="18"/>
                <w:lang w:eastAsia="sk-SK"/>
              </w:rPr>
              <w:t>eur</w:t>
            </w:r>
          </w:p>
        </w:tc>
      </w:tr>
      <w:tr w:rsidR="00867564" w:rsidRPr="00D5241C" w14:paraId="215AA00A" w14:textId="77777777" w:rsidTr="00D5241C">
        <w:trPr>
          <w:trHeight w:val="330"/>
        </w:trPr>
        <w:tc>
          <w:tcPr>
            <w:tcW w:w="2500" w:type="dxa"/>
            <w:tcBorders>
              <w:top w:val="nil"/>
              <w:left w:val="nil"/>
              <w:bottom w:val="nil"/>
              <w:right w:val="nil"/>
            </w:tcBorders>
            <w:shd w:val="clear" w:color="000000" w:fill="BFBFBF"/>
            <w:vAlign w:val="center"/>
            <w:hideMark/>
          </w:tcPr>
          <w:p w14:paraId="21F524B4" w14:textId="77777777" w:rsidR="00867564" w:rsidRPr="00D5241C" w:rsidRDefault="00867564" w:rsidP="007F0D38">
            <w:pPr>
              <w:spacing w:after="0" w:line="240" w:lineRule="auto"/>
              <w:jc w:val="center"/>
              <w:rPr>
                <w:rFonts w:eastAsia="Times New Roman" w:cs="Times New Roman"/>
                <w:b/>
                <w:bCs/>
                <w:color w:val="000000"/>
                <w:sz w:val="18"/>
                <w:szCs w:val="18"/>
                <w:lang w:eastAsia="sk-SK"/>
              </w:rPr>
            </w:pPr>
            <w:r w:rsidRPr="00D5241C">
              <w:rPr>
                <w:rFonts w:eastAsia="Times New Roman" w:cs="Times New Roman"/>
                <w:b/>
                <w:bCs/>
                <w:color w:val="000000"/>
                <w:sz w:val="18"/>
                <w:szCs w:val="18"/>
                <w:lang w:eastAsia="sk-SK"/>
              </w:rPr>
              <w:t> </w:t>
            </w:r>
          </w:p>
        </w:tc>
        <w:tc>
          <w:tcPr>
            <w:tcW w:w="2255" w:type="dxa"/>
            <w:gridSpan w:val="2"/>
            <w:tcBorders>
              <w:top w:val="nil"/>
              <w:left w:val="nil"/>
              <w:bottom w:val="nil"/>
              <w:right w:val="nil"/>
            </w:tcBorders>
            <w:shd w:val="clear" w:color="000000" w:fill="BFBFBF"/>
            <w:vAlign w:val="center"/>
            <w:hideMark/>
          </w:tcPr>
          <w:p w14:paraId="548DBFAB" w14:textId="77777777" w:rsidR="00867564" w:rsidRPr="00D5241C" w:rsidRDefault="00867564" w:rsidP="007F0D38">
            <w:pPr>
              <w:spacing w:after="0" w:line="240" w:lineRule="auto"/>
              <w:jc w:val="center"/>
              <w:rPr>
                <w:rFonts w:eastAsia="Times New Roman" w:cs="Times New Roman"/>
                <w:b/>
                <w:bCs/>
                <w:color w:val="000000"/>
                <w:sz w:val="18"/>
                <w:szCs w:val="18"/>
                <w:lang w:eastAsia="sk-SK"/>
              </w:rPr>
            </w:pPr>
            <w:r w:rsidRPr="00D5241C">
              <w:rPr>
                <w:rFonts w:eastAsia="Times New Roman" w:cs="Times New Roman"/>
                <w:b/>
                <w:bCs/>
                <w:color w:val="000000"/>
                <w:sz w:val="18"/>
                <w:szCs w:val="18"/>
                <w:lang w:eastAsia="sk-SK"/>
              </w:rPr>
              <w:t>Skutočnosť</w:t>
            </w:r>
          </w:p>
        </w:tc>
        <w:tc>
          <w:tcPr>
            <w:tcW w:w="960" w:type="dxa"/>
            <w:tcBorders>
              <w:top w:val="nil"/>
              <w:left w:val="nil"/>
              <w:bottom w:val="nil"/>
              <w:right w:val="nil"/>
            </w:tcBorders>
            <w:shd w:val="clear" w:color="000000" w:fill="BFBFBF"/>
            <w:vAlign w:val="center"/>
            <w:hideMark/>
          </w:tcPr>
          <w:p w14:paraId="5CFED863" w14:textId="77777777" w:rsidR="00867564" w:rsidRPr="00D5241C" w:rsidRDefault="00867564" w:rsidP="007F0D38">
            <w:pPr>
              <w:spacing w:after="0" w:line="240" w:lineRule="auto"/>
              <w:jc w:val="center"/>
              <w:rPr>
                <w:rFonts w:eastAsia="Times New Roman" w:cs="Times New Roman"/>
                <w:b/>
                <w:bCs/>
                <w:color w:val="000000"/>
                <w:sz w:val="18"/>
                <w:szCs w:val="18"/>
                <w:lang w:eastAsia="sk-SK"/>
              </w:rPr>
            </w:pPr>
            <w:r w:rsidRPr="00D5241C">
              <w:rPr>
                <w:rFonts w:eastAsia="Times New Roman" w:cs="Times New Roman"/>
                <w:b/>
                <w:bCs/>
                <w:color w:val="000000"/>
                <w:sz w:val="18"/>
                <w:szCs w:val="18"/>
                <w:lang w:eastAsia="sk-SK"/>
              </w:rPr>
              <w:t>Rozpočet</w:t>
            </w:r>
          </w:p>
        </w:tc>
        <w:tc>
          <w:tcPr>
            <w:tcW w:w="1080" w:type="dxa"/>
            <w:tcBorders>
              <w:top w:val="nil"/>
              <w:left w:val="nil"/>
              <w:bottom w:val="nil"/>
              <w:right w:val="nil"/>
            </w:tcBorders>
            <w:shd w:val="clear" w:color="000000" w:fill="BFBFBF"/>
            <w:vAlign w:val="center"/>
            <w:hideMark/>
          </w:tcPr>
          <w:p w14:paraId="37C042EE" w14:textId="77777777" w:rsidR="00867564" w:rsidRPr="00D5241C" w:rsidRDefault="00867564" w:rsidP="007F0D38">
            <w:pPr>
              <w:spacing w:after="0" w:line="240" w:lineRule="auto"/>
              <w:jc w:val="center"/>
              <w:rPr>
                <w:rFonts w:eastAsia="Times New Roman" w:cs="Times New Roman"/>
                <w:b/>
                <w:bCs/>
                <w:color w:val="000000"/>
                <w:sz w:val="18"/>
                <w:szCs w:val="18"/>
                <w:lang w:eastAsia="sk-SK"/>
              </w:rPr>
            </w:pPr>
            <w:r w:rsidRPr="00D5241C">
              <w:rPr>
                <w:rFonts w:eastAsia="Times New Roman" w:cs="Times New Roman"/>
                <w:b/>
                <w:bCs/>
                <w:color w:val="000000"/>
                <w:sz w:val="18"/>
                <w:szCs w:val="18"/>
                <w:lang w:eastAsia="sk-SK"/>
              </w:rPr>
              <w:t>Skutočnosť</w:t>
            </w:r>
          </w:p>
        </w:tc>
        <w:tc>
          <w:tcPr>
            <w:tcW w:w="2212" w:type="dxa"/>
            <w:gridSpan w:val="2"/>
            <w:tcBorders>
              <w:top w:val="nil"/>
              <w:left w:val="nil"/>
              <w:bottom w:val="nil"/>
              <w:right w:val="nil"/>
            </w:tcBorders>
            <w:shd w:val="clear" w:color="000000" w:fill="BFBFBF"/>
            <w:vAlign w:val="center"/>
            <w:hideMark/>
          </w:tcPr>
          <w:p w14:paraId="65D46CB1" w14:textId="77777777" w:rsidR="00867564" w:rsidRPr="00D5241C" w:rsidRDefault="00867564" w:rsidP="007F0D38">
            <w:pPr>
              <w:spacing w:after="0" w:line="240" w:lineRule="auto"/>
              <w:jc w:val="center"/>
              <w:rPr>
                <w:rFonts w:eastAsia="Times New Roman" w:cs="Times New Roman"/>
                <w:b/>
                <w:bCs/>
                <w:color w:val="000000"/>
                <w:sz w:val="18"/>
                <w:szCs w:val="18"/>
                <w:lang w:eastAsia="sk-SK"/>
              </w:rPr>
            </w:pPr>
            <w:r w:rsidRPr="00D5241C">
              <w:rPr>
                <w:rFonts w:eastAsia="Times New Roman" w:cs="Times New Roman"/>
                <w:b/>
                <w:bCs/>
                <w:color w:val="000000"/>
                <w:sz w:val="18"/>
                <w:szCs w:val="18"/>
                <w:lang w:eastAsia="sk-SK"/>
              </w:rPr>
              <w:t>Rozdiel</w:t>
            </w:r>
          </w:p>
        </w:tc>
      </w:tr>
      <w:tr w:rsidR="00867564" w:rsidRPr="00D5241C" w14:paraId="7328048D" w14:textId="77777777" w:rsidTr="00D5241C">
        <w:trPr>
          <w:trHeight w:val="64"/>
        </w:trPr>
        <w:tc>
          <w:tcPr>
            <w:tcW w:w="2500" w:type="dxa"/>
            <w:tcBorders>
              <w:top w:val="nil"/>
              <w:left w:val="nil"/>
              <w:bottom w:val="nil"/>
              <w:right w:val="nil"/>
            </w:tcBorders>
            <w:shd w:val="clear" w:color="000000" w:fill="BFBFBF"/>
            <w:vAlign w:val="center"/>
            <w:hideMark/>
          </w:tcPr>
          <w:p w14:paraId="2CBA5C07" w14:textId="77777777" w:rsidR="00867564" w:rsidRPr="00D5241C" w:rsidRDefault="00867564" w:rsidP="007F0D38">
            <w:pPr>
              <w:spacing w:after="0" w:line="240" w:lineRule="auto"/>
              <w:jc w:val="center"/>
              <w:rPr>
                <w:rFonts w:eastAsia="Times New Roman" w:cs="Times New Roman"/>
                <w:b/>
                <w:bCs/>
                <w:color w:val="000000"/>
                <w:sz w:val="18"/>
                <w:szCs w:val="18"/>
                <w:lang w:eastAsia="sk-SK"/>
              </w:rPr>
            </w:pPr>
            <w:r w:rsidRPr="00D5241C">
              <w:rPr>
                <w:rFonts w:eastAsia="Times New Roman" w:cs="Times New Roman"/>
                <w:b/>
                <w:bCs/>
                <w:color w:val="000000"/>
                <w:sz w:val="18"/>
                <w:szCs w:val="18"/>
                <w:lang w:eastAsia="sk-SK"/>
              </w:rPr>
              <w:t> </w:t>
            </w:r>
          </w:p>
        </w:tc>
        <w:tc>
          <w:tcPr>
            <w:tcW w:w="1121" w:type="dxa"/>
            <w:tcBorders>
              <w:top w:val="nil"/>
              <w:left w:val="nil"/>
              <w:bottom w:val="nil"/>
              <w:right w:val="nil"/>
            </w:tcBorders>
            <w:shd w:val="clear" w:color="000000" w:fill="BFBFBF"/>
            <w:vAlign w:val="center"/>
            <w:hideMark/>
          </w:tcPr>
          <w:p w14:paraId="04693B75" w14:textId="77777777" w:rsidR="00867564" w:rsidRPr="00D5241C" w:rsidRDefault="00867564" w:rsidP="007F0D38">
            <w:pPr>
              <w:spacing w:after="0" w:line="240" w:lineRule="auto"/>
              <w:jc w:val="center"/>
              <w:rPr>
                <w:rFonts w:eastAsia="Times New Roman" w:cs="Times New Roman"/>
                <w:b/>
                <w:bCs/>
                <w:color w:val="000000"/>
                <w:sz w:val="18"/>
                <w:szCs w:val="18"/>
                <w:lang w:eastAsia="sk-SK"/>
              </w:rPr>
            </w:pPr>
            <w:r w:rsidRPr="00D5241C">
              <w:rPr>
                <w:rFonts w:eastAsia="Times New Roman" w:cs="Times New Roman"/>
                <w:b/>
                <w:bCs/>
                <w:color w:val="000000"/>
                <w:sz w:val="18"/>
                <w:szCs w:val="18"/>
                <w:lang w:eastAsia="sk-SK"/>
              </w:rPr>
              <w:t>2018</w:t>
            </w:r>
          </w:p>
        </w:tc>
        <w:tc>
          <w:tcPr>
            <w:tcW w:w="1134" w:type="dxa"/>
            <w:tcBorders>
              <w:top w:val="nil"/>
              <w:left w:val="nil"/>
              <w:bottom w:val="nil"/>
              <w:right w:val="nil"/>
            </w:tcBorders>
            <w:shd w:val="clear" w:color="000000" w:fill="BFBFBF"/>
            <w:vAlign w:val="center"/>
            <w:hideMark/>
          </w:tcPr>
          <w:p w14:paraId="541AB2D9" w14:textId="77777777" w:rsidR="00867564" w:rsidRPr="00D5241C" w:rsidRDefault="00867564" w:rsidP="007F0D38">
            <w:pPr>
              <w:spacing w:after="0" w:line="240" w:lineRule="auto"/>
              <w:jc w:val="center"/>
              <w:rPr>
                <w:rFonts w:eastAsia="Times New Roman" w:cs="Times New Roman"/>
                <w:b/>
                <w:bCs/>
                <w:color w:val="000000"/>
                <w:sz w:val="18"/>
                <w:szCs w:val="18"/>
                <w:lang w:eastAsia="sk-SK"/>
              </w:rPr>
            </w:pPr>
            <w:r w:rsidRPr="00D5241C">
              <w:rPr>
                <w:rFonts w:eastAsia="Times New Roman" w:cs="Times New Roman"/>
                <w:b/>
                <w:bCs/>
                <w:color w:val="000000"/>
                <w:sz w:val="18"/>
                <w:szCs w:val="18"/>
                <w:lang w:eastAsia="sk-SK"/>
              </w:rPr>
              <w:t>2019</w:t>
            </w:r>
          </w:p>
        </w:tc>
        <w:tc>
          <w:tcPr>
            <w:tcW w:w="960" w:type="dxa"/>
            <w:tcBorders>
              <w:top w:val="nil"/>
              <w:left w:val="nil"/>
              <w:bottom w:val="nil"/>
              <w:right w:val="nil"/>
            </w:tcBorders>
            <w:shd w:val="clear" w:color="000000" w:fill="BFBFBF"/>
            <w:vAlign w:val="center"/>
            <w:hideMark/>
          </w:tcPr>
          <w:p w14:paraId="1F4C0347" w14:textId="77777777" w:rsidR="00867564" w:rsidRPr="00D5241C" w:rsidRDefault="00867564" w:rsidP="007F0D38">
            <w:pPr>
              <w:spacing w:after="0" w:line="240" w:lineRule="auto"/>
              <w:jc w:val="center"/>
              <w:rPr>
                <w:rFonts w:eastAsia="Times New Roman" w:cs="Times New Roman"/>
                <w:b/>
                <w:bCs/>
                <w:color w:val="000000"/>
                <w:sz w:val="18"/>
                <w:szCs w:val="18"/>
                <w:lang w:eastAsia="sk-SK"/>
              </w:rPr>
            </w:pPr>
            <w:r w:rsidRPr="00D5241C">
              <w:rPr>
                <w:rFonts w:eastAsia="Times New Roman" w:cs="Times New Roman"/>
                <w:b/>
                <w:bCs/>
                <w:color w:val="000000"/>
                <w:sz w:val="18"/>
                <w:szCs w:val="18"/>
                <w:lang w:eastAsia="sk-SK"/>
              </w:rPr>
              <w:t>2020</w:t>
            </w:r>
          </w:p>
        </w:tc>
        <w:tc>
          <w:tcPr>
            <w:tcW w:w="1080" w:type="dxa"/>
            <w:tcBorders>
              <w:top w:val="nil"/>
              <w:left w:val="nil"/>
              <w:bottom w:val="nil"/>
              <w:right w:val="nil"/>
            </w:tcBorders>
            <w:shd w:val="clear" w:color="000000" w:fill="BFBFBF"/>
            <w:vAlign w:val="center"/>
            <w:hideMark/>
          </w:tcPr>
          <w:p w14:paraId="42268978" w14:textId="77777777" w:rsidR="00867564" w:rsidRPr="00D5241C" w:rsidRDefault="00867564" w:rsidP="007F0D38">
            <w:pPr>
              <w:spacing w:after="0" w:line="240" w:lineRule="auto"/>
              <w:jc w:val="center"/>
              <w:rPr>
                <w:rFonts w:eastAsia="Times New Roman" w:cs="Times New Roman"/>
                <w:b/>
                <w:bCs/>
                <w:color w:val="000000"/>
                <w:sz w:val="18"/>
                <w:szCs w:val="18"/>
                <w:lang w:eastAsia="sk-SK"/>
              </w:rPr>
            </w:pPr>
            <w:r w:rsidRPr="00D5241C">
              <w:rPr>
                <w:rFonts w:eastAsia="Times New Roman" w:cs="Times New Roman"/>
                <w:b/>
                <w:bCs/>
                <w:color w:val="000000"/>
                <w:sz w:val="18"/>
                <w:szCs w:val="18"/>
                <w:lang w:eastAsia="sk-SK"/>
              </w:rPr>
              <w:t>2020</w:t>
            </w:r>
          </w:p>
        </w:tc>
        <w:tc>
          <w:tcPr>
            <w:tcW w:w="960" w:type="dxa"/>
            <w:tcBorders>
              <w:top w:val="nil"/>
              <w:left w:val="nil"/>
              <w:bottom w:val="nil"/>
              <w:right w:val="nil"/>
            </w:tcBorders>
            <w:shd w:val="clear" w:color="000000" w:fill="BFBFBF"/>
            <w:vAlign w:val="center"/>
            <w:hideMark/>
          </w:tcPr>
          <w:p w14:paraId="5B748FCB" w14:textId="77777777" w:rsidR="00867564" w:rsidRPr="00D5241C" w:rsidRDefault="00867564" w:rsidP="007F0D38">
            <w:pPr>
              <w:spacing w:after="0" w:line="240" w:lineRule="auto"/>
              <w:jc w:val="center"/>
              <w:rPr>
                <w:rFonts w:eastAsia="Times New Roman" w:cs="Times New Roman"/>
                <w:b/>
                <w:bCs/>
                <w:color w:val="000000"/>
                <w:sz w:val="18"/>
                <w:szCs w:val="18"/>
                <w:lang w:eastAsia="sk-SK"/>
              </w:rPr>
            </w:pPr>
            <w:r w:rsidRPr="00D5241C">
              <w:rPr>
                <w:rFonts w:eastAsia="Times New Roman" w:cs="Times New Roman"/>
                <w:b/>
                <w:bCs/>
                <w:color w:val="000000"/>
                <w:sz w:val="18"/>
                <w:szCs w:val="18"/>
                <w:lang w:eastAsia="sk-SK"/>
              </w:rPr>
              <w:t xml:space="preserve"> v tis. eur</w:t>
            </w:r>
          </w:p>
        </w:tc>
        <w:tc>
          <w:tcPr>
            <w:tcW w:w="1252" w:type="dxa"/>
            <w:tcBorders>
              <w:top w:val="nil"/>
              <w:left w:val="nil"/>
              <w:bottom w:val="nil"/>
              <w:right w:val="nil"/>
            </w:tcBorders>
            <w:shd w:val="clear" w:color="000000" w:fill="BFBFBF"/>
            <w:vAlign w:val="center"/>
            <w:hideMark/>
          </w:tcPr>
          <w:p w14:paraId="21BD385D" w14:textId="77777777" w:rsidR="00867564" w:rsidRPr="00D5241C" w:rsidRDefault="00867564" w:rsidP="007F0D38">
            <w:pPr>
              <w:spacing w:after="0" w:line="240" w:lineRule="auto"/>
              <w:jc w:val="center"/>
              <w:rPr>
                <w:rFonts w:eastAsia="Times New Roman" w:cs="Times New Roman"/>
                <w:b/>
                <w:bCs/>
                <w:color w:val="000000"/>
                <w:sz w:val="18"/>
                <w:szCs w:val="18"/>
                <w:lang w:eastAsia="sk-SK"/>
              </w:rPr>
            </w:pPr>
            <w:r w:rsidRPr="00D5241C">
              <w:rPr>
                <w:rFonts w:eastAsia="Times New Roman" w:cs="Times New Roman"/>
                <w:b/>
                <w:bCs/>
                <w:color w:val="000000"/>
                <w:sz w:val="18"/>
                <w:szCs w:val="18"/>
                <w:lang w:eastAsia="sk-SK"/>
              </w:rPr>
              <w:t>v %</w:t>
            </w:r>
          </w:p>
        </w:tc>
      </w:tr>
      <w:tr w:rsidR="00867564" w:rsidRPr="00D5241C" w14:paraId="5DE5CF8A" w14:textId="77777777" w:rsidTr="00D5241C">
        <w:trPr>
          <w:trHeight w:val="64"/>
        </w:trPr>
        <w:tc>
          <w:tcPr>
            <w:tcW w:w="2500" w:type="dxa"/>
            <w:tcBorders>
              <w:top w:val="nil"/>
              <w:left w:val="nil"/>
              <w:bottom w:val="single" w:sz="8" w:space="0" w:color="auto"/>
              <w:right w:val="nil"/>
            </w:tcBorders>
            <w:shd w:val="clear" w:color="000000" w:fill="BFBFBF"/>
            <w:vAlign w:val="center"/>
            <w:hideMark/>
          </w:tcPr>
          <w:p w14:paraId="61437AF9" w14:textId="77777777" w:rsidR="00867564" w:rsidRPr="00D5241C" w:rsidRDefault="00867564" w:rsidP="007F0D38">
            <w:pPr>
              <w:spacing w:after="0" w:line="240" w:lineRule="auto"/>
              <w:jc w:val="center"/>
              <w:rPr>
                <w:rFonts w:eastAsia="Times New Roman" w:cs="Times New Roman"/>
                <w:b/>
                <w:bCs/>
                <w:color w:val="000000"/>
                <w:sz w:val="18"/>
                <w:szCs w:val="18"/>
                <w:lang w:eastAsia="sk-SK"/>
              </w:rPr>
            </w:pPr>
            <w:r w:rsidRPr="00D5241C">
              <w:rPr>
                <w:rFonts w:eastAsia="Times New Roman" w:cs="Times New Roman"/>
                <w:b/>
                <w:bCs/>
                <w:color w:val="000000"/>
                <w:sz w:val="18"/>
                <w:szCs w:val="18"/>
                <w:lang w:eastAsia="sk-SK"/>
              </w:rPr>
              <w:t> </w:t>
            </w:r>
          </w:p>
        </w:tc>
        <w:tc>
          <w:tcPr>
            <w:tcW w:w="1121" w:type="dxa"/>
            <w:tcBorders>
              <w:top w:val="nil"/>
              <w:left w:val="nil"/>
              <w:bottom w:val="single" w:sz="8" w:space="0" w:color="auto"/>
              <w:right w:val="nil"/>
            </w:tcBorders>
            <w:shd w:val="clear" w:color="000000" w:fill="BFBFBF"/>
            <w:vAlign w:val="center"/>
            <w:hideMark/>
          </w:tcPr>
          <w:p w14:paraId="74D19612" w14:textId="77777777" w:rsidR="00867564" w:rsidRPr="00D5241C" w:rsidRDefault="00867564" w:rsidP="007F0D38">
            <w:pPr>
              <w:spacing w:after="0" w:line="240" w:lineRule="auto"/>
              <w:jc w:val="center"/>
              <w:rPr>
                <w:rFonts w:eastAsia="Times New Roman" w:cs="Times New Roman"/>
                <w:b/>
                <w:bCs/>
                <w:color w:val="000000"/>
                <w:sz w:val="18"/>
                <w:szCs w:val="18"/>
                <w:lang w:eastAsia="sk-SK"/>
              </w:rPr>
            </w:pPr>
            <w:r w:rsidRPr="00D5241C">
              <w:rPr>
                <w:rFonts w:eastAsia="Times New Roman" w:cs="Times New Roman"/>
                <w:b/>
                <w:bCs/>
                <w:color w:val="000000"/>
                <w:sz w:val="18"/>
                <w:szCs w:val="18"/>
                <w:lang w:eastAsia="sk-SK"/>
              </w:rPr>
              <w:t>2</w:t>
            </w:r>
          </w:p>
        </w:tc>
        <w:tc>
          <w:tcPr>
            <w:tcW w:w="1134" w:type="dxa"/>
            <w:tcBorders>
              <w:top w:val="nil"/>
              <w:left w:val="nil"/>
              <w:bottom w:val="single" w:sz="8" w:space="0" w:color="auto"/>
              <w:right w:val="nil"/>
            </w:tcBorders>
            <w:shd w:val="clear" w:color="000000" w:fill="BFBFBF"/>
            <w:vAlign w:val="center"/>
            <w:hideMark/>
          </w:tcPr>
          <w:p w14:paraId="277714CC" w14:textId="77777777" w:rsidR="00867564" w:rsidRPr="00D5241C" w:rsidRDefault="00867564" w:rsidP="007F0D38">
            <w:pPr>
              <w:spacing w:after="0" w:line="240" w:lineRule="auto"/>
              <w:jc w:val="center"/>
              <w:rPr>
                <w:rFonts w:eastAsia="Times New Roman" w:cs="Times New Roman"/>
                <w:b/>
                <w:bCs/>
                <w:color w:val="000000"/>
                <w:sz w:val="18"/>
                <w:szCs w:val="18"/>
                <w:lang w:eastAsia="sk-SK"/>
              </w:rPr>
            </w:pPr>
            <w:r w:rsidRPr="00D5241C">
              <w:rPr>
                <w:rFonts w:eastAsia="Times New Roman" w:cs="Times New Roman"/>
                <w:b/>
                <w:bCs/>
                <w:color w:val="000000"/>
                <w:sz w:val="18"/>
                <w:szCs w:val="18"/>
                <w:lang w:eastAsia="sk-SK"/>
              </w:rPr>
              <w:t>4</w:t>
            </w:r>
          </w:p>
        </w:tc>
        <w:tc>
          <w:tcPr>
            <w:tcW w:w="960" w:type="dxa"/>
            <w:tcBorders>
              <w:top w:val="nil"/>
              <w:left w:val="nil"/>
              <w:bottom w:val="single" w:sz="8" w:space="0" w:color="auto"/>
              <w:right w:val="nil"/>
            </w:tcBorders>
            <w:shd w:val="clear" w:color="000000" w:fill="BFBFBF"/>
            <w:vAlign w:val="center"/>
            <w:hideMark/>
          </w:tcPr>
          <w:p w14:paraId="1E658B16" w14:textId="77777777" w:rsidR="00867564" w:rsidRPr="00D5241C" w:rsidRDefault="00867564" w:rsidP="007F0D38">
            <w:pPr>
              <w:spacing w:after="0" w:line="240" w:lineRule="auto"/>
              <w:jc w:val="center"/>
              <w:rPr>
                <w:rFonts w:eastAsia="Times New Roman" w:cs="Times New Roman"/>
                <w:b/>
                <w:bCs/>
                <w:color w:val="000000"/>
                <w:sz w:val="18"/>
                <w:szCs w:val="18"/>
                <w:lang w:eastAsia="sk-SK"/>
              </w:rPr>
            </w:pPr>
            <w:r w:rsidRPr="00D5241C">
              <w:rPr>
                <w:rFonts w:eastAsia="Times New Roman" w:cs="Times New Roman"/>
                <w:b/>
                <w:bCs/>
                <w:color w:val="000000"/>
                <w:sz w:val="18"/>
                <w:szCs w:val="18"/>
                <w:lang w:eastAsia="sk-SK"/>
              </w:rPr>
              <w:t>3</w:t>
            </w:r>
          </w:p>
        </w:tc>
        <w:tc>
          <w:tcPr>
            <w:tcW w:w="1080" w:type="dxa"/>
            <w:tcBorders>
              <w:top w:val="nil"/>
              <w:left w:val="nil"/>
              <w:bottom w:val="single" w:sz="8" w:space="0" w:color="auto"/>
              <w:right w:val="nil"/>
            </w:tcBorders>
            <w:shd w:val="clear" w:color="000000" w:fill="BFBFBF"/>
            <w:vAlign w:val="center"/>
            <w:hideMark/>
          </w:tcPr>
          <w:p w14:paraId="38958E94" w14:textId="77777777" w:rsidR="00867564" w:rsidRPr="00D5241C" w:rsidRDefault="00867564" w:rsidP="007F0D38">
            <w:pPr>
              <w:spacing w:after="0" w:line="240" w:lineRule="auto"/>
              <w:jc w:val="center"/>
              <w:rPr>
                <w:rFonts w:eastAsia="Times New Roman" w:cs="Times New Roman"/>
                <w:b/>
                <w:bCs/>
                <w:color w:val="000000"/>
                <w:sz w:val="18"/>
                <w:szCs w:val="18"/>
                <w:lang w:eastAsia="sk-SK"/>
              </w:rPr>
            </w:pPr>
            <w:r w:rsidRPr="00D5241C">
              <w:rPr>
                <w:rFonts w:eastAsia="Times New Roman" w:cs="Times New Roman"/>
                <w:b/>
                <w:bCs/>
                <w:color w:val="000000"/>
                <w:sz w:val="18"/>
                <w:szCs w:val="18"/>
                <w:lang w:eastAsia="sk-SK"/>
              </w:rPr>
              <w:t>4</w:t>
            </w:r>
          </w:p>
        </w:tc>
        <w:tc>
          <w:tcPr>
            <w:tcW w:w="960" w:type="dxa"/>
            <w:tcBorders>
              <w:top w:val="nil"/>
              <w:left w:val="nil"/>
              <w:bottom w:val="single" w:sz="8" w:space="0" w:color="auto"/>
              <w:right w:val="nil"/>
            </w:tcBorders>
            <w:shd w:val="clear" w:color="000000" w:fill="BFBFBF"/>
            <w:vAlign w:val="center"/>
            <w:hideMark/>
          </w:tcPr>
          <w:p w14:paraId="5C8B9776" w14:textId="77777777" w:rsidR="00867564" w:rsidRPr="00D5241C" w:rsidRDefault="00867564" w:rsidP="007F0D38">
            <w:pPr>
              <w:spacing w:after="0" w:line="240" w:lineRule="auto"/>
              <w:jc w:val="center"/>
              <w:rPr>
                <w:rFonts w:eastAsia="Times New Roman" w:cs="Times New Roman"/>
                <w:b/>
                <w:bCs/>
                <w:color w:val="000000"/>
                <w:sz w:val="18"/>
                <w:szCs w:val="18"/>
                <w:lang w:eastAsia="sk-SK"/>
              </w:rPr>
            </w:pPr>
            <w:r w:rsidRPr="00D5241C">
              <w:rPr>
                <w:rFonts w:eastAsia="Times New Roman" w:cs="Times New Roman"/>
                <w:b/>
                <w:bCs/>
                <w:color w:val="000000"/>
                <w:sz w:val="18"/>
                <w:szCs w:val="18"/>
                <w:lang w:eastAsia="sk-SK"/>
              </w:rPr>
              <w:t>5=4-3</w:t>
            </w:r>
          </w:p>
        </w:tc>
        <w:tc>
          <w:tcPr>
            <w:tcW w:w="1252" w:type="dxa"/>
            <w:tcBorders>
              <w:top w:val="nil"/>
              <w:left w:val="nil"/>
              <w:bottom w:val="single" w:sz="8" w:space="0" w:color="auto"/>
              <w:right w:val="nil"/>
            </w:tcBorders>
            <w:shd w:val="clear" w:color="000000" w:fill="BFBFBF"/>
            <w:vAlign w:val="center"/>
            <w:hideMark/>
          </w:tcPr>
          <w:p w14:paraId="723E5F95" w14:textId="77777777" w:rsidR="00867564" w:rsidRPr="00D5241C" w:rsidRDefault="00867564" w:rsidP="007F0D38">
            <w:pPr>
              <w:spacing w:after="0" w:line="240" w:lineRule="auto"/>
              <w:jc w:val="center"/>
              <w:rPr>
                <w:rFonts w:eastAsia="Times New Roman" w:cs="Times New Roman"/>
                <w:b/>
                <w:bCs/>
                <w:color w:val="000000"/>
                <w:sz w:val="18"/>
                <w:szCs w:val="18"/>
                <w:lang w:eastAsia="sk-SK"/>
              </w:rPr>
            </w:pPr>
            <w:r w:rsidRPr="00D5241C">
              <w:rPr>
                <w:rFonts w:eastAsia="Times New Roman" w:cs="Times New Roman"/>
                <w:b/>
                <w:bCs/>
                <w:color w:val="000000"/>
                <w:sz w:val="18"/>
                <w:szCs w:val="18"/>
                <w:lang w:eastAsia="sk-SK"/>
              </w:rPr>
              <w:t>6=4-3</w:t>
            </w:r>
          </w:p>
        </w:tc>
      </w:tr>
      <w:tr w:rsidR="00867564" w:rsidRPr="00D5241C" w14:paraId="76263AE7" w14:textId="77777777" w:rsidTr="00D5241C">
        <w:trPr>
          <w:trHeight w:val="289"/>
        </w:trPr>
        <w:tc>
          <w:tcPr>
            <w:tcW w:w="2500" w:type="dxa"/>
            <w:tcBorders>
              <w:top w:val="nil"/>
              <w:left w:val="nil"/>
              <w:bottom w:val="nil"/>
              <w:right w:val="nil"/>
            </w:tcBorders>
            <w:shd w:val="clear" w:color="auto" w:fill="auto"/>
            <w:noWrap/>
            <w:vAlign w:val="center"/>
            <w:hideMark/>
          </w:tcPr>
          <w:p w14:paraId="5457B713" w14:textId="77777777" w:rsidR="00867564" w:rsidRPr="00D5241C" w:rsidRDefault="00867564" w:rsidP="007F0D38">
            <w:pPr>
              <w:spacing w:after="0" w:line="240" w:lineRule="auto"/>
              <w:rPr>
                <w:rFonts w:eastAsia="Times New Roman" w:cs="Times New Roman"/>
                <w:color w:val="000000"/>
                <w:sz w:val="18"/>
                <w:szCs w:val="18"/>
                <w:lang w:eastAsia="sk-SK"/>
              </w:rPr>
            </w:pPr>
            <w:r w:rsidRPr="00D5241C">
              <w:rPr>
                <w:rFonts w:eastAsia="Times New Roman" w:cs="Times New Roman"/>
                <w:color w:val="000000"/>
                <w:sz w:val="18"/>
                <w:szCs w:val="18"/>
                <w:lang w:eastAsia="sk-SK"/>
              </w:rPr>
              <w:t>dlhová služba - transfer</w:t>
            </w:r>
          </w:p>
        </w:tc>
        <w:tc>
          <w:tcPr>
            <w:tcW w:w="1121" w:type="dxa"/>
            <w:tcBorders>
              <w:top w:val="nil"/>
              <w:left w:val="nil"/>
              <w:bottom w:val="nil"/>
              <w:right w:val="nil"/>
            </w:tcBorders>
            <w:shd w:val="clear" w:color="auto" w:fill="auto"/>
            <w:vAlign w:val="center"/>
            <w:hideMark/>
          </w:tcPr>
          <w:p w14:paraId="44173ADB" w14:textId="77777777" w:rsidR="00867564" w:rsidRPr="00D5241C" w:rsidRDefault="00867564" w:rsidP="007F0D38">
            <w:pPr>
              <w:spacing w:after="0" w:line="240" w:lineRule="auto"/>
              <w:jc w:val="right"/>
              <w:rPr>
                <w:rFonts w:eastAsia="Times New Roman" w:cs="Times New Roman"/>
                <w:color w:val="000000"/>
                <w:sz w:val="18"/>
                <w:szCs w:val="18"/>
                <w:lang w:eastAsia="sk-SK"/>
              </w:rPr>
            </w:pPr>
            <w:r w:rsidRPr="00D5241C">
              <w:rPr>
                <w:rFonts w:eastAsia="Times New Roman" w:cs="Times New Roman"/>
                <w:color w:val="000000"/>
                <w:sz w:val="18"/>
                <w:szCs w:val="18"/>
                <w:lang w:eastAsia="sk-SK"/>
              </w:rPr>
              <w:t>1 134 322</w:t>
            </w:r>
          </w:p>
        </w:tc>
        <w:tc>
          <w:tcPr>
            <w:tcW w:w="1134" w:type="dxa"/>
            <w:tcBorders>
              <w:top w:val="nil"/>
              <w:left w:val="nil"/>
              <w:bottom w:val="nil"/>
              <w:right w:val="nil"/>
            </w:tcBorders>
            <w:shd w:val="clear" w:color="auto" w:fill="auto"/>
            <w:vAlign w:val="center"/>
            <w:hideMark/>
          </w:tcPr>
          <w:p w14:paraId="4A39AD10" w14:textId="77777777" w:rsidR="00867564" w:rsidRPr="00D5241C" w:rsidRDefault="00867564" w:rsidP="007F0D38">
            <w:pPr>
              <w:spacing w:after="0" w:line="240" w:lineRule="auto"/>
              <w:jc w:val="right"/>
              <w:rPr>
                <w:rFonts w:eastAsia="Times New Roman" w:cs="Times New Roman"/>
                <w:color w:val="000000"/>
                <w:sz w:val="18"/>
                <w:szCs w:val="18"/>
                <w:lang w:eastAsia="sk-SK"/>
              </w:rPr>
            </w:pPr>
            <w:r w:rsidRPr="00D5241C">
              <w:rPr>
                <w:rFonts w:eastAsia="Times New Roman" w:cs="Times New Roman"/>
                <w:color w:val="000000"/>
                <w:sz w:val="18"/>
                <w:szCs w:val="18"/>
                <w:lang w:eastAsia="sk-SK"/>
              </w:rPr>
              <w:t>1 036 908</w:t>
            </w:r>
          </w:p>
        </w:tc>
        <w:tc>
          <w:tcPr>
            <w:tcW w:w="960" w:type="dxa"/>
            <w:tcBorders>
              <w:top w:val="nil"/>
              <w:left w:val="nil"/>
              <w:bottom w:val="nil"/>
              <w:right w:val="nil"/>
            </w:tcBorders>
            <w:shd w:val="clear" w:color="auto" w:fill="auto"/>
            <w:vAlign w:val="center"/>
            <w:hideMark/>
          </w:tcPr>
          <w:p w14:paraId="21B11FEC" w14:textId="77777777" w:rsidR="00867564" w:rsidRPr="00D5241C" w:rsidRDefault="00867564" w:rsidP="007F0D38">
            <w:pPr>
              <w:spacing w:after="0" w:line="240" w:lineRule="auto"/>
              <w:jc w:val="right"/>
              <w:rPr>
                <w:rFonts w:eastAsia="Times New Roman" w:cs="Times New Roman"/>
                <w:color w:val="000000"/>
                <w:sz w:val="18"/>
                <w:szCs w:val="18"/>
                <w:lang w:eastAsia="sk-SK"/>
              </w:rPr>
            </w:pPr>
            <w:r w:rsidRPr="00D5241C">
              <w:rPr>
                <w:rFonts w:eastAsia="Times New Roman" w:cs="Times New Roman"/>
                <w:color w:val="000000"/>
                <w:sz w:val="18"/>
                <w:szCs w:val="18"/>
                <w:lang w:eastAsia="sk-SK"/>
              </w:rPr>
              <w:t>1 156 602</w:t>
            </w:r>
          </w:p>
        </w:tc>
        <w:tc>
          <w:tcPr>
            <w:tcW w:w="1080" w:type="dxa"/>
            <w:tcBorders>
              <w:top w:val="nil"/>
              <w:left w:val="nil"/>
              <w:bottom w:val="nil"/>
              <w:right w:val="nil"/>
            </w:tcBorders>
            <w:shd w:val="clear" w:color="auto" w:fill="BFBFBF" w:themeFill="background1" w:themeFillShade="BF"/>
            <w:vAlign w:val="center"/>
            <w:hideMark/>
          </w:tcPr>
          <w:p w14:paraId="232263CC" w14:textId="77777777" w:rsidR="00867564" w:rsidRPr="00D5241C" w:rsidRDefault="00867564" w:rsidP="007F0D38">
            <w:pPr>
              <w:spacing w:after="0" w:line="240" w:lineRule="auto"/>
              <w:jc w:val="right"/>
              <w:rPr>
                <w:rFonts w:eastAsia="Times New Roman" w:cs="Times New Roman"/>
                <w:color w:val="000000"/>
                <w:sz w:val="18"/>
                <w:szCs w:val="18"/>
                <w:lang w:eastAsia="sk-SK"/>
              </w:rPr>
            </w:pPr>
            <w:r w:rsidRPr="00D5241C">
              <w:rPr>
                <w:rFonts w:eastAsia="Times New Roman" w:cs="Times New Roman"/>
                <w:color w:val="000000"/>
                <w:sz w:val="18"/>
                <w:szCs w:val="18"/>
                <w:lang w:eastAsia="sk-SK"/>
              </w:rPr>
              <w:t>796 703</w:t>
            </w:r>
          </w:p>
        </w:tc>
        <w:tc>
          <w:tcPr>
            <w:tcW w:w="960" w:type="dxa"/>
            <w:tcBorders>
              <w:top w:val="nil"/>
              <w:left w:val="nil"/>
              <w:bottom w:val="nil"/>
              <w:right w:val="nil"/>
            </w:tcBorders>
            <w:shd w:val="clear" w:color="auto" w:fill="auto"/>
            <w:vAlign w:val="center"/>
            <w:hideMark/>
          </w:tcPr>
          <w:p w14:paraId="795B5263" w14:textId="77777777" w:rsidR="00867564" w:rsidRPr="00D5241C" w:rsidRDefault="00867564" w:rsidP="007F0D38">
            <w:pPr>
              <w:spacing w:after="0" w:line="240" w:lineRule="auto"/>
              <w:jc w:val="right"/>
              <w:rPr>
                <w:rFonts w:eastAsia="Times New Roman" w:cs="Times New Roman"/>
                <w:color w:val="000000"/>
                <w:sz w:val="18"/>
                <w:szCs w:val="18"/>
                <w:lang w:eastAsia="sk-SK"/>
              </w:rPr>
            </w:pPr>
            <w:r w:rsidRPr="00D5241C">
              <w:rPr>
                <w:rFonts w:eastAsia="Times New Roman" w:cs="Times New Roman"/>
                <w:color w:val="000000"/>
                <w:sz w:val="18"/>
                <w:szCs w:val="18"/>
                <w:lang w:eastAsia="sk-SK"/>
              </w:rPr>
              <w:t>-359 899</w:t>
            </w:r>
          </w:p>
        </w:tc>
        <w:tc>
          <w:tcPr>
            <w:tcW w:w="1252" w:type="dxa"/>
            <w:tcBorders>
              <w:top w:val="nil"/>
              <w:left w:val="nil"/>
              <w:bottom w:val="nil"/>
              <w:right w:val="nil"/>
            </w:tcBorders>
            <w:shd w:val="clear" w:color="auto" w:fill="auto"/>
            <w:vAlign w:val="center"/>
            <w:hideMark/>
          </w:tcPr>
          <w:p w14:paraId="3F749288" w14:textId="77777777" w:rsidR="00867564" w:rsidRPr="00D5241C" w:rsidRDefault="00867564" w:rsidP="007F0D38">
            <w:pPr>
              <w:spacing w:after="0" w:line="240" w:lineRule="auto"/>
              <w:jc w:val="right"/>
              <w:rPr>
                <w:rFonts w:eastAsia="Times New Roman" w:cs="Times New Roman"/>
                <w:color w:val="000000"/>
                <w:sz w:val="18"/>
                <w:szCs w:val="18"/>
                <w:lang w:eastAsia="sk-SK"/>
              </w:rPr>
            </w:pPr>
            <w:r w:rsidRPr="00D5241C">
              <w:rPr>
                <w:rFonts w:eastAsia="Times New Roman" w:cs="Times New Roman"/>
                <w:color w:val="000000"/>
                <w:sz w:val="18"/>
                <w:szCs w:val="18"/>
                <w:lang w:eastAsia="sk-SK"/>
              </w:rPr>
              <w:t>-31,1</w:t>
            </w:r>
          </w:p>
        </w:tc>
      </w:tr>
      <w:tr w:rsidR="00867564" w:rsidRPr="00D5241C" w14:paraId="185C98F3" w14:textId="77777777" w:rsidTr="00D5241C">
        <w:trPr>
          <w:trHeight w:val="289"/>
        </w:trPr>
        <w:tc>
          <w:tcPr>
            <w:tcW w:w="2500" w:type="dxa"/>
            <w:tcBorders>
              <w:top w:val="nil"/>
              <w:left w:val="nil"/>
              <w:bottom w:val="single" w:sz="8" w:space="0" w:color="auto"/>
              <w:right w:val="nil"/>
            </w:tcBorders>
            <w:shd w:val="clear" w:color="auto" w:fill="auto"/>
            <w:noWrap/>
            <w:vAlign w:val="center"/>
            <w:hideMark/>
          </w:tcPr>
          <w:p w14:paraId="33AEA568" w14:textId="77777777" w:rsidR="00867564" w:rsidRPr="00D5241C" w:rsidRDefault="00867564" w:rsidP="007F0D38">
            <w:pPr>
              <w:spacing w:after="0" w:line="240" w:lineRule="auto"/>
              <w:rPr>
                <w:rFonts w:eastAsia="Times New Roman" w:cs="Times New Roman"/>
                <w:color w:val="000000"/>
                <w:sz w:val="18"/>
                <w:szCs w:val="18"/>
                <w:lang w:eastAsia="sk-SK"/>
              </w:rPr>
            </w:pPr>
            <w:r w:rsidRPr="00D5241C">
              <w:rPr>
                <w:rFonts w:eastAsia="Times New Roman" w:cs="Times New Roman"/>
                <w:color w:val="000000"/>
                <w:sz w:val="18"/>
                <w:szCs w:val="18"/>
                <w:lang w:eastAsia="sk-SK"/>
              </w:rPr>
              <w:t>manipulačné poplatky</w:t>
            </w:r>
          </w:p>
        </w:tc>
        <w:tc>
          <w:tcPr>
            <w:tcW w:w="1121" w:type="dxa"/>
            <w:tcBorders>
              <w:top w:val="nil"/>
              <w:left w:val="nil"/>
              <w:bottom w:val="single" w:sz="8" w:space="0" w:color="auto"/>
              <w:right w:val="nil"/>
            </w:tcBorders>
            <w:shd w:val="clear" w:color="auto" w:fill="auto"/>
            <w:vAlign w:val="center"/>
            <w:hideMark/>
          </w:tcPr>
          <w:p w14:paraId="4E0C596D" w14:textId="77777777" w:rsidR="00867564" w:rsidRPr="00D5241C" w:rsidRDefault="00867564" w:rsidP="007F0D38">
            <w:pPr>
              <w:spacing w:after="0" w:line="240" w:lineRule="auto"/>
              <w:jc w:val="right"/>
              <w:rPr>
                <w:rFonts w:eastAsia="Times New Roman" w:cs="Times New Roman"/>
                <w:color w:val="000000"/>
                <w:sz w:val="18"/>
                <w:szCs w:val="18"/>
                <w:lang w:eastAsia="sk-SK"/>
              </w:rPr>
            </w:pPr>
            <w:r w:rsidRPr="00D5241C">
              <w:rPr>
                <w:rFonts w:eastAsia="Times New Roman" w:cs="Times New Roman"/>
                <w:color w:val="000000"/>
                <w:sz w:val="18"/>
                <w:szCs w:val="18"/>
                <w:lang w:eastAsia="sk-SK"/>
              </w:rPr>
              <w:t>270</w:t>
            </w:r>
          </w:p>
        </w:tc>
        <w:tc>
          <w:tcPr>
            <w:tcW w:w="1134" w:type="dxa"/>
            <w:tcBorders>
              <w:top w:val="nil"/>
              <w:left w:val="nil"/>
              <w:bottom w:val="single" w:sz="8" w:space="0" w:color="auto"/>
              <w:right w:val="nil"/>
            </w:tcBorders>
            <w:shd w:val="clear" w:color="auto" w:fill="auto"/>
            <w:vAlign w:val="center"/>
            <w:hideMark/>
          </w:tcPr>
          <w:p w14:paraId="4ACF91D9" w14:textId="77777777" w:rsidR="00867564" w:rsidRPr="00D5241C" w:rsidRDefault="00867564" w:rsidP="007F0D38">
            <w:pPr>
              <w:spacing w:after="0" w:line="240" w:lineRule="auto"/>
              <w:jc w:val="right"/>
              <w:rPr>
                <w:rFonts w:eastAsia="Times New Roman" w:cs="Times New Roman"/>
                <w:color w:val="000000"/>
                <w:sz w:val="18"/>
                <w:szCs w:val="18"/>
                <w:lang w:eastAsia="sk-SK"/>
              </w:rPr>
            </w:pPr>
            <w:r w:rsidRPr="00D5241C">
              <w:rPr>
                <w:rFonts w:eastAsia="Times New Roman" w:cs="Times New Roman"/>
                <w:color w:val="000000"/>
                <w:sz w:val="18"/>
                <w:szCs w:val="18"/>
                <w:lang w:eastAsia="sk-SK"/>
              </w:rPr>
              <w:t>270</w:t>
            </w:r>
          </w:p>
        </w:tc>
        <w:tc>
          <w:tcPr>
            <w:tcW w:w="960" w:type="dxa"/>
            <w:tcBorders>
              <w:top w:val="nil"/>
              <w:left w:val="nil"/>
              <w:bottom w:val="single" w:sz="8" w:space="0" w:color="auto"/>
              <w:right w:val="nil"/>
            </w:tcBorders>
            <w:shd w:val="clear" w:color="auto" w:fill="auto"/>
            <w:vAlign w:val="center"/>
            <w:hideMark/>
          </w:tcPr>
          <w:p w14:paraId="181B1736" w14:textId="77777777" w:rsidR="00867564" w:rsidRPr="00D5241C" w:rsidRDefault="00867564" w:rsidP="007F0D38">
            <w:pPr>
              <w:spacing w:after="0" w:line="240" w:lineRule="auto"/>
              <w:jc w:val="right"/>
              <w:rPr>
                <w:rFonts w:eastAsia="Times New Roman" w:cs="Times New Roman"/>
                <w:color w:val="000000"/>
                <w:sz w:val="18"/>
                <w:szCs w:val="18"/>
                <w:lang w:eastAsia="sk-SK"/>
              </w:rPr>
            </w:pPr>
            <w:r w:rsidRPr="00D5241C">
              <w:rPr>
                <w:rFonts w:eastAsia="Times New Roman" w:cs="Times New Roman"/>
                <w:color w:val="000000"/>
                <w:sz w:val="18"/>
                <w:szCs w:val="18"/>
                <w:lang w:eastAsia="sk-SK"/>
              </w:rPr>
              <w:t>270</w:t>
            </w:r>
          </w:p>
        </w:tc>
        <w:tc>
          <w:tcPr>
            <w:tcW w:w="1080" w:type="dxa"/>
            <w:tcBorders>
              <w:top w:val="nil"/>
              <w:left w:val="nil"/>
              <w:bottom w:val="single" w:sz="8" w:space="0" w:color="auto"/>
              <w:right w:val="nil"/>
            </w:tcBorders>
            <w:shd w:val="clear" w:color="auto" w:fill="BFBFBF" w:themeFill="background1" w:themeFillShade="BF"/>
            <w:vAlign w:val="center"/>
            <w:hideMark/>
          </w:tcPr>
          <w:p w14:paraId="6256433D" w14:textId="77777777" w:rsidR="00867564" w:rsidRPr="00D5241C" w:rsidRDefault="00867564" w:rsidP="007F0D38">
            <w:pPr>
              <w:spacing w:after="0" w:line="240" w:lineRule="auto"/>
              <w:jc w:val="right"/>
              <w:rPr>
                <w:rFonts w:eastAsia="Times New Roman" w:cs="Times New Roman"/>
                <w:color w:val="000000"/>
                <w:sz w:val="18"/>
                <w:szCs w:val="18"/>
                <w:lang w:eastAsia="sk-SK"/>
              </w:rPr>
            </w:pPr>
            <w:r w:rsidRPr="00D5241C">
              <w:rPr>
                <w:rFonts w:eastAsia="Times New Roman" w:cs="Times New Roman"/>
                <w:color w:val="000000"/>
                <w:sz w:val="18"/>
                <w:szCs w:val="18"/>
                <w:lang w:eastAsia="sk-SK"/>
              </w:rPr>
              <w:t>270</w:t>
            </w:r>
          </w:p>
        </w:tc>
        <w:tc>
          <w:tcPr>
            <w:tcW w:w="960" w:type="dxa"/>
            <w:tcBorders>
              <w:top w:val="nil"/>
              <w:left w:val="nil"/>
              <w:bottom w:val="single" w:sz="8" w:space="0" w:color="auto"/>
              <w:right w:val="nil"/>
            </w:tcBorders>
            <w:shd w:val="clear" w:color="auto" w:fill="auto"/>
            <w:vAlign w:val="center"/>
            <w:hideMark/>
          </w:tcPr>
          <w:p w14:paraId="225E6616" w14:textId="77777777" w:rsidR="00867564" w:rsidRPr="00D5241C" w:rsidRDefault="00867564" w:rsidP="007F0D38">
            <w:pPr>
              <w:spacing w:after="0" w:line="240" w:lineRule="auto"/>
              <w:jc w:val="right"/>
              <w:rPr>
                <w:rFonts w:eastAsia="Times New Roman" w:cs="Times New Roman"/>
                <w:color w:val="000000"/>
                <w:sz w:val="18"/>
                <w:szCs w:val="18"/>
                <w:lang w:eastAsia="sk-SK"/>
              </w:rPr>
            </w:pPr>
            <w:r w:rsidRPr="00D5241C">
              <w:rPr>
                <w:rFonts w:eastAsia="Times New Roman" w:cs="Times New Roman"/>
                <w:color w:val="000000"/>
                <w:sz w:val="18"/>
                <w:szCs w:val="18"/>
                <w:lang w:eastAsia="sk-SK"/>
              </w:rPr>
              <w:t>0</w:t>
            </w:r>
          </w:p>
        </w:tc>
        <w:tc>
          <w:tcPr>
            <w:tcW w:w="1252" w:type="dxa"/>
            <w:tcBorders>
              <w:top w:val="nil"/>
              <w:left w:val="nil"/>
              <w:bottom w:val="single" w:sz="8" w:space="0" w:color="auto"/>
              <w:right w:val="nil"/>
            </w:tcBorders>
            <w:shd w:val="clear" w:color="auto" w:fill="auto"/>
            <w:vAlign w:val="center"/>
            <w:hideMark/>
          </w:tcPr>
          <w:p w14:paraId="1A7F1530" w14:textId="77777777" w:rsidR="00867564" w:rsidRPr="00D5241C" w:rsidRDefault="00867564" w:rsidP="007F0D38">
            <w:pPr>
              <w:spacing w:after="0" w:line="240" w:lineRule="auto"/>
              <w:jc w:val="right"/>
              <w:rPr>
                <w:rFonts w:eastAsia="Times New Roman" w:cs="Times New Roman"/>
                <w:color w:val="000000"/>
                <w:sz w:val="18"/>
                <w:szCs w:val="18"/>
                <w:lang w:eastAsia="sk-SK"/>
              </w:rPr>
            </w:pPr>
            <w:r w:rsidRPr="00D5241C">
              <w:rPr>
                <w:rFonts w:eastAsia="Times New Roman" w:cs="Times New Roman"/>
                <w:color w:val="000000"/>
                <w:sz w:val="18"/>
                <w:szCs w:val="18"/>
                <w:lang w:eastAsia="sk-SK"/>
              </w:rPr>
              <w:t>0,0</w:t>
            </w:r>
          </w:p>
        </w:tc>
      </w:tr>
      <w:tr w:rsidR="00867564" w:rsidRPr="00D5241C" w14:paraId="61BE6D3C" w14:textId="77777777" w:rsidTr="00D5241C">
        <w:trPr>
          <w:trHeight w:val="289"/>
        </w:trPr>
        <w:tc>
          <w:tcPr>
            <w:tcW w:w="2500" w:type="dxa"/>
            <w:tcBorders>
              <w:top w:val="nil"/>
              <w:left w:val="nil"/>
              <w:bottom w:val="single" w:sz="8" w:space="0" w:color="auto"/>
              <w:right w:val="nil"/>
            </w:tcBorders>
            <w:shd w:val="clear" w:color="000000" w:fill="FFFFFF"/>
            <w:vAlign w:val="center"/>
            <w:hideMark/>
          </w:tcPr>
          <w:p w14:paraId="336452D5" w14:textId="77777777" w:rsidR="00867564" w:rsidRPr="00D5241C" w:rsidRDefault="00867564" w:rsidP="007F0D38">
            <w:pPr>
              <w:spacing w:after="0" w:line="240" w:lineRule="auto"/>
              <w:rPr>
                <w:rFonts w:eastAsia="Times New Roman" w:cs="Times New Roman"/>
                <w:b/>
                <w:bCs/>
                <w:color w:val="000000"/>
                <w:sz w:val="18"/>
                <w:szCs w:val="18"/>
                <w:lang w:eastAsia="sk-SK"/>
              </w:rPr>
            </w:pPr>
            <w:r w:rsidRPr="00D5241C">
              <w:rPr>
                <w:rFonts w:eastAsia="Times New Roman" w:cs="Times New Roman"/>
                <w:b/>
                <w:bCs/>
                <w:color w:val="000000"/>
                <w:sz w:val="18"/>
                <w:szCs w:val="18"/>
                <w:lang w:eastAsia="sk-SK"/>
              </w:rPr>
              <w:t>Celkom štátny dlh</w:t>
            </w:r>
          </w:p>
        </w:tc>
        <w:tc>
          <w:tcPr>
            <w:tcW w:w="1121" w:type="dxa"/>
            <w:tcBorders>
              <w:top w:val="nil"/>
              <w:left w:val="nil"/>
              <w:bottom w:val="single" w:sz="8" w:space="0" w:color="auto"/>
              <w:right w:val="nil"/>
            </w:tcBorders>
            <w:shd w:val="clear" w:color="auto" w:fill="auto"/>
            <w:vAlign w:val="center"/>
            <w:hideMark/>
          </w:tcPr>
          <w:p w14:paraId="2ACA83D5" w14:textId="77777777" w:rsidR="00867564" w:rsidRPr="00D5241C" w:rsidRDefault="00867564" w:rsidP="007F0D38">
            <w:pPr>
              <w:spacing w:after="0" w:line="240" w:lineRule="auto"/>
              <w:jc w:val="right"/>
              <w:rPr>
                <w:rFonts w:eastAsia="Times New Roman" w:cs="Times New Roman"/>
                <w:b/>
                <w:bCs/>
                <w:color w:val="000000"/>
                <w:sz w:val="18"/>
                <w:szCs w:val="18"/>
                <w:lang w:eastAsia="sk-SK"/>
              </w:rPr>
            </w:pPr>
            <w:r w:rsidRPr="00D5241C">
              <w:rPr>
                <w:rFonts w:eastAsia="Times New Roman" w:cs="Times New Roman"/>
                <w:b/>
                <w:bCs/>
                <w:color w:val="000000"/>
                <w:sz w:val="18"/>
                <w:szCs w:val="18"/>
                <w:lang w:eastAsia="sk-SK"/>
              </w:rPr>
              <w:t>1 134 592</w:t>
            </w:r>
          </w:p>
        </w:tc>
        <w:tc>
          <w:tcPr>
            <w:tcW w:w="1134" w:type="dxa"/>
            <w:tcBorders>
              <w:top w:val="nil"/>
              <w:left w:val="nil"/>
              <w:bottom w:val="single" w:sz="8" w:space="0" w:color="auto"/>
              <w:right w:val="nil"/>
            </w:tcBorders>
            <w:shd w:val="clear" w:color="auto" w:fill="auto"/>
            <w:vAlign w:val="center"/>
            <w:hideMark/>
          </w:tcPr>
          <w:p w14:paraId="36303CAD" w14:textId="77777777" w:rsidR="00867564" w:rsidRPr="00D5241C" w:rsidRDefault="00867564" w:rsidP="007F0D38">
            <w:pPr>
              <w:spacing w:after="0" w:line="240" w:lineRule="auto"/>
              <w:jc w:val="right"/>
              <w:rPr>
                <w:rFonts w:eastAsia="Times New Roman" w:cs="Times New Roman"/>
                <w:b/>
                <w:bCs/>
                <w:color w:val="000000"/>
                <w:sz w:val="18"/>
                <w:szCs w:val="18"/>
                <w:lang w:eastAsia="sk-SK"/>
              </w:rPr>
            </w:pPr>
            <w:r w:rsidRPr="00D5241C">
              <w:rPr>
                <w:rFonts w:eastAsia="Times New Roman" w:cs="Times New Roman"/>
                <w:b/>
                <w:bCs/>
                <w:color w:val="000000"/>
                <w:sz w:val="18"/>
                <w:szCs w:val="18"/>
                <w:lang w:eastAsia="sk-SK"/>
              </w:rPr>
              <w:t>1 037 178</w:t>
            </w:r>
          </w:p>
        </w:tc>
        <w:tc>
          <w:tcPr>
            <w:tcW w:w="960" w:type="dxa"/>
            <w:tcBorders>
              <w:top w:val="nil"/>
              <w:left w:val="nil"/>
              <w:bottom w:val="single" w:sz="8" w:space="0" w:color="auto"/>
              <w:right w:val="nil"/>
            </w:tcBorders>
            <w:shd w:val="clear" w:color="auto" w:fill="auto"/>
            <w:vAlign w:val="center"/>
            <w:hideMark/>
          </w:tcPr>
          <w:p w14:paraId="73947875" w14:textId="77777777" w:rsidR="00867564" w:rsidRPr="00D5241C" w:rsidRDefault="00867564" w:rsidP="007F0D38">
            <w:pPr>
              <w:spacing w:after="0" w:line="240" w:lineRule="auto"/>
              <w:jc w:val="right"/>
              <w:rPr>
                <w:rFonts w:eastAsia="Times New Roman" w:cs="Times New Roman"/>
                <w:b/>
                <w:bCs/>
                <w:color w:val="000000"/>
                <w:sz w:val="18"/>
                <w:szCs w:val="18"/>
                <w:lang w:eastAsia="sk-SK"/>
              </w:rPr>
            </w:pPr>
            <w:r w:rsidRPr="00D5241C">
              <w:rPr>
                <w:rFonts w:eastAsia="Times New Roman" w:cs="Times New Roman"/>
                <w:b/>
                <w:bCs/>
                <w:color w:val="000000"/>
                <w:sz w:val="18"/>
                <w:szCs w:val="18"/>
                <w:lang w:eastAsia="sk-SK"/>
              </w:rPr>
              <w:t>1 156 872</w:t>
            </w:r>
          </w:p>
        </w:tc>
        <w:tc>
          <w:tcPr>
            <w:tcW w:w="1080" w:type="dxa"/>
            <w:tcBorders>
              <w:top w:val="nil"/>
              <w:left w:val="nil"/>
              <w:bottom w:val="single" w:sz="8" w:space="0" w:color="auto"/>
              <w:right w:val="nil"/>
            </w:tcBorders>
            <w:shd w:val="clear" w:color="auto" w:fill="BFBFBF" w:themeFill="background1" w:themeFillShade="BF"/>
            <w:vAlign w:val="center"/>
            <w:hideMark/>
          </w:tcPr>
          <w:p w14:paraId="21DE28E0" w14:textId="77777777" w:rsidR="00867564" w:rsidRPr="00D5241C" w:rsidRDefault="00867564" w:rsidP="007F0D38">
            <w:pPr>
              <w:spacing w:after="0" w:line="240" w:lineRule="auto"/>
              <w:jc w:val="right"/>
              <w:rPr>
                <w:rFonts w:eastAsia="Times New Roman" w:cs="Times New Roman"/>
                <w:b/>
                <w:bCs/>
                <w:color w:val="000000"/>
                <w:sz w:val="18"/>
                <w:szCs w:val="18"/>
                <w:lang w:eastAsia="sk-SK"/>
              </w:rPr>
            </w:pPr>
            <w:r w:rsidRPr="00D5241C">
              <w:rPr>
                <w:rFonts w:eastAsia="Times New Roman" w:cs="Times New Roman"/>
                <w:b/>
                <w:bCs/>
                <w:color w:val="000000"/>
                <w:sz w:val="18"/>
                <w:szCs w:val="18"/>
                <w:lang w:eastAsia="sk-SK"/>
              </w:rPr>
              <w:t>796 973</w:t>
            </w:r>
          </w:p>
        </w:tc>
        <w:tc>
          <w:tcPr>
            <w:tcW w:w="960" w:type="dxa"/>
            <w:tcBorders>
              <w:top w:val="nil"/>
              <w:left w:val="nil"/>
              <w:bottom w:val="single" w:sz="8" w:space="0" w:color="auto"/>
              <w:right w:val="nil"/>
            </w:tcBorders>
            <w:shd w:val="clear" w:color="auto" w:fill="auto"/>
            <w:vAlign w:val="center"/>
            <w:hideMark/>
          </w:tcPr>
          <w:p w14:paraId="62D2E354" w14:textId="77777777" w:rsidR="00867564" w:rsidRPr="00D5241C" w:rsidRDefault="00867564" w:rsidP="007F0D38">
            <w:pPr>
              <w:spacing w:after="0" w:line="240" w:lineRule="auto"/>
              <w:jc w:val="right"/>
              <w:rPr>
                <w:rFonts w:eastAsia="Times New Roman" w:cs="Times New Roman"/>
                <w:b/>
                <w:bCs/>
                <w:color w:val="000000"/>
                <w:sz w:val="18"/>
                <w:szCs w:val="18"/>
                <w:lang w:eastAsia="sk-SK"/>
              </w:rPr>
            </w:pPr>
            <w:r w:rsidRPr="00D5241C">
              <w:rPr>
                <w:rFonts w:eastAsia="Times New Roman" w:cs="Times New Roman"/>
                <w:b/>
                <w:bCs/>
                <w:color w:val="000000"/>
                <w:sz w:val="18"/>
                <w:szCs w:val="18"/>
                <w:lang w:eastAsia="sk-SK"/>
              </w:rPr>
              <w:t>-359 899</w:t>
            </w:r>
          </w:p>
        </w:tc>
        <w:tc>
          <w:tcPr>
            <w:tcW w:w="1252" w:type="dxa"/>
            <w:tcBorders>
              <w:top w:val="nil"/>
              <w:left w:val="nil"/>
              <w:bottom w:val="single" w:sz="8" w:space="0" w:color="auto"/>
              <w:right w:val="nil"/>
            </w:tcBorders>
            <w:shd w:val="clear" w:color="auto" w:fill="auto"/>
            <w:vAlign w:val="center"/>
            <w:hideMark/>
          </w:tcPr>
          <w:p w14:paraId="4F67F212" w14:textId="77777777" w:rsidR="00867564" w:rsidRPr="00D5241C" w:rsidRDefault="00867564" w:rsidP="007F0D38">
            <w:pPr>
              <w:spacing w:after="0" w:line="240" w:lineRule="auto"/>
              <w:jc w:val="right"/>
              <w:rPr>
                <w:rFonts w:eastAsia="Times New Roman" w:cs="Times New Roman"/>
                <w:b/>
                <w:color w:val="000000"/>
                <w:sz w:val="18"/>
                <w:szCs w:val="18"/>
                <w:lang w:eastAsia="sk-SK"/>
              </w:rPr>
            </w:pPr>
            <w:r w:rsidRPr="00D5241C">
              <w:rPr>
                <w:rFonts w:eastAsia="Times New Roman" w:cs="Times New Roman"/>
                <w:b/>
                <w:color w:val="000000"/>
                <w:sz w:val="18"/>
                <w:szCs w:val="18"/>
                <w:lang w:eastAsia="sk-SK"/>
              </w:rPr>
              <w:t>-31,1</w:t>
            </w:r>
          </w:p>
        </w:tc>
      </w:tr>
    </w:tbl>
    <w:p w14:paraId="5F93480A" w14:textId="248D35F6" w:rsidR="00867564" w:rsidRPr="00F507AC" w:rsidRDefault="00D5241C" w:rsidP="00D5241C">
      <w:pPr>
        <w:shd w:val="clear" w:color="auto" w:fill="FFFFFF" w:themeFill="background1"/>
        <w:jc w:val="center"/>
        <w:rPr>
          <w:rFonts w:cs="Times New Roman"/>
          <w:sz w:val="18"/>
          <w:szCs w:val="18"/>
        </w:rPr>
      </w:pPr>
      <w:r>
        <w:rPr>
          <w:rFonts w:cs="Times New Roman"/>
          <w:sz w:val="18"/>
          <w:szCs w:val="18"/>
        </w:rPr>
        <w:t xml:space="preserve">                                                                                                                                                                       </w:t>
      </w:r>
      <w:r w:rsidR="00867564" w:rsidRPr="00F507AC">
        <w:rPr>
          <w:rFonts w:cs="Times New Roman"/>
          <w:sz w:val="18"/>
          <w:szCs w:val="18"/>
        </w:rPr>
        <w:t>Zdroj: MF SR</w:t>
      </w:r>
    </w:p>
    <w:p w14:paraId="303F80E0" w14:textId="0D49B030" w:rsidR="00867564" w:rsidRPr="00D715AF" w:rsidRDefault="00867564" w:rsidP="001665F3">
      <w:pPr>
        <w:shd w:val="clear" w:color="auto" w:fill="FFFFFF" w:themeFill="background1"/>
        <w:spacing w:line="240" w:lineRule="auto"/>
        <w:rPr>
          <w:rFonts w:cs="Times New Roman"/>
          <w:sz w:val="24"/>
          <w:szCs w:val="24"/>
        </w:rPr>
      </w:pPr>
      <w:r w:rsidRPr="00D715AF">
        <w:rPr>
          <w:rFonts w:cs="Times New Roman"/>
          <w:sz w:val="24"/>
          <w:szCs w:val="24"/>
        </w:rPr>
        <w:t>V hotovostnom rozpočte štátneho dlhu v roku 2020 sa podarilo ušetriť 359 899 tis. eur. Pozitívnym vplyvom bol pokles úrokových sadzieb. Významným faktorom boli aj nákupy slovenských štátnych dlhopisov zo strany ECB (NBS). Pokles úrokových sadzieb v situácii, kedy sa predávajú dlhopisy s vysokými úrokovými sadzbami kupónov v porovnaní s výnosom do</w:t>
      </w:r>
      <w:r w:rsidR="00676CEF" w:rsidRPr="00D715AF">
        <w:rPr>
          <w:rFonts w:cs="Times New Roman"/>
          <w:sz w:val="24"/>
          <w:szCs w:val="24"/>
        </w:rPr>
        <w:t> </w:t>
      </w:r>
      <w:r w:rsidRPr="00D715AF">
        <w:rPr>
          <w:rFonts w:cs="Times New Roman"/>
          <w:sz w:val="24"/>
          <w:szCs w:val="24"/>
        </w:rPr>
        <w:t>splatnosti, spôsobil vysoké prijaté prémie pri aukciách štátnych dlhopisov a teda zodpovedajúce úspory na nákladoch dlhu. Vývoj úrokových sadzieb na finančných trhoch a</w:t>
      </w:r>
      <w:r w:rsidR="00676CEF" w:rsidRPr="00D715AF">
        <w:rPr>
          <w:rFonts w:cs="Times New Roman"/>
          <w:sz w:val="24"/>
          <w:szCs w:val="24"/>
        </w:rPr>
        <w:t> </w:t>
      </w:r>
      <w:r w:rsidRPr="00D715AF">
        <w:rPr>
          <w:rFonts w:cs="Times New Roman"/>
          <w:sz w:val="24"/>
          <w:szCs w:val="24"/>
        </w:rPr>
        <w:t>aktívna správa portfólia sa prejavili v poklese priemernej váženej úrokovej sadzby záväzkov štátu z úrovne 2,09 % p. a. v roku 2019 na úroveň 1,51 % p. a. na konci roka 2020. Na správu Štátneho dlhu výrazne vplýval systém Štátnej pokladnice, ktorý zabezpečil okrem centralizácie finančných zdrojov verejného sektora aj zlepšenú pozíciu štátu voči medzibankovému trhu.</w:t>
      </w:r>
    </w:p>
    <w:tbl>
      <w:tblPr>
        <w:tblW w:w="9159" w:type="dxa"/>
        <w:tblInd w:w="55" w:type="dxa"/>
        <w:tblCellMar>
          <w:left w:w="70" w:type="dxa"/>
          <w:right w:w="70" w:type="dxa"/>
        </w:tblCellMar>
        <w:tblLook w:val="04A0" w:firstRow="1" w:lastRow="0" w:firstColumn="1" w:lastColumn="0" w:noHBand="0" w:noVBand="1"/>
      </w:tblPr>
      <w:tblGrid>
        <w:gridCol w:w="4309"/>
        <w:gridCol w:w="1590"/>
        <w:gridCol w:w="1559"/>
        <w:gridCol w:w="1701"/>
      </w:tblGrid>
      <w:tr w:rsidR="00867564" w:rsidRPr="00417A4B" w14:paraId="1E5B3AC1" w14:textId="77777777" w:rsidTr="00D5241C">
        <w:trPr>
          <w:trHeight w:val="323"/>
        </w:trPr>
        <w:tc>
          <w:tcPr>
            <w:tcW w:w="9159" w:type="dxa"/>
            <w:gridSpan w:val="4"/>
            <w:tcBorders>
              <w:top w:val="nil"/>
              <w:left w:val="nil"/>
              <w:bottom w:val="nil"/>
              <w:right w:val="nil"/>
            </w:tcBorders>
            <w:shd w:val="clear" w:color="000000" w:fill="000000"/>
            <w:vAlign w:val="center"/>
            <w:hideMark/>
          </w:tcPr>
          <w:p w14:paraId="0F3FD1AB" w14:textId="7F87ECDA" w:rsidR="00867564" w:rsidRPr="00417A4B" w:rsidRDefault="00867564" w:rsidP="007F0D38">
            <w:pPr>
              <w:spacing w:after="0" w:line="240" w:lineRule="auto"/>
              <w:rPr>
                <w:rFonts w:eastAsia="Times New Roman" w:cs="Times New Roman"/>
                <w:b/>
                <w:bCs/>
                <w:color w:val="FFFFFF"/>
                <w:sz w:val="18"/>
                <w:szCs w:val="18"/>
                <w:lang w:eastAsia="sk-SK"/>
              </w:rPr>
            </w:pPr>
            <w:r w:rsidRPr="00417A4B">
              <w:rPr>
                <w:rFonts w:eastAsia="Times New Roman" w:cs="Times New Roman"/>
                <w:b/>
                <w:bCs/>
                <w:color w:val="FFFFFF"/>
                <w:sz w:val="18"/>
                <w:szCs w:val="18"/>
                <w:lang w:eastAsia="sk-SK"/>
              </w:rPr>
              <w:t xml:space="preserve">Prehľad príjmov a výdavkov na saldo účte Štátneho dlhu                                                                   </w:t>
            </w:r>
            <w:r w:rsidR="00D5241C">
              <w:rPr>
                <w:rFonts w:eastAsia="Times New Roman" w:cs="Times New Roman"/>
                <w:b/>
                <w:bCs/>
                <w:color w:val="FFFFFF"/>
                <w:sz w:val="18"/>
                <w:szCs w:val="18"/>
                <w:lang w:eastAsia="sk-SK"/>
              </w:rPr>
              <w:t xml:space="preserve">      </w:t>
            </w:r>
            <w:r w:rsidR="0023537F">
              <w:rPr>
                <w:rFonts w:eastAsia="Times New Roman" w:cs="Times New Roman"/>
                <w:b/>
                <w:bCs/>
                <w:color w:val="FFFFFF"/>
                <w:sz w:val="18"/>
                <w:szCs w:val="18"/>
                <w:lang w:eastAsia="sk-SK"/>
              </w:rPr>
              <w:t xml:space="preserve">   </w:t>
            </w:r>
            <w:r w:rsidR="00D5241C">
              <w:rPr>
                <w:rFonts w:eastAsia="Times New Roman" w:cs="Times New Roman"/>
                <w:b/>
                <w:bCs/>
                <w:color w:val="FFFFFF"/>
                <w:sz w:val="18"/>
                <w:szCs w:val="18"/>
                <w:lang w:eastAsia="sk-SK"/>
              </w:rPr>
              <w:t xml:space="preserve">         </w:t>
            </w:r>
            <w:r w:rsidRPr="00417A4B">
              <w:rPr>
                <w:rFonts w:eastAsia="Times New Roman" w:cs="Times New Roman"/>
                <w:b/>
                <w:bCs/>
                <w:color w:val="FFFFFF"/>
                <w:sz w:val="18"/>
                <w:szCs w:val="18"/>
                <w:lang w:eastAsia="sk-SK"/>
              </w:rPr>
              <w:t xml:space="preserve"> v tis. eur</w:t>
            </w:r>
          </w:p>
        </w:tc>
      </w:tr>
      <w:tr w:rsidR="00867564" w:rsidRPr="00417A4B" w14:paraId="214796C6" w14:textId="77777777" w:rsidTr="00D5241C">
        <w:trPr>
          <w:trHeight w:val="267"/>
        </w:trPr>
        <w:tc>
          <w:tcPr>
            <w:tcW w:w="4309" w:type="dxa"/>
            <w:vMerge w:val="restart"/>
            <w:tcBorders>
              <w:top w:val="nil"/>
              <w:left w:val="nil"/>
              <w:bottom w:val="single" w:sz="8" w:space="0" w:color="000000"/>
              <w:right w:val="nil"/>
            </w:tcBorders>
            <w:shd w:val="clear" w:color="000000" w:fill="BFBFBF"/>
            <w:noWrap/>
            <w:vAlign w:val="center"/>
            <w:hideMark/>
          </w:tcPr>
          <w:p w14:paraId="2CE9C958" w14:textId="77777777" w:rsidR="00867564" w:rsidRPr="00417A4B" w:rsidRDefault="00867564" w:rsidP="007F0D38">
            <w:pPr>
              <w:spacing w:after="0" w:line="240" w:lineRule="auto"/>
              <w:rPr>
                <w:rFonts w:eastAsia="Times New Roman" w:cs="Times New Roman"/>
                <w:color w:val="000000"/>
                <w:lang w:eastAsia="sk-SK"/>
              </w:rPr>
            </w:pPr>
            <w:r w:rsidRPr="00417A4B">
              <w:rPr>
                <w:rFonts w:eastAsia="Times New Roman" w:cs="Times New Roman"/>
                <w:color w:val="000000"/>
                <w:lang w:eastAsia="sk-SK"/>
              </w:rPr>
              <w:t> </w:t>
            </w:r>
          </w:p>
        </w:tc>
        <w:tc>
          <w:tcPr>
            <w:tcW w:w="4850" w:type="dxa"/>
            <w:gridSpan w:val="3"/>
            <w:tcBorders>
              <w:top w:val="nil"/>
              <w:left w:val="nil"/>
              <w:bottom w:val="nil"/>
              <w:right w:val="nil"/>
            </w:tcBorders>
            <w:shd w:val="clear" w:color="000000" w:fill="BFBFBF"/>
            <w:vAlign w:val="center"/>
            <w:hideMark/>
          </w:tcPr>
          <w:p w14:paraId="1FDDF689" w14:textId="77777777" w:rsidR="00867564" w:rsidRPr="00417A4B" w:rsidRDefault="00867564" w:rsidP="007F0D38">
            <w:pPr>
              <w:spacing w:after="0" w:line="240" w:lineRule="auto"/>
              <w:jc w:val="center"/>
              <w:rPr>
                <w:rFonts w:eastAsia="Times New Roman" w:cs="Times New Roman"/>
                <w:b/>
                <w:bCs/>
                <w:color w:val="000000"/>
                <w:sz w:val="18"/>
                <w:szCs w:val="18"/>
                <w:lang w:eastAsia="sk-SK"/>
              </w:rPr>
            </w:pPr>
            <w:r w:rsidRPr="00417A4B">
              <w:rPr>
                <w:rFonts w:eastAsia="Times New Roman" w:cs="Times New Roman"/>
                <w:b/>
                <w:bCs/>
                <w:color w:val="000000"/>
                <w:sz w:val="18"/>
                <w:szCs w:val="18"/>
                <w:lang w:eastAsia="sk-SK"/>
              </w:rPr>
              <w:t>Skutočnosť</w:t>
            </w:r>
          </w:p>
        </w:tc>
      </w:tr>
      <w:tr w:rsidR="00867564" w:rsidRPr="00417A4B" w14:paraId="13D2786B" w14:textId="77777777" w:rsidTr="00D5241C">
        <w:trPr>
          <w:trHeight w:val="265"/>
        </w:trPr>
        <w:tc>
          <w:tcPr>
            <w:tcW w:w="4309" w:type="dxa"/>
            <w:vMerge/>
            <w:tcBorders>
              <w:top w:val="nil"/>
              <w:left w:val="nil"/>
              <w:bottom w:val="single" w:sz="8" w:space="0" w:color="000000"/>
              <w:right w:val="nil"/>
            </w:tcBorders>
            <w:vAlign w:val="center"/>
            <w:hideMark/>
          </w:tcPr>
          <w:p w14:paraId="526FFBD3" w14:textId="77777777" w:rsidR="00867564" w:rsidRPr="00417A4B" w:rsidRDefault="00867564" w:rsidP="007F0D38">
            <w:pPr>
              <w:spacing w:after="0" w:line="240" w:lineRule="auto"/>
              <w:rPr>
                <w:rFonts w:eastAsia="Times New Roman" w:cs="Times New Roman"/>
                <w:color w:val="000000"/>
                <w:lang w:eastAsia="sk-SK"/>
              </w:rPr>
            </w:pPr>
          </w:p>
        </w:tc>
        <w:tc>
          <w:tcPr>
            <w:tcW w:w="1590" w:type="dxa"/>
            <w:tcBorders>
              <w:top w:val="nil"/>
              <w:left w:val="nil"/>
              <w:bottom w:val="single" w:sz="8" w:space="0" w:color="auto"/>
              <w:right w:val="nil"/>
            </w:tcBorders>
            <w:shd w:val="clear" w:color="000000" w:fill="BFBFBF"/>
            <w:vAlign w:val="center"/>
            <w:hideMark/>
          </w:tcPr>
          <w:p w14:paraId="2D1CBBF3" w14:textId="77777777" w:rsidR="00867564" w:rsidRPr="00417A4B" w:rsidRDefault="00867564" w:rsidP="007F0D38">
            <w:pPr>
              <w:spacing w:after="0" w:line="240" w:lineRule="auto"/>
              <w:jc w:val="center"/>
              <w:rPr>
                <w:rFonts w:eastAsia="Times New Roman" w:cs="Times New Roman"/>
                <w:b/>
                <w:bCs/>
                <w:color w:val="000000"/>
                <w:sz w:val="18"/>
                <w:szCs w:val="18"/>
                <w:lang w:eastAsia="sk-SK"/>
              </w:rPr>
            </w:pPr>
            <w:r w:rsidRPr="00417A4B">
              <w:rPr>
                <w:rFonts w:eastAsia="Times New Roman" w:cs="Times New Roman"/>
                <w:b/>
                <w:bCs/>
                <w:color w:val="000000"/>
                <w:sz w:val="18"/>
                <w:szCs w:val="18"/>
                <w:lang w:eastAsia="sk-SK"/>
              </w:rPr>
              <w:t>2018</w:t>
            </w:r>
          </w:p>
        </w:tc>
        <w:tc>
          <w:tcPr>
            <w:tcW w:w="1559" w:type="dxa"/>
            <w:tcBorders>
              <w:top w:val="nil"/>
              <w:left w:val="nil"/>
              <w:bottom w:val="single" w:sz="8" w:space="0" w:color="auto"/>
              <w:right w:val="nil"/>
            </w:tcBorders>
            <w:shd w:val="clear" w:color="000000" w:fill="BFBFBF"/>
            <w:vAlign w:val="center"/>
            <w:hideMark/>
          </w:tcPr>
          <w:p w14:paraId="42631B24" w14:textId="77777777" w:rsidR="00867564" w:rsidRPr="00417A4B" w:rsidRDefault="00867564" w:rsidP="007F0D38">
            <w:pPr>
              <w:spacing w:after="0" w:line="240" w:lineRule="auto"/>
              <w:jc w:val="center"/>
              <w:rPr>
                <w:rFonts w:eastAsia="Times New Roman" w:cs="Times New Roman"/>
                <w:b/>
                <w:bCs/>
                <w:color w:val="000000"/>
                <w:sz w:val="18"/>
                <w:szCs w:val="18"/>
                <w:lang w:eastAsia="sk-SK"/>
              </w:rPr>
            </w:pPr>
            <w:r w:rsidRPr="00417A4B">
              <w:rPr>
                <w:rFonts w:eastAsia="Times New Roman" w:cs="Times New Roman"/>
                <w:b/>
                <w:bCs/>
                <w:color w:val="000000"/>
                <w:sz w:val="18"/>
                <w:szCs w:val="18"/>
                <w:lang w:eastAsia="sk-SK"/>
              </w:rPr>
              <w:t>2019</w:t>
            </w:r>
          </w:p>
        </w:tc>
        <w:tc>
          <w:tcPr>
            <w:tcW w:w="1701" w:type="dxa"/>
            <w:tcBorders>
              <w:top w:val="nil"/>
              <w:left w:val="nil"/>
              <w:bottom w:val="single" w:sz="8" w:space="0" w:color="auto"/>
              <w:right w:val="nil"/>
            </w:tcBorders>
            <w:shd w:val="clear" w:color="000000" w:fill="BFBFBF"/>
            <w:vAlign w:val="center"/>
            <w:hideMark/>
          </w:tcPr>
          <w:p w14:paraId="6F1500F4" w14:textId="77777777" w:rsidR="00867564" w:rsidRPr="00417A4B" w:rsidRDefault="00867564" w:rsidP="007F0D38">
            <w:pPr>
              <w:spacing w:after="0" w:line="240" w:lineRule="auto"/>
              <w:jc w:val="center"/>
              <w:rPr>
                <w:rFonts w:eastAsia="Times New Roman" w:cs="Times New Roman"/>
                <w:b/>
                <w:bCs/>
                <w:color w:val="000000"/>
                <w:sz w:val="18"/>
                <w:szCs w:val="18"/>
                <w:lang w:eastAsia="sk-SK"/>
              </w:rPr>
            </w:pPr>
            <w:r w:rsidRPr="00417A4B">
              <w:rPr>
                <w:rFonts w:eastAsia="Times New Roman" w:cs="Times New Roman"/>
                <w:b/>
                <w:bCs/>
                <w:color w:val="000000"/>
                <w:sz w:val="18"/>
                <w:szCs w:val="18"/>
                <w:lang w:eastAsia="sk-SK"/>
              </w:rPr>
              <w:t>2020</w:t>
            </w:r>
          </w:p>
        </w:tc>
      </w:tr>
      <w:tr w:rsidR="00867564" w:rsidRPr="00417A4B" w14:paraId="78E250FD" w14:textId="77777777" w:rsidTr="00D5241C">
        <w:trPr>
          <w:trHeight w:val="278"/>
        </w:trPr>
        <w:tc>
          <w:tcPr>
            <w:tcW w:w="4309" w:type="dxa"/>
            <w:tcBorders>
              <w:top w:val="nil"/>
              <w:left w:val="nil"/>
              <w:bottom w:val="nil"/>
              <w:right w:val="nil"/>
            </w:tcBorders>
            <w:shd w:val="clear" w:color="auto" w:fill="auto"/>
            <w:noWrap/>
            <w:vAlign w:val="center"/>
            <w:hideMark/>
          </w:tcPr>
          <w:p w14:paraId="0C626A61" w14:textId="77777777" w:rsidR="00867564" w:rsidRPr="00417A4B" w:rsidRDefault="00867564" w:rsidP="007F0D38">
            <w:pPr>
              <w:spacing w:after="0" w:line="240" w:lineRule="auto"/>
              <w:rPr>
                <w:rFonts w:eastAsia="Times New Roman" w:cs="Times New Roman"/>
                <w:b/>
                <w:bCs/>
                <w:color w:val="000000"/>
                <w:sz w:val="18"/>
                <w:szCs w:val="18"/>
                <w:lang w:eastAsia="sk-SK"/>
              </w:rPr>
            </w:pPr>
            <w:r w:rsidRPr="00417A4B">
              <w:rPr>
                <w:rFonts w:eastAsia="Times New Roman" w:cs="Times New Roman"/>
                <w:b/>
                <w:bCs/>
                <w:color w:val="000000"/>
                <w:sz w:val="18"/>
                <w:szCs w:val="18"/>
                <w:lang w:eastAsia="sk-SK"/>
              </w:rPr>
              <w:t>Príjmy</w:t>
            </w:r>
          </w:p>
        </w:tc>
        <w:tc>
          <w:tcPr>
            <w:tcW w:w="1590" w:type="dxa"/>
            <w:tcBorders>
              <w:top w:val="nil"/>
              <w:left w:val="nil"/>
              <w:bottom w:val="nil"/>
              <w:right w:val="nil"/>
            </w:tcBorders>
            <w:shd w:val="clear" w:color="auto" w:fill="auto"/>
            <w:vAlign w:val="center"/>
            <w:hideMark/>
          </w:tcPr>
          <w:p w14:paraId="3697C5FC" w14:textId="77777777" w:rsidR="00867564" w:rsidRPr="00417A4B" w:rsidRDefault="00867564" w:rsidP="007F0D38">
            <w:pPr>
              <w:spacing w:after="0" w:line="240" w:lineRule="auto"/>
              <w:jc w:val="right"/>
              <w:rPr>
                <w:rFonts w:eastAsia="Times New Roman" w:cs="Times New Roman"/>
                <w:b/>
                <w:bCs/>
                <w:color w:val="000000"/>
                <w:sz w:val="18"/>
                <w:szCs w:val="18"/>
                <w:lang w:eastAsia="sk-SK"/>
              </w:rPr>
            </w:pPr>
            <w:r w:rsidRPr="00417A4B">
              <w:rPr>
                <w:rFonts w:eastAsia="Times New Roman" w:cs="Times New Roman"/>
                <w:b/>
                <w:bCs/>
                <w:color w:val="000000"/>
                <w:sz w:val="18"/>
                <w:szCs w:val="18"/>
                <w:lang w:eastAsia="sk-SK"/>
              </w:rPr>
              <w:t>179 245</w:t>
            </w:r>
          </w:p>
        </w:tc>
        <w:tc>
          <w:tcPr>
            <w:tcW w:w="1559" w:type="dxa"/>
            <w:tcBorders>
              <w:top w:val="nil"/>
              <w:left w:val="nil"/>
              <w:bottom w:val="nil"/>
              <w:right w:val="nil"/>
            </w:tcBorders>
            <w:shd w:val="clear" w:color="auto" w:fill="auto"/>
            <w:vAlign w:val="center"/>
            <w:hideMark/>
          </w:tcPr>
          <w:p w14:paraId="7793179B" w14:textId="77777777" w:rsidR="00867564" w:rsidRPr="00417A4B" w:rsidRDefault="00867564" w:rsidP="007F0D38">
            <w:pPr>
              <w:spacing w:after="0" w:line="240" w:lineRule="auto"/>
              <w:jc w:val="right"/>
              <w:rPr>
                <w:rFonts w:eastAsia="Times New Roman" w:cs="Times New Roman"/>
                <w:b/>
                <w:bCs/>
                <w:color w:val="000000"/>
                <w:sz w:val="18"/>
                <w:szCs w:val="18"/>
                <w:lang w:eastAsia="sk-SK"/>
              </w:rPr>
            </w:pPr>
            <w:r w:rsidRPr="00417A4B">
              <w:rPr>
                <w:rFonts w:eastAsia="Times New Roman" w:cs="Times New Roman"/>
                <w:b/>
                <w:bCs/>
                <w:color w:val="000000"/>
                <w:sz w:val="18"/>
                <w:szCs w:val="18"/>
                <w:lang w:eastAsia="sk-SK"/>
              </w:rPr>
              <w:t>267 660</w:t>
            </w:r>
          </w:p>
        </w:tc>
        <w:tc>
          <w:tcPr>
            <w:tcW w:w="1701" w:type="dxa"/>
            <w:tcBorders>
              <w:top w:val="nil"/>
              <w:left w:val="nil"/>
              <w:bottom w:val="nil"/>
              <w:right w:val="nil"/>
            </w:tcBorders>
            <w:shd w:val="clear" w:color="000000" w:fill="BFBFBF"/>
            <w:vAlign w:val="center"/>
            <w:hideMark/>
          </w:tcPr>
          <w:p w14:paraId="60FD84F3" w14:textId="77777777" w:rsidR="00867564" w:rsidRPr="00417A4B" w:rsidRDefault="00867564" w:rsidP="007F0D38">
            <w:pPr>
              <w:spacing w:after="0" w:line="240" w:lineRule="auto"/>
              <w:jc w:val="right"/>
              <w:rPr>
                <w:rFonts w:eastAsia="Times New Roman" w:cs="Times New Roman"/>
                <w:b/>
                <w:bCs/>
                <w:color w:val="000000"/>
                <w:sz w:val="18"/>
                <w:szCs w:val="18"/>
                <w:lang w:eastAsia="sk-SK"/>
              </w:rPr>
            </w:pPr>
            <w:r w:rsidRPr="00417A4B">
              <w:rPr>
                <w:rFonts w:eastAsia="Times New Roman" w:cs="Times New Roman"/>
                <w:b/>
                <w:bCs/>
                <w:color w:val="000000"/>
                <w:sz w:val="18"/>
                <w:szCs w:val="18"/>
                <w:lang w:eastAsia="sk-SK"/>
              </w:rPr>
              <w:t>542 142</w:t>
            </w:r>
          </w:p>
        </w:tc>
      </w:tr>
      <w:tr w:rsidR="00867564" w:rsidRPr="00417A4B" w14:paraId="159B5620" w14:textId="77777777" w:rsidTr="00D5241C">
        <w:trPr>
          <w:trHeight w:val="278"/>
        </w:trPr>
        <w:tc>
          <w:tcPr>
            <w:tcW w:w="4309" w:type="dxa"/>
            <w:tcBorders>
              <w:top w:val="nil"/>
              <w:left w:val="nil"/>
              <w:bottom w:val="nil"/>
              <w:right w:val="nil"/>
            </w:tcBorders>
            <w:shd w:val="clear" w:color="auto" w:fill="auto"/>
            <w:noWrap/>
            <w:vAlign w:val="center"/>
            <w:hideMark/>
          </w:tcPr>
          <w:p w14:paraId="1D49FDA3" w14:textId="77777777" w:rsidR="00867564" w:rsidRPr="00417A4B" w:rsidRDefault="00867564" w:rsidP="007F0D38">
            <w:pPr>
              <w:spacing w:after="0" w:line="240" w:lineRule="auto"/>
              <w:rPr>
                <w:rFonts w:eastAsia="Times New Roman" w:cs="Times New Roman"/>
                <w:b/>
                <w:bCs/>
                <w:color w:val="000000"/>
                <w:sz w:val="18"/>
                <w:szCs w:val="18"/>
                <w:lang w:eastAsia="sk-SK"/>
              </w:rPr>
            </w:pPr>
            <w:r w:rsidRPr="00417A4B">
              <w:rPr>
                <w:rFonts w:eastAsia="Times New Roman" w:cs="Times New Roman"/>
                <w:b/>
                <w:bCs/>
                <w:color w:val="000000"/>
                <w:sz w:val="18"/>
                <w:szCs w:val="18"/>
                <w:lang w:eastAsia="sk-SK"/>
              </w:rPr>
              <w:t>Výdavky spolu</w:t>
            </w:r>
          </w:p>
        </w:tc>
        <w:tc>
          <w:tcPr>
            <w:tcW w:w="1590" w:type="dxa"/>
            <w:tcBorders>
              <w:top w:val="nil"/>
              <w:left w:val="nil"/>
              <w:bottom w:val="nil"/>
              <w:right w:val="nil"/>
            </w:tcBorders>
            <w:shd w:val="clear" w:color="auto" w:fill="auto"/>
            <w:vAlign w:val="center"/>
            <w:hideMark/>
          </w:tcPr>
          <w:p w14:paraId="3A941647" w14:textId="77777777" w:rsidR="00867564" w:rsidRPr="00417A4B" w:rsidRDefault="00867564" w:rsidP="007F0D38">
            <w:pPr>
              <w:spacing w:after="0" w:line="240" w:lineRule="auto"/>
              <w:jc w:val="right"/>
              <w:rPr>
                <w:rFonts w:eastAsia="Times New Roman" w:cs="Times New Roman"/>
                <w:b/>
                <w:bCs/>
                <w:color w:val="000000"/>
                <w:sz w:val="18"/>
                <w:szCs w:val="18"/>
                <w:lang w:eastAsia="sk-SK"/>
              </w:rPr>
            </w:pPr>
            <w:r w:rsidRPr="00417A4B">
              <w:rPr>
                <w:rFonts w:eastAsia="Times New Roman" w:cs="Times New Roman"/>
                <w:b/>
                <w:bCs/>
                <w:color w:val="000000"/>
                <w:sz w:val="18"/>
                <w:szCs w:val="18"/>
                <w:lang w:eastAsia="sk-SK"/>
              </w:rPr>
              <w:t>1 313 567</w:t>
            </w:r>
          </w:p>
        </w:tc>
        <w:tc>
          <w:tcPr>
            <w:tcW w:w="1559" w:type="dxa"/>
            <w:tcBorders>
              <w:top w:val="nil"/>
              <w:left w:val="nil"/>
              <w:bottom w:val="nil"/>
              <w:right w:val="nil"/>
            </w:tcBorders>
            <w:shd w:val="clear" w:color="auto" w:fill="auto"/>
            <w:vAlign w:val="center"/>
            <w:hideMark/>
          </w:tcPr>
          <w:p w14:paraId="5E27873F" w14:textId="77777777" w:rsidR="00867564" w:rsidRPr="00417A4B" w:rsidRDefault="00867564" w:rsidP="007F0D38">
            <w:pPr>
              <w:spacing w:after="0" w:line="240" w:lineRule="auto"/>
              <w:jc w:val="right"/>
              <w:rPr>
                <w:rFonts w:eastAsia="Times New Roman" w:cs="Times New Roman"/>
                <w:b/>
                <w:bCs/>
                <w:color w:val="000000"/>
                <w:sz w:val="18"/>
                <w:szCs w:val="18"/>
                <w:lang w:eastAsia="sk-SK"/>
              </w:rPr>
            </w:pPr>
            <w:r w:rsidRPr="00417A4B">
              <w:rPr>
                <w:rFonts w:eastAsia="Times New Roman" w:cs="Times New Roman"/>
                <w:b/>
                <w:bCs/>
                <w:color w:val="000000"/>
                <w:sz w:val="18"/>
                <w:szCs w:val="18"/>
                <w:lang w:eastAsia="sk-SK"/>
              </w:rPr>
              <w:t>1 304 568</w:t>
            </w:r>
          </w:p>
        </w:tc>
        <w:tc>
          <w:tcPr>
            <w:tcW w:w="1701" w:type="dxa"/>
            <w:tcBorders>
              <w:top w:val="nil"/>
              <w:left w:val="nil"/>
              <w:bottom w:val="nil"/>
              <w:right w:val="nil"/>
            </w:tcBorders>
            <w:shd w:val="clear" w:color="000000" w:fill="BFBFBF"/>
            <w:vAlign w:val="center"/>
            <w:hideMark/>
          </w:tcPr>
          <w:p w14:paraId="2D7C537B" w14:textId="77777777" w:rsidR="00867564" w:rsidRPr="00417A4B" w:rsidRDefault="00867564" w:rsidP="007F0D38">
            <w:pPr>
              <w:spacing w:after="0" w:line="240" w:lineRule="auto"/>
              <w:jc w:val="right"/>
              <w:rPr>
                <w:rFonts w:eastAsia="Times New Roman" w:cs="Times New Roman"/>
                <w:b/>
                <w:bCs/>
                <w:color w:val="000000"/>
                <w:sz w:val="18"/>
                <w:szCs w:val="18"/>
                <w:lang w:eastAsia="sk-SK"/>
              </w:rPr>
            </w:pPr>
            <w:r w:rsidRPr="00417A4B">
              <w:rPr>
                <w:rFonts w:eastAsia="Times New Roman" w:cs="Times New Roman"/>
                <w:b/>
                <w:bCs/>
                <w:color w:val="000000"/>
                <w:sz w:val="18"/>
                <w:szCs w:val="18"/>
                <w:lang w:eastAsia="sk-SK"/>
              </w:rPr>
              <w:t>1 338 845</w:t>
            </w:r>
          </w:p>
        </w:tc>
      </w:tr>
      <w:tr w:rsidR="00867564" w:rsidRPr="00417A4B" w14:paraId="7B447B12" w14:textId="77777777" w:rsidTr="00D5241C">
        <w:trPr>
          <w:trHeight w:val="278"/>
        </w:trPr>
        <w:tc>
          <w:tcPr>
            <w:tcW w:w="4309" w:type="dxa"/>
            <w:tcBorders>
              <w:top w:val="nil"/>
              <w:left w:val="nil"/>
              <w:bottom w:val="nil"/>
              <w:right w:val="nil"/>
            </w:tcBorders>
            <w:shd w:val="clear" w:color="auto" w:fill="auto"/>
            <w:noWrap/>
            <w:vAlign w:val="center"/>
            <w:hideMark/>
          </w:tcPr>
          <w:p w14:paraId="0343C532" w14:textId="77777777" w:rsidR="00867564" w:rsidRPr="00417A4B" w:rsidRDefault="00867564" w:rsidP="007F0D38">
            <w:pPr>
              <w:spacing w:after="0" w:line="240" w:lineRule="auto"/>
              <w:rPr>
                <w:rFonts w:eastAsia="Times New Roman" w:cs="Times New Roman"/>
                <w:color w:val="000000"/>
                <w:sz w:val="18"/>
                <w:szCs w:val="18"/>
                <w:lang w:eastAsia="sk-SK"/>
              </w:rPr>
            </w:pPr>
            <w:r w:rsidRPr="00417A4B">
              <w:rPr>
                <w:rFonts w:eastAsia="Times New Roman" w:cs="Times New Roman"/>
                <w:color w:val="000000"/>
                <w:sz w:val="18"/>
                <w:szCs w:val="18"/>
                <w:lang w:eastAsia="sk-SK"/>
              </w:rPr>
              <w:t xml:space="preserve">v tom: </w:t>
            </w:r>
          </w:p>
        </w:tc>
        <w:tc>
          <w:tcPr>
            <w:tcW w:w="1590" w:type="dxa"/>
            <w:tcBorders>
              <w:top w:val="nil"/>
              <w:left w:val="nil"/>
              <w:bottom w:val="nil"/>
              <w:right w:val="nil"/>
            </w:tcBorders>
            <w:shd w:val="clear" w:color="auto" w:fill="auto"/>
            <w:vAlign w:val="center"/>
            <w:hideMark/>
          </w:tcPr>
          <w:p w14:paraId="59F0D226" w14:textId="77777777" w:rsidR="00867564" w:rsidRPr="00417A4B" w:rsidRDefault="00867564" w:rsidP="007F0D38">
            <w:pPr>
              <w:spacing w:after="0" w:line="240" w:lineRule="auto"/>
              <w:rPr>
                <w:rFonts w:eastAsia="Times New Roman" w:cs="Times New Roman"/>
                <w:color w:val="000000"/>
                <w:lang w:eastAsia="sk-SK"/>
              </w:rPr>
            </w:pPr>
          </w:p>
        </w:tc>
        <w:tc>
          <w:tcPr>
            <w:tcW w:w="1559" w:type="dxa"/>
            <w:tcBorders>
              <w:top w:val="nil"/>
              <w:left w:val="nil"/>
              <w:bottom w:val="nil"/>
              <w:right w:val="nil"/>
            </w:tcBorders>
            <w:shd w:val="clear" w:color="auto" w:fill="auto"/>
            <w:vAlign w:val="center"/>
            <w:hideMark/>
          </w:tcPr>
          <w:p w14:paraId="06BAE47C" w14:textId="77777777" w:rsidR="00867564" w:rsidRPr="00417A4B" w:rsidRDefault="00867564" w:rsidP="007F0D38">
            <w:pPr>
              <w:spacing w:after="0" w:line="240" w:lineRule="auto"/>
              <w:rPr>
                <w:rFonts w:eastAsia="Times New Roman" w:cs="Times New Roman"/>
                <w:color w:val="000000"/>
                <w:lang w:eastAsia="sk-SK"/>
              </w:rPr>
            </w:pPr>
          </w:p>
        </w:tc>
        <w:tc>
          <w:tcPr>
            <w:tcW w:w="1701" w:type="dxa"/>
            <w:tcBorders>
              <w:top w:val="nil"/>
              <w:left w:val="nil"/>
              <w:bottom w:val="nil"/>
              <w:right w:val="nil"/>
            </w:tcBorders>
            <w:shd w:val="clear" w:color="000000" w:fill="BFBFBF"/>
            <w:vAlign w:val="center"/>
            <w:hideMark/>
          </w:tcPr>
          <w:p w14:paraId="4ADC2A02" w14:textId="77777777" w:rsidR="00867564" w:rsidRPr="00417A4B" w:rsidRDefault="00867564" w:rsidP="007F0D38">
            <w:pPr>
              <w:spacing w:after="0" w:line="240" w:lineRule="auto"/>
              <w:rPr>
                <w:rFonts w:eastAsia="Times New Roman" w:cs="Times New Roman"/>
                <w:color w:val="000000"/>
                <w:lang w:eastAsia="sk-SK"/>
              </w:rPr>
            </w:pPr>
            <w:r w:rsidRPr="00417A4B">
              <w:rPr>
                <w:rFonts w:eastAsia="Times New Roman" w:cs="Times New Roman"/>
                <w:color w:val="000000"/>
                <w:lang w:eastAsia="sk-SK"/>
              </w:rPr>
              <w:t> </w:t>
            </w:r>
          </w:p>
        </w:tc>
      </w:tr>
      <w:tr w:rsidR="00867564" w:rsidRPr="00417A4B" w14:paraId="7A001D55" w14:textId="77777777" w:rsidTr="00D5241C">
        <w:trPr>
          <w:trHeight w:val="278"/>
        </w:trPr>
        <w:tc>
          <w:tcPr>
            <w:tcW w:w="4309" w:type="dxa"/>
            <w:tcBorders>
              <w:top w:val="nil"/>
              <w:left w:val="nil"/>
              <w:bottom w:val="nil"/>
              <w:right w:val="nil"/>
            </w:tcBorders>
            <w:shd w:val="clear" w:color="auto" w:fill="auto"/>
            <w:noWrap/>
            <w:vAlign w:val="center"/>
            <w:hideMark/>
          </w:tcPr>
          <w:p w14:paraId="0D325468" w14:textId="77777777" w:rsidR="00867564" w:rsidRPr="00417A4B" w:rsidRDefault="00867564" w:rsidP="007F0D38">
            <w:pPr>
              <w:spacing w:after="0" w:line="240" w:lineRule="auto"/>
              <w:rPr>
                <w:rFonts w:eastAsia="Times New Roman" w:cs="Times New Roman"/>
                <w:i/>
                <w:iCs/>
                <w:color w:val="000000"/>
                <w:sz w:val="18"/>
                <w:szCs w:val="18"/>
                <w:lang w:eastAsia="sk-SK"/>
              </w:rPr>
            </w:pPr>
            <w:r w:rsidRPr="00417A4B">
              <w:rPr>
                <w:rFonts w:eastAsia="Times New Roman" w:cs="Times New Roman"/>
                <w:i/>
                <w:iCs/>
                <w:color w:val="000000"/>
                <w:sz w:val="18"/>
                <w:szCs w:val="18"/>
                <w:lang w:eastAsia="sk-SK"/>
              </w:rPr>
              <w:t xml:space="preserve">   úroky zo štátnych dlhopisov + obchodov +úverov</w:t>
            </w:r>
          </w:p>
        </w:tc>
        <w:tc>
          <w:tcPr>
            <w:tcW w:w="1590" w:type="dxa"/>
            <w:tcBorders>
              <w:top w:val="nil"/>
              <w:left w:val="nil"/>
              <w:bottom w:val="nil"/>
              <w:right w:val="nil"/>
            </w:tcBorders>
            <w:shd w:val="clear" w:color="auto" w:fill="auto"/>
            <w:vAlign w:val="center"/>
            <w:hideMark/>
          </w:tcPr>
          <w:p w14:paraId="5EDCDECA" w14:textId="77777777" w:rsidR="00867564" w:rsidRPr="00417A4B" w:rsidRDefault="00867564" w:rsidP="007F0D38">
            <w:pPr>
              <w:spacing w:after="0" w:line="240" w:lineRule="auto"/>
              <w:jc w:val="right"/>
              <w:rPr>
                <w:rFonts w:eastAsia="Times New Roman" w:cs="Times New Roman"/>
                <w:i/>
                <w:iCs/>
                <w:color w:val="000000"/>
                <w:sz w:val="18"/>
                <w:szCs w:val="18"/>
                <w:lang w:eastAsia="sk-SK"/>
              </w:rPr>
            </w:pPr>
            <w:r w:rsidRPr="00417A4B">
              <w:rPr>
                <w:rFonts w:eastAsia="Times New Roman" w:cs="Times New Roman"/>
                <w:i/>
                <w:iCs/>
                <w:color w:val="000000"/>
                <w:sz w:val="18"/>
                <w:szCs w:val="18"/>
                <w:lang w:eastAsia="sk-SK"/>
              </w:rPr>
              <w:t>1 249 841</w:t>
            </w:r>
          </w:p>
        </w:tc>
        <w:tc>
          <w:tcPr>
            <w:tcW w:w="1559" w:type="dxa"/>
            <w:tcBorders>
              <w:top w:val="nil"/>
              <w:left w:val="nil"/>
              <w:bottom w:val="nil"/>
              <w:right w:val="nil"/>
            </w:tcBorders>
            <w:shd w:val="clear" w:color="auto" w:fill="auto"/>
            <w:vAlign w:val="center"/>
            <w:hideMark/>
          </w:tcPr>
          <w:p w14:paraId="5A5BD063" w14:textId="77777777" w:rsidR="00867564" w:rsidRPr="00417A4B" w:rsidRDefault="00867564" w:rsidP="007F0D38">
            <w:pPr>
              <w:spacing w:after="0" w:line="240" w:lineRule="auto"/>
              <w:jc w:val="right"/>
              <w:rPr>
                <w:rFonts w:eastAsia="Times New Roman" w:cs="Times New Roman"/>
                <w:i/>
                <w:iCs/>
                <w:color w:val="000000"/>
                <w:sz w:val="18"/>
                <w:szCs w:val="18"/>
                <w:lang w:eastAsia="sk-SK"/>
              </w:rPr>
            </w:pPr>
            <w:r w:rsidRPr="00417A4B">
              <w:rPr>
                <w:rFonts w:eastAsia="Times New Roman" w:cs="Times New Roman"/>
                <w:i/>
                <w:iCs/>
                <w:color w:val="000000"/>
                <w:sz w:val="18"/>
                <w:szCs w:val="18"/>
                <w:lang w:eastAsia="sk-SK"/>
              </w:rPr>
              <w:t>1 242 950</w:t>
            </w:r>
          </w:p>
        </w:tc>
        <w:tc>
          <w:tcPr>
            <w:tcW w:w="1701" w:type="dxa"/>
            <w:tcBorders>
              <w:top w:val="nil"/>
              <w:left w:val="nil"/>
              <w:bottom w:val="nil"/>
              <w:right w:val="nil"/>
            </w:tcBorders>
            <w:shd w:val="clear" w:color="000000" w:fill="BFBFBF"/>
            <w:vAlign w:val="center"/>
            <w:hideMark/>
          </w:tcPr>
          <w:p w14:paraId="0F563A1D" w14:textId="77777777" w:rsidR="00867564" w:rsidRPr="00417A4B" w:rsidRDefault="00867564" w:rsidP="007F0D38">
            <w:pPr>
              <w:spacing w:after="0" w:line="240" w:lineRule="auto"/>
              <w:jc w:val="right"/>
              <w:rPr>
                <w:rFonts w:eastAsia="Times New Roman" w:cs="Times New Roman"/>
                <w:i/>
                <w:iCs/>
                <w:color w:val="000000"/>
                <w:sz w:val="18"/>
                <w:szCs w:val="18"/>
                <w:lang w:eastAsia="sk-SK"/>
              </w:rPr>
            </w:pPr>
            <w:r w:rsidRPr="00417A4B">
              <w:rPr>
                <w:rFonts w:eastAsia="Times New Roman" w:cs="Times New Roman"/>
                <w:i/>
                <w:iCs/>
                <w:color w:val="000000"/>
                <w:sz w:val="18"/>
                <w:szCs w:val="18"/>
                <w:lang w:eastAsia="sk-SK"/>
              </w:rPr>
              <w:t>1 206 625</w:t>
            </w:r>
          </w:p>
        </w:tc>
      </w:tr>
      <w:tr w:rsidR="00867564" w:rsidRPr="00417A4B" w14:paraId="748651B7" w14:textId="77777777" w:rsidTr="00D5241C">
        <w:trPr>
          <w:trHeight w:val="278"/>
        </w:trPr>
        <w:tc>
          <w:tcPr>
            <w:tcW w:w="4309" w:type="dxa"/>
            <w:tcBorders>
              <w:top w:val="nil"/>
              <w:left w:val="nil"/>
              <w:bottom w:val="nil"/>
              <w:right w:val="nil"/>
            </w:tcBorders>
            <w:shd w:val="clear" w:color="auto" w:fill="auto"/>
            <w:noWrap/>
            <w:vAlign w:val="center"/>
            <w:hideMark/>
          </w:tcPr>
          <w:p w14:paraId="71724BEC" w14:textId="77777777" w:rsidR="00867564" w:rsidRPr="00417A4B" w:rsidRDefault="00867564" w:rsidP="007F0D38">
            <w:pPr>
              <w:spacing w:after="0" w:line="240" w:lineRule="auto"/>
              <w:rPr>
                <w:rFonts w:eastAsia="Times New Roman" w:cs="Times New Roman"/>
                <w:i/>
                <w:iCs/>
                <w:color w:val="000000"/>
                <w:sz w:val="18"/>
                <w:szCs w:val="18"/>
                <w:lang w:eastAsia="sk-SK"/>
              </w:rPr>
            </w:pPr>
            <w:r w:rsidRPr="00417A4B">
              <w:rPr>
                <w:rFonts w:eastAsia="Times New Roman" w:cs="Times New Roman"/>
                <w:i/>
                <w:iCs/>
                <w:color w:val="000000"/>
                <w:sz w:val="18"/>
                <w:szCs w:val="18"/>
                <w:lang w:eastAsia="sk-SK"/>
              </w:rPr>
              <w:t xml:space="preserve">   úroky z refinančného systému - ŠP</w:t>
            </w:r>
          </w:p>
        </w:tc>
        <w:tc>
          <w:tcPr>
            <w:tcW w:w="1590" w:type="dxa"/>
            <w:tcBorders>
              <w:top w:val="nil"/>
              <w:left w:val="nil"/>
              <w:bottom w:val="nil"/>
              <w:right w:val="nil"/>
            </w:tcBorders>
            <w:shd w:val="clear" w:color="auto" w:fill="auto"/>
            <w:vAlign w:val="center"/>
            <w:hideMark/>
          </w:tcPr>
          <w:p w14:paraId="48D79B4A" w14:textId="77777777" w:rsidR="00867564" w:rsidRPr="00417A4B" w:rsidRDefault="00867564" w:rsidP="007F0D38">
            <w:pPr>
              <w:spacing w:after="0" w:line="240" w:lineRule="auto"/>
              <w:jc w:val="right"/>
              <w:rPr>
                <w:rFonts w:eastAsia="Times New Roman" w:cs="Times New Roman"/>
                <w:i/>
                <w:iCs/>
                <w:color w:val="000000"/>
                <w:sz w:val="18"/>
                <w:szCs w:val="18"/>
                <w:lang w:eastAsia="sk-SK"/>
              </w:rPr>
            </w:pPr>
            <w:r w:rsidRPr="00417A4B">
              <w:rPr>
                <w:rFonts w:eastAsia="Times New Roman" w:cs="Times New Roman"/>
                <w:i/>
                <w:iCs/>
                <w:color w:val="000000"/>
                <w:sz w:val="18"/>
                <w:szCs w:val="18"/>
                <w:lang w:eastAsia="sk-SK"/>
              </w:rPr>
              <w:t>51 806</w:t>
            </w:r>
          </w:p>
        </w:tc>
        <w:tc>
          <w:tcPr>
            <w:tcW w:w="1559" w:type="dxa"/>
            <w:tcBorders>
              <w:top w:val="nil"/>
              <w:left w:val="nil"/>
              <w:bottom w:val="nil"/>
              <w:right w:val="nil"/>
            </w:tcBorders>
            <w:shd w:val="clear" w:color="auto" w:fill="auto"/>
            <w:vAlign w:val="center"/>
            <w:hideMark/>
          </w:tcPr>
          <w:p w14:paraId="126D37C8" w14:textId="77777777" w:rsidR="00867564" w:rsidRPr="00417A4B" w:rsidRDefault="00867564" w:rsidP="007F0D38">
            <w:pPr>
              <w:spacing w:after="0" w:line="240" w:lineRule="auto"/>
              <w:jc w:val="right"/>
              <w:rPr>
                <w:rFonts w:eastAsia="Times New Roman" w:cs="Times New Roman"/>
                <w:i/>
                <w:iCs/>
                <w:color w:val="000000"/>
                <w:sz w:val="18"/>
                <w:szCs w:val="18"/>
                <w:lang w:eastAsia="sk-SK"/>
              </w:rPr>
            </w:pPr>
            <w:r w:rsidRPr="00417A4B">
              <w:rPr>
                <w:rFonts w:eastAsia="Times New Roman" w:cs="Times New Roman"/>
                <w:i/>
                <w:iCs/>
                <w:color w:val="000000"/>
                <w:sz w:val="18"/>
                <w:szCs w:val="18"/>
                <w:lang w:eastAsia="sk-SK"/>
              </w:rPr>
              <w:t>53 434</w:t>
            </w:r>
          </w:p>
        </w:tc>
        <w:tc>
          <w:tcPr>
            <w:tcW w:w="1701" w:type="dxa"/>
            <w:tcBorders>
              <w:top w:val="nil"/>
              <w:left w:val="nil"/>
              <w:bottom w:val="nil"/>
              <w:right w:val="nil"/>
            </w:tcBorders>
            <w:shd w:val="clear" w:color="000000" w:fill="BFBFBF"/>
            <w:vAlign w:val="center"/>
            <w:hideMark/>
          </w:tcPr>
          <w:p w14:paraId="0301BB97" w14:textId="77777777" w:rsidR="00867564" w:rsidRPr="00417A4B" w:rsidRDefault="00867564" w:rsidP="007F0D38">
            <w:pPr>
              <w:spacing w:after="0" w:line="240" w:lineRule="auto"/>
              <w:jc w:val="right"/>
              <w:rPr>
                <w:rFonts w:eastAsia="Times New Roman" w:cs="Times New Roman"/>
                <w:i/>
                <w:iCs/>
                <w:color w:val="000000"/>
                <w:sz w:val="18"/>
                <w:szCs w:val="18"/>
                <w:lang w:eastAsia="sk-SK"/>
              </w:rPr>
            </w:pPr>
            <w:r w:rsidRPr="00417A4B">
              <w:rPr>
                <w:rFonts w:eastAsia="Times New Roman" w:cs="Times New Roman"/>
                <w:i/>
                <w:iCs/>
                <w:color w:val="000000"/>
                <w:sz w:val="18"/>
                <w:szCs w:val="18"/>
                <w:lang w:eastAsia="sk-SK"/>
              </w:rPr>
              <w:t>54 798</w:t>
            </w:r>
          </w:p>
        </w:tc>
      </w:tr>
      <w:tr w:rsidR="00867564" w:rsidRPr="00417A4B" w14:paraId="74636342" w14:textId="77777777" w:rsidTr="00D5241C">
        <w:trPr>
          <w:trHeight w:val="278"/>
        </w:trPr>
        <w:tc>
          <w:tcPr>
            <w:tcW w:w="4309" w:type="dxa"/>
            <w:tcBorders>
              <w:top w:val="nil"/>
              <w:left w:val="nil"/>
              <w:bottom w:val="nil"/>
              <w:right w:val="nil"/>
            </w:tcBorders>
            <w:shd w:val="clear" w:color="auto" w:fill="auto"/>
            <w:noWrap/>
            <w:vAlign w:val="center"/>
            <w:hideMark/>
          </w:tcPr>
          <w:p w14:paraId="5FF9CCB9" w14:textId="77777777" w:rsidR="00867564" w:rsidRPr="00417A4B" w:rsidRDefault="00867564" w:rsidP="007F0D38">
            <w:pPr>
              <w:spacing w:after="0" w:line="240" w:lineRule="auto"/>
              <w:rPr>
                <w:rFonts w:eastAsia="Times New Roman" w:cs="Times New Roman"/>
                <w:i/>
                <w:iCs/>
                <w:color w:val="000000"/>
                <w:sz w:val="18"/>
                <w:szCs w:val="18"/>
                <w:lang w:eastAsia="sk-SK"/>
              </w:rPr>
            </w:pPr>
            <w:r w:rsidRPr="00417A4B">
              <w:rPr>
                <w:rFonts w:eastAsia="Times New Roman" w:cs="Times New Roman"/>
                <w:i/>
                <w:iCs/>
                <w:color w:val="000000"/>
                <w:sz w:val="18"/>
                <w:szCs w:val="18"/>
                <w:lang w:eastAsia="sk-SK"/>
              </w:rPr>
              <w:t xml:space="preserve">   </w:t>
            </w:r>
            <w:proofErr w:type="spellStart"/>
            <w:r w:rsidRPr="00417A4B">
              <w:rPr>
                <w:rFonts w:eastAsia="Times New Roman" w:cs="Times New Roman"/>
                <w:i/>
                <w:iCs/>
                <w:color w:val="000000"/>
                <w:sz w:val="18"/>
                <w:szCs w:val="18"/>
                <w:lang w:eastAsia="sk-SK"/>
              </w:rPr>
              <w:t>disážio</w:t>
            </w:r>
            <w:proofErr w:type="spellEnd"/>
            <w:r w:rsidRPr="00417A4B">
              <w:rPr>
                <w:rFonts w:eastAsia="Times New Roman" w:cs="Times New Roman"/>
                <w:i/>
                <w:iCs/>
                <w:color w:val="000000"/>
                <w:sz w:val="18"/>
                <w:szCs w:val="18"/>
                <w:lang w:eastAsia="sk-SK"/>
              </w:rPr>
              <w:t xml:space="preserve"> (diskont CP)</w:t>
            </w:r>
          </w:p>
        </w:tc>
        <w:tc>
          <w:tcPr>
            <w:tcW w:w="1590" w:type="dxa"/>
            <w:tcBorders>
              <w:top w:val="nil"/>
              <w:left w:val="nil"/>
              <w:bottom w:val="nil"/>
              <w:right w:val="nil"/>
            </w:tcBorders>
            <w:shd w:val="clear" w:color="auto" w:fill="auto"/>
            <w:vAlign w:val="center"/>
            <w:hideMark/>
          </w:tcPr>
          <w:p w14:paraId="0D2FADB3" w14:textId="77777777" w:rsidR="00867564" w:rsidRPr="00417A4B" w:rsidRDefault="00867564" w:rsidP="007F0D38">
            <w:pPr>
              <w:spacing w:after="0" w:line="240" w:lineRule="auto"/>
              <w:jc w:val="right"/>
              <w:rPr>
                <w:rFonts w:eastAsia="Times New Roman" w:cs="Times New Roman"/>
                <w:i/>
                <w:iCs/>
                <w:color w:val="000000"/>
                <w:sz w:val="18"/>
                <w:szCs w:val="18"/>
                <w:lang w:eastAsia="sk-SK"/>
              </w:rPr>
            </w:pPr>
            <w:r w:rsidRPr="00417A4B">
              <w:rPr>
                <w:rFonts w:eastAsia="Times New Roman" w:cs="Times New Roman"/>
                <w:i/>
                <w:iCs/>
                <w:color w:val="000000"/>
                <w:sz w:val="18"/>
                <w:szCs w:val="18"/>
                <w:lang w:eastAsia="sk-SK"/>
              </w:rPr>
              <w:t>6 683</w:t>
            </w:r>
          </w:p>
        </w:tc>
        <w:tc>
          <w:tcPr>
            <w:tcW w:w="1559" w:type="dxa"/>
            <w:tcBorders>
              <w:top w:val="nil"/>
              <w:left w:val="nil"/>
              <w:bottom w:val="nil"/>
              <w:right w:val="nil"/>
            </w:tcBorders>
            <w:shd w:val="clear" w:color="auto" w:fill="auto"/>
            <w:vAlign w:val="center"/>
            <w:hideMark/>
          </w:tcPr>
          <w:p w14:paraId="7927735B" w14:textId="77777777" w:rsidR="00867564" w:rsidRPr="00417A4B" w:rsidRDefault="00867564" w:rsidP="007F0D38">
            <w:pPr>
              <w:spacing w:after="0" w:line="240" w:lineRule="auto"/>
              <w:jc w:val="right"/>
              <w:rPr>
                <w:rFonts w:eastAsia="Times New Roman" w:cs="Times New Roman"/>
                <w:i/>
                <w:iCs/>
                <w:color w:val="000000"/>
                <w:sz w:val="18"/>
                <w:szCs w:val="18"/>
                <w:lang w:eastAsia="sk-SK"/>
              </w:rPr>
            </w:pPr>
            <w:r w:rsidRPr="00417A4B">
              <w:rPr>
                <w:rFonts w:eastAsia="Times New Roman" w:cs="Times New Roman"/>
                <w:i/>
                <w:iCs/>
                <w:color w:val="000000"/>
                <w:sz w:val="18"/>
                <w:szCs w:val="18"/>
                <w:lang w:eastAsia="sk-SK"/>
              </w:rPr>
              <w:t>3 040</w:t>
            </w:r>
          </w:p>
        </w:tc>
        <w:tc>
          <w:tcPr>
            <w:tcW w:w="1701" w:type="dxa"/>
            <w:tcBorders>
              <w:top w:val="nil"/>
              <w:left w:val="nil"/>
              <w:bottom w:val="nil"/>
              <w:right w:val="nil"/>
            </w:tcBorders>
            <w:shd w:val="clear" w:color="000000" w:fill="BFBFBF"/>
            <w:vAlign w:val="center"/>
            <w:hideMark/>
          </w:tcPr>
          <w:p w14:paraId="79816743" w14:textId="77777777" w:rsidR="00867564" w:rsidRPr="00417A4B" w:rsidRDefault="00867564" w:rsidP="007F0D38">
            <w:pPr>
              <w:spacing w:after="0" w:line="240" w:lineRule="auto"/>
              <w:jc w:val="right"/>
              <w:rPr>
                <w:rFonts w:eastAsia="Times New Roman" w:cs="Times New Roman"/>
                <w:i/>
                <w:iCs/>
                <w:color w:val="000000"/>
                <w:sz w:val="18"/>
                <w:szCs w:val="18"/>
                <w:lang w:eastAsia="sk-SK"/>
              </w:rPr>
            </w:pPr>
            <w:r w:rsidRPr="00417A4B">
              <w:rPr>
                <w:rFonts w:eastAsia="Times New Roman" w:cs="Times New Roman"/>
                <w:i/>
                <w:iCs/>
                <w:color w:val="000000"/>
                <w:sz w:val="18"/>
                <w:szCs w:val="18"/>
                <w:lang w:eastAsia="sk-SK"/>
              </w:rPr>
              <w:t>60 687</w:t>
            </w:r>
          </w:p>
        </w:tc>
      </w:tr>
      <w:tr w:rsidR="00867564" w:rsidRPr="00417A4B" w14:paraId="5FB6FCE7" w14:textId="77777777" w:rsidTr="00D5241C">
        <w:trPr>
          <w:trHeight w:val="278"/>
        </w:trPr>
        <w:tc>
          <w:tcPr>
            <w:tcW w:w="4309" w:type="dxa"/>
            <w:tcBorders>
              <w:top w:val="nil"/>
              <w:left w:val="nil"/>
              <w:bottom w:val="single" w:sz="8" w:space="0" w:color="auto"/>
              <w:right w:val="nil"/>
            </w:tcBorders>
            <w:shd w:val="clear" w:color="auto" w:fill="auto"/>
            <w:noWrap/>
            <w:vAlign w:val="center"/>
            <w:hideMark/>
          </w:tcPr>
          <w:p w14:paraId="23E3C6CD" w14:textId="77777777" w:rsidR="00867564" w:rsidRPr="00417A4B" w:rsidRDefault="00867564" w:rsidP="007F0D38">
            <w:pPr>
              <w:spacing w:after="0" w:line="240" w:lineRule="auto"/>
              <w:rPr>
                <w:rFonts w:eastAsia="Times New Roman" w:cs="Times New Roman"/>
                <w:i/>
                <w:iCs/>
                <w:color w:val="000000"/>
                <w:sz w:val="18"/>
                <w:szCs w:val="18"/>
                <w:lang w:eastAsia="sk-SK"/>
              </w:rPr>
            </w:pPr>
            <w:r w:rsidRPr="00417A4B">
              <w:rPr>
                <w:rFonts w:eastAsia="Times New Roman" w:cs="Times New Roman"/>
                <w:i/>
                <w:iCs/>
                <w:color w:val="000000"/>
                <w:sz w:val="18"/>
                <w:szCs w:val="18"/>
                <w:lang w:eastAsia="sk-SK"/>
              </w:rPr>
              <w:t xml:space="preserve">   poplatky </w:t>
            </w:r>
          </w:p>
        </w:tc>
        <w:tc>
          <w:tcPr>
            <w:tcW w:w="1590" w:type="dxa"/>
            <w:tcBorders>
              <w:top w:val="nil"/>
              <w:left w:val="nil"/>
              <w:bottom w:val="single" w:sz="8" w:space="0" w:color="auto"/>
              <w:right w:val="nil"/>
            </w:tcBorders>
            <w:shd w:val="clear" w:color="auto" w:fill="auto"/>
            <w:vAlign w:val="center"/>
            <w:hideMark/>
          </w:tcPr>
          <w:p w14:paraId="744E68A2" w14:textId="77777777" w:rsidR="00867564" w:rsidRPr="00417A4B" w:rsidRDefault="00867564" w:rsidP="007F0D38">
            <w:pPr>
              <w:spacing w:after="0" w:line="240" w:lineRule="auto"/>
              <w:jc w:val="right"/>
              <w:rPr>
                <w:rFonts w:eastAsia="Times New Roman" w:cs="Times New Roman"/>
                <w:i/>
                <w:iCs/>
                <w:color w:val="000000"/>
                <w:sz w:val="18"/>
                <w:szCs w:val="18"/>
                <w:lang w:eastAsia="sk-SK"/>
              </w:rPr>
            </w:pPr>
            <w:r w:rsidRPr="00417A4B">
              <w:rPr>
                <w:rFonts w:eastAsia="Times New Roman" w:cs="Times New Roman"/>
                <w:i/>
                <w:iCs/>
                <w:color w:val="000000"/>
                <w:sz w:val="18"/>
                <w:szCs w:val="18"/>
                <w:lang w:eastAsia="sk-SK"/>
              </w:rPr>
              <w:t>5 237</w:t>
            </w:r>
          </w:p>
        </w:tc>
        <w:tc>
          <w:tcPr>
            <w:tcW w:w="1559" w:type="dxa"/>
            <w:tcBorders>
              <w:top w:val="nil"/>
              <w:left w:val="nil"/>
              <w:bottom w:val="single" w:sz="8" w:space="0" w:color="auto"/>
              <w:right w:val="nil"/>
            </w:tcBorders>
            <w:shd w:val="clear" w:color="auto" w:fill="auto"/>
            <w:vAlign w:val="center"/>
            <w:hideMark/>
          </w:tcPr>
          <w:p w14:paraId="7F10F799" w14:textId="77777777" w:rsidR="00867564" w:rsidRPr="00417A4B" w:rsidRDefault="00867564" w:rsidP="007F0D38">
            <w:pPr>
              <w:spacing w:after="0" w:line="240" w:lineRule="auto"/>
              <w:jc w:val="right"/>
              <w:rPr>
                <w:rFonts w:eastAsia="Times New Roman" w:cs="Times New Roman"/>
                <w:i/>
                <w:iCs/>
                <w:color w:val="000000"/>
                <w:sz w:val="18"/>
                <w:szCs w:val="18"/>
                <w:lang w:eastAsia="sk-SK"/>
              </w:rPr>
            </w:pPr>
            <w:r w:rsidRPr="00417A4B">
              <w:rPr>
                <w:rFonts w:eastAsia="Times New Roman" w:cs="Times New Roman"/>
                <w:i/>
                <w:iCs/>
                <w:color w:val="000000"/>
                <w:sz w:val="18"/>
                <w:szCs w:val="18"/>
                <w:lang w:eastAsia="sk-SK"/>
              </w:rPr>
              <w:t>5 144</w:t>
            </w:r>
          </w:p>
        </w:tc>
        <w:tc>
          <w:tcPr>
            <w:tcW w:w="1701" w:type="dxa"/>
            <w:tcBorders>
              <w:top w:val="nil"/>
              <w:left w:val="nil"/>
              <w:bottom w:val="single" w:sz="8" w:space="0" w:color="auto"/>
              <w:right w:val="nil"/>
            </w:tcBorders>
            <w:shd w:val="clear" w:color="000000" w:fill="BFBFBF"/>
            <w:vAlign w:val="center"/>
            <w:hideMark/>
          </w:tcPr>
          <w:p w14:paraId="48F7A663" w14:textId="77777777" w:rsidR="00867564" w:rsidRPr="00417A4B" w:rsidRDefault="00867564" w:rsidP="007F0D38">
            <w:pPr>
              <w:spacing w:after="0" w:line="240" w:lineRule="auto"/>
              <w:jc w:val="right"/>
              <w:rPr>
                <w:rFonts w:eastAsia="Times New Roman" w:cs="Times New Roman"/>
                <w:i/>
                <w:iCs/>
                <w:color w:val="000000"/>
                <w:sz w:val="18"/>
                <w:szCs w:val="18"/>
                <w:lang w:eastAsia="sk-SK"/>
              </w:rPr>
            </w:pPr>
            <w:r w:rsidRPr="00417A4B">
              <w:rPr>
                <w:rFonts w:eastAsia="Times New Roman" w:cs="Times New Roman"/>
                <w:i/>
                <w:iCs/>
                <w:color w:val="000000"/>
                <w:sz w:val="18"/>
                <w:szCs w:val="18"/>
                <w:lang w:eastAsia="sk-SK"/>
              </w:rPr>
              <w:t>16 735</w:t>
            </w:r>
          </w:p>
        </w:tc>
      </w:tr>
      <w:tr w:rsidR="00867564" w:rsidRPr="0027346F" w14:paraId="476111D7" w14:textId="77777777" w:rsidTr="00D5241C">
        <w:trPr>
          <w:trHeight w:val="278"/>
        </w:trPr>
        <w:tc>
          <w:tcPr>
            <w:tcW w:w="4309" w:type="dxa"/>
            <w:tcBorders>
              <w:top w:val="nil"/>
              <w:left w:val="nil"/>
              <w:bottom w:val="single" w:sz="8" w:space="0" w:color="auto"/>
              <w:right w:val="nil"/>
            </w:tcBorders>
            <w:shd w:val="clear" w:color="auto" w:fill="auto"/>
            <w:noWrap/>
            <w:vAlign w:val="center"/>
            <w:hideMark/>
          </w:tcPr>
          <w:p w14:paraId="0A111B10" w14:textId="77777777" w:rsidR="00867564" w:rsidRPr="00417A4B" w:rsidRDefault="00867564" w:rsidP="007F0D38">
            <w:pPr>
              <w:spacing w:after="0" w:line="240" w:lineRule="auto"/>
              <w:rPr>
                <w:rFonts w:eastAsia="Times New Roman" w:cs="Times New Roman"/>
                <w:b/>
                <w:bCs/>
                <w:color w:val="000000"/>
                <w:sz w:val="18"/>
                <w:szCs w:val="18"/>
                <w:lang w:eastAsia="sk-SK"/>
              </w:rPr>
            </w:pPr>
            <w:r w:rsidRPr="00417A4B">
              <w:rPr>
                <w:rFonts w:eastAsia="Times New Roman" w:cs="Times New Roman"/>
                <w:b/>
                <w:bCs/>
                <w:color w:val="000000"/>
                <w:sz w:val="18"/>
                <w:szCs w:val="18"/>
                <w:lang w:eastAsia="sk-SK"/>
              </w:rPr>
              <w:t>Spolu saldo</w:t>
            </w:r>
          </w:p>
        </w:tc>
        <w:tc>
          <w:tcPr>
            <w:tcW w:w="1590" w:type="dxa"/>
            <w:tcBorders>
              <w:top w:val="nil"/>
              <w:left w:val="nil"/>
              <w:bottom w:val="single" w:sz="8" w:space="0" w:color="auto"/>
              <w:right w:val="nil"/>
            </w:tcBorders>
            <w:shd w:val="clear" w:color="auto" w:fill="auto"/>
            <w:vAlign w:val="center"/>
            <w:hideMark/>
          </w:tcPr>
          <w:p w14:paraId="4D47F2ED" w14:textId="77777777" w:rsidR="00867564" w:rsidRPr="00417A4B" w:rsidRDefault="00867564" w:rsidP="007F0D38">
            <w:pPr>
              <w:spacing w:after="0" w:line="240" w:lineRule="auto"/>
              <w:jc w:val="right"/>
              <w:rPr>
                <w:rFonts w:eastAsia="Times New Roman" w:cs="Times New Roman"/>
                <w:b/>
                <w:bCs/>
                <w:color w:val="000000"/>
                <w:sz w:val="18"/>
                <w:szCs w:val="18"/>
                <w:lang w:eastAsia="sk-SK"/>
              </w:rPr>
            </w:pPr>
            <w:r w:rsidRPr="00417A4B">
              <w:rPr>
                <w:rFonts w:eastAsia="Times New Roman" w:cs="Times New Roman"/>
                <w:b/>
                <w:bCs/>
                <w:color w:val="000000"/>
                <w:sz w:val="18"/>
                <w:szCs w:val="18"/>
                <w:lang w:eastAsia="sk-SK"/>
              </w:rPr>
              <w:t>1 134 322</w:t>
            </w:r>
          </w:p>
        </w:tc>
        <w:tc>
          <w:tcPr>
            <w:tcW w:w="1559" w:type="dxa"/>
            <w:tcBorders>
              <w:top w:val="nil"/>
              <w:left w:val="nil"/>
              <w:bottom w:val="single" w:sz="8" w:space="0" w:color="auto"/>
              <w:right w:val="nil"/>
            </w:tcBorders>
            <w:shd w:val="clear" w:color="auto" w:fill="auto"/>
            <w:vAlign w:val="center"/>
            <w:hideMark/>
          </w:tcPr>
          <w:p w14:paraId="5C3F5E30" w14:textId="77777777" w:rsidR="00867564" w:rsidRPr="00417A4B" w:rsidRDefault="00867564" w:rsidP="007F0D38">
            <w:pPr>
              <w:spacing w:after="0" w:line="240" w:lineRule="auto"/>
              <w:jc w:val="right"/>
              <w:rPr>
                <w:rFonts w:eastAsia="Times New Roman" w:cs="Times New Roman"/>
                <w:b/>
                <w:bCs/>
                <w:color w:val="000000"/>
                <w:sz w:val="18"/>
                <w:szCs w:val="18"/>
                <w:lang w:eastAsia="sk-SK"/>
              </w:rPr>
            </w:pPr>
            <w:r w:rsidRPr="00417A4B">
              <w:rPr>
                <w:rFonts w:eastAsia="Times New Roman" w:cs="Times New Roman"/>
                <w:b/>
                <w:bCs/>
                <w:color w:val="000000"/>
                <w:sz w:val="18"/>
                <w:szCs w:val="18"/>
                <w:lang w:eastAsia="sk-SK"/>
              </w:rPr>
              <w:t>1 036 908</w:t>
            </w:r>
          </w:p>
        </w:tc>
        <w:tc>
          <w:tcPr>
            <w:tcW w:w="1701" w:type="dxa"/>
            <w:tcBorders>
              <w:top w:val="nil"/>
              <w:left w:val="nil"/>
              <w:bottom w:val="single" w:sz="8" w:space="0" w:color="auto"/>
              <w:right w:val="nil"/>
            </w:tcBorders>
            <w:shd w:val="clear" w:color="000000" w:fill="BFBFBF"/>
            <w:vAlign w:val="center"/>
            <w:hideMark/>
          </w:tcPr>
          <w:p w14:paraId="060D4D74" w14:textId="77777777" w:rsidR="00867564" w:rsidRPr="0027346F" w:rsidRDefault="00867564" w:rsidP="007F0D38">
            <w:pPr>
              <w:spacing w:after="0" w:line="240" w:lineRule="auto"/>
              <w:jc w:val="right"/>
              <w:rPr>
                <w:rFonts w:eastAsia="Times New Roman" w:cs="Times New Roman"/>
                <w:b/>
                <w:color w:val="000000"/>
                <w:sz w:val="18"/>
                <w:szCs w:val="18"/>
                <w:lang w:eastAsia="sk-SK"/>
              </w:rPr>
            </w:pPr>
            <w:r w:rsidRPr="0027346F">
              <w:rPr>
                <w:rFonts w:eastAsia="Times New Roman" w:cs="Times New Roman"/>
                <w:b/>
                <w:color w:val="000000"/>
                <w:sz w:val="18"/>
                <w:szCs w:val="18"/>
                <w:lang w:eastAsia="sk-SK"/>
              </w:rPr>
              <w:t>796 703</w:t>
            </w:r>
          </w:p>
        </w:tc>
      </w:tr>
    </w:tbl>
    <w:p w14:paraId="63AAEAAA" w14:textId="3A4F031F" w:rsidR="00F108F7" w:rsidRPr="00BB4B5E" w:rsidRDefault="00F108F7" w:rsidP="00F63BD6">
      <w:pPr>
        <w:pStyle w:val="Bezriadkovania"/>
        <w:jc w:val="right"/>
        <w:rPr>
          <w:sz w:val="18"/>
          <w:szCs w:val="18"/>
        </w:rPr>
      </w:pPr>
      <w:r w:rsidRPr="00BB4B5E">
        <w:rPr>
          <w:sz w:val="18"/>
          <w:szCs w:val="18"/>
          <w:lang w:eastAsia="sk-SK"/>
        </w:rPr>
        <w:t>Zdroj: MF SR</w:t>
      </w:r>
    </w:p>
    <w:p w14:paraId="5FE70E9F" w14:textId="77777777" w:rsidR="00957C24" w:rsidRDefault="00867564" w:rsidP="00957C24">
      <w:pPr>
        <w:spacing w:before="120" w:line="240" w:lineRule="auto"/>
        <w:rPr>
          <w:rFonts w:cs="Times New Roman"/>
          <w:sz w:val="24"/>
          <w:szCs w:val="24"/>
        </w:rPr>
      </w:pPr>
      <w:r w:rsidRPr="00D715AF">
        <w:rPr>
          <w:rFonts w:cs="Times New Roman"/>
          <w:sz w:val="24"/>
          <w:szCs w:val="24"/>
        </w:rPr>
        <w:t xml:space="preserve">Na </w:t>
      </w:r>
      <w:r w:rsidRPr="00957C24">
        <w:rPr>
          <w:rFonts w:cs="Times New Roman"/>
          <w:b/>
          <w:i/>
          <w:sz w:val="24"/>
          <w:szCs w:val="24"/>
        </w:rPr>
        <w:t>transfery obciam</w:t>
      </w:r>
      <w:r w:rsidRPr="00D715AF">
        <w:rPr>
          <w:rFonts w:cs="Times New Roman"/>
          <w:i/>
          <w:sz w:val="24"/>
          <w:szCs w:val="24"/>
        </w:rPr>
        <w:t xml:space="preserve"> </w:t>
      </w:r>
      <w:r w:rsidRPr="00D715AF">
        <w:rPr>
          <w:rFonts w:cs="Times New Roman"/>
          <w:sz w:val="24"/>
          <w:szCs w:val="24"/>
        </w:rPr>
        <w:t>bola vynaložená suma 1 431 723 tis. eur, čo je v porovnaní s rokom 2019 o 231 758 tis. eur viac.</w:t>
      </w:r>
      <w:r w:rsidRPr="00D715AF">
        <w:rPr>
          <w:rFonts w:cs="Times New Roman"/>
          <w:color w:val="FF0000"/>
          <w:sz w:val="24"/>
          <w:szCs w:val="24"/>
        </w:rPr>
        <w:t xml:space="preserve"> </w:t>
      </w:r>
      <w:r w:rsidRPr="00D715AF">
        <w:rPr>
          <w:rFonts w:cs="Times New Roman"/>
          <w:sz w:val="24"/>
          <w:szCs w:val="24"/>
        </w:rPr>
        <w:t>Na úhradu nákladov preneseného výkonu štátnej správy sa vy</w:t>
      </w:r>
      <w:r w:rsidR="002166EB" w:rsidRPr="00D715AF">
        <w:rPr>
          <w:rFonts w:cs="Times New Roman"/>
          <w:sz w:val="24"/>
          <w:szCs w:val="24"/>
        </w:rPr>
        <w:t>čerpalo 1 143 357 tis. eur (2019</w:t>
      </w:r>
      <w:r w:rsidRPr="00D715AF">
        <w:rPr>
          <w:rFonts w:cs="Times New Roman"/>
          <w:sz w:val="24"/>
          <w:szCs w:val="24"/>
        </w:rPr>
        <w:t>: 1 008 541 tis. eur). Tieto prostriedky sú kryté najmä zo zdrojov štátneho rozpočtu, a to hlavne prostredníctvom kapitoly Ministerstva vnútra SR (1 122 863 tis</w:t>
      </w:r>
      <w:r w:rsidR="00EA25DE" w:rsidRPr="00D715AF">
        <w:rPr>
          <w:rFonts w:cs="Times New Roman"/>
          <w:sz w:val="24"/>
          <w:szCs w:val="24"/>
        </w:rPr>
        <w:t>. eur).</w:t>
      </w:r>
    </w:p>
    <w:p w14:paraId="08683745" w14:textId="3E28E4A5" w:rsidR="00867564" w:rsidRPr="00957C24" w:rsidRDefault="00867564" w:rsidP="00957C24">
      <w:pPr>
        <w:spacing w:before="120" w:line="240" w:lineRule="auto"/>
        <w:rPr>
          <w:rFonts w:cs="Times New Roman"/>
          <w:b/>
          <w:i/>
        </w:rPr>
      </w:pPr>
      <w:r w:rsidRPr="00957C24">
        <w:rPr>
          <w:rFonts w:cs="Times New Roman"/>
          <w:b/>
          <w:i/>
        </w:rPr>
        <w:t>Podrobnejšie údaje o transferoch obciam sú uvedené v časti 3.2.3. Vzťahy štátneho rozpočtu k obciam.</w:t>
      </w:r>
    </w:p>
    <w:p w14:paraId="211D0698" w14:textId="1E432BEA" w:rsidR="00867564" w:rsidRPr="00D715AF" w:rsidRDefault="00867564" w:rsidP="001665F3">
      <w:pPr>
        <w:spacing w:line="240" w:lineRule="auto"/>
        <w:rPr>
          <w:rFonts w:cs="Times New Roman"/>
          <w:sz w:val="24"/>
          <w:szCs w:val="24"/>
        </w:rPr>
      </w:pPr>
      <w:r w:rsidRPr="00D715AF">
        <w:rPr>
          <w:rFonts w:cs="Times New Roman"/>
          <w:sz w:val="24"/>
          <w:szCs w:val="24"/>
        </w:rPr>
        <w:t xml:space="preserve">Na transfery </w:t>
      </w:r>
      <w:r w:rsidRPr="00957C24">
        <w:rPr>
          <w:rFonts w:cs="Times New Roman"/>
          <w:b/>
          <w:i/>
          <w:iCs/>
          <w:sz w:val="24"/>
          <w:szCs w:val="24"/>
        </w:rPr>
        <w:t>sociálnej poisťovni a zdravotným poisťovniam</w:t>
      </w:r>
      <w:r w:rsidRPr="00D715AF">
        <w:rPr>
          <w:rFonts w:cs="Times New Roman"/>
          <w:sz w:val="24"/>
          <w:szCs w:val="24"/>
        </w:rPr>
        <w:t xml:space="preserve"> bolo vynaložených 970 033 tis. eur. Na tejto podpoložke sa podieľala najmä Všeobecná pokladničná správa sumou 969 865 tis. eur</w:t>
      </w:r>
      <w:r w:rsidR="00F87CEC" w:rsidRPr="00D715AF">
        <w:rPr>
          <w:rFonts w:cs="Times New Roman"/>
          <w:sz w:val="24"/>
          <w:szCs w:val="24"/>
        </w:rPr>
        <w:t>,</w:t>
      </w:r>
      <w:r w:rsidRPr="00D715AF">
        <w:rPr>
          <w:rFonts w:cs="Times New Roman"/>
          <w:sz w:val="24"/>
          <w:szCs w:val="24"/>
        </w:rPr>
        <w:t xml:space="preserve"> ktorá poskytla transfer výlučne Sociálnej poisťovni. Skutočné čerpanie bolo vyššie oproti schválenému rozpočtu o 760 269 tis. eur, z dôvodu zabezpečenia platobnej schopnosti Sociálnej poisťovne v súvislosti so zvýšenými výdavkami na nemocenské a ošetrovné vyvolané pandémiou COVID-19.</w:t>
      </w:r>
    </w:p>
    <w:p w14:paraId="7192B55B" w14:textId="2B31ADB0" w:rsidR="00867564" w:rsidRPr="00D715AF" w:rsidRDefault="00867564" w:rsidP="001665F3">
      <w:pPr>
        <w:spacing w:line="240" w:lineRule="auto"/>
        <w:rPr>
          <w:rFonts w:cs="Times New Roman"/>
          <w:sz w:val="24"/>
          <w:szCs w:val="24"/>
        </w:rPr>
      </w:pPr>
      <w:r w:rsidRPr="00957C24">
        <w:rPr>
          <w:rFonts w:cs="Times New Roman"/>
          <w:b/>
          <w:i/>
          <w:sz w:val="24"/>
          <w:szCs w:val="24"/>
        </w:rPr>
        <w:t>Verejným vysokým školám</w:t>
      </w:r>
      <w:r w:rsidRPr="00D715AF">
        <w:rPr>
          <w:rFonts w:cs="Times New Roman"/>
          <w:sz w:val="24"/>
          <w:szCs w:val="24"/>
        </w:rPr>
        <w:t xml:space="preserve"> boli poskytnuté finančné prostriedky v sume 697 092 tis. eur (2019: 575 715 tis. eur), a to predovšetkým prostredníctvom rezortu Ministerstva školstva, ved</w:t>
      </w:r>
      <w:r w:rsidR="00F960F6" w:rsidRPr="00D715AF">
        <w:rPr>
          <w:rFonts w:cs="Times New Roman"/>
          <w:sz w:val="24"/>
          <w:szCs w:val="24"/>
        </w:rPr>
        <w:t xml:space="preserve">y, výskumu a športu SR v sume </w:t>
      </w:r>
      <w:r w:rsidRPr="00D715AF">
        <w:rPr>
          <w:rFonts w:cs="Times New Roman"/>
          <w:sz w:val="24"/>
          <w:szCs w:val="24"/>
        </w:rPr>
        <w:t>691 143 tis. eur.</w:t>
      </w:r>
      <w:r w:rsidRPr="00D715AF">
        <w:rPr>
          <w:rFonts w:cs="Times New Roman"/>
          <w:color w:val="FF0000"/>
          <w:sz w:val="24"/>
          <w:szCs w:val="24"/>
        </w:rPr>
        <w:t xml:space="preserve"> </w:t>
      </w:r>
      <w:r w:rsidRPr="00D715AF">
        <w:rPr>
          <w:rFonts w:cs="Times New Roman"/>
          <w:sz w:val="24"/>
          <w:szCs w:val="24"/>
        </w:rPr>
        <w:t xml:space="preserve">Z toho v rámci programu Vysokoškolské vzdelávanie a veda, sociálna podpora študentov vysokých škôl bola poskytnutá suma 613 902 tis. eur na uskutočňovanie akreditovaných študijných programov, na výskumnú vývojovú alebo umeleckú činnosť, na rozvoj škôl a finančnú podporu študentov z radov Slovákov žijúcich v zahraničí. V rámci programu Národný program rozvoja vedy a techniky bolo poskytnutých 23 352 tis. eur. </w:t>
      </w:r>
    </w:p>
    <w:p w14:paraId="25713C93" w14:textId="77777777" w:rsidR="00957C24" w:rsidRDefault="00867564" w:rsidP="001665F3">
      <w:pPr>
        <w:spacing w:line="240" w:lineRule="auto"/>
        <w:rPr>
          <w:color w:val="FF0000"/>
          <w:sz w:val="24"/>
          <w:szCs w:val="24"/>
        </w:rPr>
      </w:pPr>
      <w:r w:rsidRPr="00957C24">
        <w:rPr>
          <w:b/>
          <w:i/>
          <w:sz w:val="24"/>
          <w:szCs w:val="24"/>
        </w:rPr>
        <w:t>Príspevkovej organizácii</w:t>
      </w:r>
      <w:r w:rsidRPr="00D715AF">
        <w:rPr>
          <w:sz w:val="24"/>
          <w:szCs w:val="24"/>
        </w:rPr>
        <w:t xml:space="preserve"> sa poukázali rozpočtové prostriedky vo výške 582 538 tis. eur (2019: 429 442 tis. eur), pričom ide o čerpanie prostriedkov príspevkových organizácií ústrednej správy, ktoré sú v gescii jednotlivých ministerstiev. Bežnými transfermi sa spolufinancuje činnosť štátnych príspevkových organizácií v oblasti kultúry, školstva, vedy a výskumu či zdravotníctva.</w:t>
      </w:r>
      <w:r w:rsidRPr="00D715AF">
        <w:rPr>
          <w:color w:val="FF0000"/>
          <w:sz w:val="24"/>
          <w:szCs w:val="24"/>
        </w:rPr>
        <w:t xml:space="preserve"> </w:t>
      </w:r>
      <w:r w:rsidRPr="00D715AF">
        <w:rPr>
          <w:sz w:val="24"/>
          <w:szCs w:val="24"/>
        </w:rPr>
        <w:t>Skutočné čerpanie transferov príspevkovým organizáciám bolo oproti schválenému rozpočtu vyššie o 291 894 tis. eur, na čom sa najviac podieľalo</w:t>
      </w:r>
      <w:r w:rsidRPr="00D715AF">
        <w:rPr>
          <w:color w:val="FF0000"/>
          <w:sz w:val="24"/>
          <w:szCs w:val="24"/>
        </w:rPr>
        <w:t xml:space="preserve"> </w:t>
      </w:r>
      <w:r w:rsidRPr="00D715AF">
        <w:rPr>
          <w:sz w:val="24"/>
          <w:szCs w:val="24"/>
        </w:rPr>
        <w:t>Ministerstvo životného prostredia SR (o 63 163 tis. eur),</w:t>
      </w:r>
      <w:r w:rsidRPr="00D715AF">
        <w:rPr>
          <w:color w:val="FF0000"/>
          <w:sz w:val="24"/>
          <w:szCs w:val="24"/>
        </w:rPr>
        <w:t xml:space="preserve"> </w:t>
      </w:r>
      <w:r w:rsidRPr="00D715AF">
        <w:rPr>
          <w:sz w:val="24"/>
          <w:szCs w:val="24"/>
        </w:rPr>
        <w:t>Ministerstvo obrany SR (o 62 564 tis. eur),</w:t>
      </w:r>
      <w:r w:rsidRPr="00D715AF">
        <w:rPr>
          <w:color w:val="FF0000"/>
          <w:sz w:val="24"/>
          <w:szCs w:val="24"/>
        </w:rPr>
        <w:t xml:space="preserve"> </w:t>
      </w:r>
      <w:r w:rsidRPr="00D715AF">
        <w:rPr>
          <w:sz w:val="24"/>
          <w:szCs w:val="24"/>
        </w:rPr>
        <w:t>Ministerstvo zdravotníctva SR (o 51 704 tis. eur), Ministerstvo školstva, vedy, výskumu a športu SR (o 32 298 tis. eur), Ministerstvo pôdohospodárstva a rozvoja vidieka SR (o 21 290 tis. eur), Ministerstvo hospodárstva</w:t>
      </w:r>
      <w:r w:rsidR="002166EB" w:rsidRPr="00D715AF">
        <w:rPr>
          <w:sz w:val="24"/>
          <w:szCs w:val="24"/>
        </w:rPr>
        <w:t xml:space="preserve"> SR </w:t>
      </w:r>
      <w:r w:rsidRPr="00D715AF">
        <w:rPr>
          <w:sz w:val="24"/>
          <w:szCs w:val="24"/>
        </w:rPr>
        <w:t>(o 15 040 tis. eur), Ministerstvo investícií, regionálneho rozvoja a informatizácie SR (o</w:t>
      </w:r>
      <w:r w:rsidR="002166EB" w:rsidRPr="00D715AF">
        <w:rPr>
          <w:sz w:val="24"/>
          <w:szCs w:val="24"/>
        </w:rPr>
        <w:t> </w:t>
      </w:r>
      <w:r w:rsidRPr="00D715AF">
        <w:rPr>
          <w:sz w:val="24"/>
          <w:szCs w:val="24"/>
        </w:rPr>
        <w:t>14 870 tis. eur) a</w:t>
      </w:r>
      <w:r w:rsidRPr="00D715AF">
        <w:rPr>
          <w:color w:val="FF0000"/>
          <w:sz w:val="24"/>
          <w:szCs w:val="24"/>
        </w:rPr>
        <w:t xml:space="preserve"> </w:t>
      </w:r>
      <w:r w:rsidR="002166EB" w:rsidRPr="00D715AF">
        <w:rPr>
          <w:sz w:val="24"/>
          <w:szCs w:val="24"/>
        </w:rPr>
        <w:t xml:space="preserve">Ministerstvo kultúry </w:t>
      </w:r>
      <w:r w:rsidRPr="00D715AF">
        <w:rPr>
          <w:sz w:val="24"/>
          <w:szCs w:val="24"/>
        </w:rPr>
        <w:t>SR (o 11 256 tis. eur).</w:t>
      </w:r>
    </w:p>
    <w:p w14:paraId="2444507B" w14:textId="042D8708" w:rsidR="00867564" w:rsidRPr="00D715AF" w:rsidRDefault="00867564" w:rsidP="001665F3">
      <w:pPr>
        <w:spacing w:line="240" w:lineRule="auto"/>
        <w:rPr>
          <w:sz w:val="24"/>
          <w:szCs w:val="24"/>
        </w:rPr>
      </w:pPr>
      <w:r w:rsidRPr="00D715AF">
        <w:rPr>
          <w:sz w:val="24"/>
          <w:szCs w:val="24"/>
        </w:rPr>
        <w:t>Vyššie čerpanie vyplynulo najmä z potreby dofinancovania činností vyplývajúcich z plánov hlavných úloh, finančného zabezpečenia povinností vyplývajúcich z osobitných predpisov, ako aj zo zmlúv o poskytnutí nenávratného finančného príspevku v rámci operačných programov a z medzinárodných záväzkov SR.</w:t>
      </w:r>
    </w:p>
    <w:p w14:paraId="6BD0523A" w14:textId="1E94B6AC" w:rsidR="00867564" w:rsidRPr="00D715AF" w:rsidRDefault="00867564" w:rsidP="001665F3">
      <w:pPr>
        <w:spacing w:line="240" w:lineRule="auto"/>
        <w:rPr>
          <w:sz w:val="24"/>
          <w:szCs w:val="24"/>
        </w:rPr>
      </w:pPr>
      <w:r w:rsidRPr="00D715AF">
        <w:rPr>
          <w:sz w:val="24"/>
          <w:szCs w:val="24"/>
        </w:rPr>
        <w:t xml:space="preserve">Významnou hodnotou na čerpaní týchto transferov sa podieľala kapitola </w:t>
      </w:r>
      <w:r w:rsidRPr="00957C24">
        <w:rPr>
          <w:sz w:val="24"/>
          <w:szCs w:val="24"/>
          <w:u w:val="single"/>
        </w:rPr>
        <w:t>Ministerstva kultúry SR</w:t>
      </w:r>
      <w:r w:rsidRPr="00D715AF">
        <w:rPr>
          <w:sz w:val="24"/>
          <w:szCs w:val="24"/>
        </w:rPr>
        <w:t xml:space="preserve"> v sume</w:t>
      </w:r>
      <w:r w:rsidRPr="00D715AF">
        <w:rPr>
          <w:color w:val="FF0000"/>
          <w:sz w:val="24"/>
          <w:szCs w:val="24"/>
        </w:rPr>
        <w:t xml:space="preserve"> </w:t>
      </w:r>
      <w:r w:rsidRPr="00D715AF">
        <w:rPr>
          <w:sz w:val="24"/>
          <w:szCs w:val="24"/>
        </w:rPr>
        <w:t>104 611 tis. eur, ktorá použila prostriedky</w:t>
      </w:r>
      <w:r w:rsidRPr="00D715AF">
        <w:rPr>
          <w:color w:val="FF0000"/>
          <w:sz w:val="24"/>
          <w:szCs w:val="24"/>
        </w:rPr>
        <w:t xml:space="preserve"> </w:t>
      </w:r>
      <w:r w:rsidRPr="00D715AF">
        <w:rPr>
          <w:sz w:val="24"/>
          <w:szCs w:val="24"/>
        </w:rPr>
        <w:t>na bežnú činnosť 25 príspevkových organizácií vo svojej zriaďovateľskej pôsobnosti. Ide najmä o výdavky na vlastnú činnosť organizácií v zmysle kontraktov na príslušný rok, vrátane výdavkov na mzdy a odvody.</w:t>
      </w:r>
    </w:p>
    <w:p w14:paraId="31EF6937" w14:textId="5B0D2A66" w:rsidR="00867564" w:rsidRPr="00AD1348" w:rsidRDefault="00867564" w:rsidP="001665F3">
      <w:pPr>
        <w:spacing w:line="240" w:lineRule="auto"/>
        <w:rPr>
          <w:rFonts w:cs="Times New Roman"/>
          <w:color w:val="FF0000"/>
        </w:rPr>
      </w:pPr>
      <w:r w:rsidRPr="0087029A">
        <w:rPr>
          <w:sz w:val="24"/>
          <w:szCs w:val="24"/>
          <w:u w:val="single"/>
        </w:rPr>
        <w:t>Ministerstvo zdravotníctva SR</w:t>
      </w:r>
      <w:r w:rsidRPr="00D715AF">
        <w:rPr>
          <w:sz w:val="24"/>
          <w:szCs w:val="24"/>
        </w:rPr>
        <w:t xml:space="preserve"> poukázalo príspevkovým organizáciám v zriaďovateľskej pôsobnosti sumu 96 868 tis. eur</w:t>
      </w:r>
      <w:r w:rsidRPr="00D715AF">
        <w:rPr>
          <w:rFonts w:cs="Times New Roman"/>
          <w:sz w:val="24"/>
          <w:szCs w:val="24"/>
        </w:rPr>
        <w:t xml:space="preserve">, </w:t>
      </w:r>
      <w:r w:rsidRPr="00D715AF">
        <w:rPr>
          <w:rFonts w:cs="Times New Roman"/>
          <w:bCs/>
          <w:iCs/>
          <w:color w:val="212121"/>
          <w:sz w:val="24"/>
          <w:szCs w:val="24"/>
        </w:rPr>
        <w:t>najmä n</w:t>
      </w:r>
      <w:r w:rsidRPr="00D715AF">
        <w:rPr>
          <w:rFonts w:cs="Times New Roman"/>
          <w:color w:val="212121"/>
          <w:sz w:val="24"/>
          <w:szCs w:val="24"/>
        </w:rPr>
        <w:t>a realizáciu plnenia úloh v rámci Akčných plánov Národného onkologického programu, financovanie dotácií na podporu protidrogových aktivít, na</w:t>
      </w:r>
      <w:r w:rsidR="00676CEF" w:rsidRPr="00D715AF">
        <w:rPr>
          <w:rFonts w:cs="Times New Roman"/>
          <w:color w:val="212121"/>
          <w:sz w:val="24"/>
          <w:szCs w:val="24"/>
        </w:rPr>
        <w:t> </w:t>
      </w:r>
      <w:r w:rsidRPr="00D715AF">
        <w:rPr>
          <w:rFonts w:cs="Times New Roman"/>
          <w:color w:val="212121"/>
          <w:sz w:val="24"/>
          <w:szCs w:val="24"/>
        </w:rPr>
        <w:t>podporu projektov výskumu a vývoja, na úhradu výdavkov pre subjekty hospodárskej mobilizácie v zmysle zmluvy o hospodárskej mobilizácii, na sanáciu výdavkov priamo implikovaných vznikom pandémie súvisiacej s ochorením COVID – 19, na poskytnutie finančných prostriedkov pre zdravotníckych pracovníkov vykonávajúcich svoje povolanie v tzv.</w:t>
      </w:r>
      <w:r w:rsidR="0023537F">
        <w:rPr>
          <w:rFonts w:cs="Times New Roman"/>
          <w:color w:val="212121"/>
          <w:sz w:val="24"/>
          <w:szCs w:val="24"/>
        </w:rPr>
        <w:t> </w:t>
      </w:r>
      <w:r w:rsidRPr="00D715AF">
        <w:rPr>
          <w:rFonts w:cs="Times New Roman"/>
          <w:color w:val="212121"/>
          <w:sz w:val="24"/>
          <w:szCs w:val="24"/>
        </w:rPr>
        <w:t>prvej línii, na úhradu nákladov pre subjekty hospodárskej mobilizácie vynaložených na</w:t>
      </w:r>
      <w:r w:rsidR="00676CEF" w:rsidRPr="00D715AF">
        <w:rPr>
          <w:rFonts w:cs="Times New Roman"/>
          <w:color w:val="212121"/>
          <w:sz w:val="24"/>
          <w:szCs w:val="24"/>
        </w:rPr>
        <w:t> </w:t>
      </w:r>
      <w:r w:rsidRPr="00D715AF">
        <w:rPr>
          <w:rFonts w:cs="Times New Roman"/>
          <w:color w:val="212121"/>
          <w:sz w:val="24"/>
          <w:szCs w:val="24"/>
        </w:rPr>
        <w:t>poskytovanie zdravotnej starostlivosti v súvislosti s druhou vlnou pandémie COVID – 19, na</w:t>
      </w:r>
      <w:r w:rsidRPr="00D715AF">
        <w:rPr>
          <w:color w:val="212121"/>
          <w:sz w:val="24"/>
          <w:szCs w:val="24"/>
        </w:rPr>
        <w:t> </w:t>
      </w:r>
      <w:r w:rsidRPr="00D715AF">
        <w:rPr>
          <w:rFonts w:cs="Times New Roman"/>
          <w:color w:val="212121"/>
          <w:sz w:val="24"/>
          <w:szCs w:val="24"/>
        </w:rPr>
        <w:t>zriadenie a prevádzkovanie mobilných odberových miest, na úhradu výdavkov plánovaných revízií osobných ochranných pomôcok,</w:t>
      </w:r>
      <w:r w:rsidRPr="00D715AF">
        <w:rPr>
          <w:color w:val="212121"/>
          <w:sz w:val="24"/>
          <w:szCs w:val="24"/>
        </w:rPr>
        <w:t xml:space="preserve"> </w:t>
      </w:r>
      <w:r w:rsidRPr="00D715AF">
        <w:rPr>
          <w:rFonts w:cs="Times New Roman"/>
          <w:color w:val="212121"/>
          <w:sz w:val="24"/>
          <w:szCs w:val="24"/>
        </w:rPr>
        <w:t>na financovanie rezidentského programu pre Slovenskú zdravotnícku univerzitu v Bratislave, na nákup do pohotovostnej zásoby pre Univerzitnú nemocnicu Bratislava a pre Národný ústav detských chorôb.</w:t>
      </w:r>
    </w:p>
    <w:p w14:paraId="48A43D6B" w14:textId="2BACB670" w:rsidR="00867564" w:rsidRPr="00D715AF" w:rsidRDefault="00867564" w:rsidP="001665F3">
      <w:pPr>
        <w:spacing w:line="240" w:lineRule="auto"/>
        <w:rPr>
          <w:rFonts w:cs="Times New Roman"/>
          <w:sz w:val="24"/>
          <w:szCs w:val="24"/>
        </w:rPr>
      </w:pPr>
      <w:r w:rsidRPr="00957C24">
        <w:rPr>
          <w:sz w:val="24"/>
          <w:szCs w:val="24"/>
          <w:u w:val="single"/>
        </w:rPr>
        <w:t>Kapitola Ministerstva životného prostredia SR</w:t>
      </w:r>
      <w:r w:rsidRPr="00D715AF">
        <w:rPr>
          <w:sz w:val="24"/>
          <w:szCs w:val="24"/>
        </w:rPr>
        <w:t xml:space="preserve"> čerpala sumu 89 975 tis. eur.</w:t>
      </w:r>
      <w:r w:rsidRPr="00D715AF">
        <w:rPr>
          <w:color w:val="FF0000"/>
          <w:sz w:val="24"/>
          <w:szCs w:val="24"/>
        </w:rPr>
        <w:t xml:space="preserve"> </w:t>
      </w:r>
      <w:r w:rsidRPr="00D715AF">
        <w:rPr>
          <w:rFonts w:cs="Times New Roman"/>
          <w:sz w:val="24"/>
          <w:szCs w:val="24"/>
        </w:rPr>
        <w:t xml:space="preserve">Tieto finančné prostriedky boli určené najmä na úhrady príspevkov na činnosť príspevkovým organizáciám, a to najmä Slovenskej inovačnej a energetickej agentúre (20 804 tis. eur), </w:t>
      </w:r>
      <w:r w:rsidRPr="00D715AF">
        <w:rPr>
          <w:rFonts w:cs="Times New Roman"/>
          <w:sz w:val="24"/>
          <w:szCs w:val="24"/>
          <w:shd w:val="clear" w:color="auto" w:fill="FFFFFF"/>
        </w:rPr>
        <w:t>Slovenskej agentúre životného prostredia</w:t>
      </w:r>
      <w:r w:rsidR="003F0535" w:rsidRPr="00D715AF">
        <w:rPr>
          <w:rFonts w:cs="Times New Roman"/>
          <w:sz w:val="24"/>
          <w:szCs w:val="24"/>
          <w:shd w:val="clear" w:color="auto" w:fill="FFFFFF"/>
        </w:rPr>
        <w:t xml:space="preserve"> </w:t>
      </w:r>
      <w:r w:rsidRPr="00D715AF">
        <w:rPr>
          <w:rFonts w:cs="Times New Roman"/>
          <w:sz w:val="24"/>
          <w:szCs w:val="24"/>
          <w:shd w:val="clear" w:color="auto" w:fill="FFFFFF"/>
        </w:rPr>
        <w:t>(19 170 tis. eur</w:t>
      </w:r>
      <w:r w:rsidR="003F0535" w:rsidRPr="00D715AF">
        <w:rPr>
          <w:rFonts w:cs="Times New Roman"/>
          <w:sz w:val="24"/>
          <w:szCs w:val="24"/>
        </w:rPr>
        <w:t xml:space="preserve">) a </w:t>
      </w:r>
      <w:r w:rsidRPr="00D715AF">
        <w:rPr>
          <w:rFonts w:cs="Times New Roman"/>
          <w:sz w:val="24"/>
          <w:szCs w:val="24"/>
        </w:rPr>
        <w:t xml:space="preserve">Štátnej ochrane prírody SR (3 005 tis. eur). </w:t>
      </w:r>
      <w:r w:rsidRPr="00D715AF">
        <w:rPr>
          <w:rFonts w:cs="Times New Roman"/>
          <w:sz w:val="24"/>
          <w:szCs w:val="24"/>
          <w:shd w:val="clear" w:color="auto" w:fill="FFFFFF"/>
        </w:rPr>
        <w:t>Prostriedky boli použité na účely z</w:t>
      </w:r>
      <w:r w:rsidRPr="00D715AF">
        <w:rPr>
          <w:rFonts w:cs="Times New Roman"/>
          <w:sz w:val="24"/>
          <w:szCs w:val="24"/>
        </w:rPr>
        <w:t>lepšovania informovanosti a poskytovanie poradenstva v oblasti zlepšovania kvality životného prostredia na Slovensku, na spracovanie dokumentov miestnych územných systémov ekologickej stability pre potreby vytvorenia základnej východiskovej bázy pre reguláciu návrhu budovania zelenej infraštruktúry. Skutočné čerpanie bolo oproti schválenému rozpočtu o 63 163 tis. eur vyššie.</w:t>
      </w:r>
      <w:r w:rsidRPr="00D715AF">
        <w:rPr>
          <w:rFonts w:cs="Times New Roman"/>
          <w:color w:val="FF0000"/>
          <w:sz w:val="24"/>
          <w:szCs w:val="24"/>
        </w:rPr>
        <w:t xml:space="preserve"> </w:t>
      </w:r>
      <w:r w:rsidRPr="00D715AF">
        <w:rPr>
          <w:rFonts w:cs="Times New Roman"/>
          <w:sz w:val="24"/>
          <w:szCs w:val="24"/>
        </w:rPr>
        <w:t>Navýšenie výdavkov súviselo najmä s poskytnutím finančných prostriedkov na sanáciu výpadku vlastných príjmov ôsmich príspevkových organizácií v pôsobnosti rezortu</w:t>
      </w:r>
      <w:r w:rsidRPr="00D715AF">
        <w:rPr>
          <w:sz w:val="24"/>
          <w:szCs w:val="24"/>
        </w:rPr>
        <w:t>,</w:t>
      </w:r>
      <w:r w:rsidRPr="00D715AF">
        <w:rPr>
          <w:rFonts w:cs="Times New Roman"/>
          <w:sz w:val="24"/>
          <w:szCs w:val="24"/>
        </w:rPr>
        <w:t xml:space="preserve"> v súvislosti s negatívnym vplyvom pandémie,</w:t>
      </w:r>
      <w:r w:rsidRPr="00D715AF">
        <w:rPr>
          <w:sz w:val="24"/>
          <w:szCs w:val="24"/>
        </w:rPr>
        <w:t xml:space="preserve"> </w:t>
      </w:r>
      <w:r w:rsidRPr="00D715AF">
        <w:rPr>
          <w:rFonts w:cs="Times New Roman"/>
          <w:sz w:val="24"/>
          <w:szCs w:val="24"/>
        </w:rPr>
        <w:t>ako aj s úhradou výdavkov na udržateľnosť projektov a valorizáciu miezd.</w:t>
      </w:r>
    </w:p>
    <w:p w14:paraId="5FD514ED" w14:textId="77777777" w:rsidR="00867564" w:rsidRPr="00D715AF" w:rsidRDefault="00867564" w:rsidP="001665F3">
      <w:pPr>
        <w:spacing w:line="240" w:lineRule="auto"/>
        <w:rPr>
          <w:rFonts w:cs="Times New Roman"/>
          <w:color w:val="FF0000"/>
          <w:sz w:val="24"/>
          <w:szCs w:val="24"/>
        </w:rPr>
      </w:pPr>
      <w:r w:rsidRPr="00957C24">
        <w:rPr>
          <w:rFonts w:cs="Times New Roman"/>
          <w:color w:val="000000"/>
          <w:sz w:val="24"/>
          <w:szCs w:val="24"/>
          <w:u w:val="single"/>
        </w:rPr>
        <w:t>Ministerstvo obrany SR</w:t>
      </w:r>
      <w:r w:rsidRPr="00D715AF">
        <w:rPr>
          <w:rFonts w:cs="Times New Roman"/>
          <w:color w:val="000000"/>
          <w:sz w:val="24"/>
          <w:szCs w:val="24"/>
        </w:rPr>
        <w:t xml:space="preserve"> vynaložilo na bežné transfery príspevkovým organizáciám vo svojej zriaďovateľskej pôsobnosti celkovú sumu 64 364 tis. eur, v tom Ústrednej vojenskej nemocnici SNP Ružomberok čiastku 63 213 tis. eur najmä </w:t>
      </w:r>
      <w:r w:rsidRPr="00D715AF">
        <w:rPr>
          <w:rFonts w:cs="Times New Roman"/>
          <w:sz w:val="24"/>
          <w:szCs w:val="24"/>
        </w:rPr>
        <w:t>v súlade s uznesením vlády SR č. 665/2020 k návrhu na prípravu a vykonanie celoštátneho testovania obyvateľstva SR na prítomnosť ochorenia COVID-19 v čase núdzového stavu a Bytovej agentúre rezortu ministerstva obrany čiastku 1 151 tis. eur.</w:t>
      </w:r>
    </w:p>
    <w:p w14:paraId="0C90A6E3" w14:textId="28DC6A58" w:rsidR="00867564" w:rsidRPr="00D715AF" w:rsidRDefault="00867564" w:rsidP="001665F3">
      <w:pPr>
        <w:spacing w:line="240" w:lineRule="auto"/>
        <w:rPr>
          <w:rFonts w:cs="Times New Roman"/>
          <w:color w:val="FF0000"/>
          <w:sz w:val="24"/>
          <w:szCs w:val="24"/>
        </w:rPr>
      </w:pPr>
      <w:r w:rsidRPr="00957C24">
        <w:rPr>
          <w:rFonts w:cs="Times New Roman"/>
          <w:sz w:val="24"/>
          <w:szCs w:val="24"/>
          <w:u w:val="single"/>
        </w:rPr>
        <w:t>Slovenská akadémia vied</w:t>
      </w:r>
      <w:r w:rsidRPr="00D715AF">
        <w:rPr>
          <w:rFonts w:cs="Times New Roman"/>
          <w:sz w:val="24"/>
          <w:szCs w:val="24"/>
        </w:rPr>
        <w:t xml:space="preserve"> poukázala finančné prostriedky v sume</w:t>
      </w:r>
      <w:r w:rsidRPr="00D715AF">
        <w:rPr>
          <w:rFonts w:cs="Times New Roman"/>
          <w:color w:val="FF0000"/>
          <w:sz w:val="24"/>
          <w:szCs w:val="24"/>
        </w:rPr>
        <w:t xml:space="preserve"> </w:t>
      </w:r>
      <w:r w:rsidRPr="00D715AF">
        <w:rPr>
          <w:rFonts w:cs="Times New Roman"/>
          <w:sz w:val="24"/>
          <w:szCs w:val="24"/>
        </w:rPr>
        <w:t>60 372 tis. eur, najmä na</w:t>
      </w:r>
      <w:r w:rsidR="00676CEF" w:rsidRPr="00D715AF">
        <w:rPr>
          <w:rFonts w:cs="Times New Roman"/>
          <w:sz w:val="24"/>
          <w:szCs w:val="24"/>
        </w:rPr>
        <w:t> </w:t>
      </w:r>
      <w:r w:rsidRPr="00D715AF">
        <w:rPr>
          <w:rFonts w:cs="Times New Roman"/>
          <w:sz w:val="24"/>
          <w:szCs w:val="24"/>
        </w:rPr>
        <w:t>výdavky</w:t>
      </w:r>
      <w:r w:rsidRPr="00D715AF">
        <w:rPr>
          <w:rFonts w:cs="Times New Roman"/>
          <w:color w:val="FF0000"/>
          <w:sz w:val="24"/>
          <w:szCs w:val="24"/>
        </w:rPr>
        <w:t xml:space="preserve"> </w:t>
      </w:r>
      <w:r w:rsidRPr="00D715AF">
        <w:rPr>
          <w:rFonts w:cs="Times New Roman"/>
          <w:sz w:val="24"/>
          <w:szCs w:val="24"/>
        </w:rPr>
        <w:t>súvisiace</w:t>
      </w:r>
      <w:r w:rsidRPr="00D715AF">
        <w:rPr>
          <w:rFonts w:cs="Times New Roman"/>
          <w:color w:val="FF0000"/>
          <w:sz w:val="24"/>
          <w:szCs w:val="24"/>
        </w:rPr>
        <w:t xml:space="preserve"> </w:t>
      </w:r>
      <w:r w:rsidRPr="00D715AF">
        <w:rPr>
          <w:rFonts w:cs="Times New Roman"/>
          <w:sz w:val="24"/>
          <w:szCs w:val="24"/>
        </w:rPr>
        <w:t>s bežnou prevádzkou príspevkových organizácií vo svojej zriaďovateľskej pôsobnosti.</w:t>
      </w:r>
      <w:r w:rsidRPr="00D715AF">
        <w:rPr>
          <w:rFonts w:cs="Times New Roman"/>
          <w:color w:val="FF0000"/>
          <w:sz w:val="24"/>
          <w:szCs w:val="24"/>
        </w:rPr>
        <w:t xml:space="preserve"> </w:t>
      </w:r>
      <w:r w:rsidRPr="00D715AF">
        <w:rPr>
          <w:rFonts w:cs="Times New Roman"/>
          <w:sz w:val="24"/>
          <w:szCs w:val="24"/>
        </w:rPr>
        <w:t>Išlo najmä o transfery Biomedicínskemu centru S</w:t>
      </w:r>
      <w:r w:rsidR="00F87CEC" w:rsidRPr="00D715AF">
        <w:rPr>
          <w:rFonts w:cs="Times New Roman"/>
          <w:sz w:val="24"/>
          <w:szCs w:val="24"/>
        </w:rPr>
        <w:t>AV</w:t>
      </w:r>
      <w:r w:rsidRPr="00D715AF">
        <w:rPr>
          <w:rFonts w:cs="Times New Roman"/>
          <w:sz w:val="24"/>
          <w:szCs w:val="24"/>
        </w:rPr>
        <w:t xml:space="preserve"> (8 351 tis. eur),</w:t>
      </w:r>
      <w:r w:rsidRPr="00D715AF">
        <w:rPr>
          <w:rFonts w:ascii="Arial" w:hAnsi="Arial" w:cs="Arial"/>
          <w:sz w:val="24"/>
          <w:szCs w:val="24"/>
        </w:rPr>
        <w:t xml:space="preserve"> </w:t>
      </w:r>
      <w:r w:rsidRPr="00D715AF">
        <w:rPr>
          <w:rFonts w:cs="Times New Roman"/>
          <w:sz w:val="24"/>
          <w:szCs w:val="24"/>
        </w:rPr>
        <w:t>Cen</w:t>
      </w:r>
      <w:r w:rsidR="003F0535" w:rsidRPr="00D715AF">
        <w:rPr>
          <w:rFonts w:cs="Times New Roman"/>
          <w:sz w:val="24"/>
          <w:szCs w:val="24"/>
        </w:rPr>
        <w:t xml:space="preserve">tru spoločných činností </w:t>
      </w:r>
      <w:r w:rsidR="00F87CEC" w:rsidRPr="00D715AF">
        <w:rPr>
          <w:rFonts w:cs="Times New Roman"/>
          <w:sz w:val="24"/>
          <w:szCs w:val="24"/>
        </w:rPr>
        <w:t>SAV</w:t>
      </w:r>
      <w:r w:rsidRPr="00D715AF">
        <w:rPr>
          <w:rFonts w:cs="Times New Roman"/>
          <w:sz w:val="24"/>
          <w:szCs w:val="24"/>
        </w:rPr>
        <w:t xml:space="preserve"> (6 595 tis. eur), Chemickému ústavu </w:t>
      </w:r>
      <w:r w:rsidR="00F87CEC" w:rsidRPr="00D715AF">
        <w:rPr>
          <w:rFonts w:cs="Times New Roman"/>
          <w:sz w:val="24"/>
          <w:szCs w:val="24"/>
        </w:rPr>
        <w:t>SAV</w:t>
      </w:r>
      <w:r w:rsidRPr="00D715AF">
        <w:rPr>
          <w:rFonts w:cs="Times New Roman"/>
          <w:sz w:val="24"/>
          <w:szCs w:val="24"/>
        </w:rPr>
        <w:t xml:space="preserve"> (3 110 tis. eur), Centru experimentálnej medicíny </w:t>
      </w:r>
      <w:r w:rsidR="00F87CEC" w:rsidRPr="00D715AF">
        <w:rPr>
          <w:rFonts w:cs="Times New Roman"/>
          <w:sz w:val="24"/>
          <w:szCs w:val="24"/>
        </w:rPr>
        <w:t>SAV</w:t>
      </w:r>
      <w:r w:rsidRPr="00D715AF">
        <w:rPr>
          <w:rFonts w:cs="Times New Roman"/>
          <w:sz w:val="24"/>
          <w:szCs w:val="24"/>
        </w:rPr>
        <w:t xml:space="preserve"> (2 970 tis. eur)</w:t>
      </w:r>
      <w:r w:rsidR="00F87CEC" w:rsidRPr="00D715AF">
        <w:rPr>
          <w:rFonts w:cs="Times New Roman"/>
          <w:sz w:val="24"/>
          <w:szCs w:val="24"/>
        </w:rPr>
        <w:t xml:space="preserve"> a </w:t>
      </w:r>
      <w:r w:rsidRPr="00D715AF">
        <w:rPr>
          <w:rFonts w:cs="Times New Roman"/>
          <w:sz w:val="24"/>
          <w:szCs w:val="24"/>
        </w:rPr>
        <w:t>ostatným príspevkovým organizáciám v zriaďovateľskej pôsobnosti.</w:t>
      </w:r>
    </w:p>
    <w:p w14:paraId="245EFD53" w14:textId="77777777" w:rsidR="00867564" w:rsidRPr="00D715AF" w:rsidRDefault="00867564" w:rsidP="001665F3">
      <w:pPr>
        <w:spacing w:line="240" w:lineRule="auto"/>
        <w:rPr>
          <w:rFonts w:cs="Times New Roman"/>
          <w:color w:val="FF0000"/>
          <w:sz w:val="24"/>
          <w:szCs w:val="24"/>
        </w:rPr>
      </w:pPr>
      <w:r w:rsidRPr="00957C24">
        <w:rPr>
          <w:b/>
          <w:i/>
          <w:sz w:val="24"/>
          <w:szCs w:val="24"/>
        </w:rPr>
        <w:t>Transfery vyšším územným celkom</w:t>
      </w:r>
      <w:r w:rsidRPr="00D715AF">
        <w:rPr>
          <w:i/>
          <w:sz w:val="24"/>
          <w:szCs w:val="24"/>
          <w:u w:val="single"/>
        </w:rPr>
        <w:t xml:space="preserve"> </w:t>
      </w:r>
      <w:r w:rsidRPr="00D715AF">
        <w:rPr>
          <w:sz w:val="24"/>
          <w:szCs w:val="24"/>
        </w:rPr>
        <w:t xml:space="preserve">dosiahli úhrnom </w:t>
      </w:r>
      <w:r w:rsidRPr="00D715AF">
        <w:rPr>
          <w:rFonts w:cs="Times New Roman"/>
          <w:sz w:val="24"/>
          <w:szCs w:val="24"/>
        </w:rPr>
        <w:t>544 446 tis. eur,</w:t>
      </w:r>
      <w:r w:rsidRPr="00D715AF">
        <w:rPr>
          <w:rFonts w:cs="Times New Roman"/>
          <w:color w:val="FF0000"/>
          <w:sz w:val="24"/>
          <w:szCs w:val="24"/>
        </w:rPr>
        <w:t xml:space="preserve"> </w:t>
      </w:r>
      <w:r w:rsidRPr="00D715AF">
        <w:rPr>
          <w:rFonts w:cs="Times New Roman"/>
          <w:sz w:val="24"/>
          <w:szCs w:val="24"/>
        </w:rPr>
        <w:t>z toho na úhradu nákladov preneseného výkonu štátnej správy sa vyčerpalo 520 691 tis. eur.</w:t>
      </w:r>
      <w:r w:rsidRPr="00D715AF">
        <w:rPr>
          <w:rFonts w:cs="Times New Roman"/>
          <w:color w:val="FF0000"/>
          <w:sz w:val="24"/>
          <w:szCs w:val="24"/>
        </w:rPr>
        <w:t xml:space="preserve"> </w:t>
      </w:r>
    </w:p>
    <w:p w14:paraId="6B292F18" w14:textId="77777777" w:rsidR="00867564" w:rsidRPr="00957C24" w:rsidRDefault="00867564" w:rsidP="001665F3">
      <w:pPr>
        <w:spacing w:line="240" w:lineRule="auto"/>
        <w:rPr>
          <w:rFonts w:cs="Times New Roman"/>
        </w:rPr>
      </w:pPr>
      <w:r w:rsidRPr="00957C24">
        <w:rPr>
          <w:rFonts w:cs="Times New Roman"/>
          <w:b/>
          <w:i/>
        </w:rPr>
        <w:t>Podrobnejšie údaje o transferoch vyšším územným celkom sú uvedené v časti 3.2.4. Vzťahy štátneho rozpočtu k vyšším územným celkom.</w:t>
      </w:r>
    </w:p>
    <w:p w14:paraId="260092AC" w14:textId="551B8F1B" w:rsidR="00867564" w:rsidRPr="00D715AF" w:rsidRDefault="00867564" w:rsidP="001665F3">
      <w:pPr>
        <w:spacing w:line="240" w:lineRule="auto"/>
        <w:rPr>
          <w:rFonts w:cs="Times New Roman"/>
          <w:color w:val="FF0000"/>
          <w:sz w:val="24"/>
          <w:szCs w:val="24"/>
        </w:rPr>
      </w:pPr>
      <w:r w:rsidRPr="00D715AF">
        <w:rPr>
          <w:rFonts w:cs="Times New Roman"/>
          <w:sz w:val="24"/>
          <w:szCs w:val="24"/>
        </w:rPr>
        <w:t xml:space="preserve">Transfery </w:t>
      </w:r>
      <w:r w:rsidRPr="00A11D93">
        <w:rPr>
          <w:rFonts w:cs="Times New Roman"/>
          <w:b/>
          <w:i/>
          <w:sz w:val="24"/>
          <w:szCs w:val="24"/>
        </w:rPr>
        <w:t>Železniciam SR</w:t>
      </w:r>
      <w:r w:rsidRPr="00D715AF">
        <w:rPr>
          <w:rFonts w:cs="Times New Roman"/>
          <w:b/>
          <w:sz w:val="24"/>
          <w:szCs w:val="24"/>
        </w:rPr>
        <w:t xml:space="preserve"> </w:t>
      </w:r>
      <w:r w:rsidRPr="00D715AF">
        <w:rPr>
          <w:rFonts w:cs="Times New Roman"/>
          <w:sz w:val="24"/>
          <w:szCs w:val="24"/>
        </w:rPr>
        <w:t>v sume 325 893 tis. eur poskytla kapitola Ministerstva dopravy a</w:t>
      </w:r>
      <w:r w:rsidR="00676CEF" w:rsidRPr="00D715AF">
        <w:rPr>
          <w:rFonts w:cs="Times New Roman"/>
          <w:sz w:val="24"/>
          <w:szCs w:val="24"/>
        </w:rPr>
        <w:t> </w:t>
      </w:r>
      <w:r w:rsidRPr="00D715AF">
        <w:rPr>
          <w:rFonts w:cs="Times New Roman"/>
          <w:sz w:val="24"/>
          <w:szCs w:val="24"/>
        </w:rPr>
        <w:t>výstavby SR.</w:t>
      </w:r>
      <w:r w:rsidRPr="00D715AF">
        <w:rPr>
          <w:rFonts w:cs="Times New Roman"/>
          <w:color w:val="FF0000"/>
          <w:sz w:val="24"/>
          <w:szCs w:val="24"/>
        </w:rPr>
        <w:t xml:space="preserve"> </w:t>
      </w:r>
      <w:r w:rsidRPr="00D715AF">
        <w:rPr>
          <w:rFonts w:cs="Times New Roman"/>
          <w:sz w:val="24"/>
          <w:szCs w:val="24"/>
        </w:rPr>
        <w:t>Finančné prostriedky boli použité v rámci podprogramu Podpora verejných služieb a prevádzkovanie dráh (324 995 tis. eur) na prevádzkovanie železničnej infraštruktúry. Schválený rozpočet bol navýšený na základe rozpočtového</w:t>
      </w:r>
      <w:r w:rsidRPr="00D715AF">
        <w:rPr>
          <w:rFonts w:cs="Times New Roman"/>
          <w:color w:val="FF0000"/>
          <w:sz w:val="24"/>
          <w:szCs w:val="24"/>
        </w:rPr>
        <w:t xml:space="preserve"> </w:t>
      </w:r>
      <w:r w:rsidRPr="00D715AF">
        <w:rPr>
          <w:rFonts w:cs="Times New Roman"/>
          <w:color w:val="000000"/>
          <w:sz w:val="24"/>
          <w:szCs w:val="24"/>
          <w:shd w:val="clear" w:color="auto" w:fill="FFFFFF"/>
        </w:rPr>
        <w:t xml:space="preserve">opatrenia Ministerstva financií SR č. 57/2020 </w:t>
      </w:r>
      <w:r w:rsidRPr="00D715AF">
        <w:rPr>
          <w:rFonts w:cs="Times New Roman"/>
          <w:sz w:val="24"/>
          <w:szCs w:val="24"/>
        </w:rPr>
        <w:t xml:space="preserve">o 53 293 tis. eur </w:t>
      </w:r>
      <w:r w:rsidRPr="00D715AF">
        <w:rPr>
          <w:rFonts w:cs="Times New Roman"/>
          <w:color w:val="000000"/>
          <w:sz w:val="24"/>
          <w:szCs w:val="24"/>
          <w:shd w:val="clear" w:color="auto" w:fill="FFFFFF"/>
        </w:rPr>
        <w:t>z dôvodu negatívneho vplyvu pandémie súvisiacej s ochorením COVID-19 na hospodárenie spoločnosti.</w:t>
      </w:r>
    </w:p>
    <w:p w14:paraId="7F079A23" w14:textId="6F694D38" w:rsidR="00867564" w:rsidRPr="00D715AF" w:rsidRDefault="00867564" w:rsidP="001665F3">
      <w:pPr>
        <w:spacing w:line="240" w:lineRule="auto"/>
        <w:rPr>
          <w:rFonts w:cs="Times New Roman"/>
          <w:color w:val="000000"/>
          <w:sz w:val="24"/>
          <w:szCs w:val="24"/>
          <w:shd w:val="clear" w:color="auto" w:fill="FFFFFF"/>
        </w:rPr>
      </w:pPr>
      <w:r w:rsidRPr="00D715AF">
        <w:rPr>
          <w:rFonts w:cs="Times New Roman"/>
          <w:sz w:val="24"/>
          <w:szCs w:val="24"/>
        </w:rPr>
        <w:t xml:space="preserve">Transfery </w:t>
      </w:r>
      <w:r w:rsidRPr="00A11D93">
        <w:rPr>
          <w:rFonts w:cs="Times New Roman"/>
          <w:b/>
          <w:i/>
          <w:iCs/>
          <w:sz w:val="24"/>
          <w:szCs w:val="24"/>
        </w:rPr>
        <w:t>Železničnej spoločnosti Slovensko, a. s.,</w:t>
      </w:r>
      <w:r w:rsidRPr="00D715AF">
        <w:rPr>
          <w:rFonts w:cs="Times New Roman"/>
          <w:sz w:val="24"/>
          <w:szCs w:val="24"/>
        </w:rPr>
        <w:t xml:space="preserve"> boli poskytnuté v sume 306 970 tis. eur,</w:t>
      </w:r>
      <w:r w:rsidRPr="00D715AF">
        <w:rPr>
          <w:rFonts w:cs="Times New Roman"/>
          <w:color w:val="FF0000"/>
          <w:sz w:val="24"/>
          <w:szCs w:val="24"/>
        </w:rPr>
        <w:t xml:space="preserve"> </w:t>
      </w:r>
      <w:r w:rsidRPr="00D715AF">
        <w:rPr>
          <w:rFonts w:cs="Times New Roman"/>
          <w:sz w:val="24"/>
          <w:szCs w:val="24"/>
        </w:rPr>
        <w:t>čo je o 49 723 tis. eur viac oproti schválenému rozpočtu.</w:t>
      </w:r>
      <w:r w:rsidRPr="00D715AF">
        <w:rPr>
          <w:rFonts w:cs="Times New Roman"/>
          <w:color w:val="FF0000"/>
          <w:sz w:val="24"/>
          <w:szCs w:val="24"/>
        </w:rPr>
        <w:t xml:space="preserve"> </w:t>
      </w:r>
      <w:r w:rsidRPr="00D715AF">
        <w:rPr>
          <w:rFonts w:cs="Times New Roman"/>
          <w:color w:val="000000"/>
          <w:sz w:val="24"/>
          <w:szCs w:val="24"/>
          <w:shd w:val="clear" w:color="auto" w:fill="FFFFFF"/>
        </w:rPr>
        <w:t xml:space="preserve">Finančné prostriedky boli použité </w:t>
      </w:r>
      <w:r w:rsidRPr="00D715AF">
        <w:rPr>
          <w:rFonts w:cs="Times New Roman"/>
          <w:sz w:val="24"/>
          <w:szCs w:val="24"/>
        </w:rPr>
        <w:t>na zabezpečenie</w:t>
      </w:r>
      <w:r w:rsidR="00F960F6" w:rsidRPr="00D715AF">
        <w:rPr>
          <w:rFonts w:cs="Times New Roman"/>
          <w:color w:val="000000"/>
          <w:sz w:val="24"/>
          <w:szCs w:val="24"/>
          <w:shd w:val="clear" w:color="auto" w:fill="FFFFFF"/>
        </w:rPr>
        <w:t xml:space="preserve"> dopravných služieb</w:t>
      </w:r>
      <w:r w:rsidRPr="00D715AF">
        <w:rPr>
          <w:rFonts w:cs="Times New Roman"/>
          <w:color w:val="000000"/>
          <w:sz w:val="24"/>
          <w:szCs w:val="24"/>
          <w:shd w:val="clear" w:color="auto" w:fill="FFFFFF"/>
        </w:rPr>
        <w:t xml:space="preserve"> vo verejnom záujme pri prevádzkovaní osobnej dopravy na</w:t>
      </w:r>
      <w:r w:rsidR="00676CEF" w:rsidRPr="00D715AF">
        <w:rPr>
          <w:rFonts w:cs="Times New Roman"/>
          <w:color w:val="000000"/>
          <w:sz w:val="24"/>
          <w:szCs w:val="24"/>
          <w:shd w:val="clear" w:color="auto" w:fill="FFFFFF"/>
        </w:rPr>
        <w:t> </w:t>
      </w:r>
      <w:r w:rsidR="00F960F6" w:rsidRPr="00D715AF">
        <w:rPr>
          <w:rFonts w:cs="Times New Roman"/>
          <w:color w:val="000000"/>
          <w:sz w:val="24"/>
          <w:szCs w:val="24"/>
          <w:shd w:val="clear" w:color="auto" w:fill="FFFFFF"/>
        </w:rPr>
        <w:t xml:space="preserve">dráhe. Schválený rozpočet bol </w:t>
      </w:r>
      <w:r w:rsidRPr="00D715AF">
        <w:rPr>
          <w:rFonts w:cs="Times New Roman"/>
          <w:color w:val="000000"/>
          <w:sz w:val="24"/>
          <w:szCs w:val="24"/>
          <w:shd w:val="clear" w:color="auto" w:fill="FFFFFF"/>
        </w:rPr>
        <w:t>navýšený na základe rozpočtového opatrenia obdobne ako pri</w:t>
      </w:r>
      <w:r w:rsidR="00676CEF" w:rsidRPr="00D715AF">
        <w:rPr>
          <w:rFonts w:cs="Times New Roman"/>
          <w:color w:val="000000"/>
          <w:sz w:val="24"/>
          <w:szCs w:val="24"/>
          <w:shd w:val="clear" w:color="auto" w:fill="FFFFFF"/>
        </w:rPr>
        <w:t> </w:t>
      </w:r>
      <w:r w:rsidRPr="00D715AF">
        <w:rPr>
          <w:rFonts w:cs="Times New Roman"/>
          <w:color w:val="000000"/>
          <w:sz w:val="24"/>
          <w:szCs w:val="24"/>
          <w:shd w:val="clear" w:color="auto" w:fill="FFFFFF"/>
        </w:rPr>
        <w:t xml:space="preserve">Železniciach SR. </w:t>
      </w:r>
    </w:p>
    <w:p w14:paraId="61B11FC2" w14:textId="2A3E5A85" w:rsidR="00867564" w:rsidRPr="00DF4558" w:rsidRDefault="00867564" w:rsidP="001665F3">
      <w:pPr>
        <w:spacing w:line="240" w:lineRule="auto"/>
        <w:rPr>
          <w:rFonts w:cs="Times New Roman"/>
          <w:color w:val="FF0000"/>
          <w:sz w:val="20"/>
          <w:szCs w:val="20"/>
        </w:rPr>
      </w:pPr>
      <w:r w:rsidRPr="00D715AF">
        <w:rPr>
          <w:sz w:val="24"/>
          <w:szCs w:val="24"/>
        </w:rPr>
        <w:t xml:space="preserve">Transfery </w:t>
      </w:r>
      <w:r w:rsidRPr="00A11D93">
        <w:rPr>
          <w:b/>
          <w:i/>
          <w:sz w:val="24"/>
          <w:szCs w:val="24"/>
        </w:rPr>
        <w:t>ostatným subjektom verejnej správy</w:t>
      </w:r>
      <w:r w:rsidRPr="00D715AF">
        <w:rPr>
          <w:sz w:val="24"/>
          <w:szCs w:val="24"/>
        </w:rPr>
        <w:t xml:space="preserve"> predstavovali </w:t>
      </w:r>
      <w:r w:rsidRPr="00D715AF">
        <w:rPr>
          <w:rFonts w:cs="Times New Roman"/>
          <w:sz w:val="24"/>
          <w:szCs w:val="24"/>
        </w:rPr>
        <w:t xml:space="preserve">čerpanie v sume 135 851 tis. eur a boli realizované najmä Ministerstvom kultúry SR (88 059 tis. eur), Ministerstvom </w:t>
      </w:r>
      <w:r w:rsidR="003F0535" w:rsidRPr="00D715AF">
        <w:rPr>
          <w:rFonts w:cs="Times New Roman"/>
          <w:sz w:val="24"/>
          <w:szCs w:val="24"/>
        </w:rPr>
        <w:t xml:space="preserve">školstva, </w:t>
      </w:r>
      <w:r w:rsidRPr="00D715AF">
        <w:rPr>
          <w:rFonts w:cs="Times New Roman"/>
          <w:sz w:val="24"/>
          <w:szCs w:val="24"/>
        </w:rPr>
        <w:t>vedy, výskumu a športu SR (33</w:t>
      </w:r>
      <w:r w:rsidR="003F0535" w:rsidRPr="00D715AF">
        <w:rPr>
          <w:rFonts w:cs="Times New Roman"/>
          <w:sz w:val="24"/>
          <w:szCs w:val="24"/>
        </w:rPr>
        <w:t> 929 tis. eur) a Ministerstvom f</w:t>
      </w:r>
      <w:r w:rsidRPr="00D715AF">
        <w:rPr>
          <w:rFonts w:cs="Times New Roman"/>
          <w:sz w:val="24"/>
          <w:szCs w:val="24"/>
        </w:rPr>
        <w:t>inancií SR (5 056 tis. eur).</w:t>
      </w:r>
    </w:p>
    <w:p w14:paraId="631C36CE" w14:textId="3F8FA5D3" w:rsidR="00867564" w:rsidRPr="00D715AF" w:rsidRDefault="00867564" w:rsidP="001665F3">
      <w:pPr>
        <w:spacing w:line="240" w:lineRule="auto"/>
        <w:rPr>
          <w:rFonts w:eastAsia="Times New Roman" w:cs="Times New Roman"/>
          <w:color w:val="212121"/>
          <w:sz w:val="24"/>
          <w:szCs w:val="24"/>
          <w:lang w:eastAsia="sk-SK"/>
        </w:rPr>
      </w:pPr>
      <w:r w:rsidRPr="00D715AF">
        <w:rPr>
          <w:sz w:val="24"/>
          <w:szCs w:val="24"/>
        </w:rPr>
        <w:t xml:space="preserve">Transfery </w:t>
      </w:r>
      <w:r w:rsidRPr="00A11D93">
        <w:rPr>
          <w:b/>
          <w:i/>
          <w:sz w:val="24"/>
          <w:szCs w:val="24"/>
        </w:rPr>
        <w:t>štátnym účelovým fondom</w:t>
      </w:r>
      <w:r w:rsidRPr="00D715AF">
        <w:rPr>
          <w:sz w:val="24"/>
          <w:szCs w:val="24"/>
        </w:rPr>
        <w:t xml:space="preserve"> sa čerpali v objeme 83 092 tis. eur, z toho Ministerstvo hospodárstva SR pridelilo 58 027 tis. eur, a to</w:t>
      </w:r>
      <w:r w:rsidRPr="00D715AF">
        <w:rPr>
          <w:color w:val="FF0000"/>
          <w:sz w:val="24"/>
          <w:szCs w:val="24"/>
        </w:rPr>
        <w:t xml:space="preserve"> </w:t>
      </w:r>
      <w:r w:rsidRPr="00D715AF">
        <w:rPr>
          <w:rFonts w:eastAsia="Times New Roman" w:cs="Times New Roman"/>
          <w:iCs/>
          <w:color w:val="212121"/>
          <w:sz w:val="24"/>
          <w:szCs w:val="24"/>
          <w:lang w:eastAsia="sk-SK"/>
        </w:rPr>
        <w:t>Národnému jadrovému fondu – odvody od</w:t>
      </w:r>
      <w:r w:rsidR="00676CEF" w:rsidRPr="00D715AF">
        <w:rPr>
          <w:rFonts w:eastAsia="Times New Roman" w:cs="Times New Roman"/>
          <w:iCs/>
          <w:color w:val="212121"/>
          <w:sz w:val="24"/>
          <w:szCs w:val="24"/>
          <w:lang w:eastAsia="sk-SK"/>
        </w:rPr>
        <w:t> </w:t>
      </w:r>
      <w:r w:rsidRPr="00D715AF">
        <w:rPr>
          <w:rFonts w:eastAsia="Times New Roman" w:cs="Times New Roman"/>
          <w:iCs/>
          <w:color w:val="212121"/>
          <w:sz w:val="24"/>
          <w:szCs w:val="24"/>
          <w:lang w:eastAsia="sk-SK"/>
        </w:rPr>
        <w:t>prenosovej sústavy a distribučných sústav</w:t>
      </w:r>
      <w:r w:rsidRPr="00D715AF">
        <w:rPr>
          <w:rFonts w:eastAsia="Times New Roman" w:cs="Times New Roman"/>
          <w:color w:val="212121"/>
          <w:sz w:val="24"/>
          <w:szCs w:val="24"/>
          <w:lang w:eastAsia="sk-SK"/>
        </w:rPr>
        <w:t xml:space="preserve"> v zmysle zákona </w:t>
      </w:r>
      <w:r w:rsidR="002166EB" w:rsidRPr="00D715AF">
        <w:rPr>
          <w:rFonts w:eastAsia="Times New Roman" w:cs="Times New Roman"/>
          <w:color w:val="212121"/>
          <w:sz w:val="24"/>
          <w:szCs w:val="24"/>
          <w:lang w:eastAsia="sk-SK"/>
        </w:rPr>
        <w:t xml:space="preserve">č. </w:t>
      </w:r>
      <w:r w:rsidRPr="00D715AF">
        <w:rPr>
          <w:rFonts w:eastAsia="Times New Roman" w:cs="Times New Roman"/>
          <w:color w:val="212121"/>
          <w:sz w:val="24"/>
          <w:szCs w:val="24"/>
          <w:lang w:eastAsia="sk-SK"/>
        </w:rPr>
        <w:t>308/2018 Z. z. o Národnom jadrovom fonde a o zmene a doplnení zákona č. 541/2004 Z. z. o mierovom využívaní jadrovej energie (57 717 tis. eur) a Národnému jadrovému fondu v zmysle citovaného zákona na</w:t>
      </w:r>
      <w:r w:rsidR="00676CEF" w:rsidRPr="00D715AF">
        <w:rPr>
          <w:rFonts w:eastAsia="Times New Roman" w:cs="Times New Roman"/>
          <w:color w:val="212121"/>
          <w:sz w:val="24"/>
          <w:szCs w:val="24"/>
          <w:lang w:eastAsia="sk-SK"/>
        </w:rPr>
        <w:t> </w:t>
      </w:r>
      <w:proofErr w:type="spellStart"/>
      <w:r w:rsidRPr="00D715AF">
        <w:rPr>
          <w:rFonts w:eastAsia="Times New Roman" w:cs="Times New Roman"/>
          <w:color w:val="212121"/>
          <w:sz w:val="24"/>
          <w:szCs w:val="24"/>
          <w:lang w:eastAsia="sk-SK"/>
        </w:rPr>
        <w:t>prefinancovanie</w:t>
      </w:r>
      <w:proofErr w:type="spellEnd"/>
      <w:r w:rsidRPr="00D715AF">
        <w:rPr>
          <w:rFonts w:eastAsia="Times New Roman" w:cs="Times New Roman"/>
          <w:color w:val="212121"/>
          <w:sz w:val="24"/>
          <w:szCs w:val="24"/>
          <w:lang w:eastAsia="sk-SK"/>
        </w:rPr>
        <w:t xml:space="preserve"> zachytených rádioaktívnych materiálov od neznámych vlastníkov (310 tis. eur). Ministerstvo dopravy a výstavby SR čerpalo z tejto podpoložky 25 000 tis. eur pre</w:t>
      </w:r>
      <w:r w:rsidR="00676CEF" w:rsidRPr="00D715AF">
        <w:rPr>
          <w:rFonts w:eastAsia="Times New Roman" w:cs="Times New Roman"/>
          <w:color w:val="212121"/>
          <w:sz w:val="24"/>
          <w:szCs w:val="24"/>
          <w:lang w:eastAsia="sk-SK"/>
        </w:rPr>
        <w:t> </w:t>
      </w:r>
      <w:r w:rsidRPr="00D715AF">
        <w:rPr>
          <w:rFonts w:eastAsia="Times New Roman" w:cs="Times New Roman"/>
          <w:color w:val="212121"/>
          <w:sz w:val="24"/>
          <w:szCs w:val="24"/>
          <w:lang w:eastAsia="sk-SK"/>
        </w:rPr>
        <w:t>Štátny fond rozvoja bývania na financovanie obnovy bytových budov.</w:t>
      </w:r>
    </w:p>
    <w:p w14:paraId="4C6F7B2A" w14:textId="53E6008E" w:rsidR="00867564" w:rsidRPr="00D715AF" w:rsidRDefault="00867564" w:rsidP="001665F3">
      <w:pPr>
        <w:spacing w:line="240" w:lineRule="auto"/>
        <w:rPr>
          <w:rFonts w:cs="Times New Roman"/>
          <w:color w:val="FF0000"/>
          <w:sz w:val="24"/>
          <w:szCs w:val="24"/>
        </w:rPr>
      </w:pPr>
      <w:r w:rsidRPr="00D715AF">
        <w:rPr>
          <w:rFonts w:cs="Times New Roman"/>
          <w:sz w:val="24"/>
          <w:szCs w:val="24"/>
        </w:rPr>
        <w:t xml:space="preserve">Transfery </w:t>
      </w:r>
      <w:r w:rsidRPr="00A11D93">
        <w:rPr>
          <w:rFonts w:cs="Times New Roman"/>
          <w:b/>
          <w:i/>
          <w:iCs/>
          <w:sz w:val="24"/>
          <w:szCs w:val="24"/>
        </w:rPr>
        <w:t>Národnej diaľničnej spoločnosti, a. s.</w:t>
      </w:r>
      <w:r w:rsidRPr="00D715AF">
        <w:rPr>
          <w:rFonts w:cs="Times New Roman"/>
          <w:i/>
          <w:iCs/>
          <w:sz w:val="24"/>
          <w:szCs w:val="24"/>
        </w:rPr>
        <w:t>,</w:t>
      </w:r>
      <w:r w:rsidRPr="00D715AF">
        <w:rPr>
          <w:rFonts w:cs="Times New Roman"/>
          <w:sz w:val="24"/>
          <w:szCs w:val="24"/>
        </w:rPr>
        <w:t xml:space="preserve"> boli poskytnuté v sume 55 814 tis. eur na</w:t>
      </w:r>
      <w:r w:rsidR="00676CEF" w:rsidRPr="00D715AF">
        <w:rPr>
          <w:rFonts w:cs="Times New Roman"/>
          <w:sz w:val="24"/>
          <w:szCs w:val="24"/>
        </w:rPr>
        <w:t> </w:t>
      </w:r>
      <w:r w:rsidRPr="00D715AF">
        <w:rPr>
          <w:rFonts w:cs="Times New Roman"/>
          <w:sz w:val="24"/>
          <w:szCs w:val="24"/>
        </w:rPr>
        <w:t>prípravu a realizáciu opráv a údržby diaľnic a rýchlostných ciest na základe Zmluvy o</w:t>
      </w:r>
      <w:r w:rsidR="00676CEF" w:rsidRPr="00D715AF">
        <w:rPr>
          <w:rFonts w:cs="Times New Roman"/>
          <w:sz w:val="24"/>
          <w:szCs w:val="24"/>
        </w:rPr>
        <w:t> </w:t>
      </w:r>
      <w:r w:rsidRPr="00D715AF">
        <w:rPr>
          <w:rFonts w:cs="Times New Roman"/>
          <w:sz w:val="24"/>
          <w:szCs w:val="24"/>
        </w:rPr>
        <w:t>poskytnutí dotácií z rozpočtovej kapitoly Ministerstva dopravy a výstavby SR.</w:t>
      </w:r>
    </w:p>
    <w:p w14:paraId="6BD4DD89" w14:textId="68474AAE" w:rsidR="005C4AEB" w:rsidRDefault="00867564" w:rsidP="001665F3">
      <w:pPr>
        <w:spacing w:line="240" w:lineRule="auto"/>
        <w:rPr>
          <w:sz w:val="24"/>
          <w:szCs w:val="24"/>
        </w:rPr>
      </w:pPr>
      <w:r w:rsidRPr="00D715AF">
        <w:rPr>
          <w:b/>
          <w:sz w:val="24"/>
          <w:szCs w:val="24"/>
        </w:rPr>
        <w:t xml:space="preserve">Transfery jednotlivcom a neziskovým právnickým osobám </w:t>
      </w:r>
      <w:r w:rsidRPr="00D715AF">
        <w:rPr>
          <w:sz w:val="24"/>
          <w:szCs w:val="24"/>
        </w:rPr>
        <w:t>boli rozpočtované vo výške 4 381 649 tis. eur a ich skutočné čerpanie predstavovalo</w:t>
      </w:r>
      <w:r w:rsidRPr="00D715AF">
        <w:rPr>
          <w:color w:val="FF0000"/>
          <w:sz w:val="24"/>
          <w:szCs w:val="24"/>
        </w:rPr>
        <w:t xml:space="preserve"> </w:t>
      </w:r>
      <w:r w:rsidRPr="00D715AF">
        <w:rPr>
          <w:sz w:val="24"/>
          <w:szCs w:val="24"/>
        </w:rPr>
        <w:t xml:space="preserve">5 400 184 tis. eur, a to najmä na platby vo forme sociálnych príspevkov a dávok, dôchodkov, transferov občianskym združeniam, neziskovým organizáciám, cirkvám a podobne. </w:t>
      </w:r>
    </w:p>
    <w:p w14:paraId="21B615E4" w14:textId="77777777" w:rsidR="003B6649" w:rsidRDefault="003B6649" w:rsidP="001665F3">
      <w:pPr>
        <w:spacing w:line="240" w:lineRule="auto"/>
        <w:rPr>
          <w:sz w:val="24"/>
          <w:szCs w:val="24"/>
        </w:rPr>
      </w:pPr>
    </w:p>
    <w:p w14:paraId="617284C6" w14:textId="77777777" w:rsidR="003B6649" w:rsidRDefault="003B6649" w:rsidP="001665F3">
      <w:pPr>
        <w:spacing w:line="240" w:lineRule="auto"/>
        <w:rPr>
          <w:sz w:val="24"/>
          <w:szCs w:val="24"/>
        </w:rPr>
      </w:pPr>
    </w:p>
    <w:p w14:paraId="7B4E60A4" w14:textId="77777777" w:rsidR="003B6649" w:rsidRDefault="003B6649" w:rsidP="001665F3">
      <w:pPr>
        <w:spacing w:line="240" w:lineRule="auto"/>
        <w:rPr>
          <w:sz w:val="24"/>
          <w:szCs w:val="24"/>
        </w:rPr>
      </w:pPr>
    </w:p>
    <w:p w14:paraId="08DE7FC6" w14:textId="77777777" w:rsidR="003B6649" w:rsidRDefault="003B6649" w:rsidP="001665F3">
      <w:pPr>
        <w:spacing w:line="240" w:lineRule="auto"/>
        <w:rPr>
          <w:sz w:val="24"/>
          <w:szCs w:val="24"/>
        </w:rPr>
      </w:pPr>
    </w:p>
    <w:p w14:paraId="5AD87CB6" w14:textId="77777777" w:rsidR="003B6649" w:rsidRDefault="003B6649" w:rsidP="001665F3">
      <w:pPr>
        <w:spacing w:line="240" w:lineRule="auto"/>
        <w:rPr>
          <w:sz w:val="24"/>
          <w:szCs w:val="24"/>
        </w:rPr>
      </w:pPr>
    </w:p>
    <w:p w14:paraId="3E352B48" w14:textId="77777777" w:rsidR="003B6649" w:rsidRDefault="003B6649" w:rsidP="001665F3">
      <w:pPr>
        <w:spacing w:line="240" w:lineRule="auto"/>
        <w:rPr>
          <w:sz w:val="24"/>
          <w:szCs w:val="24"/>
        </w:rPr>
      </w:pPr>
    </w:p>
    <w:p w14:paraId="18CA48D8" w14:textId="77777777" w:rsidR="003B6649" w:rsidRDefault="003B6649" w:rsidP="001665F3">
      <w:pPr>
        <w:spacing w:line="240" w:lineRule="auto"/>
        <w:rPr>
          <w:sz w:val="24"/>
          <w:szCs w:val="24"/>
        </w:rPr>
      </w:pPr>
    </w:p>
    <w:p w14:paraId="23593839" w14:textId="77777777" w:rsidR="003B6649" w:rsidRDefault="003B6649" w:rsidP="001665F3">
      <w:pPr>
        <w:spacing w:line="240" w:lineRule="auto"/>
        <w:rPr>
          <w:sz w:val="24"/>
          <w:szCs w:val="24"/>
        </w:rPr>
      </w:pPr>
    </w:p>
    <w:p w14:paraId="30CEAD90" w14:textId="77777777" w:rsidR="003B6649" w:rsidRDefault="003B6649" w:rsidP="001665F3">
      <w:pPr>
        <w:spacing w:line="240" w:lineRule="auto"/>
        <w:rPr>
          <w:sz w:val="24"/>
          <w:szCs w:val="24"/>
        </w:rPr>
      </w:pPr>
    </w:p>
    <w:p w14:paraId="03E53266" w14:textId="77777777" w:rsidR="003B6649" w:rsidRDefault="003B6649" w:rsidP="001665F3">
      <w:pPr>
        <w:spacing w:line="240" w:lineRule="auto"/>
        <w:rPr>
          <w:sz w:val="24"/>
          <w:szCs w:val="24"/>
        </w:rPr>
      </w:pPr>
    </w:p>
    <w:p w14:paraId="0ACB38AB" w14:textId="77777777" w:rsidR="003B6649" w:rsidRDefault="003B6649" w:rsidP="001665F3">
      <w:pPr>
        <w:spacing w:line="240" w:lineRule="auto"/>
        <w:rPr>
          <w:sz w:val="24"/>
          <w:szCs w:val="24"/>
        </w:rPr>
      </w:pPr>
    </w:p>
    <w:tbl>
      <w:tblPr>
        <w:tblW w:w="8957" w:type="dxa"/>
        <w:tblCellMar>
          <w:left w:w="70" w:type="dxa"/>
          <w:right w:w="70" w:type="dxa"/>
        </w:tblCellMar>
        <w:tblLook w:val="04A0" w:firstRow="1" w:lastRow="0" w:firstColumn="1" w:lastColumn="0" w:noHBand="0" w:noVBand="1"/>
      </w:tblPr>
      <w:tblGrid>
        <w:gridCol w:w="2956"/>
        <w:gridCol w:w="995"/>
        <w:gridCol w:w="992"/>
        <w:gridCol w:w="1007"/>
        <w:gridCol w:w="1025"/>
        <w:gridCol w:w="931"/>
        <w:gridCol w:w="1051"/>
      </w:tblGrid>
      <w:tr w:rsidR="003B6649" w:rsidRPr="003B6649" w14:paraId="12B2796D" w14:textId="77777777" w:rsidTr="003B6649">
        <w:trPr>
          <w:trHeight w:val="458"/>
        </w:trPr>
        <w:tc>
          <w:tcPr>
            <w:tcW w:w="8957" w:type="dxa"/>
            <w:gridSpan w:val="7"/>
            <w:tcBorders>
              <w:top w:val="nil"/>
              <w:left w:val="nil"/>
              <w:bottom w:val="nil"/>
              <w:right w:val="nil"/>
            </w:tcBorders>
            <w:shd w:val="clear" w:color="000000" w:fill="000000"/>
            <w:vAlign w:val="center"/>
            <w:hideMark/>
          </w:tcPr>
          <w:p w14:paraId="0B6A93BD" w14:textId="124F66FF" w:rsidR="003B6649" w:rsidRPr="003B6649" w:rsidRDefault="003B6649" w:rsidP="003B6649">
            <w:pPr>
              <w:spacing w:after="0" w:line="240" w:lineRule="auto"/>
              <w:jc w:val="left"/>
              <w:rPr>
                <w:rFonts w:eastAsia="Times New Roman" w:cs="Times New Roman"/>
                <w:b/>
                <w:bCs/>
                <w:color w:val="FFFFFF"/>
                <w:sz w:val="18"/>
                <w:szCs w:val="18"/>
                <w:lang w:eastAsia="sk-SK"/>
              </w:rPr>
            </w:pPr>
            <w:r w:rsidRPr="003B6649">
              <w:rPr>
                <w:rFonts w:eastAsia="Times New Roman" w:cs="Times New Roman"/>
                <w:b/>
                <w:bCs/>
                <w:color w:val="FFFFFF"/>
                <w:sz w:val="18"/>
                <w:szCs w:val="18"/>
                <w:lang w:eastAsia="sk-SK"/>
              </w:rPr>
              <w:t xml:space="preserve">Transfery jednotlivcom a neziskovým právnickým osobám                                                                      </w:t>
            </w:r>
            <w:r w:rsidR="0023537F">
              <w:rPr>
                <w:rFonts w:eastAsia="Times New Roman" w:cs="Times New Roman"/>
                <w:b/>
                <w:bCs/>
                <w:color w:val="FFFFFF"/>
                <w:sz w:val="18"/>
                <w:szCs w:val="18"/>
                <w:lang w:eastAsia="sk-SK"/>
              </w:rPr>
              <w:t xml:space="preserve">  </w:t>
            </w:r>
            <w:r w:rsidRPr="003B6649">
              <w:rPr>
                <w:rFonts w:eastAsia="Times New Roman" w:cs="Times New Roman"/>
                <w:b/>
                <w:bCs/>
                <w:color w:val="FFFFFF"/>
                <w:sz w:val="18"/>
                <w:szCs w:val="18"/>
                <w:lang w:eastAsia="sk-SK"/>
              </w:rPr>
              <w:t xml:space="preserve">        v tis. eur </w:t>
            </w:r>
          </w:p>
        </w:tc>
      </w:tr>
      <w:tr w:rsidR="003B6649" w:rsidRPr="003B6649" w14:paraId="68663A24" w14:textId="77777777" w:rsidTr="003B6649">
        <w:trPr>
          <w:trHeight w:val="330"/>
        </w:trPr>
        <w:tc>
          <w:tcPr>
            <w:tcW w:w="2956" w:type="dxa"/>
            <w:vMerge w:val="restart"/>
            <w:tcBorders>
              <w:top w:val="nil"/>
              <w:left w:val="nil"/>
              <w:bottom w:val="nil"/>
              <w:right w:val="nil"/>
            </w:tcBorders>
            <w:shd w:val="clear" w:color="000000" w:fill="BFBFBF"/>
            <w:vAlign w:val="center"/>
            <w:hideMark/>
          </w:tcPr>
          <w:p w14:paraId="63E9142D" w14:textId="77777777" w:rsidR="003B6649" w:rsidRPr="003B6649" w:rsidRDefault="003B6649" w:rsidP="003B6649">
            <w:pPr>
              <w:spacing w:after="0" w:line="240" w:lineRule="auto"/>
              <w:jc w:val="center"/>
              <w:rPr>
                <w:rFonts w:eastAsia="Times New Roman" w:cs="Times New Roman"/>
                <w:b/>
                <w:bCs/>
                <w:color w:val="000000"/>
                <w:sz w:val="18"/>
                <w:szCs w:val="18"/>
                <w:lang w:eastAsia="sk-SK"/>
              </w:rPr>
            </w:pPr>
            <w:r w:rsidRPr="003B6649">
              <w:rPr>
                <w:rFonts w:eastAsia="Times New Roman" w:cs="Times New Roman"/>
                <w:b/>
                <w:bCs/>
                <w:color w:val="000000"/>
                <w:sz w:val="18"/>
                <w:szCs w:val="18"/>
                <w:lang w:eastAsia="sk-SK"/>
              </w:rPr>
              <w:t xml:space="preserve"> </w:t>
            </w:r>
          </w:p>
        </w:tc>
        <w:tc>
          <w:tcPr>
            <w:tcW w:w="1987" w:type="dxa"/>
            <w:gridSpan w:val="2"/>
            <w:tcBorders>
              <w:top w:val="nil"/>
              <w:left w:val="nil"/>
              <w:bottom w:val="nil"/>
              <w:right w:val="nil"/>
            </w:tcBorders>
            <w:shd w:val="clear" w:color="000000" w:fill="BFBFBF"/>
            <w:noWrap/>
            <w:vAlign w:val="center"/>
            <w:hideMark/>
          </w:tcPr>
          <w:p w14:paraId="7FB7EA6B" w14:textId="77777777" w:rsidR="003B6649" w:rsidRPr="003B6649" w:rsidRDefault="003B6649" w:rsidP="003B6649">
            <w:pPr>
              <w:spacing w:after="0" w:line="240" w:lineRule="auto"/>
              <w:jc w:val="center"/>
              <w:rPr>
                <w:rFonts w:eastAsia="Times New Roman" w:cs="Times New Roman"/>
                <w:b/>
                <w:bCs/>
                <w:color w:val="000000"/>
                <w:sz w:val="18"/>
                <w:szCs w:val="18"/>
                <w:lang w:eastAsia="sk-SK"/>
              </w:rPr>
            </w:pPr>
            <w:r w:rsidRPr="003B6649">
              <w:rPr>
                <w:rFonts w:eastAsia="Times New Roman" w:cs="Times New Roman"/>
                <w:b/>
                <w:bCs/>
                <w:color w:val="000000"/>
                <w:sz w:val="18"/>
                <w:szCs w:val="18"/>
                <w:lang w:eastAsia="sk-SK"/>
              </w:rPr>
              <w:t>Skutočnosť</w:t>
            </w:r>
          </w:p>
        </w:tc>
        <w:tc>
          <w:tcPr>
            <w:tcW w:w="1007" w:type="dxa"/>
            <w:tcBorders>
              <w:top w:val="nil"/>
              <w:left w:val="nil"/>
              <w:bottom w:val="nil"/>
              <w:right w:val="nil"/>
            </w:tcBorders>
            <w:shd w:val="clear" w:color="000000" w:fill="BFBFBF"/>
            <w:noWrap/>
            <w:vAlign w:val="center"/>
            <w:hideMark/>
          </w:tcPr>
          <w:p w14:paraId="4DA91689" w14:textId="77777777" w:rsidR="003B6649" w:rsidRPr="003B6649" w:rsidRDefault="003B6649" w:rsidP="003B6649">
            <w:pPr>
              <w:spacing w:after="0" w:line="240" w:lineRule="auto"/>
              <w:jc w:val="center"/>
              <w:rPr>
                <w:rFonts w:eastAsia="Times New Roman" w:cs="Times New Roman"/>
                <w:b/>
                <w:bCs/>
                <w:color w:val="000000"/>
                <w:sz w:val="18"/>
                <w:szCs w:val="18"/>
                <w:lang w:eastAsia="sk-SK"/>
              </w:rPr>
            </w:pPr>
            <w:r w:rsidRPr="003B6649">
              <w:rPr>
                <w:rFonts w:eastAsia="Times New Roman" w:cs="Times New Roman"/>
                <w:b/>
                <w:bCs/>
                <w:color w:val="000000"/>
                <w:sz w:val="18"/>
                <w:szCs w:val="18"/>
                <w:lang w:eastAsia="sk-SK"/>
              </w:rPr>
              <w:t>Rozpočet</w:t>
            </w:r>
          </w:p>
        </w:tc>
        <w:tc>
          <w:tcPr>
            <w:tcW w:w="1025" w:type="dxa"/>
            <w:tcBorders>
              <w:top w:val="nil"/>
              <w:left w:val="nil"/>
              <w:bottom w:val="nil"/>
              <w:right w:val="nil"/>
            </w:tcBorders>
            <w:shd w:val="clear" w:color="000000" w:fill="BFBFBF"/>
            <w:noWrap/>
            <w:vAlign w:val="center"/>
            <w:hideMark/>
          </w:tcPr>
          <w:p w14:paraId="6AD275C9" w14:textId="77777777" w:rsidR="003B6649" w:rsidRPr="003B6649" w:rsidRDefault="003B6649" w:rsidP="003B6649">
            <w:pPr>
              <w:spacing w:after="0" w:line="240" w:lineRule="auto"/>
              <w:jc w:val="center"/>
              <w:rPr>
                <w:rFonts w:eastAsia="Times New Roman" w:cs="Times New Roman"/>
                <w:b/>
                <w:bCs/>
                <w:color w:val="000000"/>
                <w:sz w:val="18"/>
                <w:szCs w:val="18"/>
                <w:lang w:eastAsia="sk-SK"/>
              </w:rPr>
            </w:pPr>
            <w:r w:rsidRPr="003B6649">
              <w:rPr>
                <w:rFonts w:eastAsia="Times New Roman" w:cs="Times New Roman"/>
                <w:b/>
                <w:bCs/>
                <w:color w:val="000000"/>
                <w:sz w:val="18"/>
                <w:szCs w:val="18"/>
                <w:lang w:eastAsia="sk-SK"/>
              </w:rPr>
              <w:t>Skutočnosť</w:t>
            </w:r>
          </w:p>
        </w:tc>
        <w:tc>
          <w:tcPr>
            <w:tcW w:w="1982" w:type="dxa"/>
            <w:gridSpan w:val="2"/>
            <w:tcBorders>
              <w:top w:val="nil"/>
              <w:left w:val="nil"/>
              <w:bottom w:val="nil"/>
              <w:right w:val="nil"/>
            </w:tcBorders>
            <w:shd w:val="clear" w:color="000000" w:fill="BFBFBF"/>
            <w:noWrap/>
            <w:vAlign w:val="center"/>
            <w:hideMark/>
          </w:tcPr>
          <w:p w14:paraId="26FD8F11" w14:textId="77777777" w:rsidR="003B6649" w:rsidRPr="003B6649" w:rsidRDefault="003B6649" w:rsidP="003B6649">
            <w:pPr>
              <w:spacing w:after="0" w:line="240" w:lineRule="auto"/>
              <w:jc w:val="center"/>
              <w:rPr>
                <w:rFonts w:eastAsia="Times New Roman" w:cs="Times New Roman"/>
                <w:b/>
                <w:bCs/>
                <w:color w:val="000000"/>
                <w:sz w:val="18"/>
                <w:szCs w:val="18"/>
                <w:lang w:eastAsia="sk-SK"/>
              </w:rPr>
            </w:pPr>
            <w:r w:rsidRPr="003B6649">
              <w:rPr>
                <w:rFonts w:eastAsia="Times New Roman" w:cs="Times New Roman"/>
                <w:b/>
                <w:bCs/>
                <w:color w:val="000000"/>
                <w:sz w:val="18"/>
                <w:szCs w:val="18"/>
                <w:lang w:eastAsia="sk-SK"/>
              </w:rPr>
              <w:t>Rozdiel</w:t>
            </w:r>
          </w:p>
        </w:tc>
      </w:tr>
      <w:tr w:rsidR="003B6649" w:rsidRPr="003B6649" w14:paraId="2A664B3C" w14:textId="77777777" w:rsidTr="003B6649">
        <w:trPr>
          <w:trHeight w:val="330"/>
        </w:trPr>
        <w:tc>
          <w:tcPr>
            <w:tcW w:w="2956" w:type="dxa"/>
            <w:vMerge/>
            <w:tcBorders>
              <w:top w:val="nil"/>
              <w:left w:val="nil"/>
              <w:bottom w:val="nil"/>
              <w:right w:val="nil"/>
            </w:tcBorders>
            <w:vAlign w:val="center"/>
            <w:hideMark/>
          </w:tcPr>
          <w:p w14:paraId="34D17569" w14:textId="77777777" w:rsidR="003B6649" w:rsidRPr="003B6649" w:rsidRDefault="003B6649" w:rsidP="003B6649">
            <w:pPr>
              <w:spacing w:after="0" w:line="240" w:lineRule="auto"/>
              <w:jc w:val="left"/>
              <w:rPr>
                <w:rFonts w:eastAsia="Times New Roman" w:cs="Times New Roman"/>
                <w:b/>
                <w:bCs/>
                <w:color w:val="000000"/>
                <w:sz w:val="18"/>
                <w:szCs w:val="18"/>
                <w:lang w:eastAsia="sk-SK"/>
              </w:rPr>
            </w:pPr>
          </w:p>
        </w:tc>
        <w:tc>
          <w:tcPr>
            <w:tcW w:w="995" w:type="dxa"/>
            <w:tcBorders>
              <w:top w:val="nil"/>
              <w:left w:val="nil"/>
              <w:bottom w:val="nil"/>
              <w:right w:val="nil"/>
            </w:tcBorders>
            <w:shd w:val="clear" w:color="000000" w:fill="BFBFBF"/>
            <w:noWrap/>
            <w:vAlign w:val="center"/>
            <w:hideMark/>
          </w:tcPr>
          <w:p w14:paraId="6291FA0F" w14:textId="77777777" w:rsidR="003B6649" w:rsidRPr="003B6649" w:rsidRDefault="003B6649" w:rsidP="003B6649">
            <w:pPr>
              <w:spacing w:after="0" w:line="240" w:lineRule="auto"/>
              <w:jc w:val="center"/>
              <w:rPr>
                <w:rFonts w:eastAsia="Times New Roman" w:cs="Times New Roman"/>
                <w:b/>
                <w:bCs/>
                <w:color w:val="000000"/>
                <w:sz w:val="18"/>
                <w:szCs w:val="18"/>
                <w:lang w:eastAsia="sk-SK"/>
              </w:rPr>
            </w:pPr>
            <w:r w:rsidRPr="003B6649">
              <w:rPr>
                <w:rFonts w:eastAsia="Times New Roman" w:cs="Times New Roman"/>
                <w:b/>
                <w:bCs/>
                <w:color w:val="000000"/>
                <w:sz w:val="18"/>
                <w:szCs w:val="18"/>
                <w:lang w:eastAsia="sk-SK"/>
              </w:rPr>
              <w:t>2018</w:t>
            </w:r>
          </w:p>
        </w:tc>
        <w:tc>
          <w:tcPr>
            <w:tcW w:w="992" w:type="dxa"/>
            <w:tcBorders>
              <w:top w:val="nil"/>
              <w:left w:val="nil"/>
              <w:bottom w:val="nil"/>
              <w:right w:val="nil"/>
            </w:tcBorders>
            <w:shd w:val="clear" w:color="000000" w:fill="BFBFBF"/>
            <w:noWrap/>
            <w:vAlign w:val="center"/>
            <w:hideMark/>
          </w:tcPr>
          <w:p w14:paraId="15330524" w14:textId="77777777" w:rsidR="003B6649" w:rsidRPr="003B6649" w:rsidRDefault="003B6649" w:rsidP="003B6649">
            <w:pPr>
              <w:spacing w:after="0" w:line="240" w:lineRule="auto"/>
              <w:jc w:val="center"/>
              <w:rPr>
                <w:rFonts w:eastAsia="Times New Roman" w:cs="Times New Roman"/>
                <w:b/>
                <w:bCs/>
                <w:color w:val="000000"/>
                <w:sz w:val="18"/>
                <w:szCs w:val="18"/>
                <w:lang w:eastAsia="sk-SK"/>
              </w:rPr>
            </w:pPr>
            <w:r w:rsidRPr="003B6649">
              <w:rPr>
                <w:rFonts w:eastAsia="Times New Roman" w:cs="Times New Roman"/>
                <w:b/>
                <w:bCs/>
                <w:color w:val="000000"/>
                <w:sz w:val="18"/>
                <w:szCs w:val="18"/>
                <w:lang w:eastAsia="sk-SK"/>
              </w:rPr>
              <w:t>2019</w:t>
            </w:r>
          </w:p>
        </w:tc>
        <w:tc>
          <w:tcPr>
            <w:tcW w:w="1007" w:type="dxa"/>
            <w:tcBorders>
              <w:top w:val="nil"/>
              <w:left w:val="nil"/>
              <w:bottom w:val="nil"/>
              <w:right w:val="nil"/>
            </w:tcBorders>
            <w:shd w:val="clear" w:color="000000" w:fill="BFBFBF"/>
            <w:noWrap/>
            <w:vAlign w:val="center"/>
            <w:hideMark/>
          </w:tcPr>
          <w:p w14:paraId="6158FAEF" w14:textId="77777777" w:rsidR="003B6649" w:rsidRPr="003B6649" w:rsidRDefault="003B6649" w:rsidP="003B6649">
            <w:pPr>
              <w:spacing w:after="0" w:line="240" w:lineRule="auto"/>
              <w:jc w:val="center"/>
              <w:rPr>
                <w:rFonts w:eastAsia="Times New Roman" w:cs="Times New Roman"/>
                <w:b/>
                <w:bCs/>
                <w:color w:val="000000"/>
                <w:sz w:val="18"/>
                <w:szCs w:val="18"/>
                <w:lang w:eastAsia="sk-SK"/>
              </w:rPr>
            </w:pPr>
            <w:r w:rsidRPr="003B6649">
              <w:rPr>
                <w:rFonts w:eastAsia="Times New Roman" w:cs="Times New Roman"/>
                <w:b/>
                <w:bCs/>
                <w:color w:val="000000"/>
                <w:sz w:val="18"/>
                <w:szCs w:val="18"/>
                <w:lang w:eastAsia="sk-SK"/>
              </w:rPr>
              <w:t>2020</w:t>
            </w:r>
          </w:p>
        </w:tc>
        <w:tc>
          <w:tcPr>
            <w:tcW w:w="1025" w:type="dxa"/>
            <w:tcBorders>
              <w:top w:val="nil"/>
              <w:left w:val="nil"/>
              <w:bottom w:val="nil"/>
              <w:right w:val="nil"/>
            </w:tcBorders>
            <w:shd w:val="clear" w:color="000000" w:fill="BFBFBF"/>
            <w:noWrap/>
            <w:vAlign w:val="center"/>
            <w:hideMark/>
          </w:tcPr>
          <w:p w14:paraId="2D9FA041" w14:textId="77777777" w:rsidR="003B6649" w:rsidRPr="003B6649" w:rsidRDefault="003B6649" w:rsidP="003B6649">
            <w:pPr>
              <w:spacing w:after="0" w:line="240" w:lineRule="auto"/>
              <w:jc w:val="center"/>
              <w:rPr>
                <w:rFonts w:eastAsia="Times New Roman" w:cs="Times New Roman"/>
                <w:b/>
                <w:bCs/>
                <w:color w:val="000000"/>
                <w:sz w:val="18"/>
                <w:szCs w:val="18"/>
                <w:lang w:eastAsia="sk-SK"/>
              </w:rPr>
            </w:pPr>
            <w:r w:rsidRPr="003B6649">
              <w:rPr>
                <w:rFonts w:eastAsia="Times New Roman" w:cs="Times New Roman"/>
                <w:b/>
                <w:bCs/>
                <w:color w:val="000000"/>
                <w:sz w:val="18"/>
                <w:szCs w:val="18"/>
                <w:lang w:eastAsia="sk-SK"/>
              </w:rPr>
              <w:t>2020</w:t>
            </w:r>
          </w:p>
        </w:tc>
        <w:tc>
          <w:tcPr>
            <w:tcW w:w="931" w:type="dxa"/>
            <w:tcBorders>
              <w:top w:val="nil"/>
              <w:left w:val="nil"/>
              <w:bottom w:val="nil"/>
              <w:right w:val="nil"/>
            </w:tcBorders>
            <w:shd w:val="clear" w:color="000000" w:fill="BFBFBF"/>
            <w:noWrap/>
            <w:vAlign w:val="center"/>
            <w:hideMark/>
          </w:tcPr>
          <w:p w14:paraId="5FD3BA00" w14:textId="77777777" w:rsidR="003B6649" w:rsidRPr="003B6649" w:rsidRDefault="003B6649" w:rsidP="003B6649">
            <w:pPr>
              <w:spacing w:after="0" w:line="240" w:lineRule="auto"/>
              <w:jc w:val="center"/>
              <w:rPr>
                <w:rFonts w:eastAsia="Times New Roman" w:cs="Times New Roman"/>
                <w:b/>
                <w:bCs/>
                <w:color w:val="000000"/>
                <w:sz w:val="18"/>
                <w:szCs w:val="18"/>
                <w:lang w:eastAsia="sk-SK"/>
              </w:rPr>
            </w:pPr>
            <w:r w:rsidRPr="003B6649">
              <w:rPr>
                <w:rFonts w:eastAsia="Times New Roman" w:cs="Times New Roman"/>
                <w:b/>
                <w:bCs/>
                <w:color w:val="000000"/>
                <w:sz w:val="18"/>
                <w:szCs w:val="18"/>
                <w:lang w:eastAsia="sk-SK"/>
              </w:rPr>
              <w:t>v tis. eur</w:t>
            </w:r>
          </w:p>
        </w:tc>
        <w:tc>
          <w:tcPr>
            <w:tcW w:w="1051" w:type="dxa"/>
            <w:tcBorders>
              <w:top w:val="nil"/>
              <w:left w:val="nil"/>
              <w:bottom w:val="nil"/>
              <w:right w:val="nil"/>
            </w:tcBorders>
            <w:shd w:val="clear" w:color="000000" w:fill="BFBFBF"/>
            <w:noWrap/>
            <w:vAlign w:val="center"/>
            <w:hideMark/>
          </w:tcPr>
          <w:p w14:paraId="58936A6A" w14:textId="77777777" w:rsidR="003B6649" w:rsidRPr="003B6649" w:rsidRDefault="003B6649" w:rsidP="003B6649">
            <w:pPr>
              <w:spacing w:after="0" w:line="240" w:lineRule="auto"/>
              <w:jc w:val="center"/>
              <w:rPr>
                <w:rFonts w:eastAsia="Times New Roman" w:cs="Times New Roman"/>
                <w:b/>
                <w:bCs/>
                <w:color w:val="000000"/>
                <w:sz w:val="18"/>
                <w:szCs w:val="18"/>
                <w:lang w:eastAsia="sk-SK"/>
              </w:rPr>
            </w:pPr>
            <w:r w:rsidRPr="003B6649">
              <w:rPr>
                <w:rFonts w:eastAsia="Times New Roman" w:cs="Times New Roman"/>
                <w:b/>
                <w:bCs/>
                <w:color w:val="000000"/>
                <w:sz w:val="18"/>
                <w:szCs w:val="18"/>
                <w:lang w:eastAsia="sk-SK"/>
              </w:rPr>
              <w:t>v %</w:t>
            </w:r>
          </w:p>
        </w:tc>
      </w:tr>
      <w:tr w:rsidR="003B6649" w:rsidRPr="003B6649" w14:paraId="2F4E77A0" w14:textId="77777777" w:rsidTr="003B6649">
        <w:trPr>
          <w:trHeight w:val="345"/>
        </w:trPr>
        <w:tc>
          <w:tcPr>
            <w:tcW w:w="2956" w:type="dxa"/>
            <w:tcBorders>
              <w:top w:val="nil"/>
              <w:left w:val="nil"/>
              <w:bottom w:val="single" w:sz="8" w:space="0" w:color="auto"/>
              <w:right w:val="nil"/>
            </w:tcBorders>
            <w:shd w:val="clear" w:color="000000" w:fill="BFBFBF"/>
            <w:vAlign w:val="center"/>
            <w:hideMark/>
          </w:tcPr>
          <w:p w14:paraId="316117C3" w14:textId="77777777" w:rsidR="003B6649" w:rsidRPr="003B6649" w:rsidRDefault="003B6649" w:rsidP="003B6649">
            <w:pPr>
              <w:spacing w:after="0" w:line="240" w:lineRule="auto"/>
              <w:jc w:val="center"/>
              <w:rPr>
                <w:rFonts w:eastAsia="Times New Roman" w:cs="Times New Roman"/>
                <w:b/>
                <w:bCs/>
                <w:color w:val="000000"/>
                <w:sz w:val="18"/>
                <w:szCs w:val="18"/>
                <w:lang w:eastAsia="sk-SK"/>
              </w:rPr>
            </w:pPr>
            <w:r w:rsidRPr="003B6649">
              <w:rPr>
                <w:rFonts w:eastAsia="Times New Roman" w:cs="Times New Roman"/>
                <w:b/>
                <w:bCs/>
                <w:color w:val="000000"/>
                <w:sz w:val="18"/>
                <w:szCs w:val="18"/>
                <w:lang w:eastAsia="sk-SK"/>
              </w:rPr>
              <w:t> </w:t>
            </w:r>
          </w:p>
        </w:tc>
        <w:tc>
          <w:tcPr>
            <w:tcW w:w="995" w:type="dxa"/>
            <w:tcBorders>
              <w:top w:val="nil"/>
              <w:left w:val="nil"/>
              <w:bottom w:val="single" w:sz="8" w:space="0" w:color="auto"/>
              <w:right w:val="nil"/>
            </w:tcBorders>
            <w:shd w:val="clear" w:color="000000" w:fill="BFBFBF"/>
            <w:noWrap/>
            <w:vAlign w:val="center"/>
            <w:hideMark/>
          </w:tcPr>
          <w:p w14:paraId="74D95AF2" w14:textId="77777777" w:rsidR="003B6649" w:rsidRPr="003B6649" w:rsidRDefault="003B6649" w:rsidP="003B6649">
            <w:pPr>
              <w:spacing w:after="0" w:line="240" w:lineRule="auto"/>
              <w:jc w:val="center"/>
              <w:rPr>
                <w:rFonts w:eastAsia="Times New Roman" w:cs="Times New Roman"/>
                <w:b/>
                <w:bCs/>
                <w:color w:val="000000"/>
                <w:sz w:val="18"/>
                <w:szCs w:val="18"/>
                <w:lang w:eastAsia="sk-SK"/>
              </w:rPr>
            </w:pPr>
            <w:r w:rsidRPr="003B6649">
              <w:rPr>
                <w:rFonts w:eastAsia="Times New Roman" w:cs="Times New Roman"/>
                <w:b/>
                <w:bCs/>
                <w:color w:val="000000"/>
                <w:sz w:val="18"/>
                <w:szCs w:val="18"/>
                <w:lang w:eastAsia="sk-SK"/>
              </w:rPr>
              <w:t>2</w:t>
            </w:r>
          </w:p>
        </w:tc>
        <w:tc>
          <w:tcPr>
            <w:tcW w:w="992" w:type="dxa"/>
            <w:tcBorders>
              <w:top w:val="nil"/>
              <w:left w:val="nil"/>
              <w:bottom w:val="single" w:sz="8" w:space="0" w:color="auto"/>
              <w:right w:val="nil"/>
            </w:tcBorders>
            <w:shd w:val="clear" w:color="000000" w:fill="BFBFBF"/>
            <w:noWrap/>
            <w:vAlign w:val="center"/>
            <w:hideMark/>
          </w:tcPr>
          <w:p w14:paraId="5182DE37" w14:textId="77777777" w:rsidR="003B6649" w:rsidRPr="003B6649" w:rsidRDefault="003B6649" w:rsidP="003B6649">
            <w:pPr>
              <w:spacing w:after="0" w:line="240" w:lineRule="auto"/>
              <w:jc w:val="center"/>
              <w:rPr>
                <w:rFonts w:eastAsia="Times New Roman" w:cs="Times New Roman"/>
                <w:b/>
                <w:bCs/>
                <w:color w:val="000000"/>
                <w:sz w:val="18"/>
                <w:szCs w:val="18"/>
                <w:lang w:eastAsia="sk-SK"/>
              </w:rPr>
            </w:pPr>
            <w:r w:rsidRPr="003B6649">
              <w:rPr>
                <w:rFonts w:eastAsia="Times New Roman" w:cs="Times New Roman"/>
                <w:b/>
                <w:bCs/>
                <w:color w:val="000000"/>
                <w:sz w:val="18"/>
                <w:szCs w:val="18"/>
                <w:lang w:eastAsia="sk-SK"/>
              </w:rPr>
              <w:t>4</w:t>
            </w:r>
          </w:p>
        </w:tc>
        <w:tc>
          <w:tcPr>
            <w:tcW w:w="1007" w:type="dxa"/>
            <w:tcBorders>
              <w:top w:val="nil"/>
              <w:left w:val="nil"/>
              <w:bottom w:val="single" w:sz="8" w:space="0" w:color="auto"/>
              <w:right w:val="nil"/>
            </w:tcBorders>
            <w:shd w:val="clear" w:color="000000" w:fill="BFBFBF"/>
            <w:noWrap/>
            <w:vAlign w:val="center"/>
            <w:hideMark/>
          </w:tcPr>
          <w:p w14:paraId="2493B7D4" w14:textId="77777777" w:rsidR="003B6649" w:rsidRPr="003B6649" w:rsidRDefault="003B6649" w:rsidP="003B6649">
            <w:pPr>
              <w:spacing w:after="0" w:line="240" w:lineRule="auto"/>
              <w:jc w:val="center"/>
              <w:rPr>
                <w:rFonts w:eastAsia="Times New Roman" w:cs="Times New Roman"/>
                <w:b/>
                <w:bCs/>
                <w:color w:val="000000"/>
                <w:sz w:val="18"/>
                <w:szCs w:val="18"/>
                <w:lang w:eastAsia="sk-SK"/>
              </w:rPr>
            </w:pPr>
            <w:r w:rsidRPr="003B6649">
              <w:rPr>
                <w:rFonts w:eastAsia="Times New Roman" w:cs="Times New Roman"/>
                <w:b/>
                <w:bCs/>
                <w:color w:val="000000"/>
                <w:sz w:val="18"/>
                <w:szCs w:val="18"/>
                <w:lang w:eastAsia="sk-SK"/>
              </w:rPr>
              <w:t>3</w:t>
            </w:r>
          </w:p>
        </w:tc>
        <w:tc>
          <w:tcPr>
            <w:tcW w:w="1025" w:type="dxa"/>
            <w:tcBorders>
              <w:top w:val="nil"/>
              <w:left w:val="nil"/>
              <w:bottom w:val="single" w:sz="8" w:space="0" w:color="auto"/>
              <w:right w:val="nil"/>
            </w:tcBorders>
            <w:shd w:val="clear" w:color="000000" w:fill="BFBFBF"/>
            <w:noWrap/>
            <w:vAlign w:val="center"/>
            <w:hideMark/>
          </w:tcPr>
          <w:p w14:paraId="51FFFD4E" w14:textId="77777777" w:rsidR="003B6649" w:rsidRPr="003B6649" w:rsidRDefault="003B6649" w:rsidP="003B6649">
            <w:pPr>
              <w:spacing w:after="0" w:line="240" w:lineRule="auto"/>
              <w:jc w:val="center"/>
              <w:rPr>
                <w:rFonts w:eastAsia="Times New Roman" w:cs="Times New Roman"/>
                <w:b/>
                <w:bCs/>
                <w:color w:val="000000"/>
                <w:sz w:val="18"/>
                <w:szCs w:val="18"/>
                <w:lang w:eastAsia="sk-SK"/>
              </w:rPr>
            </w:pPr>
            <w:r w:rsidRPr="003B6649">
              <w:rPr>
                <w:rFonts w:eastAsia="Times New Roman" w:cs="Times New Roman"/>
                <w:b/>
                <w:bCs/>
                <w:color w:val="000000"/>
                <w:sz w:val="18"/>
                <w:szCs w:val="18"/>
                <w:lang w:eastAsia="sk-SK"/>
              </w:rPr>
              <w:t>4</w:t>
            </w:r>
          </w:p>
        </w:tc>
        <w:tc>
          <w:tcPr>
            <w:tcW w:w="931" w:type="dxa"/>
            <w:tcBorders>
              <w:top w:val="nil"/>
              <w:left w:val="nil"/>
              <w:bottom w:val="single" w:sz="8" w:space="0" w:color="auto"/>
              <w:right w:val="nil"/>
            </w:tcBorders>
            <w:shd w:val="clear" w:color="000000" w:fill="BFBFBF"/>
            <w:noWrap/>
            <w:vAlign w:val="center"/>
            <w:hideMark/>
          </w:tcPr>
          <w:p w14:paraId="64A58980" w14:textId="77777777" w:rsidR="003B6649" w:rsidRPr="003B6649" w:rsidRDefault="003B6649" w:rsidP="003B6649">
            <w:pPr>
              <w:spacing w:after="0" w:line="240" w:lineRule="auto"/>
              <w:jc w:val="center"/>
              <w:rPr>
                <w:rFonts w:eastAsia="Times New Roman" w:cs="Times New Roman"/>
                <w:b/>
                <w:bCs/>
                <w:color w:val="000000"/>
                <w:sz w:val="18"/>
                <w:szCs w:val="18"/>
                <w:lang w:eastAsia="sk-SK"/>
              </w:rPr>
            </w:pPr>
            <w:r w:rsidRPr="003B6649">
              <w:rPr>
                <w:rFonts w:eastAsia="Times New Roman" w:cs="Times New Roman"/>
                <w:b/>
                <w:bCs/>
                <w:color w:val="000000"/>
                <w:sz w:val="18"/>
                <w:szCs w:val="18"/>
                <w:lang w:eastAsia="sk-SK"/>
              </w:rPr>
              <w:t>5=4-3</w:t>
            </w:r>
          </w:p>
        </w:tc>
        <w:tc>
          <w:tcPr>
            <w:tcW w:w="1051" w:type="dxa"/>
            <w:tcBorders>
              <w:top w:val="nil"/>
              <w:left w:val="nil"/>
              <w:bottom w:val="single" w:sz="8" w:space="0" w:color="auto"/>
              <w:right w:val="nil"/>
            </w:tcBorders>
            <w:shd w:val="clear" w:color="000000" w:fill="BFBFBF"/>
            <w:noWrap/>
            <w:vAlign w:val="center"/>
            <w:hideMark/>
          </w:tcPr>
          <w:p w14:paraId="3D98F07B" w14:textId="77777777" w:rsidR="003B6649" w:rsidRPr="003B6649" w:rsidRDefault="003B6649" w:rsidP="003B6649">
            <w:pPr>
              <w:spacing w:after="0" w:line="240" w:lineRule="auto"/>
              <w:jc w:val="center"/>
              <w:rPr>
                <w:rFonts w:eastAsia="Times New Roman" w:cs="Times New Roman"/>
                <w:b/>
                <w:bCs/>
                <w:color w:val="000000"/>
                <w:sz w:val="18"/>
                <w:szCs w:val="18"/>
                <w:lang w:eastAsia="sk-SK"/>
              </w:rPr>
            </w:pPr>
            <w:r w:rsidRPr="003B6649">
              <w:rPr>
                <w:rFonts w:eastAsia="Times New Roman" w:cs="Times New Roman"/>
                <w:b/>
                <w:bCs/>
                <w:color w:val="000000"/>
                <w:sz w:val="18"/>
                <w:szCs w:val="18"/>
                <w:lang w:eastAsia="sk-SK"/>
              </w:rPr>
              <w:t>6=4-3</w:t>
            </w:r>
          </w:p>
        </w:tc>
      </w:tr>
      <w:tr w:rsidR="003B6649" w:rsidRPr="003B6649" w14:paraId="28B71E08" w14:textId="77777777" w:rsidTr="003B6649">
        <w:trPr>
          <w:trHeight w:val="345"/>
        </w:trPr>
        <w:tc>
          <w:tcPr>
            <w:tcW w:w="2956" w:type="dxa"/>
            <w:tcBorders>
              <w:top w:val="nil"/>
              <w:left w:val="nil"/>
              <w:bottom w:val="nil"/>
              <w:right w:val="nil"/>
            </w:tcBorders>
            <w:shd w:val="clear" w:color="auto" w:fill="auto"/>
            <w:vAlign w:val="center"/>
            <w:hideMark/>
          </w:tcPr>
          <w:p w14:paraId="704FFFE7" w14:textId="77777777" w:rsidR="003B6649" w:rsidRPr="003B6649" w:rsidRDefault="003B6649" w:rsidP="003B6649">
            <w:pPr>
              <w:spacing w:after="0" w:line="240" w:lineRule="auto"/>
              <w:rPr>
                <w:rFonts w:eastAsia="Times New Roman" w:cs="Times New Roman"/>
                <w:color w:val="000000"/>
                <w:sz w:val="18"/>
                <w:szCs w:val="18"/>
                <w:lang w:eastAsia="sk-SK"/>
              </w:rPr>
            </w:pPr>
            <w:r w:rsidRPr="003B6649">
              <w:rPr>
                <w:rFonts w:eastAsia="Times New Roman" w:cs="Times New Roman"/>
                <w:color w:val="000000"/>
                <w:sz w:val="18"/>
                <w:szCs w:val="18"/>
                <w:lang w:eastAsia="sk-SK"/>
              </w:rPr>
              <w:t>Sociálne dávky</w:t>
            </w:r>
          </w:p>
        </w:tc>
        <w:tc>
          <w:tcPr>
            <w:tcW w:w="995" w:type="dxa"/>
            <w:tcBorders>
              <w:top w:val="nil"/>
              <w:left w:val="nil"/>
              <w:bottom w:val="nil"/>
              <w:right w:val="nil"/>
            </w:tcBorders>
            <w:shd w:val="clear" w:color="auto" w:fill="auto"/>
            <w:vAlign w:val="center"/>
            <w:hideMark/>
          </w:tcPr>
          <w:p w14:paraId="48192566" w14:textId="77777777" w:rsidR="003B6649" w:rsidRPr="003B6649" w:rsidRDefault="003B6649" w:rsidP="003B6649">
            <w:pPr>
              <w:spacing w:after="0" w:line="240" w:lineRule="auto"/>
              <w:jc w:val="right"/>
              <w:rPr>
                <w:rFonts w:eastAsia="Times New Roman" w:cs="Times New Roman"/>
                <w:color w:val="000000"/>
                <w:sz w:val="18"/>
                <w:szCs w:val="18"/>
                <w:lang w:eastAsia="sk-SK"/>
              </w:rPr>
            </w:pPr>
            <w:r w:rsidRPr="003B6649">
              <w:rPr>
                <w:rFonts w:eastAsia="Times New Roman" w:cs="Times New Roman"/>
                <w:color w:val="000000"/>
                <w:sz w:val="18"/>
                <w:szCs w:val="18"/>
                <w:lang w:eastAsia="sk-SK"/>
              </w:rPr>
              <w:t>1 349 189</w:t>
            </w:r>
          </w:p>
        </w:tc>
        <w:tc>
          <w:tcPr>
            <w:tcW w:w="992" w:type="dxa"/>
            <w:tcBorders>
              <w:top w:val="nil"/>
              <w:left w:val="nil"/>
              <w:bottom w:val="nil"/>
              <w:right w:val="nil"/>
            </w:tcBorders>
            <w:shd w:val="clear" w:color="auto" w:fill="auto"/>
            <w:vAlign w:val="center"/>
            <w:hideMark/>
          </w:tcPr>
          <w:p w14:paraId="07BC83DD" w14:textId="77777777" w:rsidR="003B6649" w:rsidRPr="003B6649" w:rsidRDefault="003B6649" w:rsidP="003B6649">
            <w:pPr>
              <w:spacing w:after="0" w:line="240" w:lineRule="auto"/>
              <w:jc w:val="right"/>
              <w:rPr>
                <w:rFonts w:eastAsia="Times New Roman" w:cs="Times New Roman"/>
                <w:color w:val="000000"/>
                <w:sz w:val="18"/>
                <w:szCs w:val="18"/>
                <w:lang w:eastAsia="sk-SK"/>
              </w:rPr>
            </w:pPr>
            <w:r w:rsidRPr="003B6649">
              <w:rPr>
                <w:rFonts w:eastAsia="Times New Roman" w:cs="Times New Roman"/>
                <w:color w:val="000000"/>
                <w:sz w:val="18"/>
                <w:szCs w:val="18"/>
                <w:lang w:eastAsia="sk-SK"/>
              </w:rPr>
              <w:t>1 544 851</w:t>
            </w:r>
          </w:p>
        </w:tc>
        <w:tc>
          <w:tcPr>
            <w:tcW w:w="1007" w:type="dxa"/>
            <w:tcBorders>
              <w:top w:val="nil"/>
              <w:left w:val="nil"/>
              <w:bottom w:val="nil"/>
              <w:right w:val="nil"/>
            </w:tcBorders>
            <w:shd w:val="clear" w:color="auto" w:fill="auto"/>
            <w:vAlign w:val="center"/>
            <w:hideMark/>
          </w:tcPr>
          <w:p w14:paraId="661B6589" w14:textId="77777777" w:rsidR="003B6649" w:rsidRPr="003B6649" w:rsidRDefault="003B6649" w:rsidP="003B6649">
            <w:pPr>
              <w:spacing w:after="0" w:line="240" w:lineRule="auto"/>
              <w:jc w:val="right"/>
              <w:rPr>
                <w:rFonts w:eastAsia="Times New Roman" w:cs="Times New Roman"/>
                <w:color w:val="000000"/>
                <w:sz w:val="18"/>
                <w:szCs w:val="18"/>
                <w:lang w:eastAsia="sk-SK"/>
              </w:rPr>
            </w:pPr>
            <w:r w:rsidRPr="003B6649">
              <w:rPr>
                <w:rFonts w:eastAsia="Times New Roman" w:cs="Times New Roman"/>
                <w:color w:val="000000"/>
                <w:sz w:val="18"/>
                <w:szCs w:val="18"/>
                <w:lang w:eastAsia="sk-SK"/>
              </w:rPr>
              <w:t>1 834 924</w:t>
            </w:r>
          </w:p>
        </w:tc>
        <w:tc>
          <w:tcPr>
            <w:tcW w:w="1025" w:type="dxa"/>
            <w:tcBorders>
              <w:top w:val="nil"/>
              <w:left w:val="nil"/>
              <w:bottom w:val="nil"/>
              <w:right w:val="nil"/>
            </w:tcBorders>
            <w:shd w:val="clear" w:color="000000" w:fill="BFBFBF"/>
            <w:vAlign w:val="center"/>
            <w:hideMark/>
          </w:tcPr>
          <w:p w14:paraId="44133813" w14:textId="77777777" w:rsidR="003B6649" w:rsidRPr="003B6649" w:rsidRDefault="003B6649" w:rsidP="003B6649">
            <w:pPr>
              <w:spacing w:after="0" w:line="240" w:lineRule="auto"/>
              <w:jc w:val="right"/>
              <w:rPr>
                <w:rFonts w:eastAsia="Times New Roman" w:cs="Times New Roman"/>
                <w:color w:val="000000"/>
                <w:sz w:val="18"/>
                <w:szCs w:val="18"/>
                <w:lang w:eastAsia="sk-SK"/>
              </w:rPr>
            </w:pPr>
            <w:r w:rsidRPr="003B6649">
              <w:rPr>
                <w:rFonts w:eastAsia="Times New Roman" w:cs="Times New Roman"/>
                <w:color w:val="000000"/>
                <w:sz w:val="18"/>
                <w:szCs w:val="18"/>
                <w:lang w:eastAsia="sk-SK"/>
              </w:rPr>
              <w:t>2 040 403</w:t>
            </w:r>
          </w:p>
        </w:tc>
        <w:tc>
          <w:tcPr>
            <w:tcW w:w="931" w:type="dxa"/>
            <w:tcBorders>
              <w:top w:val="nil"/>
              <w:left w:val="nil"/>
              <w:bottom w:val="nil"/>
              <w:right w:val="nil"/>
            </w:tcBorders>
            <w:shd w:val="clear" w:color="auto" w:fill="auto"/>
            <w:vAlign w:val="center"/>
            <w:hideMark/>
          </w:tcPr>
          <w:p w14:paraId="305AFBAF" w14:textId="77777777" w:rsidR="003B6649" w:rsidRPr="003B6649" w:rsidRDefault="003B6649" w:rsidP="003B6649">
            <w:pPr>
              <w:spacing w:after="0" w:line="240" w:lineRule="auto"/>
              <w:jc w:val="right"/>
              <w:rPr>
                <w:rFonts w:eastAsia="Times New Roman" w:cs="Times New Roman"/>
                <w:color w:val="000000"/>
                <w:sz w:val="18"/>
                <w:szCs w:val="18"/>
                <w:lang w:eastAsia="sk-SK"/>
              </w:rPr>
            </w:pPr>
            <w:r w:rsidRPr="003B6649">
              <w:rPr>
                <w:rFonts w:eastAsia="Times New Roman" w:cs="Times New Roman"/>
                <w:color w:val="000000"/>
                <w:sz w:val="18"/>
                <w:szCs w:val="18"/>
                <w:lang w:eastAsia="sk-SK"/>
              </w:rPr>
              <w:t>205 479</w:t>
            </w:r>
          </w:p>
        </w:tc>
        <w:tc>
          <w:tcPr>
            <w:tcW w:w="1051" w:type="dxa"/>
            <w:tcBorders>
              <w:top w:val="nil"/>
              <w:left w:val="nil"/>
              <w:bottom w:val="nil"/>
              <w:right w:val="nil"/>
            </w:tcBorders>
            <w:shd w:val="clear" w:color="auto" w:fill="auto"/>
            <w:vAlign w:val="center"/>
            <w:hideMark/>
          </w:tcPr>
          <w:p w14:paraId="2D7626B1" w14:textId="77777777" w:rsidR="003B6649" w:rsidRPr="003B6649" w:rsidRDefault="003B6649" w:rsidP="003B6649">
            <w:pPr>
              <w:spacing w:after="0" w:line="240" w:lineRule="auto"/>
              <w:jc w:val="right"/>
              <w:rPr>
                <w:rFonts w:eastAsia="Times New Roman" w:cs="Times New Roman"/>
                <w:color w:val="000000"/>
                <w:sz w:val="18"/>
                <w:szCs w:val="18"/>
                <w:lang w:eastAsia="sk-SK"/>
              </w:rPr>
            </w:pPr>
            <w:r w:rsidRPr="003B6649">
              <w:rPr>
                <w:rFonts w:eastAsia="Times New Roman" w:cs="Times New Roman"/>
                <w:color w:val="000000"/>
                <w:sz w:val="18"/>
                <w:szCs w:val="18"/>
                <w:lang w:eastAsia="sk-SK"/>
              </w:rPr>
              <w:t>11,2</w:t>
            </w:r>
          </w:p>
        </w:tc>
      </w:tr>
      <w:tr w:rsidR="003B6649" w:rsidRPr="003B6649" w14:paraId="08AC2A89" w14:textId="77777777" w:rsidTr="003B6649">
        <w:trPr>
          <w:trHeight w:val="720"/>
        </w:trPr>
        <w:tc>
          <w:tcPr>
            <w:tcW w:w="2956" w:type="dxa"/>
            <w:tcBorders>
              <w:top w:val="nil"/>
              <w:left w:val="nil"/>
              <w:bottom w:val="nil"/>
              <w:right w:val="nil"/>
            </w:tcBorders>
            <w:shd w:val="clear" w:color="auto" w:fill="auto"/>
            <w:vAlign w:val="center"/>
            <w:hideMark/>
          </w:tcPr>
          <w:p w14:paraId="1407E88F" w14:textId="77777777" w:rsidR="003B6649" w:rsidRPr="003B6649" w:rsidRDefault="003B6649" w:rsidP="003B6649">
            <w:pPr>
              <w:spacing w:after="0" w:line="240" w:lineRule="auto"/>
              <w:rPr>
                <w:rFonts w:eastAsia="Times New Roman" w:cs="Times New Roman"/>
                <w:color w:val="000000"/>
                <w:sz w:val="18"/>
                <w:szCs w:val="18"/>
                <w:lang w:eastAsia="sk-SK"/>
              </w:rPr>
            </w:pPr>
            <w:r w:rsidRPr="003B6649">
              <w:rPr>
                <w:rFonts w:eastAsia="Times New Roman" w:cs="Times New Roman"/>
                <w:color w:val="000000"/>
                <w:sz w:val="18"/>
                <w:szCs w:val="18"/>
                <w:lang w:eastAsia="sk-SK"/>
              </w:rPr>
              <w:t xml:space="preserve">Transfery na platené poistné za skupiny osôb ustanovené zákonom </w:t>
            </w:r>
          </w:p>
        </w:tc>
        <w:tc>
          <w:tcPr>
            <w:tcW w:w="995" w:type="dxa"/>
            <w:tcBorders>
              <w:top w:val="nil"/>
              <w:left w:val="nil"/>
              <w:bottom w:val="nil"/>
              <w:right w:val="nil"/>
            </w:tcBorders>
            <w:shd w:val="clear" w:color="auto" w:fill="auto"/>
            <w:vAlign w:val="center"/>
            <w:hideMark/>
          </w:tcPr>
          <w:p w14:paraId="0E716CA6" w14:textId="77777777" w:rsidR="003B6649" w:rsidRPr="003B6649" w:rsidRDefault="003B6649" w:rsidP="003B6649">
            <w:pPr>
              <w:spacing w:after="0" w:line="240" w:lineRule="auto"/>
              <w:jc w:val="right"/>
              <w:rPr>
                <w:rFonts w:eastAsia="Times New Roman" w:cs="Times New Roman"/>
                <w:color w:val="000000"/>
                <w:sz w:val="18"/>
                <w:szCs w:val="18"/>
                <w:lang w:eastAsia="sk-SK"/>
              </w:rPr>
            </w:pPr>
            <w:r w:rsidRPr="003B6649">
              <w:rPr>
                <w:rFonts w:eastAsia="Times New Roman" w:cs="Times New Roman"/>
                <w:color w:val="000000"/>
                <w:sz w:val="18"/>
                <w:szCs w:val="18"/>
                <w:lang w:eastAsia="sk-SK"/>
              </w:rPr>
              <w:t>1 484 358</w:t>
            </w:r>
          </w:p>
        </w:tc>
        <w:tc>
          <w:tcPr>
            <w:tcW w:w="992" w:type="dxa"/>
            <w:tcBorders>
              <w:top w:val="nil"/>
              <w:left w:val="nil"/>
              <w:bottom w:val="nil"/>
              <w:right w:val="nil"/>
            </w:tcBorders>
            <w:shd w:val="clear" w:color="auto" w:fill="auto"/>
            <w:vAlign w:val="center"/>
            <w:hideMark/>
          </w:tcPr>
          <w:p w14:paraId="3061E6B6" w14:textId="77777777" w:rsidR="003B6649" w:rsidRPr="003B6649" w:rsidRDefault="003B6649" w:rsidP="003B6649">
            <w:pPr>
              <w:spacing w:after="0" w:line="240" w:lineRule="auto"/>
              <w:jc w:val="right"/>
              <w:rPr>
                <w:rFonts w:eastAsia="Times New Roman" w:cs="Times New Roman"/>
                <w:color w:val="000000"/>
                <w:sz w:val="18"/>
                <w:szCs w:val="18"/>
                <w:lang w:eastAsia="sk-SK"/>
              </w:rPr>
            </w:pPr>
            <w:r w:rsidRPr="003B6649">
              <w:rPr>
                <w:rFonts w:eastAsia="Times New Roman" w:cs="Times New Roman"/>
                <w:color w:val="000000"/>
                <w:sz w:val="18"/>
                <w:szCs w:val="18"/>
                <w:lang w:eastAsia="sk-SK"/>
              </w:rPr>
              <w:t>1 483 741</w:t>
            </w:r>
          </w:p>
        </w:tc>
        <w:tc>
          <w:tcPr>
            <w:tcW w:w="1007" w:type="dxa"/>
            <w:tcBorders>
              <w:top w:val="nil"/>
              <w:left w:val="nil"/>
              <w:bottom w:val="nil"/>
              <w:right w:val="nil"/>
            </w:tcBorders>
            <w:shd w:val="clear" w:color="auto" w:fill="auto"/>
            <w:vAlign w:val="center"/>
            <w:hideMark/>
          </w:tcPr>
          <w:p w14:paraId="36DC95C1" w14:textId="77777777" w:rsidR="003B6649" w:rsidRPr="003B6649" w:rsidRDefault="003B6649" w:rsidP="003B6649">
            <w:pPr>
              <w:spacing w:after="0" w:line="240" w:lineRule="auto"/>
              <w:jc w:val="right"/>
              <w:rPr>
                <w:rFonts w:eastAsia="Times New Roman" w:cs="Times New Roman"/>
                <w:color w:val="000000"/>
                <w:sz w:val="18"/>
                <w:szCs w:val="18"/>
                <w:lang w:eastAsia="sk-SK"/>
              </w:rPr>
            </w:pPr>
            <w:r w:rsidRPr="003B6649">
              <w:rPr>
                <w:rFonts w:eastAsia="Times New Roman" w:cs="Times New Roman"/>
                <w:color w:val="000000"/>
                <w:sz w:val="18"/>
                <w:szCs w:val="18"/>
                <w:lang w:eastAsia="sk-SK"/>
              </w:rPr>
              <w:t>1 476 289</w:t>
            </w:r>
          </w:p>
        </w:tc>
        <w:tc>
          <w:tcPr>
            <w:tcW w:w="1025" w:type="dxa"/>
            <w:tcBorders>
              <w:top w:val="nil"/>
              <w:left w:val="nil"/>
              <w:bottom w:val="nil"/>
              <w:right w:val="nil"/>
            </w:tcBorders>
            <w:shd w:val="clear" w:color="000000" w:fill="BFBFBF"/>
            <w:vAlign w:val="center"/>
            <w:hideMark/>
          </w:tcPr>
          <w:p w14:paraId="4769EB73" w14:textId="77777777" w:rsidR="003B6649" w:rsidRPr="003B6649" w:rsidRDefault="003B6649" w:rsidP="003B6649">
            <w:pPr>
              <w:spacing w:after="0" w:line="240" w:lineRule="auto"/>
              <w:jc w:val="right"/>
              <w:rPr>
                <w:rFonts w:eastAsia="Times New Roman" w:cs="Times New Roman"/>
                <w:color w:val="000000"/>
                <w:sz w:val="18"/>
                <w:szCs w:val="18"/>
                <w:lang w:eastAsia="sk-SK"/>
              </w:rPr>
            </w:pPr>
            <w:r w:rsidRPr="003B6649">
              <w:rPr>
                <w:rFonts w:eastAsia="Times New Roman" w:cs="Times New Roman"/>
                <w:color w:val="000000"/>
                <w:sz w:val="18"/>
                <w:szCs w:val="18"/>
                <w:lang w:eastAsia="sk-SK"/>
              </w:rPr>
              <w:t>1 487 289</w:t>
            </w:r>
          </w:p>
        </w:tc>
        <w:tc>
          <w:tcPr>
            <w:tcW w:w="931" w:type="dxa"/>
            <w:tcBorders>
              <w:top w:val="nil"/>
              <w:left w:val="nil"/>
              <w:bottom w:val="nil"/>
              <w:right w:val="nil"/>
            </w:tcBorders>
            <w:shd w:val="clear" w:color="auto" w:fill="auto"/>
            <w:vAlign w:val="center"/>
            <w:hideMark/>
          </w:tcPr>
          <w:p w14:paraId="457A688E" w14:textId="77777777" w:rsidR="003B6649" w:rsidRPr="003B6649" w:rsidRDefault="003B6649" w:rsidP="003B6649">
            <w:pPr>
              <w:spacing w:after="0" w:line="240" w:lineRule="auto"/>
              <w:jc w:val="right"/>
              <w:rPr>
                <w:rFonts w:eastAsia="Times New Roman" w:cs="Times New Roman"/>
                <w:color w:val="000000"/>
                <w:sz w:val="18"/>
                <w:szCs w:val="18"/>
                <w:lang w:eastAsia="sk-SK"/>
              </w:rPr>
            </w:pPr>
            <w:r w:rsidRPr="003B6649">
              <w:rPr>
                <w:rFonts w:eastAsia="Times New Roman" w:cs="Times New Roman"/>
                <w:color w:val="000000"/>
                <w:sz w:val="18"/>
                <w:szCs w:val="18"/>
                <w:lang w:eastAsia="sk-SK"/>
              </w:rPr>
              <w:t>11 000</w:t>
            </w:r>
          </w:p>
        </w:tc>
        <w:tc>
          <w:tcPr>
            <w:tcW w:w="1051" w:type="dxa"/>
            <w:tcBorders>
              <w:top w:val="nil"/>
              <w:left w:val="nil"/>
              <w:bottom w:val="nil"/>
              <w:right w:val="nil"/>
            </w:tcBorders>
            <w:shd w:val="clear" w:color="auto" w:fill="auto"/>
            <w:vAlign w:val="center"/>
            <w:hideMark/>
          </w:tcPr>
          <w:p w14:paraId="0409D7E5" w14:textId="77777777" w:rsidR="003B6649" w:rsidRPr="003B6649" w:rsidRDefault="003B6649" w:rsidP="003B6649">
            <w:pPr>
              <w:spacing w:after="0" w:line="240" w:lineRule="auto"/>
              <w:jc w:val="right"/>
              <w:rPr>
                <w:rFonts w:eastAsia="Times New Roman" w:cs="Times New Roman"/>
                <w:color w:val="000000"/>
                <w:sz w:val="18"/>
                <w:szCs w:val="18"/>
                <w:lang w:eastAsia="sk-SK"/>
              </w:rPr>
            </w:pPr>
            <w:r w:rsidRPr="003B6649">
              <w:rPr>
                <w:rFonts w:eastAsia="Times New Roman" w:cs="Times New Roman"/>
                <w:color w:val="000000"/>
                <w:sz w:val="18"/>
                <w:szCs w:val="18"/>
                <w:lang w:eastAsia="sk-SK"/>
              </w:rPr>
              <w:t>0,7</w:t>
            </w:r>
          </w:p>
        </w:tc>
      </w:tr>
      <w:tr w:rsidR="003B6649" w:rsidRPr="003B6649" w14:paraId="21141FA8" w14:textId="77777777" w:rsidTr="003B6649">
        <w:trPr>
          <w:trHeight w:val="900"/>
        </w:trPr>
        <w:tc>
          <w:tcPr>
            <w:tcW w:w="2956" w:type="dxa"/>
            <w:tcBorders>
              <w:top w:val="nil"/>
              <w:left w:val="nil"/>
              <w:bottom w:val="nil"/>
              <w:right w:val="nil"/>
            </w:tcBorders>
            <w:shd w:val="clear" w:color="auto" w:fill="auto"/>
            <w:vAlign w:val="center"/>
            <w:hideMark/>
          </w:tcPr>
          <w:p w14:paraId="4FE8820A" w14:textId="77777777" w:rsidR="003B6649" w:rsidRPr="003B6649" w:rsidRDefault="003B6649" w:rsidP="003B6649">
            <w:pPr>
              <w:spacing w:after="0" w:line="240" w:lineRule="auto"/>
              <w:rPr>
                <w:rFonts w:eastAsia="Times New Roman" w:cs="Times New Roman"/>
                <w:color w:val="000000"/>
                <w:sz w:val="18"/>
                <w:szCs w:val="18"/>
                <w:lang w:eastAsia="sk-SK"/>
              </w:rPr>
            </w:pPr>
            <w:r w:rsidRPr="003B6649">
              <w:rPr>
                <w:rFonts w:eastAsia="Times New Roman" w:cs="Times New Roman"/>
                <w:color w:val="000000"/>
                <w:sz w:val="18"/>
                <w:szCs w:val="18"/>
                <w:lang w:eastAsia="sk-SK"/>
              </w:rPr>
              <w:t>Transfery OZ, nadáciám, neziskovým organizáciám, polit. stranám a hnutiam, odborovým organizáciám, cirkev. a </w:t>
            </w:r>
            <w:proofErr w:type="spellStart"/>
            <w:r w:rsidRPr="003B6649">
              <w:rPr>
                <w:rFonts w:eastAsia="Times New Roman" w:cs="Times New Roman"/>
                <w:color w:val="000000"/>
                <w:sz w:val="18"/>
                <w:szCs w:val="18"/>
                <w:lang w:eastAsia="sk-SK"/>
              </w:rPr>
              <w:t>súkrom.školám</w:t>
            </w:r>
            <w:proofErr w:type="spellEnd"/>
            <w:r w:rsidRPr="003B6649">
              <w:rPr>
                <w:rFonts w:eastAsia="Times New Roman" w:cs="Times New Roman"/>
                <w:color w:val="000000"/>
                <w:sz w:val="18"/>
                <w:szCs w:val="18"/>
                <w:lang w:eastAsia="sk-SK"/>
              </w:rPr>
              <w:t>, cirkvám, náboženským spoločnostiam...</w:t>
            </w:r>
          </w:p>
        </w:tc>
        <w:tc>
          <w:tcPr>
            <w:tcW w:w="995" w:type="dxa"/>
            <w:tcBorders>
              <w:top w:val="nil"/>
              <w:left w:val="nil"/>
              <w:bottom w:val="nil"/>
              <w:right w:val="nil"/>
            </w:tcBorders>
            <w:shd w:val="clear" w:color="auto" w:fill="auto"/>
            <w:vAlign w:val="center"/>
            <w:hideMark/>
          </w:tcPr>
          <w:p w14:paraId="25D1A349" w14:textId="77777777" w:rsidR="003B6649" w:rsidRPr="003B6649" w:rsidRDefault="003B6649" w:rsidP="003B6649">
            <w:pPr>
              <w:spacing w:after="0" w:line="240" w:lineRule="auto"/>
              <w:jc w:val="right"/>
              <w:rPr>
                <w:rFonts w:eastAsia="Times New Roman" w:cs="Times New Roman"/>
                <w:color w:val="000000"/>
                <w:sz w:val="18"/>
                <w:szCs w:val="18"/>
                <w:lang w:eastAsia="sk-SK"/>
              </w:rPr>
            </w:pPr>
            <w:r w:rsidRPr="003B6649">
              <w:rPr>
                <w:rFonts w:eastAsia="Times New Roman" w:cs="Times New Roman"/>
                <w:color w:val="000000"/>
                <w:sz w:val="18"/>
                <w:szCs w:val="18"/>
                <w:lang w:eastAsia="sk-SK"/>
              </w:rPr>
              <w:t>429 280</w:t>
            </w:r>
          </w:p>
        </w:tc>
        <w:tc>
          <w:tcPr>
            <w:tcW w:w="992" w:type="dxa"/>
            <w:tcBorders>
              <w:top w:val="nil"/>
              <w:left w:val="nil"/>
              <w:bottom w:val="nil"/>
              <w:right w:val="nil"/>
            </w:tcBorders>
            <w:shd w:val="clear" w:color="auto" w:fill="auto"/>
            <w:vAlign w:val="center"/>
            <w:hideMark/>
          </w:tcPr>
          <w:p w14:paraId="7671DF57" w14:textId="77777777" w:rsidR="003B6649" w:rsidRPr="003B6649" w:rsidRDefault="003B6649" w:rsidP="003B6649">
            <w:pPr>
              <w:spacing w:after="0" w:line="240" w:lineRule="auto"/>
              <w:jc w:val="right"/>
              <w:rPr>
                <w:rFonts w:eastAsia="Times New Roman" w:cs="Times New Roman"/>
                <w:color w:val="000000"/>
                <w:sz w:val="18"/>
                <w:szCs w:val="18"/>
                <w:lang w:eastAsia="sk-SK"/>
              </w:rPr>
            </w:pPr>
            <w:r w:rsidRPr="003B6649">
              <w:rPr>
                <w:rFonts w:eastAsia="Times New Roman" w:cs="Times New Roman"/>
                <w:color w:val="000000"/>
                <w:sz w:val="18"/>
                <w:szCs w:val="18"/>
                <w:lang w:eastAsia="sk-SK"/>
              </w:rPr>
              <w:t>513 876</w:t>
            </w:r>
          </w:p>
        </w:tc>
        <w:tc>
          <w:tcPr>
            <w:tcW w:w="1007" w:type="dxa"/>
            <w:tcBorders>
              <w:top w:val="nil"/>
              <w:left w:val="nil"/>
              <w:bottom w:val="nil"/>
              <w:right w:val="nil"/>
            </w:tcBorders>
            <w:shd w:val="clear" w:color="auto" w:fill="auto"/>
            <w:vAlign w:val="center"/>
            <w:hideMark/>
          </w:tcPr>
          <w:p w14:paraId="0991F2D0" w14:textId="77777777" w:rsidR="003B6649" w:rsidRPr="003B6649" w:rsidRDefault="003B6649" w:rsidP="003B6649">
            <w:pPr>
              <w:spacing w:after="0" w:line="240" w:lineRule="auto"/>
              <w:jc w:val="right"/>
              <w:rPr>
                <w:rFonts w:eastAsia="Times New Roman" w:cs="Times New Roman"/>
                <w:color w:val="000000"/>
                <w:sz w:val="18"/>
                <w:szCs w:val="18"/>
                <w:lang w:eastAsia="sk-SK"/>
              </w:rPr>
            </w:pPr>
            <w:r w:rsidRPr="003B6649">
              <w:rPr>
                <w:rFonts w:eastAsia="Times New Roman" w:cs="Times New Roman"/>
                <w:color w:val="000000"/>
                <w:sz w:val="18"/>
                <w:szCs w:val="18"/>
                <w:lang w:eastAsia="sk-SK"/>
              </w:rPr>
              <w:t>530 095</w:t>
            </w:r>
          </w:p>
        </w:tc>
        <w:tc>
          <w:tcPr>
            <w:tcW w:w="1025" w:type="dxa"/>
            <w:tcBorders>
              <w:top w:val="nil"/>
              <w:left w:val="nil"/>
              <w:bottom w:val="nil"/>
              <w:right w:val="nil"/>
            </w:tcBorders>
            <w:shd w:val="clear" w:color="000000" w:fill="BFBFBF"/>
            <w:vAlign w:val="center"/>
            <w:hideMark/>
          </w:tcPr>
          <w:p w14:paraId="3F1CBFBF" w14:textId="77777777" w:rsidR="003B6649" w:rsidRPr="003B6649" w:rsidRDefault="003B6649" w:rsidP="003B6649">
            <w:pPr>
              <w:spacing w:after="0" w:line="240" w:lineRule="auto"/>
              <w:jc w:val="right"/>
              <w:rPr>
                <w:rFonts w:eastAsia="Times New Roman" w:cs="Times New Roman"/>
                <w:color w:val="000000"/>
                <w:sz w:val="18"/>
                <w:szCs w:val="18"/>
                <w:lang w:eastAsia="sk-SK"/>
              </w:rPr>
            </w:pPr>
            <w:r w:rsidRPr="003B6649">
              <w:rPr>
                <w:rFonts w:eastAsia="Times New Roman" w:cs="Times New Roman"/>
                <w:color w:val="000000"/>
                <w:sz w:val="18"/>
                <w:szCs w:val="18"/>
                <w:lang w:eastAsia="sk-SK"/>
              </w:rPr>
              <w:t>596 282</w:t>
            </w:r>
          </w:p>
        </w:tc>
        <w:tc>
          <w:tcPr>
            <w:tcW w:w="931" w:type="dxa"/>
            <w:tcBorders>
              <w:top w:val="nil"/>
              <w:left w:val="nil"/>
              <w:bottom w:val="nil"/>
              <w:right w:val="nil"/>
            </w:tcBorders>
            <w:shd w:val="clear" w:color="auto" w:fill="auto"/>
            <w:vAlign w:val="center"/>
            <w:hideMark/>
          </w:tcPr>
          <w:p w14:paraId="4CF4E657" w14:textId="77777777" w:rsidR="003B6649" w:rsidRPr="003B6649" w:rsidRDefault="003B6649" w:rsidP="003B6649">
            <w:pPr>
              <w:spacing w:after="0" w:line="240" w:lineRule="auto"/>
              <w:jc w:val="right"/>
              <w:rPr>
                <w:rFonts w:eastAsia="Times New Roman" w:cs="Times New Roman"/>
                <w:color w:val="000000"/>
                <w:sz w:val="18"/>
                <w:szCs w:val="18"/>
                <w:lang w:eastAsia="sk-SK"/>
              </w:rPr>
            </w:pPr>
            <w:r w:rsidRPr="003B6649">
              <w:rPr>
                <w:rFonts w:eastAsia="Times New Roman" w:cs="Times New Roman"/>
                <w:color w:val="000000"/>
                <w:sz w:val="18"/>
                <w:szCs w:val="18"/>
                <w:lang w:eastAsia="sk-SK"/>
              </w:rPr>
              <w:t>66 187</w:t>
            </w:r>
          </w:p>
        </w:tc>
        <w:tc>
          <w:tcPr>
            <w:tcW w:w="1051" w:type="dxa"/>
            <w:tcBorders>
              <w:top w:val="nil"/>
              <w:left w:val="nil"/>
              <w:bottom w:val="nil"/>
              <w:right w:val="nil"/>
            </w:tcBorders>
            <w:shd w:val="clear" w:color="auto" w:fill="auto"/>
            <w:vAlign w:val="center"/>
            <w:hideMark/>
          </w:tcPr>
          <w:p w14:paraId="6A357D48" w14:textId="77777777" w:rsidR="003B6649" w:rsidRPr="003B6649" w:rsidRDefault="003B6649" w:rsidP="003B6649">
            <w:pPr>
              <w:spacing w:after="0" w:line="240" w:lineRule="auto"/>
              <w:jc w:val="right"/>
              <w:rPr>
                <w:rFonts w:eastAsia="Times New Roman" w:cs="Times New Roman"/>
                <w:color w:val="000000"/>
                <w:sz w:val="18"/>
                <w:szCs w:val="18"/>
                <w:lang w:eastAsia="sk-SK"/>
              </w:rPr>
            </w:pPr>
            <w:r w:rsidRPr="003B6649">
              <w:rPr>
                <w:rFonts w:eastAsia="Times New Roman" w:cs="Times New Roman"/>
                <w:color w:val="000000"/>
                <w:sz w:val="18"/>
                <w:szCs w:val="18"/>
                <w:lang w:eastAsia="sk-SK"/>
              </w:rPr>
              <w:t>12,5</w:t>
            </w:r>
          </w:p>
        </w:tc>
      </w:tr>
      <w:tr w:rsidR="003B6649" w:rsidRPr="003B6649" w14:paraId="3EA09C75" w14:textId="77777777" w:rsidTr="003B6649">
        <w:trPr>
          <w:trHeight w:val="349"/>
        </w:trPr>
        <w:tc>
          <w:tcPr>
            <w:tcW w:w="2956" w:type="dxa"/>
            <w:tcBorders>
              <w:top w:val="nil"/>
              <w:left w:val="nil"/>
              <w:bottom w:val="nil"/>
              <w:right w:val="nil"/>
            </w:tcBorders>
            <w:shd w:val="clear" w:color="auto" w:fill="auto"/>
            <w:vAlign w:val="center"/>
            <w:hideMark/>
          </w:tcPr>
          <w:p w14:paraId="1C0F241C" w14:textId="77777777" w:rsidR="003B6649" w:rsidRPr="003B6649" w:rsidRDefault="003B6649" w:rsidP="003B6649">
            <w:pPr>
              <w:spacing w:after="0" w:line="240" w:lineRule="auto"/>
              <w:rPr>
                <w:rFonts w:eastAsia="Times New Roman" w:cs="Times New Roman"/>
                <w:color w:val="000000"/>
                <w:sz w:val="18"/>
                <w:szCs w:val="18"/>
                <w:lang w:eastAsia="sk-SK"/>
              </w:rPr>
            </w:pPr>
            <w:r w:rsidRPr="003B6649">
              <w:rPr>
                <w:rFonts w:eastAsia="Times New Roman" w:cs="Times New Roman"/>
                <w:color w:val="000000"/>
                <w:sz w:val="18"/>
                <w:szCs w:val="18"/>
                <w:lang w:eastAsia="sk-SK"/>
              </w:rPr>
              <w:t>Na aktívne opatrenia trhu práce</w:t>
            </w:r>
          </w:p>
        </w:tc>
        <w:tc>
          <w:tcPr>
            <w:tcW w:w="995" w:type="dxa"/>
            <w:tcBorders>
              <w:top w:val="nil"/>
              <w:left w:val="nil"/>
              <w:bottom w:val="nil"/>
              <w:right w:val="nil"/>
            </w:tcBorders>
            <w:shd w:val="clear" w:color="auto" w:fill="auto"/>
            <w:vAlign w:val="center"/>
            <w:hideMark/>
          </w:tcPr>
          <w:p w14:paraId="0BE902DE" w14:textId="77777777" w:rsidR="003B6649" w:rsidRPr="003B6649" w:rsidRDefault="003B6649" w:rsidP="003B6649">
            <w:pPr>
              <w:spacing w:after="0" w:line="240" w:lineRule="auto"/>
              <w:jc w:val="right"/>
              <w:rPr>
                <w:rFonts w:eastAsia="Times New Roman" w:cs="Times New Roman"/>
                <w:color w:val="000000"/>
                <w:sz w:val="18"/>
                <w:szCs w:val="18"/>
                <w:lang w:eastAsia="sk-SK"/>
              </w:rPr>
            </w:pPr>
            <w:r w:rsidRPr="003B6649">
              <w:rPr>
                <w:rFonts w:eastAsia="Times New Roman" w:cs="Times New Roman"/>
                <w:color w:val="000000"/>
                <w:sz w:val="18"/>
                <w:szCs w:val="18"/>
                <w:lang w:eastAsia="sk-SK"/>
              </w:rPr>
              <w:t>191 432</w:t>
            </w:r>
          </w:p>
        </w:tc>
        <w:tc>
          <w:tcPr>
            <w:tcW w:w="992" w:type="dxa"/>
            <w:tcBorders>
              <w:top w:val="nil"/>
              <w:left w:val="nil"/>
              <w:bottom w:val="nil"/>
              <w:right w:val="nil"/>
            </w:tcBorders>
            <w:shd w:val="clear" w:color="auto" w:fill="auto"/>
            <w:vAlign w:val="center"/>
            <w:hideMark/>
          </w:tcPr>
          <w:p w14:paraId="051FB713" w14:textId="77777777" w:rsidR="003B6649" w:rsidRPr="003B6649" w:rsidRDefault="003B6649" w:rsidP="003B6649">
            <w:pPr>
              <w:spacing w:after="0" w:line="240" w:lineRule="auto"/>
              <w:jc w:val="right"/>
              <w:rPr>
                <w:rFonts w:eastAsia="Times New Roman" w:cs="Times New Roman"/>
                <w:color w:val="000000"/>
                <w:sz w:val="18"/>
                <w:szCs w:val="18"/>
                <w:lang w:eastAsia="sk-SK"/>
              </w:rPr>
            </w:pPr>
            <w:r w:rsidRPr="003B6649">
              <w:rPr>
                <w:rFonts w:eastAsia="Times New Roman" w:cs="Times New Roman"/>
                <w:color w:val="000000"/>
                <w:sz w:val="18"/>
                <w:szCs w:val="18"/>
                <w:lang w:eastAsia="sk-SK"/>
              </w:rPr>
              <w:t>185 461</w:t>
            </w:r>
          </w:p>
        </w:tc>
        <w:tc>
          <w:tcPr>
            <w:tcW w:w="1007" w:type="dxa"/>
            <w:tcBorders>
              <w:top w:val="nil"/>
              <w:left w:val="nil"/>
              <w:bottom w:val="nil"/>
              <w:right w:val="nil"/>
            </w:tcBorders>
            <w:shd w:val="clear" w:color="auto" w:fill="auto"/>
            <w:vAlign w:val="center"/>
            <w:hideMark/>
          </w:tcPr>
          <w:p w14:paraId="2CBEFEC3" w14:textId="77777777" w:rsidR="003B6649" w:rsidRPr="003B6649" w:rsidRDefault="003B6649" w:rsidP="003B6649">
            <w:pPr>
              <w:spacing w:after="0" w:line="240" w:lineRule="auto"/>
              <w:jc w:val="right"/>
              <w:rPr>
                <w:rFonts w:eastAsia="Times New Roman" w:cs="Times New Roman"/>
                <w:color w:val="000000"/>
                <w:sz w:val="18"/>
                <w:szCs w:val="18"/>
                <w:lang w:eastAsia="sk-SK"/>
              </w:rPr>
            </w:pPr>
            <w:r w:rsidRPr="003B6649">
              <w:rPr>
                <w:rFonts w:eastAsia="Times New Roman" w:cs="Times New Roman"/>
                <w:color w:val="000000"/>
                <w:sz w:val="18"/>
                <w:szCs w:val="18"/>
                <w:lang w:eastAsia="sk-SK"/>
              </w:rPr>
              <w:t>174 893</w:t>
            </w:r>
          </w:p>
        </w:tc>
        <w:tc>
          <w:tcPr>
            <w:tcW w:w="1025" w:type="dxa"/>
            <w:tcBorders>
              <w:top w:val="nil"/>
              <w:left w:val="nil"/>
              <w:bottom w:val="nil"/>
              <w:right w:val="nil"/>
            </w:tcBorders>
            <w:shd w:val="clear" w:color="000000" w:fill="BFBFBF"/>
            <w:vAlign w:val="center"/>
            <w:hideMark/>
          </w:tcPr>
          <w:p w14:paraId="364054C9" w14:textId="77777777" w:rsidR="003B6649" w:rsidRPr="003B6649" w:rsidRDefault="003B6649" w:rsidP="003B6649">
            <w:pPr>
              <w:spacing w:after="0" w:line="240" w:lineRule="auto"/>
              <w:jc w:val="right"/>
              <w:rPr>
                <w:rFonts w:eastAsia="Times New Roman" w:cs="Times New Roman"/>
                <w:color w:val="000000"/>
                <w:sz w:val="18"/>
                <w:szCs w:val="18"/>
                <w:lang w:eastAsia="sk-SK"/>
              </w:rPr>
            </w:pPr>
            <w:r w:rsidRPr="003B6649">
              <w:rPr>
                <w:rFonts w:eastAsia="Times New Roman" w:cs="Times New Roman"/>
                <w:color w:val="000000"/>
                <w:sz w:val="18"/>
                <w:szCs w:val="18"/>
                <w:lang w:eastAsia="sk-SK"/>
              </w:rPr>
              <w:t>167 506</w:t>
            </w:r>
          </w:p>
        </w:tc>
        <w:tc>
          <w:tcPr>
            <w:tcW w:w="931" w:type="dxa"/>
            <w:tcBorders>
              <w:top w:val="nil"/>
              <w:left w:val="nil"/>
              <w:bottom w:val="nil"/>
              <w:right w:val="nil"/>
            </w:tcBorders>
            <w:shd w:val="clear" w:color="auto" w:fill="auto"/>
            <w:vAlign w:val="center"/>
            <w:hideMark/>
          </w:tcPr>
          <w:p w14:paraId="5D01639B" w14:textId="77777777" w:rsidR="003B6649" w:rsidRPr="003B6649" w:rsidRDefault="003B6649" w:rsidP="003B6649">
            <w:pPr>
              <w:spacing w:after="0" w:line="240" w:lineRule="auto"/>
              <w:jc w:val="right"/>
              <w:rPr>
                <w:rFonts w:eastAsia="Times New Roman" w:cs="Times New Roman"/>
                <w:color w:val="000000"/>
                <w:sz w:val="18"/>
                <w:szCs w:val="18"/>
                <w:lang w:eastAsia="sk-SK"/>
              </w:rPr>
            </w:pPr>
            <w:r w:rsidRPr="003B6649">
              <w:rPr>
                <w:rFonts w:eastAsia="Times New Roman" w:cs="Times New Roman"/>
                <w:color w:val="000000"/>
                <w:sz w:val="18"/>
                <w:szCs w:val="18"/>
                <w:lang w:eastAsia="sk-SK"/>
              </w:rPr>
              <w:t>-7 387</w:t>
            </w:r>
          </w:p>
        </w:tc>
        <w:tc>
          <w:tcPr>
            <w:tcW w:w="1051" w:type="dxa"/>
            <w:tcBorders>
              <w:top w:val="nil"/>
              <w:left w:val="nil"/>
              <w:bottom w:val="nil"/>
              <w:right w:val="nil"/>
            </w:tcBorders>
            <w:shd w:val="clear" w:color="auto" w:fill="auto"/>
            <w:vAlign w:val="center"/>
            <w:hideMark/>
          </w:tcPr>
          <w:p w14:paraId="1957212E" w14:textId="77777777" w:rsidR="003B6649" w:rsidRPr="003B6649" w:rsidRDefault="003B6649" w:rsidP="003B6649">
            <w:pPr>
              <w:spacing w:after="0" w:line="240" w:lineRule="auto"/>
              <w:jc w:val="right"/>
              <w:rPr>
                <w:rFonts w:eastAsia="Times New Roman" w:cs="Times New Roman"/>
                <w:color w:val="000000"/>
                <w:sz w:val="18"/>
                <w:szCs w:val="18"/>
                <w:lang w:eastAsia="sk-SK"/>
              </w:rPr>
            </w:pPr>
            <w:r w:rsidRPr="003B6649">
              <w:rPr>
                <w:rFonts w:eastAsia="Times New Roman" w:cs="Times New Roman"/>
                <w:color w:val="000000"/>
                <w:sz w:val="18"/>
                <w:szCs w:val="18"/>
                <w:lang w:eastAsia="sk-SK"/>
              </w:rPr>
              <w:t>-4,2</w:t>
            </w:r>
          </w:p>
        </w:tc>
      </w:tr>
      <w:tr w:rsidR="003B6649" w:rsidRPr="003B6649" w14:paraId="37CC2A01" w14:textId="77777777" w:rsidTr="003B6649">
        <w:trPr>
          <w:trHeight w:val="349"/>
        </w:trPr>
        <w:tc>
          <w:tcPr>
            <w:tcW w:w="2956" w:type="dxa"/>
            <w:tcBorders>
              <w:top w:val="nil"/>
              <w:left w:val="nil"/>
              <w:bottom w:val="nil"/>
              <w:right w:val="nil"/>
            </w:tcBorders>
            <w:shd w:val="clear" w:color="auto" w:fill="auto"/>
            <w:vAlign w:val="center"/>
            <w:hideMark/>
          </w:tcPr>
          <w:p w14:paraId="329EF791" w14:textId="77777777" w:rsidR="003B6649" w:rsidRPr="003B6649" w:rsidRDefault="003B6649" w:rsidP="003B6649">
            <w:pPr>
              <w:spacing w:after="0" w:line="240" w:lineRule="auto"/>
              <w:rPr>
                <w:rFonts w:eastAsia="Times New Roman" w:cs="Times New Roman"/>
                <w:color w:val="000000"/>
                <w:sz w:val="18"/>
                <w:szCs w:val="18"/>
                <w:lang w:eastAsia="sk-SK"/>
              </w:rPr>
            </w:pPr>
            <w:r w:rsidRPr="003B6649">
              <w:rPr>
                <w:rFonts w:eastAsia="Times New Roman" w:cs="Times New Roman"/>
                <w:color w:val="000000"/>
                <w:sz w:val="18"/>
                <w:szCs w:val="18"/>
                <w:lang w:eastAsia="sk-SK"/>
              </w:rPr>
              <w:t>Príspevok na osobitný účet</w:t>
            </w:r>
          </w:p>
        </w:tc>
        <w:tc>
          <w:tcPr>
            <w:tcW w:w="995" w:type="dxa"/>
            <w:tcBorders>
              <w:top w:val="nil"/>
              <w:left w:val="nil"/>
              <w:bottom w:val="nil"/>
              <w:right w:val="nil"/>
            </w:tcBorders>
            <w:shd w:val="clear" w:color="auto" w:fill="auto"/>
            <w:vAlign w:val="center"/>
            <w:hideMark/>
          </w:tcPr>
          <w:p w14:paraId="178C3EF5" w14:textId="77777777" w:rsidR="003B6649" w:rsidRPr="003B6649" w:rsidRDefault="003B6649" w:rsidP="003B6649">
            <w:pPr>
              <w:spacing w:after="0" w:line="240" w:lineRule="auto"/>
              <w:jc w:val="right"/>
              <w:rPr>
                <w:rFonts w:eastAsia="Times New Roman" w:cs="Times New Roman"/>
                <w:color w:val="000000"/>
                <w:sz w:val="18"/>
                <w:szCs w:val="18"/>
                <w:lang w:eastAsia="sk-SK"/>
              </w:rPr>
            </w:pPr>
            <w:r w:rsidRPr="003B6649">
              <w:rPr>
                <w:rFonts w:eastAsia="Times New Roman" w:cs="Times New Roman"/>
                <w:color w:val="000000"/>
                <w:sz w:val="18"/>
                <w:szCs w:val="18"/>
                <w:lang w:eastAsia="sk-SK"/>
              </w:rPr>
              <w:t>90 123</w:t>
            </w:r>
          </w:p>
        </w:tc>
        <w:tc>
          <w:tcPr>
            <w:tcW w:w="992" w:type="dxa"/>
            <w:tcBorders>
              <w:top w:val="nil"/>
              <w:left w:val="nil"/>
              <w:bottom w:val="nil"/>
              <w:right w:val="nil"/>
            </w:tcBorders>
            <w:shd w:val="clear" w:color="auto" w:fill="auto"/>
            <w:vAlign w:val="center"/>
            <w:hideMark/>
          </w:tcPr>
          <w:p w14:paraId="7A580934" w14:textId="77777777" w:rsidR="003B6649" w:rsidRPr="003B6649" w:rsidRDefault="003B6649" w:rsidP="003B6649">
            <w:pPr>
              <w:spacing w:after="0" w:line="240" w:lineRule="auto"/>
              <w:jc w:val="right"/>
              <w:rPr>
                <w:rFonts w:eastAsia="Times New Roman" w:cs="Times New Roman"/>
                <w:color w:val="000000"/>
                <w:sz w:val="18"/>
                <w:szCs w:val="18"/>
                <w:lang w:eastAsia="sk-SK"/>
              </w:rPr>
            </w:pPr>
            <w:r w:rsidRPr="003B6649">
              <w:rPr>
                <w:rFonts w:eastAsia="Times New Roman" w:cs="Times New Roman"/>
                <w:color w:val="000000"/>
                <w:sz w:val="18"/>
                <w:szCs w:val="18"/>
                <w:lang w:eastAsia="sk-SK"/>
              </w:rPr>
              <w:t>76 349</w:t>
            </w:r>
          </w:p>
        </w:tc>
        <w:tc>
          <w:tcPr>
            <w:tcW w:w="1007" w:type="dxa"/>
            <w:tcBorders>
              <w:top w:val="nil"/>
              <w:left w:val="nil"/>
              <w:bottom w:val="nil"/>
              <w:right w:val="nil"/>
            </w:tcBorders>
            <w:shd w:val="clear" w:color="auto" w:fill="auto"/>
            <w:vAlign w:val="center"/>
            <w:hideMark/>
          </w:tcPr>
          <w:p w14:paraId="1E6605AE" w14:textId="77777777" w:rsidR="003B6649" w:rsidRPr="003B6649" w:rsidRDefault="003B6649" w:rsidP="003B6649">
            <w:pPr>
              <w:spacing w:after="0" w:line="240" w:lineRule="auto"/>
              <w:jc w:val="right"/>
              <w:rPr>
                <w:rFonts w:eastAsia="Times New Roman" w:cs="Times New Roman"/>
                <w:color w:val="000000"/>
                <w:sz w:val="18"/>
                <w:szCs w:val="18"/>
                <w:lang w:eastAsia="sk-SK"/>
              </w:rPr>
            </w:pPr>
            <w:r w:rsidRPr="003B6649">
              <w:rPr>
                <w:rFonts w:eastAsia="Times New Roman" w:cs="Times New Roman"/>
                <w:color w:val="000000"/>
                <w:sz w:val="18"/>
                <w:szCs w:val="18"/>
                <w:lang w:eastAsia="sk-SK"/>
              </w:rPr>
              <w:t>81 311</w:t>
            </w:r>
          </w:p>
        </w:tc>
        <w:tc>
          <w:tcPr>
            <w:tcW w:w="1025" w:type="dxa"/>
            <w:tcBorders>
              <w:top w:val="nil"/>
              <w:left w:val="nil"/>
              <w:bottom w:val="nil"/>
              <w:right w:val="nil"/>
            </w:tcBorders>
            <w:shd w:val="clear" w:color="000000" w:fill="BFBFBF"/>
            <w:vAlign w:val="center"/>
            <w:hideMark/>
          </w:tcPr>
          <w:p w14:paraId="4AF4AC5E" w14:textId="77777777" w:rsidR="003B6649" w:rsidRPr="003B6649" w:rsidRDefault="003B6649" w:rsidP="003B6649">
            <w:pPr>
              <w:spacing w:after="0" w:line="240" w:lineRule="auto"/>
              <w:jc w:val="right"/>
              <w:rPr>
                <w:rFonts w:eastAsia="Times New Roman" w:cs="Times New Roman"/>
                <w:color w:val="000000"/>
                <w:sz w:val="18"/>
                <w:szCs w:val="18"/>
                <w:lang w:eastAsia="sk-SK"/>
              </w:rPr>
            </w:pPr>
            <w:r w:rsidRPr="003B6649">
              <w:rPr>
                <w:rFonts w:eastAsia="Times New Roman" w:cs="Times New Roman"/>
                <w:color w:val="000000"/>
                <w:sz w:val="18"/>
                <w:szCs w:val="18"/>
                <w:lang w:eastAsia="sk-SK"/>
              </w:rPr>
              <w:t>46 694</w:t>
            </w:r>
          </w:p>
        </w:tc>
        <w:tc>
          <w:tcPr>
            <w:tcW w:w="931" w:type="dxa"/>
            <w:tcBorders>
              <w:top w:val="nil"/>
              <w:left w:val="nil"/>
              <w:bottom w:val="nil"/>
              <w:right w:val="nil"/>
            </w:tcBorders>
            <w:shd w:val="clear" w:color="auto" w:fill="auto"/>
            <w:vAlign w:val="center"/>
            <w:hideMark/>
          </w:tcPr>
          <w:p w14:paraId="278568EB" w14:textId="77777777" w:rsidR="003B6649" w:rsidRPr="003B6649" w:rsidRDefault="003B6649" w:rsidP="003B6649">
            <w:pPr>
              <w:spacing w:after="0" w:line="240" w:lineRule="auto"/>
              <w:jc w:val="right"/>
              <w:rPr>
                <w:rFonts w:eastAsia="Times New Roman" w:cs="Times New Roman"/>
                <w:color w:val="000000"/>
                <w:sz w:val="18"/>
                <w:szCs w:val="18"/>
                <w:lang w:eastAsia="sk-SK"/>
              </w:rPr>
            </w:pPr>
            <w:r w:rsidRPr="003B6649">
              <w:rPr>
                <w:rFonts w:eastAsia="Times New Roman" w:cs="Times New Roman"/>
                <w:color w:val="000000"/>
                <w:sz w:val="18"/>
                <w:szCs w:val="18"/>
                <w:lang w:eastAsia="sk-SK"/>
              </w:rPr>
              <w:t>-34 617</w:t>
            </w:r>
          </w:p>
        </w:tc>
        <w:tc>
          <w:tcPr>
            <w:tcW w:w="1051" w:type="dxa"/>
            <w:tcBorders>
              <w:top w:val="nil"/>
              <w:left w:val="nil"/>
              <w:bottom w:val="nil"/>
              <w:right w:val="nil"/>
            </w:tcBorders>
            <w:shd w:val="clear" w:color="auto" w:fill="auto"/>
            <w:vAlign w:val="center"/>
            <w:hideMark/>
          </w:tcPr>
          <w:p w14:paraId="4416BFE2" w14:textId="77777777" w:rsidR="003B6649" w:rsidRPr="003B6649" w:rsidRDefault="003B6649" w:rsidP="003B6649">
            <w:pPr>
              <w:spacing w:after="0" w:line="240" w:lineRule="auto"/>
              <w:jc w:val="right"/>
              <w:rPr>
                <w:rFonts w:eastAsia="Times New Roman" w:cs="Times New Roman"/>
                <w:color w:val="000000"/>
                <w:sz w:val="18"/>
                <w:szCs w:val="18"/>
                <w:lang w:eastAsia="sk-SK"/>
              </w:rPr>
            </w:pPr>
            <w:r w:rsidRPr="003B6649">
              <w:rPr>
                <w:rFonts w:eastAsia="Times New Roman" w:cs="Times New Roman"/>
                <w:color w:val="000000"/>
                <w:sz w:val="18"/>
                <w:szCs w:val="18"/>
                <w:lang w:eastAsia="sk-SK"/>
              </w:rPr>
              <w:t>-42,6</w:t>
            </w:r>
          </w:p>
        </w:tc>
      </w:tr>
      <w:tr w:rsidR="003B6649" w:rsidRPr="003B6649" w14:paraId="5822E53E" w14:textId="77777777" w:rsidTr="003B6649">
        <w:trPr>
          <w:trHeight w:val="349"/>
        </w:trPr>
        <w:tc>
          <w:tcPr>
            <w:tcW w:w="2956" w:type="dxa"/>
            <w:tcBorders>
              <w:top w:val="nil"/>
              <w:left w:val="nil"/>
              <w:bottom w:val="nil"/>
              <w:right w:val="nil"/>
            </w:tcBorders>
            <w:shd w:val="clear" w:color="auto" w:fill="auto"/>
            <w:vAlign w:val="center"/>
            <w:hideMark/>
          </w:tcPr>
          <w:p w14:paraId="2E74273B" w14:textId="77777777" w:rsidR="003B6649" w:rsidRPr="003B6649" w:rsidRDefault="003B6649" w:rsidP="003B6649">
            <w:pPr>
              <w:spacing w:after="0" w:line="240" w:lineRule="auto"/>
              <w:rPr>
                <w:rFonts w:eastAsia="Times New Roman" w:cs="Times New Roman"/>
                <w:color w:val="000000"/>
                <w:sz w:val="18"/>
                <w:szCs w:val="18"/>
                <w:lang w:eastAsia="sk-SK"/>
              </w:rPr>
            </w:pPr>
            <w:r w:rsidRPr="003B6649">
              <w:rPr>
                <w:rFonts w:eastAsia="Times New Roman" w:cs="Times New Roman"/>
                <w:color w:val="000000"/>
                <w:sz w:val="18"/>
                <w:szCs w:val="18"/>
                <w:lang w:eastAsia="sk-SK"/>
              </w:rPr>
              <w:t>Jednotlivcom</w:t>
            </w:r>
          </w:p>
        </w:tc>
        <w:tc>
          <w:tcPr>
            <w:tcW w:w="995" w:type="dxa"/>
            <w:tcBorders>
              <w:top w:val="nil"/>
              <w:left w:val="nil"/>
              <w:bottom w:val="nil"/>
              <w:right w:val="nil"/>
            </w:tcBorders>
            <w:shd w:val="clear" w:color="auto" w:fill="auto"/>
            <w:vAlign w:val="center"/>
            <w:hideMark/>
          </w:tcPr>
          <w:p w14:paraId="3911C51F" w14:textId="77777777" w:rsidR="003B6649" w:rsidRPr="003B6649" w:rsidRDefault="003B6649" w:rsidP="003B6649">
            <w:pPr>
              <w:spacing w:after="0" w:line="240" w:lineRule="auto"/>
              <w:jc w:val="right"/>
              <w:rPr>
                <w:rFonts w:eastAsia="Times New Roman" w:cs="Times New Roman"/>
                <w:color w:val="000000"/>
                <w:sz w:val="18"/>
                <w:szCs w:val="18"/>
                <w:lang w:eastAsia="sk-SK"/>
              </w:rPr>
            </w:pPr>
            <w:r w:rsidRPr="003B6649">
              <w:rPr>
                <w:rFonts w:eastAsia="Times New Roman" w:cs="Times New Roman"/>
                <w:color w:val="000000"/>
                <w:sz w:val="18"/>
                <w:szCs w:val="18"/>
                <w:lang w:eastAsia="sk-SK"/>
              </w:rPr>
              <w:t>67 504</w:t>
            </w:r>
          </w:p>
        </w:tc>
        <w:tc>
          <w:tcPr>
            <w:tcW w:w="992" w:type="dxa"/>
            <w:tcBorders>
              <w:top w:val="nil"/>
              <w:left w:val="nil"/>
              <w:bottom w:val="nil"/>
              <w:right w:val="nil"/>
            </w:tcBorders>
            <w:shd w:val="clear" w:color="auto" w:fill="auto"/>
            <w:vAlign w:val="center"/>
            <w:hideMark/>
          </w:tcPr>
          <w:p w14:paraId="79C4030F" w14:textId="77777777" w:rsidR="003B6649" w:rsidRPr="003B6649" w:rsidRDefault="003B6649" w:rsidP="003B6649">
            <w:pPr>
              <w:spacing w:after="0" w:line="240" w:lineRule="auto"/>
              <w:jc w:val="right"/>
              <w:rPr>
                <w:rFonts w:eastAsia="Times New Roman" w:cs="Times New Roman"/>
                <w:color w:val="000000"/>
                <w:sz w:val="18"/>
                <w:szCs w:val="18"/>
                <w:lang w:eastAsia="sk-SK"/>
              </w:rPr>
            </w:pPr>
            <w:r w:rsidRPr="003B6649">
              <w:rPr>
                <w:rFonts w:eastAsia="Times New Roman" w:cs="Times New Roman"/>
                <w:color w:val="000000"/>
                <w:sz w:val="18"/>
                <w:szCs w:val="18"/>
                <w:lang w:eastAsia="sk-SK"/>
              </w:rPr>
              <w:t>55 957</w:t>
            </w:r>
          </w:p>
        </w:tc>
        <w:tc>
          <w:tcPr>
            <w:tcW w:w="1007" w:type="dxa"/>
            <w:tcBorders>
              <w:top w:val="nil"/>
              <w:left w:val="nil"/>
              <w:bottom w:val="nil"/>
              <w:right w:val="nil"/>
            </w:tcBorders>
            <w:shd w:val="clear" w:color="auto" w:fill="auto"/>
            <w:vAlign w:val="center"/>
            <w:hideMark/>
          </w:tcPr>
          <w:p w14:paraId="6FB65D9E" w14:textId="77777777" w:rsidR="003B6649" w:rsidRPr="003B6649" w:rsidRDefault="003B6649" w:rsidP="003B6649">
            <w:pPr>
              <w:spacing w:after="0" w:line="240" w:lineRule="auto"/>
              <w:jc w:val="right"/>
              <w:rPr>
                <w:rFonts w:eastAsia="Times New Roman" w:cs="Times New Roman"/>
                <w:color w:val="000000"/>
                <w:sz w:val="18"/>
                <w:szCs w:val="18"/>
                <w:lang w:eastAsia="sk-SK"/>
              </w:rPr>
            </w:pPr>
            <w:r w:rsidRPr="003B6649">
              <w:rPr>
                <w:rFonts w:eastAsia="Times New Roman" w:cs="Times New Roman"/>
                <w:color w:val="000000"/>
                <w:sz w:val="18"/>
                <w:szCs w:val="18"/>
                <w:lang w:eastAsia="sk-SK"/>
              </w:rPr>
              <w:t>36 839</w:t>
            </w:r>
          </w:p>
        </w:tc>
        <w:tc>
          <w:tcPr>
            <w:tcW w:w="1025" w:type="dxa"/>
            <w:tcBorders>
              <w:top w:val="nil"/>
              <w:left w:val="nil"/>
              <w:bottom w:val="nil"/>
              <w:right w:val="nil"/>
            </w:tcBorders>
            <w:shd w:val="clear" w:color="000000" w:fill="BFBFBF"/>
            <w:vAlign w:val="center"/>
            <w:hideMark/>
          </w:tcPr>
          <w:p w14:paraId="42326A50" w14:textId="77777777" w:rsidR="003B6649" w:rsidRPr="003B6649" w:rsidRDefault="003B6649" w:rsidP="003B6649">
            <w:pPr>
              <w:spacing w:after="0" w:line="240" w:lineRule="auto"/>
              <w:jc w:val="right"/>
              <w:rPr>
                <w:rFonts w:eastAsia="Times New Roman" w:cs="Times New Roman"/>
                <w:color w:val="000000"/>
                <w:sz w:val="18"/>
                <w:szCs w:val="18"/>
                <w:lang w:eastAsia="sk-SK"/>
              </w:rPr>
            </w:pPr>
            <w:r w:rsidRPr="003B6649">
              <w:rPr>
                <w:rFonts w:eastAsia="Times New Roman" w:cs="Times New Roman"/>
                <w:color w:val="000000"/>
                <w:sz w:val="18"/>
                <w:szCs w:val="18"/>
                <w:lang w:eastAsia="sk-SK"/>
              </w:rPr>
              <w:t>63 495</w:t>
            </w:r>
          </w:p>
        </w:tc>
        <w:tc>
          <w:tcPr>
            <w:tcW w:w="931" w:type="dxa"/>
            <w:tcBorders>
              <w:top w:val="nil"/>
              <w:left w:val="nil"/>
              <w:bottom w:val="nil"/>
              <w:right w:val="nil"/>
            </w:tcBorders>
            <w:shd w:val="clear" w:color="auto" w:fill="auto"/>
            <w:vAlign w:val="center"/>
            <w:hideMark/>
          </w:tcPr>
          <w:p w14:paraId="232558E7" w14:textId="77777777" w:rsidR="003B6649" w:rsidRPr="003B6649" w:rsidRDefault="003B6649" w:rsidP="003B6649">
            <w:pPr>
              <w:spacing w:after="0" w:line="240" w:lineRule="auto"/>
              <w:jc w:val="right"/>
              <w:rPr>
                <w:rFonts w:eastAsia="Times New Roman" w:cs="Times New Roman"/>
                <w:color w:val="000000"/>
                <w:sz w:val="18"/>
                <w:szCs w:val="18"/>
                <w:lang w:eastAsia="sk-SK"/>
              </w:rPr>
            </w:pPr>
            <w:r w:rsidRPr="003B6649">
              <w:rPr>
                <w:rFonts w:eastAsia="Times New Roman" w:cs="Times New Roman"/>
                <w:color w:val="000000"/>
                <w:sz w:val="18"/>
                <w:szCs w:val="18"/>
                <w:lang w:eastAsia="sk-SK"/>
              </w:rPr>
              <w:t>26 656</w:t>
            </w:r>
          </w:p>
        </w:tc>
        <w:tc>
          <w:tcPr>
            <w:tcW w:w="1051" w:type="dxa"/>
            <w:tcBorders>
              <w:top w:val="nil"/>
              <w:left w:val="nil"/>
              <w:bottom w:val="nil"/>
              <w:right w:val="nil"/>
            </w:tcBorders>
            <w:shd w:val="clear" w:color="auto" w:fill="auto"/>
            <w:vAlign w:val="center"/>
            <w:hideMark/>
          </w:tcPr>
          <w:p w14:paraId="6AD06796" w14:textId="77777777" w:rsidR="003B6649" w:rsidRPr="003B6649" w:rsidRDefault="003B6649" w:rsidP="003B6649">
            <w:pPr>
              <w:spacing w:after="0" w:line="240" w:lineRule="auto"/>
              <w:jc w:val="right"/>
              <w:rPr>
                <w:rFonts w:eastAsia="Times New Roman" w:cs="Times New Roman"/>
                <w:color w:val="000000"/>
                <w:sz w:val="18"/>
                <w:szCs w:val="18"/>
                <w:lang w:eastAsia="sk-SK"/>
              </w:rPr>
            </w:pPr>
            <w:r w:rsidRPr="003B6649">
              <w:rPr>
                <w:rFonts w:eastAsia="Times New Roman" w:cs="Times New Roman"/>
                <w:color w:val="000000"/>
                <w:sz w:val="18"/>
                <w:szCs w:val="18"/>
                <w:lang w:eastAsia="sk-SK"/>
              </w:rPr>
              <w:t>72,4</w:t>
            </w:r>
          </w:p>
        </w:tc>
      </w:tr>
      <w:tr w:rsidR="003B6649" w:rsidRPr="003B6649" w14:paraId="6F8FB381" w14:textId="77777777" w:rsidTr="003B6649">
        <w:trPr>
          <w:trHeight w:val="349"/>
        </w:trPr>
        <w:tc>
          <w:tcPr>
            <w:tcW w:w="2956" w:type="dxa"/>
            <w:tcBorders>
              <w:top w:val="nil"/>
              <w:left w:val="nil"/>
              <w:bottom w:val="single" w:sz="8" w:space="0" w:color="auto"/>
              <w:right w:val="nil"/>
            </w:tcBorders>
            <w:shd w:val="clear" w:color="auto" w:fill="auto"/>
            <w:vAlign w:val="center"/>
            <w:hideMark/>
          </w:tcPr>
          <w:p w14:paraId="4DC17030" w14:textId="77777777" w:rsidR="003B6649" w:rsidRPr="003B6649" w:rsidRDefault="003B6649" w:rsidP="003B6649">
            <w:pPr>
              <w:spacing w:after="0" w:line="240" w:lineRule="auto"/>
              <w:rPr>
                <w:rFonts w:eastAsia="Times New Roman" w:cs="Times New Roman"/>
                <w:color w:val="000000"/>
                <w:sz w:val="18"/>
                <w:szCs w:val="18"/>
                <w:lang w:eastAsia="sk-SK"/>
              </w:rPr>
            </w:pPr>
            <w:r w:rsidRPr="003B6649">
              <w:rPr>
                <w:rFonts w:eastAsia="Times New Roman" w:cs="Times New Roman"/>
                <w:color w:val="000000"/>
                <w:sz w:val="18"/>
                <w:szCs w:val="18"/>
                <w:lang w:eastAsia="sk-SK"/>
              </w:rPr>
              <w:t>Ostatné transfery</w:t>
            </w:r>
          </w:p>
        </w:tc>
        <w:tc>
          <w:tcPr>
            <w:tcW w:w="995" w:type="dxa"/>
            <w:tcBorders>
              <w:top w:val="nil"/>
              <w:left w:val="nil"/>
              <w:bottom w:val="single" w:sz="8" w:space="0" w:color="auto"/>
              <w:right w:val="nil"/>
            </w:tcBorders>
            <w:shd w:val="clear" w:color="auto" w:fill="auto"/>
            <w:vAlign w:val="center"/>
            <w:hideMark/>
          </w:tcPr>
          <w:p w14:paraId="10F9B429" w14:textId="77777777" w:rsidR="003B6649" w:rsidRPr="003B6649" w:rsidRDefault="003B6649" w:rsidP="003B6649">
            <w:pPr>
              <w:spacing w:after="0" w:line="240" w:lineRule="auto"/>
              <w:jc w:val="right"/>
              <w:rPr>
                <w:rFonts w:eastAsia="Times New Roman" w:cs="Times New Roman"/>
                <w:color w:val="000000"/>
                <w:sz w:val="18"/>
                <w:szCs w:val="18"/>
                <w:lang w:eastAsia="sk-SK"/>
              </w:rPr>
            </w:pPr>
            <w:r w:rsidRPr="003B6649">
              <w:rPr>
                <w:rFonts w:eastAsia="Times New Roman" w:cs="Times New Roman"/>
                <w:color w:val="000000"/>
                <w:sz w:val="18"/>
                <w:szCs w:val="18"/>
                <w:lang w:eastAsia="sk-SK"/>
              </w:rPr>
              <w:t>145 528</w:t>
            </w:r>
          </w:p>
        </w:tc>
        <w:tc>
          <w:tcPr>
            <w:tcW w:w="992" w:type="dxa"/>
            <w:tcBorders>
              <w:top w:val="nil"/>
              <w:left w:val="nil"/>
              <w:bottom w:val="single" w:sz="8" w:space="0" w:color="auto"/>
              <w:right w:val="nil"/>
            </w:tcBorders>
            <w:shd w:val="clear" w:color="auto" w:fill="auto"/>
            <w:vAlign w:val="center"/>
            <w:hideMark/>
          </w:tcPr>
          <w:p w14:paraId="568150C0" w14:textId="77777777" w:rsidR="003B6649" w:rsidRPr="003B6649" w:rsidRDefault="003B6649" w:rsidP="003B6649">
            <w:pPr>
              <w:spacing w:after="0" w:line="240" w:lineRule="auto"/>
              <w:jc w:val="right"/>
              <w:rPr>
                <w:rFonts w:eastAsia="Times New Roman" w:cs="Times New Roman"/>
                <w:color w:val="000000"/>
                <w:sz w:val="18"/>
                <w:szCs w:val="18"/>
                <w:lang w:eastAsia="sk-SK"/>
              </w:rPr>
            </w:pPr>
            <w:r w:rsidRPr="003B6649">
              <w:rPr>
                <w:rFonts w:eastAsia="Times New Roman" w:cs="Times New Roman"/>
                <w:color w:val="000000"/>
                <w:sz w:val="18"/>
                <w:szCs w:val="18"/>
                <w:lang w:eastAsia="sk-SK"/>
              </w:rPr>
              <w:t>142 693</w:t>
            </w:r>
          </w:p>
        </w:tc>
        <w:tc>
          <w:tcPr>
            <w:tcW w:w="1007" w:type="dxa"/>
            <w:tcBorders>
              <w:top w:val="nil"/>
              <w:left w:val="nil"/>
              <w:bottom w:val="single" w:sz="8" w:space="0" w:color="auto"/>
              <w:right w:val="nil"/>
            </w:tcBorders>
            <w:shd w:val="clear" w:color="auto" w:fill="auto"/>
            <w:vAlign w:val="center"/>
            <w:hideMark/>
          </w:tcPr>
          <w:p w14:paraId="3A03B702" w14:textId="77777777" w:rsidR="003B6649" w:rsidRPr="003B6649" w:rsidRDefault="003B6649" w:rsidP="003B6649">
            <w:pPr>
              <w:spacing w:after="0" w:line="240" w:lineRule="auto"/>
              <w:jc w:val="right"/>
              <w:rPr>
                <w:rFonts w:eastAsia="Times New Roman" w:cs="Times New Roman"/>
                <w:color w:val="000000"/>
                <w:sz w:val="18"/>
                <w:szCs w:val="18"/>
                <w:lang w:eastAsia="sk-SK"/>
              </w:rPr>
            </w:pPr>
            <w:r w:rsidRPr="003B6649">
              <w:rPr>
                <w:rFonts w:eastAsia="Times New Roman" w:cs="Times New Roman"/>
                <w:color w:val="000000"/>
                <w:sz w:val="18"/>
                <w:szCs w:val="18"/>
                <w:lang w:eastAsia="sk-SK"/>
              </w:rPr>
              <w:t>247 298</w:t>
            </w:r>
          </w:p>
        </w:tc>
        <w:tc>
          <w:tcPr>
            <w:tcW w:w="1025" w:type="dxa"/>
            <w:tcBorders>
              <w:top w:val="nil"/>
              <w:left w:val="nil"/>
              <w:bottom w:val="single" w:sz="8" w:space="0" w:color="auto"/>
              <w:right w:val="nil"/>
            </w:tcBorders>
            <w:shd w:val="clear" w:color="000000" w:fill="BFBFBF"/>
            <w:vAlign w:val="center"/>
            <w:hideMark/>
          </w:tcPr>
          <w:p w14:paraId="3B9098BA" w14:textId="77777777" w:rsidR="003B6649" w:rsidRPr="003B6649" w:rsidRDefault="003B6649" w:rsidP="003B6649">
            <w:pPr>
              <w:spacing w:after="0" w:line="240" w:lineRule="auto"/>
              <w:jc w:val="right"/>
              <w:rPr>
                <w:rFonts w:eastAsia="Times New Roman" w:cs="Times New Roman"/>
                <w:color w:val="000000"/>
                <w:sz w:val="18"/>
                <w:szCs w:val="18"/>
                <w:lang w:eastAsia="sk-SK"/>
              </w:rPr>
            </w:pPr>
            <w:r w:rsidRPr="003B6649">
              <w:rPr>
                <w:rFonts w:eastAsia="Times New Roman" w:cs="Times New Roman"/>
                <w:color w:val="000000"/>
                <w:sz w:val="18"/>
                <w:szCs w:val="18"/>
                <w:lang w:eastAsia="sk-SK"/>
              </w:rPr>
              <w:t>223 649</w:t>
            </w:r>
          </w:p>
        </w:tc>
        <w:tc>
          <w:tcPr>
            <w:tcW w:w="931" w:type="dxa"/>
            <w:tcBorders>
              <w:top w:val="nil"/>
              <w:left w:val="nil"/>
              <w:bottom w:val="single" w:sz="8" w:space="0" w:color="auto"/>
              <w:right w:val="nil"/>
            </w:tcBorders>
            <w:shd w:val="clear" w:color="auto" w:fill="auto"/>
            <w:vAlign w:val="center"/>
            <w:hideMark/>
          </w:tcPr>
          <w:p w14:paraId="353FD89C" w14:textId="77777777" w:rsidR="003B6649" w:rsidRPr="003B6649" w:rsidRDefault="003B6649" w:rsidP="003B6649">
            <w:pPr>
              <w:spacing w:after="0" w:line="240" w:lineRule="auto"/>
              <w:jc w:val="right"/>
              <w:rPr>
                <w:rFonts w:eastAsia="Times New Roman" w:cs="Times New Roman"/>
                <w:color w:val="000000"/>
                <w:sz w:val="18"/>
                <w:szCs w:val="18"/>
                <w:lang w:eastAsia="sk-SK"/>
              </w:rPr>
            </w:pPr>
            <w:r w:rsidRPr="003B6649">
              <w:rPr>
                <w:rFonts w:eastAsia="Times New Roman" w:cs="Times New Roman"/>
                <w:color w:val="000000"/>
                <w:sz w:val="18"/>
                <w:szCs w:val="18"/>
                <w:lang w:eastAsia="sk-SK"/>
              </w:rPr>
              <w:t>-23 649</w:t>
            </w:r>
          </w:p>
        </w:tc>
        <w:tc>
          <w:tcPr>
            <w:tcW w:w="1051" w:type="dxa"/>
            <w:tcBorders>
              <w:top w:val="nil"/>
              <w:left w:val="nil"/>
              <w:bottom w:val="single" w:sz="8" w:space="0" w:color="auto"/>
              <w:right w:val="nil"/>
            </w:tcBorders>
            <w:shd w:val="clear" w:color="auto" w:fill="auto"/>
            <w:vAlign w:val="center"/>
            <w:hideMark/>
          </w:tcPr>
          <w:p w14:paraId="6D65A59F" w14:textId="77777777" w:rsidR="003B6649" w:rsidRPr="003B6649" w:rsidRDefault="003B6649" w:rsidP="003B6649">
            <w:pPr>
              <w:spacing w:after="0" w:line="240" w:lineRule="auto"/>
              <w:jc w:val="right"/>
              <w:rPr>
                <w:rFonts w:eastAsia="Times New Roman" w:cs="Times New Roman"/>
                <w:color w:val="000000"/>
                <w:sz w:val="18"/>
                <w:szCs w:val="18"/>
                <w:lang w:eastAsia="sk-SK"/>
              </w:rPr>
            </w:pPr>
            <w:r w:rsidRPr="003B6649">
              <w:rPr>
                <w:rFonts w:eastAsia="Times New Roman" w:cs="Times New Roman"/>
                <w:color w:val="000000"/>
                <w:sz w:val="18"/>
                <w:szCs w:val="18"/>
                <w:lang w:eastAsia="sk-SK"/>
              </w:rPr>
              <w:t>-9,6</w:t>
            </w:r>
          </w:p>
        </w:tc>
      </w:tr>
      <w:tr w:rsidR="003B6649" w:rsidRPr="003B6649" w14:paraId="7C331925" w14:textId="77777777" w:rsidTr="003B6649">
        <w:trPr>
          <w:trHeight w:val="345"/>
        </w:trPr>
        <w:tc>
          <w:tcPr>
            <w:tcW w:w="2956" w:type="dxa"/>
            <w:tcBorders>
              <w:top w:val="nil"/>
              <w:left w:val="nil"/>
              <w:bottom w:val="single" w:sz="8" w:space="0" w:color="auto"/>
              <w:right w:val="nil"/>
            </w:tcBorders>
            <w:shd w:val="clear" w:color="auto" w:fill="auto"/>
            <w:vAlign w:val="center"/>
            <w:hideMark/>
          </w:tcPr>
          <w:p w14:paraId="76E647AF" w14:textId="77777777" w:rsidR="003B6649" w:rsidRPr="003B6649" w:rsidRDefault="003B6649" w:rsidP="003B6649">
            <w:pPr>
              <w:spacing w:after="0" w:line="240" w:lineRule="auto"/>
              <w:jc w:val="left"/>
              <w:rPr>
                <w:rFonts w:eastAsia="Times New Roman" w:cs="Times New Roman"/>
                <w:b/>
                <w:bCs/>
                <w:color w:val="000000"/>
                <w:sz w:val="18"/>
                <w:szCs w:val="18"/>
                <w:lang w:eastAsia="sk-SK"/>
              </w:rPr>
            </w:pPr>
            <w:r w:rsidRPr="003B6649">
              <w:rPr>
                <w:rFonts w:eastAsia="Times New Roman" w:cs="Times New Roman"/>
                <w:b/>
                <w:bCs/>
                <w:color w:val="000000"/>
                <w:sz w:val="18"/>
                <w:szCs w:val="18"/>
                <w:lang w:eastAsia="sk-SK"/>
              </w:rPr>
              <w:t>Spolu</w:t>
            </w:r>
          </w:p>
        </w:tc>
        <w:tc>
          <w:tcPr>
            <w:tcW w:w="995" w:type="dxa"/>
            <w:tcBorders>
              <w:top w:val="nil"/>
              <w:left w:val="nil"/>
              <w:bottom w:val="single" w:sz="8" w:space="0" w:color="auto"/>
              <w:right w:val="nil"/>
            </w:tcBorders>
            <w:shd w:val="clear" w:color="auto" w:fill="auto"/>
            <w:vAlign w:val="center"/>
            <w:hideMark/>
          </w:tcPr>
          <w:p w14:paraId="7B58ED19" w14:textId="77777777" w:rsidR="003B6649" w:rsidRPr="003B6649" w:rsidRDefault="003B6649" w:rsidP="003B6649">
            <w:pPr>
              <w:spacing w:after="0" w:line="240" w:lineRule="auto"/>
              <w:jc w:val="right"/>
              <w:rPr>
                <w:rFonts w:eastAsia="Times New Roman" w:cs="Times New Roman"/>
                <w:b/>
                <w:bCs/>
                <w:color w:val="000000"/>
                <w:sz w:val="18"/>
                <w:szCs w:val="18"/>
                <w:lang w:eastAsia="sk-SK"/>
              </w:rPr>
            </w:pPr>
            <w:r w:rsidRPr="003B6649">
              <w:rPr>
                <w:rFonts w:eastAsia="Times New Roman" w:cs="Times New Roman"/>
                <w:b/>
                <w:bCs/>
                <w:color w:val="000000"/>
                <w:sz w:val="18"/>
                <w:szCs w:val="18"/>
                <w:lang w:eastAsia="sk-SK"/>
              </w:rPr>
              <w:t>3 757 414</w:t>
            </w:r>
          </w:p>
        </w:tc>
        <w:tc>
          <w:tcPr>
            <w:tcW w:w="992" w:type="dxa"/>
            <w:tcBorders>
              <w:top w:val="nil"/>
              <w:left w:val="nil"/>
              <w:bottom w:val="single" w:sz="8" w:space="0" w:color="auto"/>
              <w:right w:val="nil"/>
            </w:tcBorders>
            <w:shd w:val="clear" w:color="auto" w:fill="auto"/>
            <w:vAlign w:val="center"/>
            <w:hideMark/>
          </w:tcPr>
          <w:p w14:paraId="1D8CC0E9" w14:textId="77777777" w:rsidR="003B6649" w:rsidRPr="003B6649" w:rsidRDefault="003B6649" w:rsidP="003B6649">
            <w:pPr>
              <w:spacing w:after="0" w:line="240" w:lineRule="auto"/>
              <w:jc w:val="right"/>
              <w:rPr>
                <w:rFonts w:eastAsia="Times New Roman" w:cs="Times New Roman"/>
                <w:b/>
                <w:bCs/>
                <w:color w:val="000000"/>
                <w:sz w:val="18"/>
                <w:szCs w:val="18"/>
                <w:lang w:eastAsia="sk-SK"/>
              </w:rPr>
            </w:pPr>
            <w:r w:rsidRPr="003B6649">
              <w:rPr>
                <w:rFonts w:eastAsia="Times New Roman" w:cs="Times New Roman"/>
                <w:b/>
                <w:bCs/>
                <w:color w:val="000000"/>
                <w:sz w:val="18"/>
                <w:szCs w:val="18"/>
                <w:lang w:eastAsia="sk-SK"/>
              </w:rPr>
              <w:t>4 002 928</w:t>
            </w:r>
          </w:p>
        </w:tc>
        <w:tc>
          <w:tcPr>
            <w:tcW w:w="1007" w:type="dxa"/>
            <w:tcBorders>
              <w:top w:val="nil"/>
              <w:left w:val="nil"/>
              <w:bottom w:val="single" w:sz="8" w:space="0" w:color="auto"/>
              <w:right w:val="nil"/>
            </w:tcBorders>
            <w:shd w:val="clear" w:color="auto" w:fill="auto"/>
            <w:vAlign w:val="center"/>
            <w:hideMark/>
          </w:tcPr>
          <w:p w14:paraId="3BD1629E" w14:textId="77777777" w:rsidR="003B6649" w:rsidRPr="003B6649" w:rsidRDefault="003B6649" w:rsidP="003B6649">
            <w:pPr>
              <w:spacing w:after="0" w:line="240" w:lineRule="auto"/>
              <w:jc w:val="right"/>
              <w:rPr>
                <w:rFonts w:eastAsia="Times New Roman" w:cs="Times New Roman"/>
                <w:b/>
                <w:bCs/>
                <w:color w:val="000000"/>
                <w:sz w:val="18"/>
                <w:szCs w:val="18"/>
                <w:lang w:eastAsia="sk-SK"/>
              </w:rPr>
            </w:pPr>
            <w:r w:rsidRPr="003B6649">
              <w:rPr>
                <w:rFonts w:eastAsia="Times New Roman" w:cs="Times New Roman"/>
                <w:b/>
                <w:bCs/>
                <w:color w:val="000000"/>
                <w:sz w:val="18"/>
                <w:szCs w:val="18"/>
                <w:lang w:eastAsia="sk-SK"/>
              </w:rPr>
              <w:t>4 381 649</w:t>
            </w:r>
          </w:p>
        </w:tc>
        <w:tc>
          <w:tcPr>
            <w:tcW w:w="1025" w:type="dxa"/>
            <w:tcBorders>
              <w:top w:val="nil"/>
              <w:left w:val="nil"/>
              <w:bottom w:val="single" w:sz="8" w:space="0" w:color="auto"/>
              <w:right w:val="nil"/>
            </w:tcBorders>
            <w:shd w:val="clear" w:color="auto" w:fill="auto"/>
            <w:vAlign w:val="center"/>
            <w:hideMark/>
          </w:tcPr>
          <w:p w14:paraId="6AC1152C" w14:textId="77777777" w:rsidR="003B6649" w:rsidRPr="003B6649" w:rsidRDefault="003B6649" w:rsidP="003B6649">
            <w:pPr>
              <w:spacing w:after="0" w:line="240" w:lineRule="auto"/>
              <w:jc w:val="right"/>
              <w:rPr>
                <w:rFonts w:eastAsia="Times New Roman" w:cs="Times New Roman"/>
                <w:b/>
                <w:bCs/>
                <w:color w:val="000000"/>
                <w:sz w:val="18"/>
                <w:szCs w:val="18"/>
                <w:lang w:eastAsia="sk-SK"/>
              </w:rPr>
            </w:pPr>
            <w:r w:rsidRPr="003B6649">
              <w:rPr>
                <w:rFonts w:eastAsia="Times New Roman" w:cs="Times New Roman"/>
                <w:b/>
                <w:bCs/>
                <w:color w:val="000000"/>
                <w:sz w:val="18"/>
                <w:szCs w:val="18"/>
                <w:lang w:eastAsia="sk-SK"/>
              </w:rPr>
              <w:t>4 625 318</w:t>
            </w:r>
          </w:p>
        </w:tc>
        <w:tc>
          <w:tcPr>
            <w:tcW w:w="931" w:type="dxa"/>
            <w:tcBorders>
              <w:top w:val="nil"/>
              <w:left w:val="nil"/>
              <w:bottom w:val="single" w:sz="8" w:space="0" w:color="auto"/>
              <w:right w:val="nil"/>
            </w:tcBorders>
            <w:shd w:val="clear" w:color="auto" w:fill="auto"/>
            <w:vAlign w:val="center"/>
            <w:hideMark/>
          </w:tcPr>
          <w:p w14:paraId="0C5627A8" w14:textId="77777777" w:rsidR="003B6649" w:rsidRPr="003B6649" w:rsidRDefault="003B6649" w:rsidP="003B6649">
            <w:pPr>
              <w:spacing w:after="0" w:line="240" w:lineRule="auto"/>
              <w:jc w:val="right"/>
              <w:rPr>
                <w:rFonts w:eastAsia="Times New Roman" w:cs="Times New Roman"/>
                <w:b/>
                <w:bCs/>
                <w:color w:val="000000"/>
                <w:sz w:val="18"/>
                <w:szCs w:val="18"/>
                <w:lang w:eastAsia="sk-SK"/>
              </w:rPr>
            </w:pPr>
            <w:r w:rsidRPr="003B6649">
              <w:rPr>
                <w:rFonts w:eastAsia="Times New Roman" w:cs="Times New Roman"/>
                <w:b/>
                <w:bCs/>
                <w:color w:val="000000"/>
                <w:sz w:val="18"/>
                <w:szCs w:val="18"/>
                <w:lang w:eastAsia="sk-SK"/>
              </w:rPr>
              <w:t>243 669</w:t>
            </w:r>
          </w:p>
        </w:tc>
        <w:tc>
          <w:tcPr>
            <w:tcW w:w="1051" w:type="dxa"/>
            <w:tcBorders>
              <w:top w:val="nil"/>
              <w:left w:val="nil"/>
              <w:bottom w:val="single" w:sz="8" w:space="0" w:color="auto"/>
              <w:right w:val="nil"/>
            </w:tcBorders>
            <w:shd w:val="clear" w:color="auto" w:fill="auto"/>
            <w:vAlign w:val="center"/>
            <w:hideMark/>
          </w:tcPr>
          <w:p w14:paraId="603C165F" w14:textId="77777777" w:rsidR="003B6649" w:rsidRPr="003B6649" w:rsidRDefault="003B6649" w:rsidP="003B6649">
            <w:pPr>
              <w:spacing w:after="0" w:line="240" w:lineRule="auto"/>
              <w:jc w:val="right"/>
              <w:rPr>
                <w:rFonts w:eastAsia="Times New Roman" w:cs="Times New Roman"/>
                <w:color w:val="000000"/>
                <w:sz w:val="18"/>
                <w:szCs w:val="18"/>
                <w:lang w:eastAsia="sk-SK"/>
              </w:rPr>
            </w:pPr>
            <w:r w:rsidRPr="003B6649">
              <w:rPr>
                <w:rFonts w:eastAsia="Times New Roman" w:cs="Times New Roman"/>
                <w:color w:val="000000"/>
                <w:sz w:val="18"/>
                <w:szCs w:val="18"/>
                <w:lang w:eastAsia="sk-SK"/>
              </w:rPr>
              <w:t>5,6</w:t>
            </w:r>
          </w:p>
        </w:tc>
      </w:tr>
    </w:tbl>
    <w:p w14:paraId="030EF848" w14:textId="410B167D" w:rsidR="00867564" w:rsidRPr="00417A4B" w:rsidRDefault="0023537F" w:rsidP="0023537F">
      <w:pPr>
        <w:tabs>
          <w:tab w:val="left" w:pos="7797"/>
        </w:tabs>
      </w:pPr>
      <w:r>
        <w:rPr>
          <w:sz w:val="18"/>
          <w:szCs w:val="18"/>
        </w:rPr>
        <w:tab/>
      </w:r>
      <w:r w:rsidR="00FC7EAC">
        <w:rPr>
          <w:sz w:val="18"/>
          <w:szCs w:val="18"/>
        </w:rPr>
        <w:t>Z</w:t>
      </w:r>
      <w:r w:rsidR="00867564" w:rsidRPr="00417A4B">
        <w:rPr>
          <w:sz w:val="18"/>
          <w:szCs w:val="18"/>
        </w:rPr>
        <w:t>droj: MF SR</w:t>
      </w:r>
    </w:p>
    <w:p w14:paraId="4AD11781" w14:textId="6C4D6B64" w:rsidR="00EA4C6C" w:rsidRDefault="00867564" w:rsidP="001665F3">
      <w:pPr>
        <w:spacing w:line="240" w:lineRule="auto"/>
        <w:rPr>
          <w:sz w:val="24"/>
          <w:szCs w:val="24"/>
        </w:rPr>
      </w:pPr>
      <w:r w:rsidRPr="00EA4C6C">
        <w:rPr>
          <w:b/>
          <w:i/>
          <w:sz w:val="24"/>
          <w:szCs w:val="24"/>
        </w:rPr>
        <w:t>Sociálne dávky</w:t>
      </w:r>
      <w:r w:rsidRPr="00D715AF">
        <w:rPr>
          <w:i/>
          <w:sz w:val="24"/>
          <w:szCs w:val="24"/>
        </w:rPr>
        <w:t xml:space="preserve"> </w:t>
      </w:r>
      <w:r w:rsidRPr="00D715AF">
        <w:rPr>
          <w:sz w:val="24"/>
          <w:szCs w:val="24"/>
        </w:rPr>
        <w:t>boli čerpané v objeme 2 </w:t>
      </w:r>
      <w:r w:rsidR="003B6649">
        <w:rPr>
          <w:sz w:val="24"/>
          <w:szCs w:val="24"/>
        </w:rPr>
        <w:t>040</w:t>
      </w:r>
      <w:r w:rsidRPr="00D715AF">
        <w:rPr>
          <w:sz w:val="24"/>
          <w:szCs w:val="24"/>
        </w:rPr>
        <w:t> </w:t>
      </w:r>
      <w:r w:rsidR="003B6649">
        <w:rPr>
          <w:sz w:val="24"/>
          <w:szCs w:val="24"/>
        </w:rPr>
        <w:t>403</w:t>
      </w:r>
      <w:r w:rsidRPr="00D715AF">
        <w:rPr>
          <w:sz w:val="24"/>
          <w:szCs w:val="24"/>
        </w:rPr>
        <w:t> tis. eur. Najväčší objem výdavkov v rámci sociálnych dávok realizuje kapitola</w:t>
      </w:r>
      <w:r w:rsidRPr="00D715AF">
        <w:rPr>
          <w:color w:val="FF0000"/>
          <w:sz w:val="24"/>
          <w:szCs w:val="24"/>
        </w:rPr>
        <w:t xml:space="preserve"> </w:t>
      </w:r>
      <w:r w:rsidRPr="00D715AF">
        <w:rPr>
          <w:sz w:val="24"/>
          <w:szCs w:val="24"/>
        </w:rPr>
        <w:t>Ministerstva práce, sociálnych vecí a rodiny SR, napríklad</w:t>
      </w:r>
      <w:r w:rsidRPr="00D715AF">
        <w:rPr>
          <w:color w:val="FF0000"/>
          <w:sz w:val="24"/>
          <w:szCs w:val="24"/>
        </w:rPr>
        <w:t xml:space="preserve"> </w:t>
      </w:r>
      <w:r w:rsidRPr="00D715AF">
        <w:rPr>
          <w:sz w:val="24"/>
          <w:szCs w:val="24"/>
        </w:rPr>
        <w:t>na rodičovský príspevok (581 640 tis. eur), ostatné dávky poskytované štátom (482 890 tis. eur)</w:t>
      </w:r>
      <w:r w:rsidR="003B6649">
        <w:rPr>
          <w:sz w:val="24"/>
          <w:szCs w:val="24"/>
        </w:rPr>
        <w:t xml:space="preserve">, </w:t>
      </w:r>
      <w:r w:rsidR="003B6649" w:rsidRPr="00D715AF">
        <w:rPr>
          <w:sz w:val="24"/>
          <w:szCs w:val="24"/>
        </w:rPr>
        <w:t>na kompenzáciu sociálnych dôsledkov ťažkého zdravotného postihnutia (</w:t>
      </w:r>
      <w:r w:rsidR="003B6649">
        <w:rPr>
          <w:sz w:val="24"/>
          <w:szCs w:val="24"/>
        </w:rPr>
        <w:t>453 200 </w:t>
      </w:r>
      <w:r w:rsidR="003B6649" w:rsidRPr="00D715AF">
        <w:rPr>
          <w:sz w:val="24"/>
          <w:szCs w:val="24"/>
        </w:rPr>
        <w:t>tis. eur)</w:t>
      </w:r>
      <w:r w:rsidRPr="00D715AF">
        <w:rPr>
          <w:sz w:val="24"/>
          <w:szCs w:val="24"/>
        </w:rPr>
        <w:t xml:space="preserve"> a prídavok na dieťa (332 116 tis. eur).</w:t>
      </w:r>
      <w:r w:rsidRPr="00D715AF">
        <w:rPr>
          <w:color w:val="FF0000"/>
          <w:sz w:val="24"/>
          <w:szCs w:val="24"/>
        </w:rPr>
        <w:t xml:space="preserve"> </w:t>
      </w:r>
      <w:r w:rsidRPr="00D715AF">
        <w:rPr>
          <w:sz w:val="24"/>
          <w:szCs w:val="24"/>
        </w:rPr>
        <w:t>V rámci týchto výdavkov ide aj o poskytovanie peňa</w:t>
      </w:r>
      <w:r w:rsidR="00EA4C6C">
        <w:rPr>
          <w:sz w:val="24"/>
          <w:szCs w:val="24"/>
        </w:rPr>
        <w:t>žného príspevku na opatrovanie.</w:t>
      </w:r>
    </w:p>
    <w:p w14:paraId="7057A07E" w14:textId="22929721" w:rsidR="00867564" w:rsidRPr="00D715AF" w:rsidRDefault="00867564" w:rsidP="001665F3">
      <w:pPr>
        <w:spacing w:line="240" w:lineRule="auto"/>
        <w:rPr>
          <w:rFonts w:cs="Times New Roman"/>
          <w:color w:val="FF0000"/>
          <w:sz w:val="24"/>
          <w:szCs w:val="24"/>
        </w:rPr>
      </w:pPr>
      <w:r w:rsidRPr="00D715AF">
        <w:rPr>
          <w:rFonts w:cs="Times New Roman"/>
          <w:sz w:val="24"/>
          <w:szCs w:val="24"/>
        </w:rPr>
        <w:t>Ďalšiu významnú časť sociálnych dávok tvorí dávka v hmotnej núdzi</w:t>
      </w:r>
      <w:r w:rsidRPr="00D715AF">
        <w:rPr>
          <w:rFonts w:cs="Times New Roman"/>
          <w:i/>
          <w:sz w:val="24"/>
          <w:szCs w:val="24"/>
        </w:rPr>
        <w:t xml:space="preserve"> </w:t>
      </w:r>
      <w:r w:rsidRPr="00D715AF">
        <w:rPr>
          <w:rFonts w:cs="Times New Roman"/>
          <w:sz w:val="24"/>
          <w:szCs w:val="24"/>
        </w:rPr>
        <w:t>a príspevky k dávke v sume 112 911 tis. eur, vyplácaná na základe zákona č. 417/2013 Z. z. o pomoci v hmotnej núdzi. Je tu tiež zahrnutý resocializačný príspevok a osobitný príspevok, ktorý sa poskytuje dlhodobo nezamestnaným osobám, ktoré si nájdu zamestnanie.</w:t>
      </w:r>
      <w:r w:rsidRPr="00D715AF">
        <w:rPr>
          <w:rFonts w:cs="Times New Roman"/>
          <w:color w:val="FF0000"/>
          <w:sz w:val="24"/>
          <w:szCs w:val="24"/>
        </w:rPr>
        <w:t xml:space="preserve"> </w:t>
      </w:r>
      <w:r w:rsidRPr="00D715AF">
        <w:rPr>
          <w:sz w:val="24"/>
          <w:szCs w:val="24"/>
        </w:rPr>
        <w:t>V rámci ostatných</w:t>
      </w:r>
      <w:r w:rsidRPr="00D715AF">
        <w:rPr>
          <w:i/>
          <w:sz w:val="24"/>
          <w:szCs w:val="24"/>
        </w:rPr>
        <w:t xml:space="preserve"> </w:t>
      </w:r>
      <w:r w:rsidRPr="00D715AF">
        <w:rPr>
          <w:sz w:val="24"/>
          <w:szCs w:val="24"/>
        </w:rPr>
        <w:t>dávok poskytovaných štátom, ktoré predstavovali sumu 48</w:t>
      </w:r>
      <w:r w:rsidR="003B6649">
        <w:rPr>
          <w:sz w:val="24"/>
          <w:szCs w:val="24"/>
        </w:rPr>
        <w:t>0</w:t>
      </w:r>
      <w:r w:rsidRPr="00D715AF">
        <w:rPr>
          <w:sz w:val="24"/>
          <w:szCs w:val="24"/>
        </w:rPr>
        <w:t> </w:t>
      </w:r>
      <w:r w:rsidR="003B6649">
        <w:rPr>
          <w:sz w:val="24"/>
          <w:szCs w:val="24"/>
        </w:rPr>
        <w:t>4</w:t>
      </w:r>
      <w:r w:rsidRPr="00D715AF">
        <w:rPr>
          <w:sz w:val="24"/>
          <w:szCs w:val="24"/>
        </w:rPr>
        <w:t xml:space="preserve">90 tis. eur, boli finančné prostriedky použité </w:t>
      </w:r>
      <w:r w:rsidRPr="00D715AF">
        <w:rPr>
          <w:rFonts w:cs="Times New Roman"/>
          <w:sz w:val="24"/>
          <w:szCs w:val="24"/>
        </w:rPr>
        <w:t>na úhrady nesystémových dávok sociálneho poistenia a na zdvojnásobe</w:t>
      </w:r>
      <w:r w:rsidR="0036644E" w:rsidRPr="00D715AF">
        <w:rPr>
          <w:rFonts w:cs="Times New Roman"/>
          <w:sz w:val="24"/>
          <w:szCs w:val="24"/>
        </w:rPr>
        <w:t>ný vianočný príspevok dôchodcom</w:t>
      </w:r>
      <w:r w:rsidRPr="00D715AF">
        <w:rPr>
          <w:rFonts w:cs="Times New Roman"/>
          <w:sz w:val="24"/>
          <w:szCs w:val="24"/>
        </w:rPr>
        <w:t xml:space="preserve">, ktorý uhrádza štát podľa § 82b, § 168a a § 285 zákona č. 461/2003 Z. z. o sociálnom poistení v znení neskorších predpisov. </w:t>
      </w:r>
    </w:p>
    <w:p w14:paraId="6CB506C5" w14:textId="06A34B0D" w:rsidR="00867564" w:rsidRPr="00D715AF" w:rsidRDefault="00867564" w:rsidP="001665F3">
      <w:pPr>
        <w:spacing w:line="240" w:lineRule="auto"/>
        <w:rPr>
          <w:color w:val="FF0000"/>
          <w:sz w:val="24"/>
          <w:szCs w:val="24"/>
        </w:rPr>
      </w:pPr>
      <w:r w:rsidRPr="00EA4C6C">
        <w:rPr>
          <w:b/>
          <w:i/>
          <w:sz w:val="24"/>
          <w:szCs w:val="24"/>
        </w:rPr>
        <w:t>Transfery na platené poistné za skupiny osôb ustanovené zákonom</w:t>
      </w:r>
      <w:r w:rsidRPr="00D715AF">
        <w:rPr>
          <w:i/>
          <w:sz w:val="24"/>
          <w:szCs w:val="24"/>
          <w:vertAlign w:val="superscript"/>
        </w:rPr>
        <w:footnoteReference w:id="35"/>
      </w:r>
      <w:r w:rsidRPr="00D715AF">
        <w:rPr>
          <w:sz w:val="24"/>
          <w:szCs w:val="24"/>
        </w:rPr>
        <w:t xml:space="preserve"> dosiahli súhrnne 1 487 289 tis. eur, ktoré boli v prevažnej miere poskytované Ministerstvom zdravotníctva</w:t>
      </w:r>
      <w:r w:rsidRPr="00D715AF">
        <w:rPr>
          <w:color w:val="FF0000"/>
          <w:sz w:val="24"/>
          <w:szCs w:val="24"/>
        </w:rPr>
        <w:t xml:space="preserve"> </w:t>
      </w:r>
      <w:r w:rsidRPr="00D715AF">
        <w:rPr>
          <w:sz w:val="24"/>
          <w:szCs w:val="24"/>
        </w:rPr>
        <w:t>SR v sume 1 167 029 tis. eur, a to na úhradu zdravotnej starostlivosti za poistencov štátu, za</w:t>
      </w:r>
      <w:r w:rsidR="00192236" w:rsidRPr="00D715AF">
        <w:rPr>
          <w:sz w:val="24"/>
          <w:szCs w:val="24"/>
        </w:rPr>
        <w:t> </w:t>
      </w:r>
      <w:r w:rsidRPr="00D715AF">
        <w:rPr>
          <w:sz w:val="24"/>
          <w:szCs w:val="24"/>
        </w:rPr>
        <w:t>poistencov, ktorí nie sú zamestnancami alebo samostatne zárobkovo činnými osobami</w:t>
      </w:r>
      <w:r w:rsidR="0036644E" w:rsidRPr="00D715AF">
        <w:rPr>
          <w:sz w:val="24"/>
          <w:szCs w:val="24"/>
        </w:rPr>
        <w:t>,</w:t>
      </w:r>
      <w:r w:rsidRPr="00D715AF">
        <w:rPr>
          <w:sz w:val="24"/>
          <w:szCs w:val="24"/>
        </w:rPr>
        <w:t xml:space="preserve"> a to napríklad nezaopatrené deti, fyzické osoby poberajúce dôchodok, fyzické osoby poberajúce rodičovský príspevok, fyzické osoby obvinené vo väzbe alebo vo výkone trestu odňatia slobody a iné. </w:t>
      </w:r>
    </w:p>
    <w:p w14:paraId="77D1B437" w14:textId="77777777" w:rsidR="00867564" w:rsidRPr="00D715AF" w:rsidRDefault="00867564" w:rsidP="001665F3">
      <w:pPr>
        <w:spacing w:line="240" w:lineRule="auto"/>
        <w:rPr>
          <w:color w:val="FF0000"/>
          <w:sz w:val="24"/>
          <w:szCs w:val="24"/>
        </w:rPr>
      </w:pPr>
      <w:r w:rsidRPr="00EA4C6C">
        <w:rPr>
          <w:b/>
          <w:i/>
          <w:sz w:val="24"/>
          <w:szCs w:val="24"/>
        </w:rPr>
        <w:t>Transfery občianskym združeniam, nadáciám, neziskovým organizáciám, politickým stranám a hnutiam, odborovým organizáciám, cirkevným a súkromným školám, cirkvám, náboženským spoločnostiam a cirkevnej charite</w:t>
      </w:r>
      <w:r w:rsidRPr="00D715AF">
        <w:rPr>
          <w:sz w:val="24"/>
          <w:szCs w:val="24"/>
        </w:rPr>
        <w:t xml:space="preserve"> boli poskytnuté vo výške 596 282 tis. eur, čo je o 66 187 tis. eur viac ako bolo rozpočtované.</w:t>
      </w:r>
      <w:r w:rsidRPr="00D715AF">
        <w:rPr>
          <w:color w:val="FF0000"/>
          <w:sz w:val="24"/>
          <w:szCs w:val="24"/>
        </w:rPr>
        <w:t xml:space="preserve"> </w:t>
      </w:r>
      <w:r w:rsidRPr="00D715AF">
        <w:rPr>
          <w:sz w:val="24"/>
          <w:szCs w:val="24"/>
        </w:rPr>
        <w:t xml:space="preserve">Z celkovej výšky transferov poskytnutých </w:t>
      </w:r>
      <w:r w:rsidRPr="00D715AF">
        <w:rPr>
          <w:sz w:val="24"/>
          <w:szCs w:val="24"/>
          <w:u w:val="single"/>
        </w:rPr>
        <w:t>občianskym združeniam, nadáciám a neinvestičným fondom</w:t>
      </w:r>
      <w:r w:rsidRPr="00D715AF">
        <w:rPr>
          <w:sz w:val="24"/>
          <w:szCs w:val="24"/>
        </w:rPr>
        <w:t xml:space="preserve"> vo výške 145 179 tis. eur bolo vyčerpaných najviac v kapitole Ministerstva školstva, vedy, výskumu a športu SR, a to 80 552 tis. eur.</w:t>
      </w:r>
      <w:r w:rsidRPr="00D715AF">
        <w:rPr>
          <w:color w:val="FF0000"/>
          <w:sz w:val="24"/>
          <w:szCs w:val="24"/>
        </w:rPr>
        <w:t xml:space="preserve"> </w:t>
      </w:r>
      <w:r w:rsidRPr="00D715AF">
        <w:rPr>
          <w:sz w:val="24"/>
          <w:szCs w:val="24"/>
        </w:rPr>
        <w:t>Najväčšie sumy boli použité najmä v oblasti športu v sume 69 856 tis. eur, najmä na príspevky uznanému športu, na národný športový projekt a príspevky pre organizácie podporované v rámci Programov pre mládež na roky 2014-2020 v zmysle uzatvorených zmlúv.</w:t>
      </w:r>
      <w:r w:rsidRPr="00D715AF">
        <w:rPr>
          <w:color w:val="FF0000"/>
          <w:sz w:val="24"/>
          <w:szCs w:val="24"/>
        </w:rPr>
        <w:t xml:space="preserve"> </w:t>
      </w:r>
    </w:p>
    <w:p w14:paraId="42FB9D8A" w14:textId="57596041" w:rsidR="00867564" w:rsidRPr="00D715AF" w:rsidRDefault="00867564" w:rsidP="001665F3">
      <w:pPr>
        <w:spacing w:line="240" w:lineRule="auto"/>
        <w:rPr>
          <w:sz w:val="24"/>
          <w:szCs w:val="24"/>
        </w:rPr>
      </w:pPr>
      <w:r w:rsidRPr="00D715AF">
        <w:rPr>
          <w:sz w:val="24"/>
          <w:szCs w:val="24"/>
        </w:rPr>
        <w:t xml:space="preserve">Transfery </w:t>
      </w:r>
      <w:r w:rsidRPr="00D715AF">
        <w:rPr>
          <w:sz w:val="24"/>
          <w:szCs w:val="24"/>
          <w:u w:val="single"/>
        </w:rPr>
        <w:t>cirkevnej škole</w:t>
      </w:r>
      <w:r w:rsidRPr="00D715AF">
        <w:rPr>
          <w:sz w:val="24"/>
          <w:szCs w:val="24"/>
        </w:rPr>
        <w:t xml:space="preserve"> v sume 125 441 tis. eur a </w:t>
      </w:r>
      <w:r w:rsidRPr="00D715AF">
        <w:rPr>
          <w:sz w:val="24"/>
          <w:szCs w:val="24"/>
          <w:u w:val="single"/>
        </w:rPr>
        <w:t>súkromnej škole</w:t>
      </w:r>
      <w:r w:rsidRPr="00D715AF">
        <w:rPr>
          <w:sz w:val="24"/>
          <w:szCs w:val="24"/>
        </w:rPr>
        <w:t xml:space="preserve"> vo výške 106 474 tis. eur boli poskytnuté takmer výlučne Ministerstvom vnútra SR na zabezpečenie výchovy a</w:t>
      </w:r>
      <w:r w:rsidR="00FC7EAC">
        <w:rPr>
          <w:sz w:val="24"/>
          <w:szCs w:val="24"/>
        </w:rPr>
        <w:t> </w:t>
      </w:r>
      <w:r w:rsidRPr="00D715AF">
        <w:rPr>
          <w:sz w:val="24"/>
          <w:szCs w:val="24"/>
        </w:rPr>
        <w:t>vzdelávania mládeže v základných a stredných školách, na zabezpečenie prevádzky škôl, na</w:t>
      </w:r>
      <w:r w:rsidR="00FC7EAC">
        <w:rPr>
          <w:sz w:val="24"/>
          <w:szCs w:val="24"/>
        </w:rPr>
        <w:t> </w:t>
      </w:r>
      <w:r w:rsidRPr="00D715AF">
        <w:rPr>
          <w:sz w:val="24"/>
          <w:szCs w:val="24"/>
        </w:rPr>
        <w:t>financovanie normatívnych výdavkov a na úhradu nenormatívnych výdavkov škôl a</w:t>
      </w:r>
      <w:r w:rsidR="00FC7EAC">
        <w:rPr>
          <w:sz w:val="24"/>
          <w:szCs w:val="24"/>
        </w:rPr>
        <w:t> </w:t>
      </w:r>
      <w:r w:rsidRPr="00D715AF">
        <w:rPr>
          <w:sz w:val="24"/>
          <w:szCs w:val="24"/>
        </w:rPr>
        <w:t>školských zariadení (najmä na vzdelávacie poukazy, príspevky pre asistentov učiteľov a</w:t>
      </w:r>
      <w:r w:rsidR="00FC7EAC">
        <w:rPr>
          <w:sz w:val="24"/>
          <w:szCs w:val="24"/>
        </w:rPr>
        <w:t> </w:t>
      </w:r>
      <w:r w:rsidRPr="00D715AF">
        <w:rPr>
          <w:sz w:val="24"/>
          <w:szCs w:val="24"/>
        </w:rPr>
        <w:t>príspevky na</w:t>
      </w:r>
      <w:r w:rsidR="00FC7EAC">
        <w:rPr>
          <w:sz w:val="24"/>
          <w:szCs w:val="24"/>
        </w:rPr>
        <w:t> </w:t>
      </w:r>
      <w:r w:rsidRPr="00D715AF">
        <w:rPr>
          <w:sz w:val="24"/>
          <w:szCs w:val="24"/>
        </w:rPr>
        <w:t>výchovu a vzdelávanie detí materských škôl).</w:t>
      </w:r>
    </w:p>
    <w:p w14:paraId="49D77ED7" w14:textId="77777777" w:rsidR="00867564" w:rsidRPr="00D715AF" w:rsidRDefault="00867564" w:rsidP="001665F3">
      <w:pPr>
        <w:spacing w:line="240" w:lineRule="auto"/>
        <w:rPr>
          <w:color w:val="FF0000"/>
          <w:sz w:val="24"/>
          <w:szCs w:val="24"/>
        </w:rPr>
      </w:pPr>
      <w:r w:rsidRPr="00D715AF">
        <w:rPr>
          <w:sz w:val="24"/>
          <w:szCs w:val="24"/>
          <w:u w:val="single"/>
        </w:rPr>
        <w:t>Neziskovým organizáciám poskytujúcim všeobecne prospešné služby</w:t>
      </w:r>
      <w:r w:rsidRPr="00D715AF">
        <w:rPr>
          <w:sz w:val="24"/>
          <w:szCs w:val="24"/>
        </w:rPr>
        <w:t xml:space="preserve"> boli poskytnuté prostriedky v celkovej výške 106 769 tis. eur.</w:t>
      </w:r>
      <w:r w:rsidRPr="00D715AF">
        <w:rPr>
          <w:color w:val="FF0000"/>
          <w:sz w:val="24"/>
          <w:szCs w:val="24"/>
        </w:rPr>
        <w:t xml:space="preserve"> </w:t>
      </w:r>
      <w:r w:rsidRPr="00D715AF">
        <w:rPr>
          <w:rFonts w:cs="Times New Roman"/>
          <w:sz w:val="24"/>
          <w:szCs w:val="24"/>
        </w:rPr>
        <w:t>Najvýznamnejšiu časť výdavkov čerpalo Ministerstvo práce, sociálnych vecí a rodiny SR (87 407 tis. eur),</w:t>
      </w:r>
      <w:r w:rsidRPr="00D715AF">
        <w:rPr>
          <w:rFonts w:cs="Times New Roman"/>
          <w:color w:val="FF0000"/>
          <w:sz w:val="24"/>
          <w:szCs w:val="24"/>
        </w:rPr>
        <w:t xml:space="preserve"> </w:t>
      </w:r>
      <w:r w:rsidRPr="00D715AF">
        <w:rPr>
          <w:rFonts w:cs="Times New Roman"/>
          <w:sz w:val="24"/>
          <w:szCs w:val="24"/>
        </w:rPr>
        <w:t>a to prevažne na financovanie sociálnych služieb a ústavnej starostlivosti pre neštátne centrá pre deti a rodiny.</w:t>
      </w:r>
      <w:r w:rsidRPr="00D715AF">
        <w:rPr>
          <w:rFonts w:cs="Times New Roman"/>
          <w:color w:val="FF0000"/>
          <w:sz w:val="24"/>
          <w:szCs w:val="24"/>
        </w:rPr>
        <w:t xml:space="preserve"> </w:t>
      </w:r>
    </w:p>
    <w:p w14:paraId="6B29D16C" w14:textId="5939E23A" w:rsidR="00867564" w:rsidRPr="00D715AF" w:rsidRDefault="00867564" w:rsidP="001665F3">
      <w:pPr>
        <w:spacing w:line="240" w:lineRule="auto"/>
        <w:rPr>
          <w:sz w:val="24"/>
          <w:szCs w:val="24"/>
        </w:rPr>
      </w:pPr>
      <w:r w:rsidRPr="00D715AF">
        <w:rPr>
          <w:sz w:val="24"/>
          <w:szCs w:val="24"/>
        </w:rPr>
        <w:t xml:space="preserve">Z celkového transferu </w:t>
      </w:r>
      <w:r w:rsidRPr="00D715AF">
        <w:rPr>
          <w:sz w:val="24"/>
          <w:szCs w:val="24"/>
          <w:u w:val="single"/>
        </w:rPr>
        <w:t>cirkvi, náboženskej spoločnosti a cirkevnej charite</w:t>
      </w:r>
      <w:r w:rsidRPr="00D715AF">
        <w:rPr>
          <w:sz w:val="24"/>
          <w:szCs w:val="24"/>
        </w:rPr>
        <w:t xml:space="preserve"> vo výške 71 767 tis. eur boli v najväčšej miere poukázané prostriedky prostredníctvom kapitoly Ministerstva kultúry SR, a to v sume 54 443 tis. eur na platy duchovných a zákonné odvody a</w:t>
      </w:r>
      <w:r w:rsidR="00FC7EAC">
        <w:rPr>
          <w:sz w:val="24"/>
          <w:szCs w:val="24"/>
        </w:rPr>
        <w:t> </w:t>
      </w:r>
      <w:r w:rsidRPr="00D715AF">
        <w:rPr>
          <w:sz w:val="24"/>
          <w:szCs w:val="24"/>
        </w:rPr>
        <w:t>prevádzku cirkví a</w:t>
      </w:r>
      <w:r w:rsidR="00192236" w:rsidRPr="00D715AF">
        <w:rPr>
          <w:sz w:val="24"/>
          <w:szCs w:val="24"/>
        </w:rPr>
        <w:t> </w:t>
      </w:r>
      <w:r w:rsidRPr="00D715AF">
        <w:rPr>
          <w:sz w:val="24"/>
          <w:szCs w:val="24"/>
        </w:rPr>
        <w:t xml:space="preserve">náboženských spoločností. </w:t>
      </w:r>
    </w:p>
    <w:p w14:paraId="3E541BD6" w14:textId="04912974" w:rsidR="00867564" w:rsidRPr="00D715AF" w:rsidRDefault="00867564" w:rsidP="001665F3">
      <w:pPr>
        <w:spacing w:line="240" w:lineRule="auto"/>
        <w:rPr>
          <w:color w:val="FF0000"/>
          <w:sz w:val="24"/>
          <w:szCs w:val="24"/>
        </w:rPr>
      </w:pPr>
      <w:r w:rsidRPr="00D715AF">
        <w:rPr>
          <w:sz w:val="24"/>
          <w:szCs w:val="24"/>
        </w:rPr>
        <w:t xml:space="preserve">Na celkovú výšku </w:t>
      </w:r>
      <w:r w:rsidRPr="00EA4C6C">
        <w:rPr>
          <w:b/>
          <w:i/>
          <w:sz w:val="24"/>
          <w:szCs w:val="24"/>
        </w:rPr>
        <w:t>ostatných transferov</w:t>
      </w:r>
      <w:r w:rsidRPr="00D715AF">
        <w:rPr>
          <w:sz w:val="24"/>
          <w:szCs w:val="24"/>
        </w:rPr>
        <w:t xml:space="preserve"> 223 649 tis. eur mali podstatný</w:t>
      </w:r>
      <w:r w:rsidRPr="00D715AF">
        <w:rPr>
          <w:color w:val="FF0000"/>
          <w:sz w:val="24"/>
          <w:szCs w:val="24"/>
        </w:rPr>
        <w:t xml:space="preserve"> </w:t>
      </w:r>
      <w:r w:rsidRPr="00D715AF">
        <w:rPr>
          <w:sz w:val="24"/>
          <w:szCs w:val="24"/>
        </w:rPr>
        <w:t>vplyv transfery na peňažné náležitosti v ozbrojených silách v sume 74 663 tis. eur, čerpané najmä Ministerstvom obrany SR sumou 53 661 tis. eur, predovšetkým na stabilizačný príspevok profesionálnym vojakom podľa § 190 zákona č. 281/2015 Z. z. o štátnej službe profesionálnych vojakov a</w:t>
      </w:r>
      <w:r w:rsidR="00192236" w:rsidRPr="00D715AF">
        <w:rPr>
          <w:sz w:val="24"/>
          <w:szCs w:val="24"/>
        </w:rPr>
        <w:t> </w:t>
      </w:r>
      <w:r w:rsidRPr="00D715AF">
        <w:rPr>
          <w:sz w:val="24"/>
          <w:szCs w:val="24"/>
        </w:rPr>
        <w:t>Ministerstvom vnútra SR vo výške 15 262 tis. eur najmä na príspevky na bývanie pre</w:t>
      </w:r>
      <w:r w:rsidR="00192236" w:rsidRPr="00D715AF">
        <w:rPr>
          <w:sz w:val="24"/>
          <w:szCs w:val="24"/>
        </w:rPr>
        <w:t> </w:t>
      </w:r>
      <w:r w:rsidRPr="00D715AF">
        <w:rPr>
          <w:sz w:val="24"/>
          <w:szCs w:val="24"/>
        </w:rPr>
        <w:t>príslušníkov Policajného zboru SR.</w:t>
      </w:r>
      <w:r w:rsidRPr="00D715AF">
        <w:rPr>
          <w:color w:val="FF0000"/>
          <w:sz w:val="24"/>
          <w:szCs w:val="24"/>
        </w:rPr>
        <w:t xml:space="preserve"> </w:t>
      </w:r>
    </w:p>
    <w:p w14:paraId="3BBCC778" w14:textId="15ED9712" w:rsidR="00867564" w:rsidRPr="00D715AF" w:rsidRDefault="00867564" w:rsidP="001665F3">
      <w:pPr>
        <w:spacing w:line="240" w:lineRule="auto"/>
        <w:rPr>
          <w:color w:val="FF0000"/>
          <w:sz w:val="24"/>
          <w:szCs w:val="24"/>
        </w:rPr>
      </w:pPr>
      <w:r w:rsidRPr="00D715AF">
        <w:rPr>
          <w:rFonts w:cs="Times New Roman"/>
          <w:sz w:val="24"/>
          <w:szCs w:val="24"/>
        </w:rPr>
        <w:t xml:space="preserve">Na </w:t>
      </w:r>
      <w:r w:rsidRPr="00EA4C6C">
        <w:rPr>
          <w:rFonts w:cs="Times New Roman"/>
          <w:b/>
          <w:i/>
          <w:sz w:val="24"/>
          <w:szCs w:val="24"/>
        </w:rPr>
        <w:t>aktívne opatrenia trhu práce</w:t>
      </w:r>
      <w:r w:rsidRPr="00D715AF">
        <w:rPr>
          <w:rFonts w:cs="Times New Roman"/>
          <w:sz w:val="24"/>
          <w:szCs w:val="24"/>
        </w:rPr>
        <w:t xml:space="preserve"> boli čerpané výdavky v sume 167 506 tis. eur, výlučne Ministerstvom práce, sociálnych vecí a rodiny SR,</w:t>
      </w:r>
      <w:r w:rsidRPr="00D715AF">
        <w:rPr>
          <w:rFonts w:cs="Times New Roman"/>
          <w:color w:val="FF0000"/>
          <w:sz w:val="24"/>
          <w:szCs w:val="24"/>
        </w:rPr>
        <w:t xml:space="preserve"> </w:t>
      </w:r>
      <w:r w:rsidRPr="00D715AF">
        <w:rPr>
          <w:rFonts w:cs="Times New Roman"/>
          <w:sz w:val="24"/>
          <w:szCs w:val="24"/>
        </w:rPr>
        <w:t xml:space="preserve">ktoré prostredníctvom nich financovalo </w:t>
      </w:r>
      <w:r w:rsidRPr="00D715AF">
        <w:rPr>
          <w:rFonts w:cs="Times New Roman"/>
          <w:sz w:val="24"/>
          <w:szCs w:val="24"/>
          <w:lang w:eastAsia="sk-SK"/>
        </w:rPr>
        <w:t xml:space="preserve">najmä </w:t>
      </w:r>
      <w:r w:rsidRPr="00D715AF">
        <w:rPr>
          <w:rFonts w:cs="Times New Roman"/>
          <w:sz w:val="24"/>
          <w:szCs w:val="24"/>
        </w:rPr>
        <w:t>národné projekty Operačného programu Ľudské zdroje,</w:t>
      </w:r>
      <w:r w:rsidRPr="00D715AF">
        <w:rPr>
          <w:rFonts w:cs="Times New Roman"/>
          <w:sz w:val="24"/>
          <w:szCs w:val="24"/>
          <w:lang w:eastAsia="sk-SK"/>
        </w:rPr>
        <w:t xml:space="preserve"> </w:t>
      </w:r>
      <w:r w:rsidRPr="00D715AF">
        <w:rPr>
          <w:rFonts w:cs="Times New Roman"/>
          <w:sz w:val="24"/>
          <w:szCs w:val="24"/>
        </w:rPr>
        <w:t>rozvoj aktívnej politiky trhu práce a individuálnu štátnu pomoc.</w:t>
      </w:r>
      <w:r w:rsidRPr="00D715AF">
        <w:rPr>
          <w:sz w:val="24"/>
          <w:szCs w:val="24"/>
        </w:rPr>
        <w:t xml:space="preserve"> </w:t>
      </w:r>
      <w:r w:rsidRPr="00D715AF">
        <w:rPr>
          <w:rFonts w:cs="Times New Roman"/>
          <w:sz w:val="24"/>
          <w:szCs w:val="24"/>
          <w:lang w:eastAsia="sk-SK"/>
        </w:rPr>
        <w:t>Išlo o výdavky Úradov práce,</w:t>
      </w:r>
      <w:r w:rsidRPr="00D715AF">
        <w:rPr>
          <w:rFonts w:cs="Times New Roman"/>
          <w:b/>
          <w:bCs/>
          <w:sz w:val="24"/>
          <w:szCs w:val="24"/>
          <w:lang w:eastAsia="sk-SK"/>
        </w:rPr>
        <w:t xml:space="preserve"> </w:t>
      </w:r>
      <w:r w:rsidRPr="00D715AF">
        <w:rPr>
          <w:rFonts w:cs="Times New Roman"/>
          <w:sz w:val="24"/>
          <w:szCs w:val="24"/>
          <w:lang w:eastAsia="sk-SK"/>
        </w:rPr>
        <w:t xml:space="preserve">sociálnych vecí a rodiny poskytované formou príspevkov v súlade so zákonom </w:t>
      </w:r>
      <w:r w:rsidR="00005FDB" w:rsidRPr="00D715AF">
        <w:rPr>
          <w:rStyle w:val="acopre1"/>
          <w:rFonts w:cs="Times New Roman"/>
          <w:sz w:val="24"/>
          <w:szCs w:val="24"/>
        </w:rPr>
        <w:t xml:space="preserve">č. </w:t>
      </w:r>
      <w:r w:rsidR="00005FDB" w:rsidRPr="00D715AF">
        <w:rPr>
          <w:rStyle w:val="acopre1"/>
          <w:rFonts w:cs="Times New Roman"/>
          <w:bCs/>
          <w:sz w:val="24"/>
          <w:szCs w:val="24"/>
        </w:rPr>
        <w:t>5/2004</w:t>
      </w:r>
      <w:r w:rsidR="00005FDB" w:rsidRPr="00D715AF">
        <w:rPr>
          <w:rStyle w:val="acopre1"/>
          <w:rFonts w:cs="Times New Roman"/>
          <w:sz w:val="24"/>
          <w:szCs w:val="24"/>
        </w:rPr>
        <w:t xml:space="preserve"> Z. z. o službách zamestnanosti a o zmene a doplnení niektorých </w:t>
      </w:r>
      <w:r w:rsidR="00005FDB" w:rsidRPr="00D715AF">
        <w:rPr>
          <w:rStyle w:val="acopre1"/>
          <w:rFonts w:cs="Times New Roman"/>
          <w:bCs/>
          <w:sz w:val="24"/>
          <w:szCs w:val="24"/>
        </w:rPr>
        <w:t>zákonov</w:t>
      </w:r>
      <w:r w:rsidRPr="00D715AF">
        <w:rPr>
          <w:rFonts w:cs="Times New Roman"/>
          <w:sz w:val="24"/>
          <w:szCs w:val="24"/>
          <w:lang w:eastAsia="sk-SK"/>
        </w:rPr>
        <w:t>.</w:t>
      </w:r>
    </w:p>
    <w:p w14:paraId="682F0F2C" w14:textId="77777777" w:rsidR="00EA4C6C" w:rsidRDefault="00867564" w:rsidP="001665F3">
      <w:pPr>
        <w:spacing w:line="240" w:lineRule="auto"/>
        <w:rPr>
          <w:rFonts w:cs="Times New Roman"/>
          <w:sz w:val="24"/>
          <w:szCs w:val="24"/>
        </w:rPr>
      </w:pPr>
      <w:r w:rsidRPr="00EA4C6C">
        <w:rPr>
          <w:b/>
          <w:i/>
          <w:sz w:val="24"/>
          <w:szCs w:val="24"/>
        </w:rPr>
        <w:t>Transfery jednotlivcom</w:t>
      </w:r>
      <w:r w:rsidRPr="00D715AF">
        <w:rPr>
          <w:sz w:val="24"/>
          <w:szCs w:val="24"/>
        </w:rPr>
        <w:t xml:space="preserve"> dosiahli sumu 63 495 tis. eur. Na týchto výdavkoch sa významne podieľalo Ministerstvo dopravy a výstavby SR</w:t>
      </w:r>
      <w:r w:rsidR="009F1C9B" w:rsidRPr="00D715AF">
        <w:rPr>
          <w:sz w:val="24"/>
          <w:szCs w:val="24"/>
        </w:rPr>
        <w:t xml:space="preserve"> sumou </w:t>
      </w:r>
      <w:r w:rsidRPr="00D715AF">
        <w:rPr>
          <w:sz w:val="24"/>
          <w:szCs w:val="24"/>
        </w:rPr>
        <w:t>26 597 tis. eur.</w:t>
      </w:r>
      <w:r w:rsidRPr="00D715AF">
        <w:rPr>
          <w:color w:val="FF0000"/>
          <w:sz w:val="24"/>
          <w:szCs w:val="24"/>
        </w:rPr>
        <w:t xml:space="preserve"> </w:t>
      </w:r>
      <w:r w:rsidRPr="00D715AF">
        <w:rPr>
          <w:rFonts w:cs="Times New Roman"/>
          <w:sz w:val="24"/>
          <w:szCs w:val="24"/>
        </w:rPr>
        <w:t>Išlo najmä o výdavky na</w:t>
      </w:r>
      <w:r w:rsidR="006E6317" w:rsidRPr="00D715AF">
        <w:rPr>
          <w:rFonts w:cs="Times New Roman"/>
          <w:sz w:val="24"/>
          <w:szCs w:val="24"/>
        </w:rPr>
        <w:t> </w:t>
      </w:r>
      <w:r w:rsidRPr="00D715AF">
        <w:rPr>
          <w:rFonts w:cs="Times New Roman"/>
          <w:sz w:val="24"/>
          <w:szCs w:val="24"/>
        </w:rPr>
        <w:t>štátny príspevok pre mladých k hypotekárnym úverom (18 015 tis. eur), štátnu prémiu k stavebnému sporeniu a štátny príspevok k hypotekárnym úverom pre celkom 305 464 poberateľov štátne</w:t>
      </w:r>
      <w:r w:rsidR="00EA4C6C">
        <w:rPr>
          <w:rFonts w:cs="Times New Roman"/>
          <w:sz w:val="24"/>
          <w:szCs w:val="24"/>
        </w:rPr>
        <w:t>j prémie k stavebnému sporeniu.</w:t>
      </w:r>
    </w:p>
    <w:p w14:paraId="543D218E" w14:textId="7066026B" w:rsidR="00867564" w:rsidRPr="00D715AF" w:rsidRDefault="00867564" w:rsidP="001665F3">
      <w:pPr>
        <w:spacing w:line="240" w:lineRule="auto"/>
        <w:rPr>
          <w:rFonts w:cs="Times New Roman"/>
          <w:color w:val="FF0000"/>
          <w:sz w:val="24"/>
          <w:szCs w:val="24"/>
        </w:rPr>
      </w:pPr>
      <w:r w:rsidRPr="00D715AF">
        <w:rPr>
          <w:rFonts w:cs="Times New Roman"/>
          <w:sz w:val="24"/>
          <w:szCs w:val="24"/>
        </w:rPr>
        <w:t>Na tejto podpoložke sa významne podieľalo taktiež Ministerstvo práce, sociálnych vecí a rodiny sumou 16 845 tis. eur, ktoré realizovalo dotácie v súvislosti s pandémiou COVID-19 a Ministerstvo školstva, vedy, výskumu a športu SR sumou 11 914 tis. eur, ktoré prostredníctvom Metodicko-pedagogického centra, v rámci národných projektov</w:t>
      </w:r>
      <w:r w:rsidRPr="00D715AF">
        <w:rPr>
          <w:rFonts w:cs="Times New Roman"/>
          <w:color w:val="1F497D"/>
          <w:sz w:val="24"/>
          <w:szCs w:val="24"/>
        </w:rPr>
        <w:t xml:space="preserve"> </w:t>
      </w:r>
      <w:r w:rsidRPr="00D715AF">
        <w:rPr>
          <w:rFonts w:cs="Times New Roman"/>
          <w:sz w:val="24"/>
          <w:szCs w:val="24"/>
        </w:rPr>
        <w:t>Pomáhajúce profesie v edukácii detí a žiakov a Pomáhajúce profesie v edukácii detí a žiakov II., poskytlo sumu 10 531 tis</w:t>
      </w:r>
      <w:r w:rsidR="008F23E5" w:rsidRPr="00D715AF">
        <w:rPr>
          <w:rFonts w:cs="Times New Roman"/>
          <w:sz w:val="24"/>
          <w:szCs w:val="24"/>
        </w:rPr>
        <w:t>.</w:t>
      </w:r>
      <w:r w:rsidRPr="00D715AF">
        <w:rPr>
          <w:rFonts w:cs="Times New Roman"/>
          <w:sz w:val="24"/>
          <w:szCs w:val="24"/>
        </w:rPr>
        <w:t xml:space="preserve"> eur na pedagogických asistentov v školách a odborných zamestnancov, a to školských psychológov, špeciálnych pedagógov a sociálnych pedagógov na školách zapojených do týchto projektov. </w:t>
      </w:r>
    </w:p>
    <w:p w14:paraId="483D320E" w14:textId="77777777" w:rsidR="00867564" w:rsidRPr="00D715AF" w:rsidRDefault="00867564" w:rsidP="001665F3">
      <w:pPr>
        <w:spacing w:line="240" w:lineRule="auto"/>
        <w:rPr>
          <w:rFonts w:cs="Times New Roman"/>
          <w:sz w:val="24"/>
          <w:szCs w:val="24"/>
          <w:shd w:val="clear" w:color="auto" w:fill="FFFF00"/>
        </w:rPr>
      </w:pPr>
      <w:r w:rsidRPr="00EA4C6C">
        <w:rPr>
          <w:rFonts w:cs="Times New Roman"/>
          <w:b/>
          <w:i/>
          <w:sz w:val="24"/>
          <w:szCs w:val="24"/>
        </w:rPr>
        <w:t>Príspevok na osobitný účet</w:t>
      </w:r>
      <w:r w:rsidRPr="00D715AF">
        <w:rPr>
          <w:rFonts w:cs="Times New Roman"/>
          <w:b/>
          <w:i/>
          <w:sz w:val="24"/>
          <w:szCs w:val="24"/>
        </w:rPr>
        <w:t xml:space="preserve"> </w:t>
      </w:r>
      <w:r w:rsidRPr="00D715AF">
        <w:rPr>
          <w:rFonts w:cs="Times New Roman"/>
          <w:sz w:val="24"/>
          <w:szCs w:val="24"/>
        </w:rPr>
        <w:t xml:space="preserve">dosiahol súhrnne sumu 46 694 tis. eur a bol čerpaný výlučne Ministerstvom obrany SR, ktoré uskutočňuje úhrady v zmysle § 94 ods. 4 zákona č. 328/2002 Z. z. o sociálnom zabezpečení policajtov a vojakov a o zmene a doplnení niektorých zákonov. </w:t>
      </w:r>
    </w:p>
    <w:p w14:paraId="6EB62B62" w14:textId="77777777" w:rsidR="00867564" w:rsidRDefault="00867564" w:rsidP="001665F3">
      <w:pPr>
        <w:spacing w:line="240" w:lineRule="auto"/>
        <w:rPr>
          <w:sz w:val="24"/>
          <w:szCs w:val="24"/>
        </w:rPr>
      </w:pPr>
      <w:r w:rsidRPr="00D715AF">
        <w:rPr>
          <w:b/>
          <w:sz w:val="24"/>
          <w:szCs w:val="24"/>
        </w:rPr>
        <w:t xml:space="preserve">Transfery nefinančným subjektom </w:t>
      </w:r>
      <w:r w:rsidRPr="00D715AF">
        <w:rPr>
          <w:sz w:val="24"/>
          <w:szCs w:val="24"/>
        </w:rPr>
        <w:t>boli rozpočtované vo výške 848 014 tis. eur a ich čerpanie dosiahlo úroveň 1 163 129 tis. eur.</w:t>
      </w:r>
    </w:p>
    <w:tbl>
      <w:tblPr>
        <w:tblW w:w="9159" w:type="dxa"/>
        <w:tblInd w:w="55" w:type="dxa"/>
        <w:tblCellMar>
          <w:left w:w="70" w:type="dxa"/>
          <w:right w:w="70" w:type="dxa"/>
        </w:tblCellMar>
        <w:tblLook w:val="04A0" w:firstRow="1" w:lastRow="0" w:firstColumn="1" w:lastColumn="0" w:noHBand="0" w:noVBand="1"/>
      </w:tblPr>
      <w:tblGrid>
        <w:gridCol w:w="2720"/>
        <w:gridCol w:w="1194"/>
        <w:gridCol w:w="1134"/>
        <w:gridCol w:w="1134"/>
        <w:gridCol w:w="1025"/>
        <w:gridCol w:w="960"/>
        <w:gridCol w:w="992"/>
      </w:tblGrid>
      <w:tr w:rsidR="00867564" w:rsidRPr="0033680F" w14:paraId="0F1510EF" w14:textId="77777777" w:rsidTr="0033680F">
        <w:trPr>
          <w:trHeight w:val="425"/>
        </w:trPr>
        <w:tc>
          <w:tcPr>
            <w:tcW w:w="9159" w:type="dxa"/>
            <w:gridSpan w:val="7"/>
            <w:tcBorders>
              <w:top w:val="nil"/>
              <w:left w:val="nil"/>
              <w:bottom w:val="nil"/>
              <w:right w:val="nil"/>
            </w:tcBorders>
            <w:shd w:val="clear" w:color="000000" w:fill="000000"/>
            <w:vAlign w:val="center"/>
            <w:hideMark/>
          </w:tcPr>
          <w:p w14:paraId="5DAB48CF" w14:textId="2D96BC39" w:rsidR="00867564" w:rsidRPr="0033680F" w:rsidRDefault="00867564" w:rsidP="00F63BD6">
            <w:pPr>
              <w:spacing w:after="0" w:line="240" w:lineRule="auto"/>
              <w:rPr>
                <w:rFonts w:eastAsia="Times New Roman" w:cs="Times New Roman"/>
                <w:b/>
                <w:bCs/>
                <w:color w:val="FFFFFF"/>
                <w:sz w:val="18"/>
                <w:szCs w:val="18"/>
                <w:lang w:eastAsia="sk-SK"/>
              </w:rPr>
            </w:pPr>
            <w:r w:rsidRPr="0033680F">
              <w:rPr>
                <w:rFonts w:eastAsia="Times New Roman" w:cs="Times New Roman"/>
                <w:b/>
                <w:bCs/>
                <w:color w:val="FFFFFF"/>
                <w:sz w:val="18"/>
                <w:szCs w:val="18"/>
                <w:lang w:eastAsia="sk-SK"/>
              </w:rPr>
              <w:t xml:space="preserve">Transfery nefinančným subjektom                                                                                  </w:t>
            </w:r>
            <w:r w:rsidR="008C454A" w:rsidRPr="0033680F">
              <w:rPr>
                <w:rFonts w:eastAsia="Times New Roman" w:cs="Times New Roman"/>
                <w:b/>
                <w:bCs/>
                <w:color w:val="FFFFFF"/>
                <w:sz w:val="18"/>
                <w:szCs w:val="18"/>
                <w:lang w:eastAsia="sk-SK"/>
              </w:rPr>
              <w:t xml:space="preserve">                           </w:t>
            </w:r>
            <w:r w:rsidRPr="0033680F">
              <w:rPr>
                <w:rFonts w:eastAsia="Times New Roman" w:cs="Times New Roman"/>
                <w:b/>
                <w:bCs/>
                <w:color w:val="FFFFFF"/>
                <w:sz w:val="18"/>
                <w:szCs w:val="18"/>
                <w:lang w:eastAsia="sk-SK"/>
              </w:rPr>
              <w:t xml:space="preserve"> </w:t>
            </w:r>
            <w:r w:rsidR="0033680F">
              <w:rPr>
                <w:rFonts w:eastAsia="Times New Roman" w:cs="Times New Roman"/>
                <w:b/>
                <w:bCs/>
                <w:color w:val="FFFFFF"/>
                <w:sz w:val="18"/>
                <w:szCs w:val="18"/>
                <w:lang w:eastAsia="sk-SK"/>
              </w:rPr>
              <w:t xml:space="preserve">   </w:t>
            </w:r>
            <w:r w:rsidR="00DB674E">
              <w:rPr>
                <w:rFonts w:eastAsia="Times New Roman" w:cs="Times New Roman"/>
                <w:b/>
                <w:bCs/>
                <w:color w:val="FFFFFF"/>
                <w:sz w:val="18"/>
                <w:szCs w:val="18"/>
                <w:lang w:eastAsia="sk-SK"/>
              </w:rPr>
              <w:t xml:space="preserve">  </w:t>
            </w:r>
            <w:r w:rsidR="0033680F">
              <w:rPr>
                <w:rFonts w:eastAsia="Times New Roman" w:cs="Times New Roman"/>
                <w:b/>
                <w:bCs/>
                <w:color w:val="FFFFFF"/>
                <w:sz w:val="18"/>
                <w:szCs w:val="18"/>
                <w:lang w:eastAsia="sk-SK"/>
              </w:rPr>
              <w:t xml:space="preserve">         </w:t>
            </w:r>
            <w:r w:rsidRPr="0033680F">
              <w:rPr>
                <w:rFonts w:eastAsia="Times New Roman" w:cs="Times New Roman"/>
                <w:b/>
                <w:bCs/>
                <w:color w:val="FFFFFF"/>
                <w:sz w:val="18"/>
                <w:szCs w:val="18"/>
                <w:lang w:eastAsia="sk-SK"/>
              </w:rPr>
              <w:t>v tis. eur</w:t>
            </w:r>
          </w:p>
        </w:tc>
      </w:tr>
      <w:tr w:rsidR="00867564" w:rsidRPr="0033680F" w14:paraId="54F008EF" w14:textId="77777777" w:rsidTr="0033680F">
        <w:trPr>
          <w:trHeight w:val="330"/>
        </w:trPr>
        <w:tc>
          <w:tcPr>
            <w:tcW w:w="2720" w:type="dxa"/>
            <w:vMerge w:val="restart"/>
            <w:tcBorders>
              <w:top w:val="nil"/>
              <w:left w:val="nil"/>
              <w:bottom w:val="nil"/>
              <w:right w:val="nil"/>
            </w:tcBorders>
            <w:shd w:val="clear" w:color="000000" w:fill="BFBFBF"/>
            <w:vAlign w:val="center"/>
            <w:hideMark/>
          </w:tcPr>
          <w:p w14:paraId="36374B3C" w14:textId="77777777" w:rsidR="00867564" w:rsidRPr="0033680F" w:rsidRDefault="00867564" w:rsidP="007F0D38">
            <w:pPr>
              <w:spacing w:after="0" w:line="240" w:lineRule="auto"/>
              <w:jc w:val="center"/>
              <w:rPr>
                <w:rFonts w:eastAsia="Times New Roman" w:cs="Times New Roman"/>
                <w:b/>
                <w:bCs/>
                <w:color w:val="000000"/>
                <w:sz w:val="18"/>
                <w:szCs w:val="18"/>
                <w:lang w:eastAsia="sk-SK"/>
              </w:rPr>
            </w:pPr>
            <w:r w:rsidRPr="0033680F">
              <w:rPr>
                <w:rFonts w:eastAsia="Times New Roman" w:cs="Times New Roman"/>
                <w:b/>
                <w:bCs/>
                <w:color w:val="000000"/>
                <w:sz w:val="18"/>
                <w:szCs w:val="18"/>
                <w:lang w:eastAsia="sk-SK"/>
              </w:rPr>
              <w:t xml:space="preserve"> </w:t>
            </w:r>
          </w:p>
        </w:tc>
        <w:tc>
          <w:tcPr>
            <w:tcW w:w="2328" w:type="dxa"/>
            <w:gridSpan w:val="2"/>
            <w:tcBorders>
              <w:top w:val="nil"/>
              <w:left w:val="nil"/>
              <w:bottom w:val="nil"/>
              <w:right w:val="nil"/>
            </w:tcBorders>
            <w:shd w:val="clear" w:color="000000" w:fill="BFBFBF"/>
            <w:noWrap/>
            <w:vAlign w:val="center"/>
            <w:hideMark/>
          </w:tcPr>
          <w:p w14:paraId="024E0F4C" w14:textId="77777777" w:rsidR="00867564" w:rsidRPr="0033680F" w:rsidRDefault="00867564" w:rsidP="007F0D38">
            <w:pPr>
              <w:spacing w:after="0" w:line="240" w:lineRule="auto"/>
              <w:jc w:val="center"/>
              <w:rPr>
                <w:rFonts w:eastAsia="Times New Roman" w:cs="Times New Roman"/>
                <w:b/>
                <w:bCs/>
                <w:color w:val="000000"/>
                <w:sz w:val="18"/>
                <w:szCs w:val="18"/>
                <w:lang w:eastAsia="sk-SK"/>
              </w:rPr>
            </w:pPr>
            <w:r w:rsidRPr="0033680F">
              <w:rPr>
                <w:rFonts w:eastAsia="Times New Roman" w:cs="Times New Roman"/>
                <w:b/>
                <w:bCs/>
                <w:color w:val="000000"/>
                <w:sz w:val="18"/>
                <w:szCs w:val="18"/>
                <w:lang w:eastAsia="sk-SK"/>
              </w:rPr>
              <w:t>Skutočnosť</w:t>
            </w:r>
          </w:p>
        </w:tc>
        <w:tc>
          <w:tcPr>
            <w:tcW w:w="1134" w:type="dxa"/>
            <w:tcBorders>
              <w:top w:val="nil"/>
              <w:left w:val="nil"/>
              <w:bottom w:val="nil"/>
              <w:right w:val="nil"/>
            </w:tcBorders>
            <w:shd w:val="clear" w:color="000000" w:fill="BFBFBF"/>
            <w:noWrap/>
            <w:vAlign w:val="center"/>
            <w:hideMark/>
          </w:tcPr>
          <w:p w14:paraId="07AD8990" w14:textId="77777777" w:rsidR="00867564" w:rsidRPr="0033680F" w:rsidRDefault="00867564" w:rsidP="007F0D38">
            <w:pPr>
              <w:spacing w:after="0" w:line="240" w:lineRule="auto"/>
              <w:jc w:val="center"/>
              <w:rPr>
                <w:rFonts w:eastAsia="Times New Roman" w:cs="Times New Roman"/>
                <w:b/>
                <w:bCs/>
                <w:color w:val="000000"/>
                <w:sz w:val="18"/>
                <w:szCs w:val="18"/>
                <w:lang w:eastAsia="sk-SK"/>
              </w:rPr>
            </w:pPr>
            <w:r w:rsidRPr="0033680F">
              <w:rPr>
                <w:rFonts w:eastAsia="Times New Roman" w:cs="Times New Roman"/>
                <w:b/>
                <w:bCs/>
                <w:color w:val="000000"/>
                <w:sz w:val="18"/>
                <w:szCs w:val="18"/>
                <w:lang w:eastAsia="sk-SK"/>
              </w:rPr>
              <w:t>Rozpočet</w:t>
            </w:r>
          </w:p>
        </w:tc>
        <w:tc>
          <w:tcPr>
            <w:tcW w:w="1025" w:type="dxa"/>
            <w:tcBorders>
              <w:top w:val="nil"/>
              <w:left w:val="nil"/>
              <w:bottom w:val="nil"/>
              <w:right w:val="nil"/>
            </w:tcBorders>
            <w:shd w:val="clear" w:color="000000" w:fill="BFBFBF"/>
            <w:noWrap/>
            <w:vAlign w:val="center"/>
            <w:hideMark/>
          </w:tcPr>
          <w:p w14:paraId="27832093" w14:textId="77777777" w:rsidR="00867564" w:rsidRPr="0033680F" w:rsidRDefault="00867564" w:rsidP="007F0D38">
            <w:pPr>
              <w:spacing w:after="0" w:line="240" w:lineRule="auto"/>
              <w:jc w:val="center"/>
              <w:rPr>
                <w:rFonts w:eastAsia="Times New Roman" w:cs="Times New Roman"/>
                <w:b/>
                <w:bCs/>
                <w:color w:val="000000"/>
                <w:sz w:val="18"/>
                <w:szCs w:val="18"/>
                <w:lang w:eastAsia="sk-SK"/>
              </w:rPr>
            </w:pPr>
            <w:r w:rsidRPr="0033680F">
              <w:rPr>
                <w:rFonts w:eastAsia="Times New Roman" w:cs="Times New Roman"/>
                <w:b/>
                <w:bCs/>
                <w:color w:val="000000"/>
                <w:sz w:val="18"/>
                <w:szCs w:val="18"/>
                <w:lang w:eastAsia="sk-SK"/>
              </w:rPr>
              <w:t>Skutočnosť</w:t>
            </w:r>
          </w:p>
        </w:tc>
        <w:tc>
          <w:tcPr>
            <w:tcW w:w="1952" w:type="dxa"/>
            <w:gridSpan w:val="2"/>
            <w:tcBorders>
              <w:top w:val="nil"/>
              <w:left w:val="nil"/>
              <w:bottom w:val="nil"/>
              <w:right w:val="nil"/>
            </w:tcBorders>
            <w:shd w:val="clear" w:color="000000" w:fill="BFBFBF"/>
            <w:noWrap/>
            <w:vAlign w:val="center"/>
            <w:hideMark/>
          </w:tcPr>
          <w:p w14:paraId="6C8567E7" w14:textId="77777777" w:rsidR="00867564" w:rsidRPr="0033680F" w:rsidRDefault="00867564" w:rsidP="007F0D38">
            <w:pPr>
              <w:spacing w:after="0" w:line="240" w:lineRule="auto"/>
              <w:jc w:val="center"/>
              <w:rPr>
                <w:rFonts w:eastAsia="Times New Roman" w:cs="Times New Roman"/>
                <w:b/>
                <w:bCs/>
                <w:color w:val="000000"/>
                <w:sz w:val="18"/>
                <w:szCs w:val="18"/>
                <w:lang w:eastAsia="sk-SK"/>
              </w:rPr>
            </w:pPr>
            <w:r w:rsidRPr="0033680F">
              <w:rPr>
                <w:rFonts w:eastAsia="Times New Roman" w:cs="Times New Roman"/>
                <w:b/>
                <w:bCs/>
                <w:color w:val="000000"/>
                <w:sz w:val="18"/>
                <w:szCs w:val="18"/>
                <w:lang w:eastAsia="sk-SK"/>
              </w:rPr>
              <w:t>Rozdiel</w:t>
            </w:r>
          </w:p>
        </w:tc>
      </w:tr>
      <w:tr w:rsidR="00867564" w:rsidRPr="0033680F" w14:paraId="4128EDD0" w14:textId="77777777" w:rsidTr="0033680F">
        <w:trPr>
          <w:trHeight w:val="330"/>
        </w:trPr>
        <w:tc>
          <w:tcPr>
            <w:tcW w:w="2720" w:type="dxa"/>
            <w:vMerge/>
            <w:tcBorders>
              <w:top w:val="nil"/>
              <w:left w:val="nil"/>
              <w:bottom w:val="nil"/>
              <w:right w:val="nil"/>
            </w:tcBorders>
            <w:vAlign w:val="center"/>
            <w:hideMark/>
          </w:tcPr>
          <w:p w14:paraId="17938C5F" w14:textId="77777777" w:rsidR="00867564" w:rsidRPr="0033680F" w:rsidRDefault="00867564" w:rsidP="007F0D38">
            <w:pPr>
              <w:spacing w:after="0" w:line="240" w:lineRule="auto"/>
              <w:rPr>
                <w:rFonts w:eastAsia="Times New Roman" w:cs="Times New Roman"/>
                <w:b/>
                <w:bCs/>
                <w:color w:val="000000"/>
                <w:sz w:val="18"/>
                <w:szCs w:val="18"/>
                <w:lang w:eastAsia="sk-SK"/>
              </w:rPr>
            </w:pPr>
          </w:p>
        </w:tc>
        <w:tc>
          <w:tcPr>
            <w:tcW w:w="1194" w:type="dxa"/>
            <w:tcBorders>
              <w:top w:val="nil"/>
              <w:left w:val="nil"/>
              <w:bottom w:val="nil"/>
              <w:right w:val="nil"/>
            </w:tcBorders>
            <w:shd w:val="clear" w:color="000000" w:fill="BFBFBF"/>
            <w:noWrap/>
            <w:vAlign w:val="center"/>
            <w:hideMark/>
          </w:tcPr>
          <w:p w14:paraId="127CE04C" w14:textId="77777777" w:rsidR="00867564" w:rsidRPr="0033680F" w:rsidRDefault="00867564" w:rsidP="007F0D38">
            <w:pPr>
              <w:spacing w:after="0" w:line="240" w:lineRule="auto"/>
              <w:jc w:val="center"/>
              <w:rPr>
                <w:rFonts w:eastAsia="Times New Roman" w:cs="Times New Roman"/>
                <w:b/>
                <w:bCs/>
                <w:color w:val="000000"/>
                <w:sz w:val="18"/>
                <w:szCs w:val="18"/>
                <w:lang w:eastAsia="sk-SK"/>
              </w:rPr>
            </w:pPr>
            <w:r w:rsidRPr="0033680F">
              <w:rPr>
                <w:rFonts w:eastAsia="Times New Roman" w:cs="Times New Roman"/>
                <w:b/>
                <w:bCs/>
                <w:color w:val="000000"/>
                <w:sz w:val="18"/>
                <w:szCs w:val="18"/>
                <w:lang w:eastAsia="sk-SK"/>
              </w:rPr>
              <w:t>2018</w:t>
            </w:r>
          </w:p>
        </w:tc>
        <w:tc>
          <w:tcPr>
            <w:tcW w:w="1134" w:type="dxa"/>
            <w:tcBorders>
              <w:top w:val="nil"/>
              <w:left w:val="nil"/>
              <w:bottom w:val="nil"/>
              <w:right w:val="nil"/>
            </w:tcBorders>
            <w:shd w:val="clear" w:color="000000" w:fill="BFBFBF"/>
            <w:noWrap/>
            <w:vAlign w:val="center"/>
            <w:hideMark/>
          </w:tcPr>
          <w:p w14:paraId="5BB57789" w14:textId="77777777" w:rsidR="00867564" w:rsidRPr="0033680F" w:rsidRDefault="00867564" w:rsidP="007F0D38">
            <w:pPr>
              <w:spacing w:after="0" w:line="240" w:lineRule="auto"/>
              <w:jc w:val="center"/>
              <w:rPr>
                <w:rFonts w:eastAsia="Times New Roman" w:cs="Times New Roman"/>
                <w:b/>
                <w:bCs/>
                <w:color w:val="000000"/>
                <w:sz w:val="18"/>
                <w:szCs w:val="18"/>
                <w:lang w:eastAsia="sk-SK"/>
              </w:rPr>
            </w:pPr>
            <w:r w:rsidRPr="0033680F">
              <w:rPr>
                <w:rFonts w:eastAsia="Times New Roman" w:cs="Times New Roman"/>
                <w:b/>
                <w:bCs/>
                <w:color w:val="000000"/>
                <w:sz w:val="18"/>
                <w:szCs w:val="18"/>
                <w:lang w:eastAsia="sk-SK"/>
              </w:rPr>
              <w:t>2019</w:t>
            </w:r>
          </w:p>
        </w:tc>
        <w:tc>
          <w:tcPr>
            <w:tcW w:w="1134" w:type="dxa"/>
            <w:tcBorders>
              <w:top w:val="nil"/>
              <w:left w:val="nil"/>
              <w:bottom w:val="nil"/>
              <w:right w:val="nil"/>
            </w:tcBorders>
            <w:shd w:val="clear" w:color="000000" w:fill="BFBFBF"/>
            <w:noWrap/>
            <w:vAlign w:val="center"/>
            <w:hideMark/>
          </w:tcPr>
          <w:p w14:paraId="5BB797E3" w14:textId="77777777" w:rsidR="00867564" w:rsidRPr="0033680F" w:rsidRDefault="00867564" w:rsidP="007F0D38">
            <w:pPr>
              <w:spacing w:after="0" w:line="240" w:lineRule="auto"/>
              <w:jc w:val="center"/>
              <w:rPr>
                <w:rFonts w:eastAsia="Times New Roman" w:cs="Times New Roman"/>
                <w:b/>
                <w:bCs/>
                <w:color w:val="000000"/>
                <w:sz w:val="18"/>
                <w:szCs w:val="18"/>
                <w:lang w:eastAsia="sk-SK"/>
              </w:rPr>
            </w:pPr>
            <w:r w:rsidRPr="0033680F">
              <w:rPr>
                <w:rFonts w:eastAsia="Times New Roman" w:cs="Times New Roman"/>
                <w:b/>
                <w:bCs/>
                <w:color w:val="000000"/>
                <w:sz w:val="18"/>
                <w:szCs w:val="18"/>
                <w:lang w:eastAsia="sk-SK"/>
              </w:rPr>
              <w:t>2020</w:t>
            </w:r>
          </w:p>
        </w:tc>
        <w:tc>
          <w:tcPr>
            <w:tcW w:w="1025" w:type="dxa"/>
            <w:tcBorders>
              <w:top w:val="nil"/>
              <w:left w:val="nil"/>
              <w:bottom w:val="nil"/>
              <w:right w:val="nil"/>
            </w:tcBorders>
            <w:shd w:val="clear" w:color="000000" w:fill="BFBFBF"/>
            <w:noWrap/>
            <w:vAlign w:val="center"/>
            <w:hideMark/>
          </w:tcPr>
          <w:p w14:paraId="2D4AC67E" w14:textId="77777777" w:rsidR="00867564" w:rsidRPr="0033680F" w:rsidRDefault="00867564" w:rsidP="007F0D38">
            <w:pPr>
              <w:spacing w:after="0" w:line="240" w:lineRule="auto"/>
              <w:jc w:val="center"/>
              <w:rPr>
                <w:rFonts w:eastAsia="Times New Roman" w:cs="Times New Roman"/>
                <w:b/>
                <w:bCs/>
                <w:color w:val="000000"/>
                <w:sz w:val="18"/>
                <w:szCs w:val="18"/>
                <w:lang w:eastAsia="sk-SK"/>
              </w:rPr>
            </w:pPr>
            <w:r w:rsidRPr="0033680F">
              <w:rPr>
                <w:rFonts w:eastAsia="Times New Roman" w:cs="Times New Roman"/>
                <w:b/>
                <w:bCs/>
                <w:color w:val="000000"/>
                <w:sz w:val="18"/>
                <w:szCs w:val="18"/>
                <w:lang w:eastAsia="sk-SK"/>
              </w:rPr>
              <w:t>2020</w:t>
            </w:r>
          </w:p>
        </w:tc>
        <w:tc>
          <w:tcPr>
            <w:tcW w:w="960" w:type="dxa"/>
            <w:tcBorders>
              <w:top w:val="nil"/>
              <w:left w:val="nil"/>
              <w:bottom w:val="nil"/>
              <w:right w:val="nil"/>
            </w:tcBorders>
            <w:shd w:val="clear" w:color="000000" w:fill="BFBFBF"/>
            <w:noWrap/>
            <w:vAlign w:val="center"/>
            <w:hideMark/>
          </w:tcPr>
          <w:p w14:paraId="28ADA040" w14:textId="77777777" w:rsidR="00867564" w:rsidRPr="0033680F" w:rsidRDefault="00867564" w:rsidP="007F0D38">
            <w:pPr>
              <w:spacing w:after="0" w:line="240" w:lineRule="auto"/>
              <w:jc w:val="center"/>
              <w:rPr>
                <w:rFonts w:eastAsia="Times New Roman" w:cs="Times New Roman"/>
                <w:b/>
                <w:bCs/>
                <w:color w:val="000000"/>
                <w:sz w:val="18"/>
                <w:szCs w:val="18"/>
                <w:lang w:eastAsia="sk-SK"/>
              </w:rPr>
            </w:pPr>
            <w:r w:rsidRPr="0033680F">
              <w:rPr>
                <w:rFonts w:eastAsia="Times New Roman" w:cs="Times New Roman"/>
                <w:b/>
                <w:bCs/>
                <w:color w:val="000000"/>
                <w:sz w:val="18"/>
                <w:szCs w:val="18"/>
                <w:lang w:eastAsia="sk-SK"/>
              </w:rPr>
              <w:t>v tis. eur</w:t>
            </w:r>
          </w:p>
        </w:tc>
        <w:tc>
          <w:tcPr>
            <w:tcW w:w="992" w:type="dxa"/>
            <w:tcBorders>
              <w:top w:val="nil"/>
              <w:left w:val="nil"/>
              <w:bottom w:val="nil"/>
              <w:right w:val="nil"/>
            </w:tcBorders>
            <w:shd w:val="clear" w:color="000000" w:fill="BFBFBF"/>
            <w:noWrap/>
            <w:vAlign w:val="center"/>
            <w:hideMark/>
          </w:tcPr>
          <w:p w14:paraId="27E96DE0" w14:textId="77777777" w:rsidR="00867564" w:rsidRPr="0033680F" w:rsidRDefault="00867564" w:rsidP="007F0D38">
            <w:pPr>
              <w:spacing w:after="0" w:line="240" w:lineRule="auto"/>
              <w:jc w:val="center"/>
              <w:rPr>
                <w:rFonts w:eastAsia="Times New Roman" w:cs="Times New Roman"/>
                <w:b/>
                <w:bCs/>
                <w:color w:val="000000"/>
                <w:sz w:val="18"/>
                <w:szCs w:val="18"/>
                <w:lang w:eastAsia="sk-SK"/>
              </w:rPr>
            </w:pPr>
            <w:r w:rsidRPr="0033680F">
              <w:rPr>
                <w:rFonts w:eastAsia="Times New Roman" w:cs="Times New Roman"/>
                <w:b/>
                <w:bCs/>
                <w:color w:val="000000"/>
                <w:sz w:val="18"/>
                <w:szCs w:val="18"/>
                <w:lang w:eastAsia="sk-SK"/>
              </w:rPr>
              <w:t>v %</w:t>
            </w:r>
          </w:p>
        </w:tc>
      </w:tr>
      <w:tr w:rsidR="00867564" w:rsidRPr="0033680F" w14:paraId="30036D77" w14:textId="77777777" w:rsidTr="0033680F">
        <w:trPr>
          <w:trHeight w:val="345"/>
        </w:trPr>
        <w:tc>
          <w:tcPr>
            <w:tcW w:w="2720" w:type="dxa"/>
            <w:tcBorders>
              <w:top w:val="nil"/>
              <w:left w:val="nil"/>
              <w:bottom w:val="single" w:sz="8" w:space="0" w:color="auto"/>
              <w:right w:val="nil"/>
            </w:tcBorders>
            <w:shd w:val="clear" w:color="000000" w:fill="BFBFBF"/>
            <w:vAlign w:val="center"/>
            <w:hideMark/>
          </w:tcPr>
          <w:p w14:paraId="5A380A52" w14:textId="77777777" w:rsidR="00867564" w:rsidRPr="0033680F" w:rsidRDefault="00867564" w:rsidP="007F0D38">
            <w:pPr>
              <w:spacing w:after="0" w:line="240" w:lineRule="auto"/>
              <w:jc w:val="center"/>
              <w:rPr>
                <w:rFonts w:eastAsia="Times New Roman" w:cs="Times New Roman"/>
                <w:b/>
                <w:bCs/>
                <w:color w:val="000000"/>
                <w:sz w:val="18"/>
                <w:szCs w:val="18"/>
                <w:lang w:eastAsia="sk-SK"/>
              </w:rPr>
            </w:pPr>
            <w:r w:rsidRPr="0033680F">
              <w:rPr>
                <w:rFonts w:eastAsia="Times New Roman" w:cs="Times New Roman"/>
                <w:b/>
                <w:bCs/>
                <w:color w:val="000000"/>
                <w:sz w:val="18"/>
                <w:szCs w:val="18"/>
                <w:lang w:eastAsia="sk-SK"/>
              </w:rPr>
              <w:t> </w:t>
            </w:r>
          </w:p>
        </w:tc>
        <w:tc>
          <w:tcPr>
            <w:tcW w:w="1194" w:type="dxa"/>
            <w:tcBorders>
              <w:top w:val="nil"/>
              <w:left w:val="nil"/>
              <w:bottom w:val="single" w:sz="8" w:space="0" w:color="auto"/>
              <w:right w:val="nil"/>
            </w:tcBorders>
            <w:shd w:val="clear" w:color="000000" w:fill="BFBFBF"/>
            <w:noWrap/>
            <w:vAlign w:val="center"/>
            <w:hideMark/>
          </w:tcPr>
          <w:p w14:paraId="32F0C9C0" w14:textId="77777777" w:rsidR="00867564" w:rsidRPr="0033680F" w:rsidRDefault="00867564" w:rsidP="007F0D38">
            <w:pPr>
              <w:spacing w:after="0" w:line="240" w:lineRule="auto"/>
              <w:jc w:val="center"/>
              <w:rPr>
                <w:rFonts w:eastAsia="Times New Roman" w:cs="Times New Roman"/>
                <w:b/>
                <w:bCs/>
                <w:color w:val="000000"/>
                <w:sz w:val="18"/>
                <w:szCs w:val="18"/>
                <w:lang w:eastAsia="sk-SK"/>
              </w:rPr>
            </w:pPr>
            <w:r w:rsidRPr="0033680F">
              <w:rPr>
                <w:rFonts w:eastAsia="Times New Roman" w:cs="Times New Roman"/>
                <w:b/>
                <w:bCs/>
                <w:color w:val="000000"/>
                <w:sz w:val="18"/>
                <w:szCs w:val="18"/>
                <w:lang w:eastAsia="sk-SK"/>
              </w:rPr>
              <w:t>1</w:t>
            </w:r>
          </w:p>
        </w:tc>
        <w:tc>
          <w:tcPr>
            <w:tcW w:w="1134" w:type="dxa"/>
            <w:tcBorders>
              <w:top w:val="nil"/>
              <w:left w:val="nil"/>
              <w:bottom w:val="single" w:sz="8" w:space="0" w:color="auto"/>
              <w:right w:val="nil"/>
            </w:tcBorders>
            <w:shd w:val="clear" w:color="000000" w:fill="BFBFBF"/>
            <w:noWrap/>
            <w:vAlign w:val="center"/>
            <w:hideMark/>
          </w:tcPr>
          <w:p w14:paraId="5A789C0C" w14:textId="77777777" w:rsidR="00867564" w:rsidRPr="0033680F" w:rsidRDefault="00867564" w:rsidP="007F0D38">
            <w:pPr>
              <w:spacing w:after="0" w:line="240" w:lineRule="auto"/>
              <w:jc w:val="center"/>
              <w:rPr>
                <w:rFonts w:eastAsia="Times New Roman" w:cs="Times New Roman"/>
                <w:b/>
                <w:bCs/>
                <w:color w:val="000000"/>
                <w:sz w:val="18"/>
                <w:szCs w:val="18"/>
                <w:lang w:eastAsia="sk-SK"/>
              </w:rPr>
            </w:pPr>
            <w:r w:rsidRPr="0033680F">
              <w:rPr>
                <w:rFonts w:eastAsia="Times New Roman" w:cs="Times New Roman"/>
                <w:b/>
                <w:bCs/>
                <w:color w:val="000000"/>
                <w:sz w:val="18"/>
                <w:szCs w:val="18"/>
                <w:lang w:eastAsia="sk-SK"/>
              </w:rPr>
              <w:t>2</w:t>
            </w:r>
          </w:p>
        </w:tc>
        <w:tc>
          <w:tcPr>
            <w:tcW w:w="1134" w:type="dxa"/>
            <w:tcBorders>
              <w:top w:val="nil"/>
              <w:left w:val="nil"/>
              <w:bottom w:val="single" w:sz="8" w:space="0" w:color="auto"/>
              <w:right w:val="nil"/>
            </w:tcBorders>
            <w:shd w:val="clear" w:color="000000" w:fill="BFBFBF"/>
            <w:noWrap/>
            <w:vAlign w:val="center"/>
            <w:hideMark/>
          </w:tcPr>
          <w:p w14:paraId="60075545" w14:textId="77777777" w:rsidR="00867564" w:rsidRPr="0033680F" w:rsidRDefault="00867564" w:rsidP="007F0D38">
            <w:pPr>
              <w:spacing w:after="0" w:line="240" w:lineRule="auto"/>
              <w:jc w:val="center"/>
              <w:rPr>
                <w:rFonts w:eastAsia="Times New Roman" w:cs="Times New Roman"/>
                <w:b/>
                <w:bCs/>
                <w:color w:val="000000"/>
                <w:sz w:val="18"/>
                <w:szCs w:val="18"/>
                <w:lang w:eastAsia="sk-SK"/>
              </w:rPr>
            </w:pPr>
            <w:r w:rsidRPr="0033680F">
              <w:rPr>
                <w:rFonts w:eastAsia="Times New Roman" w:cs="Times New Roman"/>
                <w:b/>
                <w:bCs/>
                <w:color w:val="000000"/>
                <w:sz w:val="18"/>
                <w:szCs w:val="18"/>
                <w:lang w:eastAsia="sk-SK"/>
              </w:rPr>
              <w:t>3</w:t>
            </w:r>
          </w:p>
        </w:tc>
        <w:tc>
          <w:tcPr>
            <w:tcW w:w="1025" w:type="dxa"/>
            <w:tcBorders>
              <w:top w:val="nil"/>
              <w:left w:val="nil"/>
              <w:bottom w:val="single" w:sz="8" w:space="0" w:color="auto"/>
              <w:right w:val="nil"/>
            </w:tcBorders>
            <w:shd w:val="clear" w:color="000000" w:fill="BFBFBF"/>
            <w:noWrap/>
            <w:vAlign w:val="center"/>
            <w:hideMark/>
          </w:tcPr>
          <w:p w14:paraId="145F1AE6" w14:textId="77777777" w:rsidR="00867564" w:rsidRPr="0033680F" w:rsidRDefault="00867564" w:rsidP="007F0D38">
            <w:pPr>
              <w:spacing w:after="0" w:line="240" w:lineRule="auto"/>
              <w:jc w:val="center"/>
              <w:rPr>
                <w:rFonts w:eastAsia="Times New Roman" w:cs="Times New Roman"/>
                <w:b/>
                <w:bCs/>
                <w:color w:val="000000"/>
                <w:sz w:val="18"/>
                <w:szCs w:val="18"/>
                <w:lang w:eastAsia="sk-SK"/>
              </w:rPr>
            </w:pPr>
            <w:r w:rsidRPr="0033680F">
              <w:rPr>
                <w:rFonts w:eastAsia="Times New Roman" w:cs="Times New Roman"/>
                <w:b/>
                <w:bCs/>
                <w:color w:val="000000"/>
                <w:sz w:val="18"/>
                <w:szCs w:val="18"/>
                <w:lang w:eastAsia="sk-SK"/>
              </w:rPr>
              <w:t>4</w:t>
            </w:r>
          </w:p>
        </w:tc>
        <w:tc>
          <w:tcPr>
            <w:tcW w:w="960" w:type="dxa"/>
            <w:tcBorders>
              <w:top w:val="nil"/>
              <w:left w:val="nil"/>
              <w:bottom w:val="single" w:sz="8" w:space="0" w:color="auto"/>
              <w:right w:val="nil"/>
            </w:tcBorders>
            <w:shd w:val="clear" w:color="000000" w:fill="BFBFBF"/>
            <w:noWrap/>
            <w:vAlign w:val="center"/>
            <w:hideMark/>
          </w:tcPr>
          <w:p w14:paraId="1F97B370" w14:textId="77777777" w:rsidR="00867564" w:rsidRPr="0033680F" w:rsidRDefault="00867564" w:rsidP="007F0D38">
            <w:pPr>
              <w:spacing w:after="0" w:line="240" w:lineRule="auto"/>
              <w:jc w:val="center"/>
              <w:rPr>
                <w:rFonts w:eastAsia="Times New Roman" w:cs="Times New Roman"/>
                <w:b/>
                <w:bCs/>
                <w:color w:val="000000"/>
                <w:sz w:val="18"/>
                <w:szCs w:val="18"/>
                <w:lang w:eastAsia="sk-SK"/>
              </w:rPr>
            </w:pPr>
            <w:r w:rsidRPr="0033680F">
              <w:rPr>
                <w:rFonts w:eastAsia="Times New Roman" w:cs="Times New Roman"/>
                <w:b/>
                <w:bCs/>
                <w:color w:val="000000"/>
                <w:sz w:val="18"/>
                <w:szCs w:val="18"/>
                <w:lang w:eastAsia="sk-SK"/>
              </w:rPr>
              <w:t>5=4-3</w:t>
            </w:r>
          </w:p>
        </w:tc>
        <w:tc>
          <w:tcPr>
            <w:tcW w:w="992" w:type="dxa"/>
            <w:tcBorders>
              <w:top w:val="nil"/>
              <w:left w:val="nil"/>
              <w:bottom w:val="single" w:sz="8" w:space="0" w:color="auto"/>
              <w:right w:val="nil"/>
            </w:tcBorders>
            <w:shd w:val="clear" w:color="000000" w:fill="BFBFBF"/>
            <w:noWrap/>
            <w:vAlign w:val="center"/>
            <w:hideMark/>
          </w:tcPr>
          <w:p w14:paraId="19CB86EA" w14:textId="77777777" w:rsidR="00867564" w:rsidRPr="0033680F" w:rsidRDefault="00867564" w:rsidP="007F0D38">
            <w:pPr>
              <w:spacing w:after="0" w:line="240" w:lineRule="auto"/>
              <w:jc w:val="center"/>
              <w:rPr>
                <w:rFonts w:eastAsia="Times New Roman" w:cs="Times New Roman"/>
                <w:b/>
                <w:bCs/>
                <w:color w:val="000000"/>
                <w:sz w:val="18"/>
                <w:szCs w:val="18"/>
                <w:lang w:eastAsia="sk-SK"/>
              </w:rPr>
            </w:pPr>
            <w:r w:rsidRPr="0033680F">
              <w:rPr>
                <w:rFonts w:eastAsia="Times New Roman" w:cs="Times New Roman"/>
                <w:b/>
                <w:bCs/>
                <w:color w:val="000000"/>
                <w:sz w:val="18"/>
                <w:szCs w:val="18"/>
                <w:lang w:eastAsia="sk-SK"/>
              </w:rPr>
              <w:t>6=4-3</w:t>
            </w:r>
          </w:p>
        </w:tc>
      </w:tr>
      <w:tr w:rsidR="00867564" w:rsidRPr="0033680F" w14:paraId="799A3FF3" w14:textId="77777777" w:rsidTr="0033680F">
        <w:trPr>
          <w:trHeight w:val="349"/>
        </w:trPr>
        <w:tc>
          <w:tcPr>
            <w:tcW w:w="2720" w:type="dxa"/>
            <w:tcBorders>
              <w:top w:val="nil"/>
              <w:left w:val="nil"/>
              <w:bottom w:val="nil"/>
              <w:right w:val="nil"/>
            </w:tcBorders>
            <w:shd w:val="clear" w:color="auto" w:fill="auto"/>
            <w:vAlign w:val="center"/>
            <w:hideMark/>
          </w:tcPr>
          <w:p w14:paraId="0E8B3963" w14:textId="77777777" w:rsidR="00867564" w:rsidRPr="0033680F" w:rsidRDefault="00867564" w:rsidP="007F0D38">
            <w:pPr>
              <w:spacing w:after="0" w:line="240" w:lineRule="auto"/>
              <w:rPr>
                <w:rFonts w:eastAsia="Times New Roman" w:cs="Times New Roman"/>
                <w:color w:val="000000"/>
                <w:sz w:val="18"/>
                <w:szCs w:val="18"/>
                <w:lang w:eastAsia="sk-SK"/>
              </w:rPr>
            </w:pPr>
            <w:r w:rsidRPr="0033680F">
              <w:rPr>
                <w:rFonts w:eastAsia="Times New Roman" w:cs="Times New Roman"/>
                <w:color w:val="000000"/>
                <w:sz w:val="18"/>
                <w:szCs w:val="18"/>
                <w:lang w:eastAsia="sk-SK"/>
              </w:rPr>
              <w:t>Ostatnej právnickej osobe</w:t>
            </w:r>
          </w:p>
        </w:tc>
        <w:tc>
          <w:tcPr>
            <w:tcW w:w="1194" w:type="dxa"/>
            <w:tcBorders>
              <w:top w:val="nil"/>
              <w:left w:val="nil"/>
              <w:bottom w:val="nil"/>
              <w:right w:val="nil"/>
            </w:tcBorders>
            <w:shd w:val="clear" w:color="auto" w:fill="auto"/>
            <w:vAlign w:val="center"/>
            <w:hideMark/>
          </w:tcPr>
          <w:p w14:paraId="0E254590" w14:textId="77777777" w:rsidR="00867564" w:rsidRPr="0033680F" w:rsidRDefault="00867564" w:rsidP="007F0D38">
            <w:pPr>
              <w:spacing w:after="0" w:line="240" w:lineRule="auto"/>
              <w:jc w:val="right"/>
              <w:rPr>
                <w:rFonts w:eastAsia="Times New Roman" w:cs="Times New Roman"/>
                <w:color w:val="000000"/>
                <w:sz w:val="18"/>
                <w:szCs w:val="18"/>
                <w:lang w:eastAsia="sk-SK"/>
              </w:rPr>
            </w:pPr>
            <w:r w:rsidRPr="0033680F">
              <w:rPr>
                <w:rFonts w:eastAsia="Times New Roman" w:cs="Times New Roman"/>
                <w:color w:val="000000"/>
                <w:sz w:val="18"/>
                <w:szCs w:val="18"/>
                <w:lang w:eastAsia="sk-SK"/>
              </w:rPr>
              <w:t>530 115</w:t>
            </w:r>
          </w:p>
        </w:tc>
        <w:tc>
          <w:tcPr>
            <w:tcW w:w="1134" w:type="dxa"/>
            <w:tcBorders>
              <w:top w:val="nil"/>
              <w:left w:val="nil"/>
              <w:bottom w:val="nil"/>
              <w:right w:val="nil"/>
            </w:tcBorders>
            <w:shd w:val="clear" w:color="auto" w:fill="auto"/>
            <w:vAlign w:val="center"/>
            <w:hideMark/>
          </w:tcPr>
          <w:p w14:paraId="46EA5A70" w14:textId="77777777" w:rsidR="00867564" w:rsidRPr="0033680F" w:rsidRDefault="00867564" w:rsidP="007F0D38">
            <w:pPr>
              <w:spacing w:after="0" w:line="240" w:lineRule="auto"/>
              <w:jc w:val="right"/>
              <w:rPr>
                <w:rFonts w:eastAsia="Times New Roman" w:cs="Times New Roman"/>
                <w:color w:val="000000"/>
                <w:sz w:val="18"/>
                <w:szCs w:val="18"/>
                <w:lang w:eastAsia="sk-SK"/>
              </w:rPr>
            </w:pPr>
            <w:r w:rsidRPr="0033680F">
              <w:rPr>
                <w:rFonts w:eastAsia="Times New Roman" w:cs="Times New Roman"/>
                <w:color w:val="000000"/>
                <w:sz w:val="18"/>
                <w:szCs w:val="18"/>
                <w:lang w:eastAsia="sk-SK"/>
              </w:rPr>
              <w:t>649 596</w:t>
            </w:r>
          </w:p>
        </w:tc>
        <w:tc>
          <w:tcPr>
            <w:tcW w:w="1134" w:type="dxa"/>
            <w:tcBorders>
              <w:top w:val="nil"/>
              <w:left w:val="nil"/>
              <w:bottom w:val="nil"/>
              <w:right w:val="nil"/>
            </w:tcBorders>
            <w:shd w:val="clear" w:color="auto" w:fill="auto"/>
            <w:vAlign w:val="center"/>
            <w:hideMark/>
          </w:tcPr>
          <w:p w14:paraId="279C4C36" w14:textId="77777777" w:rsidR="00867564" w:rsidRPr="0033680F" w:rsidRDefault="00867564" w:rsidP="007F0D38">
            <w:pPr>
              <w:spacing w:after="0" w:line="240" w:lineRule="auto"/>
              <w:jc w:val="right"/>
              <w:rPr>
                <w:rFonts w:eastAsia="Times New Roman" w:cs="Times New Roman"/>
                <w:color w:val="000000"/>
                <w:sz w:val="18"/>
                <w:szCs w:val="18"/>
                <w:lang w:eastAsia="sk-SK"/>
              </w:rPr>
            </w:pPr>
            <w:r w:rsidRPr="0033680F">
              <w:rPr>
                <w:rFonts w:eastAsia="Times New Roman" w:cs="Times New Roman"/>
                <w:color w:val="000000"/>
                <w:sz w:val="18"/>
                <w:szCs w:val="18"/>
                <w:lang w:eastAsia="sk-SK"/>
              </w:rPr>
              <w:t>819 527</w:t>
            </w:r>
          </w:p>
        </w:tc>
        <w:tc>
          <w:tcPr>
            <w:tcW w:w="1025" w:type="dxa"/>
            <w:tcBorders>
              <w:top w:val="nil"/>
              <w:left w:val="nil"/>
              <w:bottom w:val="nil"/>
              <w:right w:val="nil"/>
            </w:tcBorders>
            <w:shd w:val="clear" w:color="000000" w:fill="BFBFBF"/>
            <w:vAlign w:val="center"/>
            <w:hideMark/>
          </w:tcPr>
          <w:p w14:paraId="32247F12" w14:textId="77777777" w:rsidR="00867564" w:rsidRPr="0033680F" w:rsidRDefault="00867564" w:rsidP="007F0D38">
            <w:pPr>
              <w:spacing w:after="0" w:line="240" w:lineRule="auto"/>
              <w:jc w:val="right"/>
              <w:rPr>
                <w:rFonts w:eastAsia="Times New Roman" w:cs="Times New Roman"/>
                <w:color w:val="000000"/>
                <w:sz w:val="18"/>
                <w:szCs w:val="18"/>
                <w:lang w:eastAsia="sk-SK"/>
              </w:rPr>
            </w:pPr>
            <w:r w:rsidRPr="0033680F">
              <w:rPr>
                <w:rFonts w:eastAsia="Times New Roman" w:cs="Times New Roman"/>
                <w:color w:val="000000"/>
                <w:sz w:val="18"/>
                <w:szCs w:val="18"/>
                <w:lang w:eastAsia="sk-SK"/>
              </w:rPr>
              <w:t>867 591</w:t>
            </w:r>
          </w:p>
        </w:tc>
        <w:tc>
          <w:tcPr>
            <w:tcW w:w="960" w:type="dxa"/>
            <w:tcBorders>
              <w:top w:val="nil"/>
              <w:left w:val="nil"/>
              <w:bottom w:val="nil"/>
              <w:right w:val="nil"/>
            </w:tcBorders>
            <w:shd w:val="clear" w:color="auto" w:fill="auto"/>
            <w:vAlign w:val="center"/>
            <w:hideMark/>
          </w:tcPr>
          <w:p w14:paraId="3D2BAC02" w14:textId="77777777" w:rsidR="00867564" w:rsidRPr="0033680F" w:rsidRDefault="00867564" w:rsidP="007F0D38">
            <w:pPr>
              <w:spacing w:after="0" w:line="240" w:lineRule="auto"/>
              <w:jc w:val="right"/>
              <w:rPr>
                <w:rFonts w:eastAsia="Times New Roman" w:cs="Times New Roman"/>
                <w:color w:val="000000"/>
                <w:sz w:val="18"/>
                <w:szCs w:val="18"/>
                <w:lang w:eastAsia="sk-SK"/>
              </w:rPr>
            </w:pPr>
            <w:r w:rsidRPr="0033680F">
              <w:rPr>
                <w:rFonts w:eastAsia="Times New Roman" w:cs="Times New Roman"/>
                <w:color w:val="000000"/>
                <w:sz w:val="18"/>
                <w:szCs w:val="18"/>
                <w:lang w:eastAsia="sk-SK"/>
              </w:rPr>
              <w:t>48 064</w:t>
            </w:r>
          </w:p>
        </w:tc>
        <w:tc>
          <w:tcPr>
            <w:tcW w:w="992" w:type="dxa"/>
            <w:tcBorders>
              <w:top w:val="nil"/>
              <w:left w:val="nil"/>
              <w:bottom w:val="nil"/>
              <w:right w:val="nil"/>
            </w:tcBorders>
            <w:shd w:val="clear" w:color="auto" w:fill="auto"/>
            <w:vAlign w:val="center"/>
            <w:hideMark/>
          </w:tcPr>
          <w:p w14:paraId="4F7293BB" w14:textId="77777777" w:rsidR="00867564" w:rsidRPr="0033680F" w:rsidRDefault="00867564" w:rsidP="007F0D38">
            <w:pPr>
              <w:spacing w:after="0" w:line="240" w:lineRule="auto"/>
              <w:jc w:val="right"/>
              <w:rPr>
                <w:rFonts w:eastAsia="Times New Roman" w:cs="Times New Roman"/>
                <w:color w:val="000000"/>
                <w:sz w:val="18"/>
                <w:szCs w:val="18"/>
                <w:lang w:eastAsia="sk-SK"/>
              </w:rPr>
            </w:pPr>
            <w:r w:rsidRPr="0033680F">
              <w:rPr>
                <w:rFonts w:eastAsia="Times New Roman" w:cs="Times New Roman"/>
                <w:color w:val="000000"/>
                <w:sz w:val="18"/>
                <w:szCs w:val="18"/>
                <w:lang w:eastAsia="sk-SK"/>
              </w:rPr>
              <w:t>5,9</w:t>
            </w:r>
          </w:p>
        </w:tc>
      </w:tr>
      <w:tr w:rsidR="00867564" w:rsidRPr="0033680F" w14:paraId="7AAD677F" w14:textId="77777777" w:rsidTr="0033680F">
        <w:trPr>
          <w:trHeight w:val="510"/>
        </w:trPr>
        <w:tc>
          <w:tcPr>
            <w:tcW w:w="2720" w:type="dxa"/>
            <w:tcBorders>
              <w:top w:val="nil"/>
              <w:left w:val="nil"/>
              <w:bottom w:val="nil"/>
              <w:right w:val="nil"/>
            </w:tcBorders>
            <w:shd w:val="clear" w:color="auto" w:fill="auto"/>
            <w:vAlign w:val="center"/>
            <w:hideMark/>
          </w:tcPr>
          <w:p w14:paraId="2D94575F" w14:textId="77777777" w:rsidR="00867564" w:rsidRPr="0033680F" w:rsidRDefault="00867564" w:rsidP="007F0D38">
            <w:pPr>
              <w:spacing w:after="0" w:line="240" w:lineRule="auto"/>
              <w:rPr>
                <w:rFonts w:eastAsia="Times New Roman" w:cs="Times New Roman"/>
                <w:color w:val="000000"/>
                <w:sz w:val="18"/>
                <w:szCs w:val="18"/>
                <w:lang w:eastAsia="sk-SK"/>
              </w:rPr>
            </w:pPr>
            <w:r w:rsidRPr="0033680F">
              <w:rPr>
                <w:rFonts w:eastAsia="Times New Roman" w:cs="Times New Roman"/>
                <w:color w:val="000000"/>
                <w:sz w:val="18"/>
                <w:szCs w:val="18"/>
                <w:lang w:eastAsia="sk-SK"/>
              </w:rPr>
              <w:t>Právnickej osobe založenej štátom</w:t>
            </w:r>
          </w:p>
        </w:tc>
        <w:tc>
          <w:tcPr>
            <w:tcW w:w="1194" w:type="dxa"/>
            <w:tcBorders>
              <w:top w:val="nil"/>
              <w:left w:val="nil"/>
              <w:bottom w:val="nil"/>
              <w:right w:val="nil"/>
            </w:tcBorders>
            <w:shd w:val="clear" w:color="auto" w:fill="auto"/>
            <w:vAlign w:val="center"/>
            <w:hideMark/>
          </w:tcPr>
          <w:p w14:paraId="2EE8A85C" w14:textId="77777777" w:rsidR="00867564" w:rsidRPr="0033680F" w:rsidRDefault="00867564" w:rsidP="007F0D38">
            <w:pPr>
              <w:spacing w:after="0" w:line="240" w:lineRule="auto"/>
              <w:jc w:val="right"/>
              <w:rPr>
                <w:rFonts w:eastAsia="Times New Roman" w:cs="Times New Roman"/>
                <w:color w:val="000000"/>
                <w:sz w:val="18"/>
                <w:szCs w:val="18"/>
                <w:lang w:eastAsia="sk-SK"/>
              </w:rPr>
            </w:pPr>
            <w:r w:rsidRPr="0033680F">
              <w:rPr>
                <w:rFonts w:eastAsia="Times New Roman" w:cs="Times New Roman"/>
                <w:color w:val="000000"/>
                <w:sz w:val="18"/>
                <w:szCs w:val="18"/>
                <w:lang w:eastAsia="sk-SK"/>
              </w:rPr>
              <w:t>74 255</w:t>
            </w:r>
          </w:p>
        </w:tc>
        <w:tc>
          <w:tcPr>
            <w:tcW w:w="1134" w:type="dxa"/>
            <w:tcBorders>
              <w:top w:val="nil"/>
              <w:left w:val="nil"/>
              <w:bottom w:val="nil"/>
              <w:right w:val="nil"/>
            </w:tcBorders>
            <w:shd w:val="clear" w:color="auto" w:fill="auto"/>
            <w:vAlign w:val="center"/>
            <w:hideMark/>
          </w:tcPr>
          <w:p w14:paraId="2E8FAAE3" w14:textId="77777777" w:rsidR="00867564" w:rsidRPr="0033680F" w:rsidRDefault="00867564" w:rsidP="007F0D38">
            <w:pPr>
              <w:spacing w:after="0" w:line="240" w:lineRule="auto"/>
              <w:jc w:val="right"/>
              <w:rPr>
                <w:rFonts w:eastAsia="Times New Roman" w:cs="Times New Roman"/>
                <w:color w:val="000000"/>
                <w:sz w:val="18"/>
                <w:szCs w:val="18"/>
                <w:lang w:eastAsia="sk-SK"/>
              </w:rPr>
            </w:pPr>
            <w:r w:rsidRPr="0033680F">
              <w:rPr>
                <w:rFonts w:eastAsia="Times New Roman" w:cs="Times New Roman"/>
                <w:color w:val="000000"/>
                <w:sz w:val="18"/>
                <w:szCs w:val="18"/>
                <w:lang w:eastAsia="sk-SK"/>
              </w:rPr>
              <w:t>54 270</w:t>
            </w:r>
          </w:p>
        </w:tc>
        <w:tc>
          <w:tcPr>
            <w:tcW w:w="1134" w:type="dxa"/>
            <w:tcBorders>
              <w:top w:val="nil"/>
              <w:left w:val="nil"/>
              <w:bottom w:val="nil"/>
              <w:right w:val="nil"/>
            </w:tcBorders>
            <w:shd w:val="clear" w:color="auto" w:fill="auto"/>
            <w:vAlign w:val="center"/>
            <w:hideMark/>
          </w:tcPr>
          <w:p w14:paraId="589B9BA8" w14:textId="77777777" w:rsidR="00867564" w:rsidRPr="0033680F" w:rsidRDefault="00867564" w:rsidP="007F0D38">
            <w:pPr>
              <w:spacing w:after="0" w:line="240" w:lineRule="auto"/>
              <w:jc w:val="right"/>
              <w:rPr>
                <w:rFonts w:eastAsia="Times New Roman" w:cs="Times New Roman"/>
                <w:color w:val="000000"/>
                <w:sz w:val="18"/>
                <w:szCs w:val="18"/>
                <w:lang w:eastAsia="sk-SK"/>
              </w:rPr>
            </w:pPr>
            <w:r w:rsidRPr="0033680F">
              <w:rPr>
                <w:rFonts w:eastAsia="Times New Roman" w:cs="Times New Roman"/>
                <w:color w:val="000000"/>
                <w:sz w:val="18"/>
                <w:szCs w:val="18"/>
                <w:lang w:eastAsia="sk-SK"/>
              </w:rPr>
              <w:t>28 260</w:t>
            </w:r>
          </w:p>
        </w:tc>
        <w:tc>
          <w:tcPr>
            <w:tcW w:w="1025" w:type="dxa"/>
            <w:tcBorders>
              <w:top w:val="nil"/>
              <w:left w:val="nil"/>
              <w:bottom w:val="nil"/>
              <w:right w:val="nil"/>
            </w:tcBorders>
            <w:shd w:val="clear" w:color="000000" w:fill="BFBFBF"/>
            <w:vAlign w:val="center"/>
            <w:hideMark/>
          </w:tcPr>
          <w:p w14:paraId="64AF6A06" w14:textId="77777777" w:rsidR="00867564" w:rsidRPr="0033680F" w:rsidRDefault="00867564" w:rsidP="007F0D38">
            <w:pPr>
              <w:spacing w:after="0" w:line="240" w:lineRule="auto"/>
              <w:jc w:val="right"/>
              <w:rPr>
                <w:rFonts w:eastAsia="Times New Roman" w:cs="Times New Roman"/>
                <w:color w:val="000000"/>
                <w:sz w:val="18"/>
                <w:szCs w:val="18"/>
                <w:lang w:eastAsia="sk-SK"/>
              </w:rPr>
            </w:pPr>
            <w:r w:rsidRPr="0033680F">
              <w:rPr>
                <w:rFonts w:eastAsia="Times New Roman" w:cs="Times New Roman"/>
                <w:color w:val="000000"/>
                <w:sz w:val="18"/>
                <w:szCs w:val="18"/>
                <w:lang w:eastAsia="sk-SK"/>
              </w:rPr>
              <w:t>187 588</w:t>
            </w:r>
          </w:p>
        </w:tc>
        <w:tc>
          <w:tcPr>
            <w:tcW w:w="960" w:type="dxa"/>
            <w:tcBorders>
              <w:top w:val="nil"/>
              <w:left w:val="nil"/>
              <w:bottom w:val="nil"/>
              <w:right w:val="nil"/>
            </w:tcBorders>
            <w:shd w:val="clear" w:color="auto" w:fill="auto"/>
            <w:vAlign w:val="center"/>
            <w:hideMark/>
          </w:tcPr>
          <w:p w14:paraId="38835AE5" w14:textId="77777777" w:rsidR="00867564" w:rsidRPr="0033680F" w:rsidRDefault="00867564" w:rsidP="007F0D38">
            <w:pPr>
              <w:spacing w:after="0" w:line="240" w:lineRule="auto"/>
              <w:jc w:val="right"/>
              <w:rPr>
                <w:rFonts w:eastAsia="Times New Roman" w:cs="Times New Roman"/>
                <w:color w:val="000000"/>
                <w:sz w:val="18"/>
                <w:szCs w:val="18"/>
                <w:lang w:eastAsia="sk-SK"/>
              </w:rPr>
            </w:pPr>
            <w:r w:rsidRPr="0033680F">
              <w:rPr>
                <w:rFonts w:eastAsia="Times New Roman" w:cs="Times New Roman"/>
                <w:color w:val="000000"/>
                <w:sz w:val="18"/>
                <w:szCs w:val="18"/>
                <w:lang w:eastAsia="sk-SK"/>
              </w:rPr>
              <w:t>159 328</w:t>
            </w:r>
          </w:p>
        </w:tc>
        <w:tc>
          <w:tcPr>
            <w:tcW w:w="992" w:type="dxa"/>
            <w:tcBorders>
              <w:top w:val="nil"/>
              <w:left w:val="nil"/>
              <w:bottom w:val="nil"/>
              <w:right w:val="nil"/>
            </w:tcBorders>
            <w:shd w:val="clear" w:color="auto" w:fill="auto"/>
            <w:vAlign w:val="center"/>
            <w:hideMark/>
          </w:tcPr>
          <w:p w14:paraId="2242E08E" w14:textId="77777777" w:rsidR="00867564" w:rsidRPr="0033680F" w:rsidRDefault="00867564" w:rsidP="007F0D38">
            <w:pPr>
              <w:spacing w:after="0" w:line="240" w:lineRule="auto"/>
              <w:jc w:val="right"/>
              <w:rPr>
                <w:rFonts w:eastAsia="Times New Roman" w:cs="Times New Roman"/>
                <w:color w:val="000000"/>
                <w:sz w:val="18"/>
                <w:szCs w:val="18"/>
                <w:lang w:eastAsia="sk-SK"/>
              </w:rPr>
            </w:pPr>
            <w:r w:rsidRPr="0033680F">
              <w:rPr>
                <w:rFonts w:eastAsia="Times New Roman" w:cs="Times New Roman"/>
                <w:color w:val="000000"/>
                <w:sz w:val="18"/>
                <w:szCs w:val="18"/>
                <w:lang w:eastAsia="sk-SK"/>
              </w:rPr>
              <w:t>563,8</w:t>
            </w:r>
          </w:p>
        </w:tc>
      </w:tr>
      <w:tr w:rsidR="00867564" w:rsidRPr="0033680F" w14:paraId="3EB38BED" w14:textId="77777777" w:rsidTr="005C4AEB">
        <w:trPr>
          <w:trHeight w:val="360"/>
        </w:trPr>
        <w:tc>
          <w:tcPr>
            <w:tcW w:w="2720" w:type="dxa"/>
            <w:tcBorders>
              <w:top w:val="nil"/>
              <w:left w:val="nil"/>
              <w:bottom w:val="single" w:sz="8" w:space="0" w:color="auto"/>
              <w:right w:val="nil"/>
            </w:tcBorders>
            <w:shd w:val="clear" w:color="auto" w:fill="auto"/>
            <w:vAlign w:val="center"/>
            <w:hideMark/>
          </w:tcPr>
          <w:p w14:paraId="69687104" w14:textId="77777777" w:rsidR="00867564" w:rsidRPr="0033680F" w:rsidRDefault="00867564" w:rsidP="007F0D38">
            <w:pPr>
              <w:spacing w:after="0" w:line="240" w:lineRule="auto"/>
              <w:rPr>
                <w:rFonts w:eastAsia="Times New Roman" w:cs="Times New Roman"/>
                <w:color w:val="000000"/>
                <w:sz w:val="18"/>
                <w:szCs w:val="18"/>
                <w:lang w:eastAsia="sk-SK"/>
              </w:rPr>
            </w:pPr>
            <w:r w:rsidRPr="0033680F">
              <w:rPr>
                <w:rFonts w:eastAsia="Times New Roman" w:cs="Times New Roman"/>
                <w:color w:val="000000"/>
                <w:sz w:val="18"/>
                <w:szCs w:val="18"/>
                <w:lang w:eastAsia="sk-SK"/>
              </w:rPr>
              <w:t>Fyzickej osobe podnikateľovi</w:t>
            </w:r>
          </w:p>
        </w:tc>
        <w:tc>
          <w:tcPr>
            <w:tcW w:w="1194" w:type="dxa"/>
            <w:tcBorders>
              <w:top w:val="nil"/>
              <w:left w:val="nil"/>
              <w:bottom w:val="single" w:sz="8" w:space="0" w:color="auto"/>
              <w:right w:val="nil"/>
            </w:tcBorders>
            <w:shd w:val="clear" w:color="auto" w:fill="auto"/>
            <w:vAlign w:val="center"/>
            <w:hideMark/>
          </w:tcPr>
          <w:p w14:paraId="66C48649" w14:textId="77777777" w:rsidR="00867564" w:rsidRPr="0033680F" w:rsidRDefault="00867564" w:rsidP="007F0D38">
            <w:pPr>
              <w:spacing w:after="0" w:line="240" w:lineRule="auto"/>
              <w:jc w:val="right"/>
              <w:rPr>
                <w:rFonts w:eastAsia="Times New Roman" w:cs="Times New Roman"/>
                <w:color w:val="000000"/>
                <w:sz w:val="18"/>
                <w:szCs w:val="18"/>
                <w:lang w:eastAsia="sk-SK"/>
              </w:rPr>
            </w:pPr>
            <w:r w:rsidRPr="0033680F">
              <w:rPr>
                <w:rFonts w:eastAsia="Times New Roman" w:cs="Times New Roman"/>
                <w:color w:val="000000"/>
                <w:sz w:val="18"/>
                <w:szCs w:val="18"/>
                <w:lang w:eastAsia="sk-SK"/>
              </w:rPr>
              <w:t>109 485</w:t>
            </w:r>
          </w:p>
        </w:tc>
        <w:tc>
          <w:tcPr>
            <w:tcW w:w="1134" w:type="dxa"/>
            <w:tcBorders>
              <w:top w:val="nil"/>
              <w:left w:val="nil"/>
              <w:bottom w:val="single" w:sz="8" w:space="0" w:color="auto"/>
              <w:right w:val="nil"/>
            </w:tcBorders>
            <w:shd w:val="clear" w:color="auto" w:fill="auto"/>
            <w:vAlign w:val="center"/>
            <w:hideMark/>
          </w:tcPr>
          <w:p w14:paraId="1C608493" w14:textId="77777777" w:rsidR="00867564" w:rsidRPr="0033680F" w:rsidRDefault="00867564" w:rsidP="007F0D38">
            <w:pPr>
              <w:spacing w:after="0" w:line="240" w:lineRule="auto"/>
              <w:jc w:val="right"/>
              <w:rPr>
                <w:rFonts w:eastAsia="Times New Roman" w:cs="Times New Roman"/>
                <w:color w:val="000000"/>
                <w:sz w:val="18"/>
                <w:szCs w:val="18"/>
                <w:lang w:eastAsia="sk-SK"/>
              </w:rPr>
            </w:pPr>
            <w:r w:rsidRPr="0033680F">
              <w:rPr>
                <w:rFonts w:eastAsia="Times New Roman" w:cs="Times New Roman"/>
                <w:color w:val="000000"/>
                <w:sz w:val="18"/>
                <w:szCs w:val="18"/>
                <w:lang w:eastAsia="sk-SK"/>
              </w:rPr>
              <w:t>111 041</w:t>
            </w:r>
          </w:p>
        </w:tc>
        <w:tc>
          <w:tcPr>
            <w:tcW w:w="1134" w:type="dxa"/>
            <w:tcBorders>
              <w:top w:val="nil"/>
              <w:left w:val="nil"/>
              <w:bottom w:val="single" w:sz="8" w:space="0" w:color="auto"/>
              <w:right w:val="nil"/>
            </w:tcBorders>
            <w:shd w:val="clear" w:color="auto" w:fill="auto"/>
            <w:vAlign w:val="center"/>
            <w:hideMark/>
          </w:tcPr>
          <w:p w14:paraId="3DCABE04" w14:textId="77777777" w:rsidR="00867564" w:rsidRPr="0033680F" w:rsidRDefault="00867564" w:rsidP="007F0D38">
            <w:pPr>
              <w:spacing w:after="0" w:line="240" w:lineRule="auto"/>
              <w:jc w:val="right"/>
              <w:rPr>
                <w:rFonts w:eastAsia="Times New Roman" w:cs="Times New Roman"/>
                <w:color w:val="000000"/>
                <w:sz w:val="18"/>
                <w:szCs w:val="18"/>
                <w:lang w:eastAsia="sk-SK"/>
              </w:rPr>
            </w:pPr>
            <w:r w:rsidRPr="0033680F">
              <w:rPr>
                <w:rFonts w:eastAsia="Times New Roman" w:cs="Times New Roman"/>
                <w:color w:val="000000"/>
                <w:sz w:val="18"/>
                <w:szCs w:val="18"/>
                <w:lang w:eastAsia="sk-SK"/>
              </w:rPr>
              <w:t>227</w:t>
            </w:r>
          </w:p>
        </w:tc>
        <w:tc>
          <w:tcPr>
            <w:tcW w:w="1025" w:type="dxa"/>
            <w:tcBorders>
              <w:top w:val="nil"/>
              <w:left w:val="nil"/>
              <w:bottom w:val="single" w:sz="8" w:space="0" w:color="auto"/>
              <w:right w:val="nil"/>
            </w:tcBorders>
            <w:shd w:val="clear" w:color="auto" w:fill="BFBFBF" w:themeFill="background1" w:themeFillShade="BF"/>
            <w:vAlign w:val="center"/>
            <w:hideMark/>
          </w:tcPr>
          <w:p w14:paraId="25E8654A" w14:textId="77777777" w:rsidR="00867564" w:rsidRPr="0033680F" w:rsidRDefault="00867564" w:rsidP="007F0D38">
            <w:pPr>
              <w:spacing w:after="0" w:line="240" w:lineRule="auto"/>
              <w:jc w:val="right"/>
              <w:rPr>
                <w:rFonts w:eastAsia="Times New Roman" w:cs="Times New Roman"/>
                <w:color w:val="000000"/>
                <w:sz w:val="18"/>
                <w:szCs w:val="18"/>
                <w:lang w:eastAsia="sk-SK"/>
              </w:rPr>
            </w:pPr>
            <w:r w:rsidRPr="0033680F">
              <w:rPr>
                <w:rFonts w:eastAsia="Times New Roman" w:cs="Times New Roman"/>
                <w:color w:val="000000"/>
                <w:sz w:val="18"/>
                <w:szCs w:val="18"/>
                <w:lang w:eastAsia="sk-SK"/>
              </w:rPr>
              <w:t>107 950</w:t>
            </w:r>
          </w:p>
        </w:tc>
        <w:tc>
          <w:tcPr>
            <w:tcW w:w="960" w:type="dxa"/>
            <w:tcBorders>
              <w:top w:val="nil"/>
              <w:left w:val="nil"/>
              <w:bottom w:val="single" w:sz="8" w:space="0" w:color="auto"/>
              <w:right w:val="nil"/>
            </w:tcBorders>
            <w:shd w:val="clear" w:color="auto" w:fill="auto"/>
            <w:vAlign w:val="center"/>
            <w:hideMark/>
          </w:tcPr>
          <w:p w14:paraId="5F828672" w14:textId="77777777" w:rsidR="00867564" w:rsidRPr="0033680F" w:rsidRDefault="00867564" w:rsidP="007F0D38">
            <w:pPr>
              <w:spacing w:after="0" w:line="240" w:lineRule="auto"/>
              <w:jc w:val="right"/>
              <w:rPr>
                <w:rFonts w:eastAsia="Times New Roman" w:cs="Times New Roman"/>
                <w:color w:val="000000"/>
                <w:sz w:val="18"/>
                <w:szCs w:val="18"/>
                <w:lang w:eastAsia="sk-SK"/>
              </w:rPr>
            </w:pPr>
            <w:r w:rsidRPr="0033680F">
              <w:rPr>
                <w:rFonts w:eastAsia="Times New Roman" w:cs="Times New Roman"/>
                <w:color w:val="000000"/>
                <w:sz w:val="18"/>
                <w:szCs w:val="18"/>
                <w:lang w:eastAsia="sk-SK"/>
              </w:rPr>
              <w:t>107 723</w:t>
            </w:r>
          </w:p>
        </w:tc>
        <w:tc>
          <w:tcPr>
            <w:tcW w:w="992" w:type="dxa"/>
            <w:tcBorders>
              <w:top w:val="nil"/>
              <w:left w:val="nil"/>
              <w:bottom w:val="single" w:sz="8" w:space="0" w:color="auto"/>
              <w:right w:val="nil"/>
            </w:tcBorders>
            <w:shd w:val="clear" w:color="auto" w:fill="auto"/>
            <w:vAlign w:val="center"/>
            <w:hideMark/>
          </w:tcPr>
          <w:p w14:paraId="2D6CB6F4" w14:textId="77777777" w:rsidR="00867564" w:rsidRPr="0033680F" w:rsidRDefault="00867564" w:rsidP="007F0D38">
            <w:pPr>
              <w:spacing w:after="0" w:line="240" w:lineRule="auto"/>
              <w:jc w:val="right"/>
              <w:rPr>
                <w:rFonts w:eastAsia="Times New Roman" w:cs="Times New Roman"/>
                <w:color w:val="000000"/>
                <w:sz w:val="18"/>
                <w:szCs w:val="18"/>
                <w:lang w:eastAsia="sk-SK"/>
              </w:rPr>
            </w:pPr>
            <w:r w:rsidRPr="0033680F">
              <w:rPr>
                <w:rFonts w:eastAsia="Times New Roman" w:cs="Times New Roman"/>
                <w:color w:val="000000"/>
                <w:sz w:val="18"/>
                <w:szCs w:val="18"/>
                <w:lang w:eastAsia="sk-SK"/>
              </w:rPr>
              <w:t>47455,1</w:t>
            </w:r>
          </w:p>
        </w:tc>
      </w:tr>
      <w:tr w:rsidR="00867564" w:rsidRPr="0033680F" w14:paraId="108FAC7C" w14:textId="77777777" w:rsidTr="005C4AEB">
        <w:trPr>
          <w:trHeight w:val="345"/>
        </w:trPr>
        <w:tc>
          <w:tcPr>
            <w:tcW w:w="2720" w:type="dxa"/>
            <w:tcBorders>
              <w:top w:val="nil"/>
              <w:left w:val="nil"/>
              <w:bottom w:val="single" w:sz="8" w:space="0" w:color="auto"/>
              <w:right w:val="nil"/>
            </w:tcBorders>
            <w:shd w:val="clear" w:color="auto" w:fill="auto"/>
            <w:vAlign w:val="center"/>
            <w:hideMark/>
          </w:tcPr>
          <w:p w14:paraId="090BE269" w14:textId="77777777" w:rsidR="00867564" w:rsidRPr="0033680F" w:rsidRDefault="00867564" w:rsidP="007F0D38">
            <w:pPr>
              <w:spacing w:after="0" w:line="240" w:lineRule="auto"/>
              <w:rPr>
                <w:rFonts w:eastAsia="Times New Roman" w:cs="Times New Roman"/>
                <w:b/>
                <w:bCs/>
                <w:color w:val="000000"/>
                <w:sz w:val="18"/>
                <w:szCs w:val="18"/>
                <w:lang w:eastAsia="sk-SK"/>
              </w:rPr>
            </w:pPr>
            <w:r w:rsidRPr="0033680F">
              <w:rPr>
                <w:rFonts w:eastAsia="Times New Roman" w:cs="Times New Roman"/>
                <w:b/>
                <w:bCs/>
                <w:color w:val="000000"/>
                <w:sz w:val="18"/>
                <w:szCs w:val="18"/>
                <w:lang w:eastAsia="sk-SK"/>
              </w:rPr>
              <w:t>Spolu</w:t>
            </w:r>
          </w:p>
        </w:tc>
        <w:tc>
          <w:tcPr>
            <w:tcW w:w="1194" w:type="dxa"/>
            <w:tcBorders>
              <w:top w:val="nil"/>
              <w:left w:val="nil"/>
              <w:bottom w:val="single" w:sz="8" w:space="0" w:color="auto"/>
              <w:right w:val="nil"/>
            </w:tcBorders>
            <w:shd w:val="clear" w:color="auto" w:fill="auto"/>
            <w:noWrap/>
            <w:vAlign w:val="center"/>
            <w:hideMark/>
          </w:tcPr>
          <w:p w14:paraId="27F98B6C" w14:textId="77777777" w:rsidR="00867564" w:rsidRPr="0033680F" w:rsidRDefault="00867564" w:rsidP="007F0D38">
            <w:pPr>
              <w:spacing w:after="0" w:line="240" w:lineRule="auto"/>
              <w:jc w:val="right"/>
              <w:rPr>
                <w:rFonts w:eastAsia="Times New Roman" w:cs="Times New Roman"/>
                <w:b/>
                <w:bCs/>
                <w:color w:val="000000"/>
                <w:sz w:val="18"/>
                <w:szCs w:val="18"/>
                <w:lang w:eastAsia="sk-SK"/>
              </w:rPr>
            </w:pPr>
            <w:r w:rsidRPr="0033680F">
              <w:rPr>
                <w:rFonts w:eastAsia="Times New Roman" w:cs="Times New Roman"/>
                <w:b/>
                <w:bCs/>
                <w:color w:val="000000"/>
                <w:sz w:val="18"/>
                <w:szCs w:val="18"/>
                <w:lang w:eastAsia="sk-SK"/>
              </w:rPr>
              <w:t>713 855</w:t>
            </w:r>
          </w:p>
        </w:tc>
        <w:tc>
          <w:tcPr>
            <w:tcW w:w="1134" w:type="dxa"/>
            <w:tcBorders>
              <w:top w:val="nil"/>
              <w:left w:val="nil"/>
              <w:bottom w:val="single" w:sz="8" w:space="0" w:color="auto"/>
              <w:right w:val="nil"/>
            </w:tcBorders>
            <w:shd w:val="clear" w:color="auto" w:fill="auto"/>
            <w:noWrap/>
            <w:vAlign w:val="center"/>
            <w:hideMark/>
          </w:tcPr>
          <w:p w14:paraId="2B666755" w14:textId="77777777" w:rsidR="00867564" w:rsidRPr="0033680F" w:rsidRDefault="00867564" w:rsidP="007F0D38">
            <w:pPr>
              <w:spacing w:after="0" w:line="240" w:lineRule="auto"/>
              <w:jc w:val="right"/>
              <w:rPr>
                <w:rFonts w:eastAsia="Times New Roman" w:cs="Times New Roman"/>
                <w:b/>
                <w:bCs/>
                <w:color w:val="000000"/>
                <w:sz w:val="18"/>
                <w:szCs w:val="18"/>
                <w:lang w:eastAsia="sk-SK"/>
              </w:rPr>
            </w:pPr>
            <w:r w:rsidRPr="0033680F">
              <w:rPr>
                <w:rFonts w:eastAsia="Times New Roman" w:cs="Times New Roman"/>
                <w:b/>
                <w:bCs/>
                <w:color w:val="000000"/>
                <w:sz w:val="18"/>
                <w:szCs w:val="18"/>
                <w:lang w:eastAsia="sk-SK"/>
              </w:rPr>
              <w:t>814 907</w:t>
            </w:r>
          </w:p>
        </w:tc>
        <w:tc>
          <w:tcPr>
            <w:tcW w:w="1134" w:type="dxa"/>
            <w:tcBorders>
              <w:top w:val="nil"/>
              <w:left w:val="nil"/>
              <w:bottom w:val="single" w:sz="8" w:space="0" w:color="auto"/>
              <w:right w:val="nil"/>
            </w:tcBorders>
            <w:shd w:val="clear" w:color="auto" w:fill="auto"/>
            <w:noWrap/>
            <w:vAlign w:val="center"/>
            <w:hideMark/>
          </w:tcPr>
          <w:p w14:paraId="1296EB18" w14:textId="77777777" w:rsidR="00867564" w:rsidRPr="0033680F" w:rsidRDefault="00867564" w:rsidP="007F0D38">
            <w:pPr>
              <w:spacing w:after="0" w:line="240" w:lineRule="auto"/>
              <w:jc w:val="right"/>
              <w:rPr>
                <w:rFonts w:eastAsia="Times New Roman" w:cs="Times New Roman"/>
                <w:b/>
                <w:bCs/>
                <w:color w:val="000000"/>
                <w:sz w:val="18"/>
                <w:szCs w:val="18"/>
                <w:lang w:eastAsia="sk-SK"/>
              </w:rPr>
            </w:pPr>
            <w:r w:rsidRPr="0033680F">
              <w:rPr>
                <w:rFonts w:eastAsia="Times New Roman" w:cs="Times New Roman"/>
                <w:b/>
                <w:bCs/>
                <w:color w:val="000000"/>
                <w:sz w:val="18"/>
                <w:szCs w:val="18"/>
                <w:lang w:eastAsia="sk-SK"/>
              </w:rPr>
              <w:t>848 014</w:t>
            </w:r>
          </w:p>
        </w:tc>
        <w:tc>
          <w:tcPr>
            <w:tcW w:w="1025" w:type="dxa"/>
            <w:tcBorders>
              <w:top w:val="nil"/>
              <w:left w:val="nil"/>
              <w:bottom w:val="single" w:sz="8" w:space="0" w:color="auto"/>
              <w:right w:val="nil"/>
            </w:tcBorders>
            <w:shd w:val="clear" w:color="auto" w:fill="BFBFBF" w:themeFill="background1" w:themeFillShade="BF"/>
            <w:noWrap/>
            <w:vAlign w:val="center"/>
            <w:hideMark/>
          </w:tcPr>
          <w:p w14:paraId="42C5A892" w14:textId="77777777" w:rsidR="00867564" w:rsidRPr="0033680F" w:rsidRDefault="00867564" w:rsidP="007F0D38">
            <w:pPr>
              <w:spacing w:after="0" w:line="240" w:lineRule="auto"/>
              <w:jc w:val="right"/>
              <w:rPr>
                <w:rFonts w:eastAsia="Times New Roman" w:cs="Times New Roman"/>
                <w:b/>
                <w:bCs/>
                <w:color w:val="000000"/>
                <w:sz w:val="18"/>
                <w:szCs w:val="18"/>
                <w:lang w:eastAsia="sk-SK"/>
              </w:rPr>
            </w:pPr>
            <w:r w:rsidRPr="0033680F">
              <w:rPr>
                <w:rFonts w:eastAsia="Times New Roman" w:cs="Times New Roman"/>
                <w:b/>
                <w:bCs/>
                <w:color w:val="000000"/>
                <w:sz w:val="18"/>
                <w:szCs w:val="18"/>
                <w:lang w:eastAsia="sk-SK"/>
              </w:rPr>
              <w:t>1 163 129</w:t>
            </w:r>
          </w:p>
        </w:tc>
        <w:tc>
          <w:tcPr>
            <w:tcW w:w="960" w:type="dxa"/>
            <w:tcBorders>
              <w:top w:val="nil"/>
              <w:left w:val="nil"/>
              <w:bottom w:val="single" w:sz="8" w:space="0" w:color="auto"/>
              <w:right w:val="nil"/>
            </w:tcBorders>
            <w:shd w:val="clear" w:color="auto" w:fill="auto"/>
            <w:vAlign w:val="center"/>
            <w:hideMark/>
          </w:tcPr>
          <w:p w14:paraId="33E0D35D" w14:textId="77777777" w:rsidR="00867564" w:rsidRPr="0033680F" w:rsidRDefault="00867564" w:rsidP="007F0D38">
            <w:pPr>
              <w:spacing w:after="0" w:line="240" w:lineRule="auto"/>
              <w:jc w:val="right"/>
              <w:rPr>
                <w:rFonts w:eastAsia="Times New Roman" w:cs="Times New Roman"/>
                <w:b/>
                <w:bCs/>
                <w:color w:val="000000"/>
                <w:sz w:val="18"/>
                <w:szCs w:val="18"/>
                <w:lang w:eastAsia="sk-SK"/>
              </w:rPr>
            </w:pPr>
            <w:r w:rsidRPr="0033680F">
              <w:rPr>
                <w:rFonts w:eastAsia="Times New Roman" w:cs="Times New Roman"/>
                <w:b/>
                <w:bCs/>
                <w:color w:val="000000"/>
                <w:sz w:val="18"/>
                <w:szCs w:val="18"/>
                <w:lang w:eastAsia="sk-SK"/>
              </w:rPr>
              <w:t>315 115</w:t>
            </w:r>
          </w:p>
        </w:tc>
        <w:tc>
          <w:tcPr>
            <w:tcW w:w="992" w:type="dxa"/>
            <w:tcBorders>
              <w:top w:val="nil"/>
              <w:left w:val="nil"/>
              <w:bottom w:val="single" w:sz="8" w:space="0" w:color="auto"/>
              <w:right w:val="nil"/>
            </w:tcBorders>
            <w:shd w:val="clear" w:color="auto" w:fill="auto"/>
            <w:vAlign w:val="center"/>
            <w:hideMark/>
          </w:tcPr>
          <w:p w14:paraId="531966F5" w14:textId="77777777" w:rsidR="00867564" w:rsidRPr="0033680F" w:rsidRDefault="00867564" w:rsidP="007F0D38">
            <w:pPr>
              <w:spacing w:after="0" w:line="240" w:lineRule="auto"/>
              <w:jc w:val="right"/>
              <w:rPr>
                <w:rFonts w:eastAsia="Times New Roman" w:cs="Times New Roman"/>
                <w:b/>
                <w:bCs/>
                <w:color w:val="000000"/>
                <w:sz w:val="18"/>
                <w:szCs w:val="18"/>
                <w:lang w:eastAsia="sk-SK"/>
              </w:rPr>
            </w:pPr>
            <w:r w:rsidRPr="0033680F">
              <w:rPr>
                <w:rFonts w:eastAsia="Times New Roman" w:cs="Times New Roman"/>
                <w:b/>
                <w:bCs/>
                <w:color w:val="000000"/>
                <w:sz w:val="18"/>
                <w:szCs w:val="18"/>
                <w:lang w:eastAsia="sk-SK"/>
              </w:rPr>
              <w:t>37,2</w:t>
            </w:r>
          </w:p>
        </w:tc>
      </w:tr>
    </w:tbl>
    <w:p w14:paraId="7C7A7E39" w14:textId="163C01C9" w:rsidR="00F108F7" w:rsidRDefault="00C32417" w:rsidP="00C32417">
      <w:pPr>
        <w:ind w:left="6372" w:firstLine="708"/>
      </w:pPr>
      <w:r>
        <w:rPr>
          <w:rFonts w:eastAsia="Times New Roman" w:cs="Times New Roman"/>
          <w:color w:val="000000"/>
          <w:sz w:val="18"/>
          <w:szCs w:val="18"/>
          <w:lang w:eastAsia="sk-SK"/>
        </w:rPr>
        <w:t xml:space="preserve">     </w:t>
      </w:r>
      <w:r w:rsidR="0033680F">
        <w:rPr>
          <w:rFonts w:eastAsia="Times New Roman" w:cs="Times New Roman"/>
          <w:color w:val="000000"/>
          <w:sz w:val="18"/>
          <w:szCs w:val="18"/>
          <w:lang w:eastAsia="sk-SK"/>
        </w:rPr>
        <w:t xml:space="preserve"> </w:t>
      </w:r>
      <w:r w:rsidR="00DB674E">
        <w:rPr>
          <w:rFonts w:eastAsia="Times New Roman" w:cs="Times New Roman"/>
          <w:color w:val="000000"/>
          <w:sz w:val="18"/>
          <w:szCs w:val="18"/>
          <w:lang w:eastAsia="sk-SK"/>
        </w:rPr>
        <w:t xml:space="preserve">   </w:t>
      </w:r>
      <w:r w:rsidR="0033680F">
        <w:rPr>
          <w:rFonts w:eastAsia="Times New Roman" w:cs="Times New Roman"/>
          <w:color w:val="000000"/>
          <w:sz w:val="18"/>
          <w:szCs w:val="18"/>
          <w:lang w:eastAsia="sk-SK"/>
        </w:rPr>
        <w:t xml:space="preserve">              </w:t>
      </w:r>
      <w:r w:rsidR="00F108F7" w:rsidRPr="00330572">
        <w:rPr>
          <w:rFonts w:eastAsia="Times New Roman" w:cs="Times New Roman"/>
          <w:color w:val="000000"/>
          <w:sz w:val="18"/>
          <w:szCs w:val="18"/>
          <w:lang w:eastAsia="sk-SK"/>
        </w:rPr>
        <w:t>Zdroj: MF SR</w:t>
      </w:r>
    </w:p>
    <w:p w14:paraId="4FFC0DDD" w14:textId="77777777" w:rsidR="00D130FA" w:rsidRDefault="00867564" w:rsidP="001665F3">
      <w:pPr>
        <w:spacing w:line="240" w:lineRule="auto"/>
        <w:rPr>
          <w:rFonts w:cs="Times New Roman"/>
          <w:color w:val="FF0000"/>
          <w:sz w:val="24"/>
          <w:szCs w:val="24"/>
        </w:rPr>
      </w:pPr>
      <w:r w:rsidRPr="00D715AF">
        <w:rPr>
          <w:sz w:val="24"/>
          <w:szCs w:val="24"/>
        </w:rPr>
        <w:t xml:space="preserve">Najvyšší podiel tvorili </w:t>
      </w:r>
      <w:r w:rsidRPr="00D715AF">
        <w:rPr>
          <w:bCs/>
          <w:sz w:val="24"/>
          <w:szCs w:val="24"/>
        </w:rPr>
        <w:t xml:space="preserve">transfery </w:t>
      </w:r>
      <w:r w:rsidRPr="00EA4C6C">
        <w:rPr>
          <w:b/>
          <w:bCs/>
          <w:i/>
          <w:sz w:val="24"/>
          <w:szCs w:val="24"/>
        </w:rPr>
        <w:t>ostatnej právnickej osobe</w:t>
      </w:r>
      <w:r w:rsidRPr="00D715AF">
        <w:rPr>
          <w:sz w:val="24"/>
          <w:szCs w:val="24"/>
        </w:rPr>
        <w:t>,</w:t>
      </w:r>
      <w:r w:rsidRPr="00D715AF">
        <w:rPr>
          <w:color w:val="FF0000"/>
          <w:sz w:val="24"/>
          <w:szCs w:val="24"/>
        </w:rPr>
        <w:t xml:space="preserve"> </w:t>
      </w:r>
      <w:r w:rsidRPr="00D715AF">
        <w:rPr>
          <w:sz w:val="24"/>
          <w:szCs w:val="24"/>
        </w:rPr>
        <w:t xml:space="preserve">(867 591 tis. eur), ktoré boli v rozhodujúcej miere hradené rezortom Ministerstva pôdohospodárstva a rozvoja vidieka SR v sume </w:t>
      </w:r>
      <w:r w:rsidRPr="00D715AF">
        <w:rPr>
          <w:rFonts w:cs="Times New Roman"/>
          <w:sz w:val="24"/>
          <w:szCs w:val="24"/>
        </w:rPr>
        <w:t>526 545 tis. eur, a to</w:t>
      </w:r>
      <w:r w:rsidRPr="00D715AF">
        <w:rPr>
          <w:rFonts w:cs="Times New Roman"/>
          <w:color w:val="FF0000"/>
          <w:sz w:val="24"/>
          <w:szCs w:val="24"/>
        </w:rPr>
        <w:t xml:space="preserve"> </w:t>
      </w:r>
      <w:r w:rsidRPr="00D715AF">
        <w:rPr>
          <w:rFonts w:cs="Times New Roman"/>
          <w:sz w:val="24"/>
          <w:szCs w:val="24"/>
        </w:rPr>
        <w:t>priame platby z Európskeho poľnohospodárskeho a záručného fondu (364 873 tis. eur)</w:t>
      </w:r>
      <w:r w:rsidRPr="00D715AF">
        <w:rPr>
          <w:rFonts w:cs="Times New Roman"/>
          <w:color w:val="FF0000"/>
          <w:sz w:val="24"/>
          <w:szCs w:val="24"/>
        </w:rPr>
        <w:t xml:space="preserve"> </w:t>
      </w:r>
      <w:r w:rsidRPr="00D715AF">
        <w:rPr>
          <w:rFonts w:cs="Times New Roman"/>
          <w:sz w:val="24"/>
          <w:szCs w:val="24"/>
        </w:rPr>
        <w:t>na projektové podpory poskytnuté v rámci programu rozvoja vidieka SR 2014 - 2020 (119 567 tis. eur),</w:t>
      </w:r>
      <w:r w:rsidRPr="00D715AF">
        <w:rPr>
          <w:rFonts w:cs="Times New Roman"/>
          <w:color w:val="FF0000"/>
          <w:sz w:val="24"/>
          <w:szCs w:val="24"/>
        </w:rPr>
        <w:t xml:space="preserve"> </w:t>
      </w:r>
      <w:r w:rsidRPr="00D715AF">
        <w:rPr>
          <w:rFonts w:cs="Times New Roman"/>
          <w:bCs/>
          <w:sz w:val="24"/>
          <w:szCs w:val="24"/>
        </w:rPr>
        <w:t>ďalej na trhovo orientované výdavky v rámci Európskeho poľnohospodárskeho záručného fondu (11 334 tis. eur) a</w:t>
      </w:r>
      <w:r w:rsidRPr="00D715AF">
        <w:rPr>
          <w:rFonts w:cs="Times New Roman"/>
          <w:sz w:val="24"/>
          <w:szCs w:val="24"/>
        </w:rPr>
        <w:t xml:space="preserve"> nenávratné finančné prostriedky vyplatené </w:t>
      </w:r>
      <w:r w:rsidRPr="00D715AF">
        <w:rPr>
          <w:rFonts w:cs="Times New Roman"/>
          <w:bCs/>
          <w:sz w:val="24"/>
          <w:szCs w:val="24"/>
        </w:rPr>
        <w:t>z Európskeho fondu regionálneho rozvoja.</w:t>
      </w:r>
    </w:p>
    <w:p w14:paraId="47885FFB" w14:textId="54B9D954" w:rsidR="00867564" w:rsidRPr="00D715AF" w:rsidRDefault="00867564" w:rsidP="001665F3">
      <w:pPr>
        <w:spacing w:line="240" w:lineRule="auto"/>
        <w:rPr>
          <w:sz w:val="24"/>
          <w:szCs w:val="24"/>
        </w:rPr>
      </w:pPr>
      <w:r w:rsidRPr="00D715AF">
        <w:rPr>
          <w:rFonts w:cs="Times New Roman"/>
          <w:sz w:val="24"/>
          <w:szCs w:val="24"/>
        </w:rPr>
        <w:t xml:space="preserve">Skutočné čerpanie oproti rozpočtu bolo o 174 612 tis. eur nižšie, z dôvodu, že schválený rozpočet vychádza z očakávaných odhadov čerpania týchto prostriedkov v jednotlivých výzvach, a nie z už </w:t>
      </w:r>
      <w:proofErr w:type="spellStart"/>
      <w:r w:rsidRPr="00D715AF">
        <w:rPr>
          <w:rFonts w:cs="Times New Roman"/>
          <w:sz w:val="24"/>
          <w:szCs w:val="24"/>
        </w:rPr>
        <w:t>zazmluvnených</w:t>
      </w:r>
      <w:proofErr w:type="spellEnd"/>
      <w:r w:rsidRPr="00D715AF">
        <w:rPr>
          <w:rFonts w:cs="Times New Roman"/>
          <w:sz w:val="24"/>
          <w:szCs w:val="24"/>
        </w:rPr>
        <w:t xml:space="preserve"> prostriedkov</w:t>
      </w:r>
      <w:r w:rsidRPr="00D715AF">
        <w:rPr>
          <w:sz w:val="24"/>
          <w:szCs w:val="24"/>
        </w:rPr>
        <w:t xml:space="preserve">. Ďalšie významné čerpanie v rámci tejto podpoložky uskutočnilo Ministerstvo hospodárstva SR v sume 258 075 tis. eur. Z toho 161 885 tis. eur boli prostriedky pre spoločnosť OKTE, a. s., ktorá vykonávala činnosť </w:t>
      </w:r>
      <w:proofErr w:type="spellStart"/>
      <w:r w:rsidRPr="00D715AF">
        <w:rPr>
          <w:sz w:val="24"/>
          <w:szCs w:val="24"/>
        </w:rPr>
        <w:t>zúčtovateľa</w:t>
      </w:r>
      <w:proofErr w:type="spellEnd"/>
      <w:r w:rsidRPr="00D715AF">
        <w:rPr>
          <w:sz w:val="24"/>
          <w:szCs w:val="24"/>
        </w:rPr>
        <w:t xml:space="preserve"> podpory na</w:t>
      </w:r>
      <w:r w:rsidR="00BC3B84">
        <w:rPr>
          <w:sz w:val="24"/>
          <w:szCs w:val="24"/>
        </w:rPr>
        <w:t> </w:t>
      </w:r>
      <w:r w:rsidRPr="00D715AF">
        <w:rPr>
          <w:sz w:val="24"/>
          <w:szCs w:val="24"/>
        </w:rPr>
        <w:t>výrobu elektriny a tieto prostriedky previedla prevádzkovateľom regionálnych distribučných sústav. Ministerstvo hospodárstva SR malo povinnosť podľa uznesenia vlády SR č. 629/2019 do</w:t>
      </w:r>
      <w:r w:rsidR="00FC7EAC">
        <w:rPr>
          <w:sz w:val="24"/>
          <w:szCs w:val="24"/>
        </w:rPr>
        <w:t> </w:t>
      </w:r>
      <w:r w:rsidRPr="00D715AF">
        <w:rPr>
          <w:sz w:val="24"/>
          <w:szCs w:val="24"/>
        </w:rPr>
        <w:t xml:space="preserve">konca roka 2020 uhradiť platbu </w:t>
      </w:r>
      <w:r w:rsidR="003E3E82" w:rsidRPr="00D715AF">
        <w:rPr>
          <w:sz w:val="24"/>
          <w:szCs w:val="24"/>
        </w:rPr>
        <w:t xml:space="preserve">za rok 2018 pre spoločnosť OKTE, a.s. </w:t>
      </w:r>
      <w:r w:rsidRPr="00D715AF">
        <w:rPr>
          <w:sz w:val="24"/>
          <w:szCs w:val="24"/>
        </w:rPr>
        <w:t>na zabezpečenie riešenia sumy neuhradených nákladov na podporu výroby elektriny doplatkom podľa zákona č. 309/2009 Z. z. o podpore obnoviteľných zdrojov energie a vysoko účinnej kombinovanej výroby tepla a o zmene a doplnení niektorých zákonov v znení neskorších zákonov. Ďalšia suma v objeme 3</w:t>
      </w:r>
      <w:r w:rsidR="00BC3B84">
        <w:rPr>
          <w:sz w:val="24"/>
          <w:szCs w:val="24"/>
        </w:rPr>
        <w:t>5</w:t>
      </w:r>
      <w:r w:rsidRPr="00D715AF">
        <w:rPr>
          <w:sz w:val="24"/>
          <w:szCs w:val="24"/>
        </w:rPr>
        <w:t> 923 tis. eur bola určená na podporu podnikateľským subjektom, ako dotácia na</w:t>
      </w:r>
      <w:r w:rsidR="00FC7EAC">
        <w:rPr>
          <w:sz w:val="24"/>
          <w:szCs w:val="24"/>
        </w:rPr>
        <w:t> </w:t>
      </w:r>
      <w:r w:rsidRPr="00D715AF">
        <w:rPr>
          <w:sz w:val="24"/>
          <w:szCs w:val="24"/>
        </w:rPr>
        <w:t>nájomné na</w:t>
      </w:r>
      <w:r w:rsidR="00BC3B84">
        <w:rPr>
          <w:sz w:val="24"/>
          <w:szCs w:val="24"/>
        </w:rPr>
        <w:t> </w:t>
      </w:r>
      <w:r w:rsidRPr="00D715AF">
        <w:rPr>
          <w:sz w:val="24"/>
          <w:szCs w:val="24"/>
        </w:rPr>
        <w:t>základe uznesenia vlády SR č. 349/2020 k návrhu zákona, ktorým sa dopĺňa zákon č. 71/2013 Z. z. o poskytovaní dotácií v pôsobnosti Ministerstva hospodárstva SR v znení neskorších predpisov a doplnení zákona č. 62/2020 Z. z. o niektorých mimoriadnych opatreniach v súvislosti so šírením COVID-19.</w:t>
      </w:r>
    </w:p>
    <w:p w14:paraId="43468EC7" w14:textId="77777777" w:rsidR="00E71F7C" w:rsidRDefault="00867564" w:rsidP="001665F3">
      <w:pPr>
        <w:spacing w:line="240" w:lineRule="auto"/>
        <w:rPr>
          <w:sz w:val="24"/>
          <w:szCs w:val="24"/>
        </w:rPr>
      </w:pPr>
      <w:r w:rsidRPr="00D715AF">
        <w:rPr>
          <w:sz w:val="24"/>
          <w:szCs w:val="24"/>
        </w:rPr>
        <w:t>Na transferoch</w:t>
      </w:r>
      <w:r w:rsidRPr="00D715AF">
        <w:rPr>
          <w:b/>
          <w:sz w:val="24"/>
          <w:szCs w:val="24"/>
        </w:rPr>
        <w:t xml:space="preserve"> </w:t>
      </w:r>
      <w:r w:rsidRPr="00E71F7C">
        <w:rPr>
          <w:b/>
          <w:i/>
          <w:sz w:val="24"/>
          <w:szCs w:val="24"/>
        </w:rPr>
        <w:t>právnickej osobe založenej štátom</w:t>
      </w:r>
      <w:r w:rsidRPr="00D715AF">
        <w:rPr>
          <w:i/>
          <w:sz w:val="24"/>
          <w:szCs w:val="24"/>
        </w:rPr>
        <w:t xml:space="preserve"> </w:t>
      </w:r>
      <w:r w:rsidRPr="00D715AF">
        <w:rPr>
          <w:sz w:val="24"/>
          <w:szCs w:val="24"/>
        </w:rPr>
        <w:t>(187 588 tis. eur),</w:t>
      </w:r>
      <w:r w:rsidRPr="00D715AF">
        <w:rPr>
          <w:b/>
          <w:sz w:val="24"/>
          <w:szCs w:val="24"/>
        </w:rPr>
        <w:t xml:space="preserve"> </w:t>
      </w:r>
      <w:r w:rsidRPr="00D715AF">
        <w:rPr>
          <w:sz w:val="24"/>
          <w:szCs w:val="24"/>
        </w:rPr>
        <w:t>sa</w:t>
      </w:r>
      <w:r w:rsidRPr="00D715AF">
        <w:rPr>
          <w:b/>
          <w:sz w:val="24"/>
          <w:szCs w:val="24"/>
        </w:rPr>
        <w:t xml:space="preserve"> </w:t>
      </w:r>
      <w:r w:rsidRPr="00D715AF">
        <w:rPr>
          <w:sz w:val="24"/>
          <w:szCs w:val="24"/>
        </w:rPr>
        <w:t>v</w:t>
      </w:r>
      <w:r w:rsidRPr="00D715AF">
        <w:rPr>
          <w:b/>
          <w:sz w:val="24"/>
          <w:szCs w:val="24"/>
        </w:rPr>
        <w:t> </w:t>
      </w:r>
      <w:r w:rsidRPr="00D715AF">
        <w:rPr>
          <w:sz w:val="24"/>
          <w:szCs w:val="24"/>
        </w:rPr>
        <w:t>najvyššej miere podieľala kapitola Ministerstva hospodárstva SR</w:t>
      </w:r>
      <w:r w:rsidR="003F3165" w:rsidRPr="00D715AF">
        <w:rPr>
          <w:sz w:val="24"/>
          <w:szCs w:val="24"/>
        </w:rPr>
        <w:t xml:space="preserve"> </w:t>
      </w:r>
      <w:r w:rsidRPr="00D715AF">
        <w:rPr>
          <w:sz w:val="24"/>
          <w:szCs w:val="24"/>
        </w:rPr>
        <w:t>sumou 131 552 tis. eur, čo je oproti schválenému rozpočtu o 120 737 tis. eur viac. Finančné prostriedky boli vynaložené najmä na</w:t>
      </w:r>
      <w:r w:rsidR="006E6317" w:rsidRPr="00D715AF">
        <w:rPr>
          <w:sz w:val="24"/>
          <w:szCs w:val="24"/>
        </w:rPr>
        <w:t> </w:t>
      </w:r>
      <w:r w:rsidRPr="00D715AF">
        <w:rPr>
          <w:sz w:val="24"/>
          <w:szCs w:val="24"/>
        </w:rPr>
        <w:t xml:space="preserve">financovanie programu Posilnenie konkurencieschopnosti a rastu </w:t>
      </w:r>
      <w:r w:rsidRPr="00D715AF">
        <w:rPr>
          <w:rFonts w:cs="Times New Roman"/>
          <w:sz w:val="24"/>
          <w:szCs w:val="24"/>
        </w:rPr>
        <w:t>malého a stredného podnikania</w:t>
      </w:r>
      <w:r w:rsidRPr="00D715AF">
        <w:rPr>
          <w:rFonts w:ascii="Arial" w:hAnsi="Arial" w:cs="Arial"/>
          <w:color w:val="5F5F5F"/>
          <w:sz w:val="24"/>
          <w:szCs w:val="24"/>
          <w:shd w:val="clear" w:color="auto" w:fill="F8F8F8"/>
        </w:rPr>
        <w:t xml:space="preserve"> </w:t>
      </w:r>
      <w:r w:rsidRPr="00D715AF">
        <w:rPr>
          <w:sz w:val="24"/>
          <w:szCs w:val="24"/>
        </w:rPr>
        <w:t xml:space="preserve">(79 885 tis. eur) – prioritná os 11, </w:t>
      </w:r>
      <w:r w:rsidRPr="00D715AF">
        <w:rPr>
          <w:rFonts w:cs="Times New Roman"/>
          <w:sz w:val="24"/>
          <w:szCs w:val="24"/>
        </w:rPr>
        <w:t>zameraná na zvýšenie miery participácie znevýhodnených sociálnych skupín (ako napr. ženy, mladí do 30 rokov, seniori nad 50 rokov, dlhodobo nezamestnaní, štátni príslušníci z tretích krajín, sociálne znevýhodnení a osoby so zdravotným postihnutím) na podnikaní.</w:t>
      </w:r>
    </w:p>
    <w:p w14:paraId="55D6FE71" w14:textId="04E04C2D" w:rsidR="00867564" w:rsidRPr="00D715AF" w:rsidRDefault="00867564" w:rsidP="001665F3">
      <w:pPr>
        <w:spacing w:line="240" w:lineRule="auto"/>
        <w:rPr>
          <w:sz w:val="24"/>
          <w:szCs w:val="24"/>
        </w:rPr>
      </w:pPr>
      <w:r w:rsidRPr="00D715AF">
        <w:rPr>
          <w:sz w:val="24"/>
          <w:szCs w:val="24"/>
        </w:rPr>
        <w:t xml:space="preserve">Taktiež bol financovaný program </w:t>
      </w:r>
      <w:r w:rsidRPr="00D715AF">
        <w:rPr>
          <w:rFonts w:cs="Times New Roman"/>
          <w:sz w:val="24"/>
          <w:szCs w:val="24"/>
        </w:rPr>
        <w:t xml:space="preserve">Rozvoj konkurencieschopných malých a stredných podnikateľov v Bratislavskom kraji (29 365 tis. eur) – prioritná os 12, s cieľom zabezpečiť dlhodobý rast konkurencieschopnosti malých a stredných podnikateľov. Na tejto podpoložke sa tiež významne podieľalo </w:t>
      </w:r>
      <w:r w:rsidRPr="00D715AF">
        <w:rPr>
          <w:sz w:val="24"/>
          <w:szCs w:val="24"/>
        </w:rPr>
        <w:t xml:space="preserve">Ministerstvo životného prostredia SR sumou 34 904 tis. eur, </w:t>
      </w:r>
      <w:r w:rsidRPr="00D715AF">
        <w:rPr>
          <w:rFonts w:cs="Times New Roman"/>
          <w:sz w:val="24"/>
          <w:szCs w:val="24"/>
        </w:rPr>
        <w:t>čo je oproti schválenému rozpočtu o 26 904 tis. eur viac.</w:t>
      </w:r>
      <w:r w:rsidRPr="00D715AF">
        <w:rPr>
          <w:rFonts w:cs="Times New Roman"/>
          <w:color w:val="FF0000"/>
          <w:sz w:val="24"/>
          <w:szCs w:val="24"/>
        </w:rPr>
        <w:t xml:space="preserve"> </w:t>
      </w:r>
      <w:r w:rsidRPr="00D715AF">
        <w:rPr>
          <w:rFonts w:cs="Times New Roman"/>
          <w:sz w:val="24"/>
          <w:szCs w:val="24"/>
        </w:rPr>
        <w:t>Z toho 34 230 tis. eur bolo určených Slovenskému vodohospodárskemu podniku, š. p. na neregulované platby a povodňové zabezpečovacie práce.</w:t>
      </w:r>
      <w:r w:rsidRPr="00D715AF">
        <w:rPr>
          <w:rFonts w:cs="Times New Roman"/>
          <w:color w:val="FF0000"/>
          <w:sz w:val="24"/>
          <w:szCs w:val="24"/>
        </w:rPr>
        <w:t xml:space="preserve"> </w:t>
      </w:r>
      <w:r w:rsidRPr="00D715AF">
        <w:rPr>
          <w:rFonts w:cs="Times New Roman"/>
          <w:sz w:val="24"/>
          <w:szCs w:val="24"/>
        </w:rPr>
        <w:t>Navýšenie skutočne čerpaných výdavkov bolo spôsobené presunmi prostriedkov na ťarchu iných výdavkových titulov</w:t>
      </w:r>
      <w:r w:rsidRPr="00D715AF">
        <w:rPr>
          <w:rFonts w:cs="Times New Roman"/>
          <w:color w:val="FF0000"/>
          <w:sz w:val="24"/>
          <w:szCs w:val="24"/>
        </w:rPr>
        <w:t xml:space="preserve">. </w:t>
      </w:r>
    </w:p>
    <w:p w14:paraId="33EC2239" w14:textId="2DB92A54" w:rsidR="00867564" w:rsidRPr="00D715AF" w:rsidRDefault="00867564" w:rsidP="001665F3">
      <w:pPr>
        <w:spacing w:line="240" w:lineRule="auto"/>
        <w:rPr>
          <w:color w:val="FF0000"/>
          <w:sz w:val="24"/>
          <w:szCs w:val="24"/>
        </w:rPr>
      </w:pPr>
      <w:r w:rsidRPr="00D715AF">
        <w:rPr>
          <w:sz w:val="24"/>
          <w:szCs w:val="24"/>
        </w:rPr>
        <w:t xml:space="preserve">Transfery </w:t>
      </w:r>
      <w:r w:rsidRPr="00E71F7C">
        <w:rPr>
          <w:b/>
          <w:i/>
          <w:sz w:val="24"/>
          <w:szCs w:val="24"/>
        </w:rPr>
        <w:t>fyzickej osobe podnikateľovi</w:t>
      </w:r>
      <w:r w:rsidRPr="00D715AF">
        <w:rPr>
          <w:b/>
          <w:sz w:val="24"/>
          <w:szCs w:val="24"/>
        </w:rPr>
        <w:t xml:space="preserve"> </w:t>
      </w:r>
      <w:r w:rsidRPr="00D715AF">
        <w:rPr>
          <w:sz w:val="24"/>
          <w:szCs w:val="24"/>
        </w:rPr>
        <w:t>(107 949 tis. eur)</w:t>
      </w:r>
      <w:r w:rsidRPr="00D715AF">
        <w:rPr>
          <w:b/>
          <w:sz w:val="24"/>
          <w:szCs w:val="24"/>
        </w:rPr>
        <w:t xml:space="preserve"> </w:t>
      </w:r>
      <w:r w:rsidRPr="00D715AF">
        <w:rPr>
          <w:sz w:val="24"/>
          <w:szCs w:val="24"/>
        </w:rPr>
        <w:t xml:space="preserve">boli poskytnuté v rozhodujúcej miere Ministerstvom pôdohospodárstva a rozvoja vidieka SR v sume 104 603 tis. eur. </w:t>
      </w:r>
      <w:r w:rsidRPr="00D715AF">
        <w:rPr>
          <w:rFonts w:cs="Times New Roman"/>
          <w:sz w:val="24"/>
          <w:szCs w:val="24"/>
        </w:rPr>
        <w:t>Najväčší podiel na uvedenom objeme malo vyplatenie</w:t>
      </w:r>
      <w:r w:rsidRPr="00D715AF">
        <w:rPr>
          <w:rFonts w:cs="Times New Roman"/>
          <w:bCs/>
          <w:sz w:val="24"/>
          <w:szCs w:val="24"/>
        </w:rPr>
        <w:t xml:space="preserve"> prostriedkov EÚ a spolufinancovania zo štátneho rozpočtu, konkrétne priamych platieb z Európskeho poľnohospodárskeho záručného fondu (</w:t>
      </w:r>
      <w:r w:rsidRPr="00D715AF">
        <w:rPr>
          <w:bCs/>
          <w:sz w:val="24"/>
          <w:szCs w:val="24"/>
        </w:rPr>
        <w:t>81 449 tis. </w:t>
      </w:r>
      <w:r w:rsidRPr="00D715AF">
        <w:rPr>
          <w:rFonts w:cs="Times New Roman"/>
          <w:bCs/>
          <w:sz w:val="24"/>
          <w:szCs w:val="24"/>
        </w:rPr>
        <w:t>eur),</w:t>
      </w:r>
      <w:r w:rsidRPr="00D715AF">
        <w:rPr>
          <w:bCs/>
          <w:sz w:val="24"/>
          <w:szCs w:val="24"/>
        </w:rPr>
        <w:t xml:space="preserve"> </w:t>
      </w:r>
      <w:r w:rsidRPr="00D715AF">
        <w:rPr>
          <w:rFonts w:cs="Times New Roman"/>
          <w:bCs/>
          <w:sz w:val="24"/>
          <w:szCs w:val="24"/>
        </w:rPr>
        <w:t xml:space="preserve">dotácií </w:t>
      </w:r>
      <w:r w:rsidRPr="00D715AF">
        <w:rPr>
          <w:rFonts w:cs="Times New Roman"/>
          <w:sz w:val="24"/>
          <w:szCs w:val="24"/>
        </w:rPr>
        <w:t xml:space="preserve">z </w:t>
      </w:r>
      <w:r w:rsidRPr="00D715AF">
        <w:rPr>
          <w:rFonts w:cs="Times New Roman"/>
          <w:bCs/>
          <w:sz w:val="24"/>
          <w:szCs w:val="24"/>
        </w:rPr>
        <w:t>Európskeho poľnohospodárskeho fondu pre rozvoj vidieka (</w:t>
      </w:r>
      <w:r w:rsidRPr="00D715AF">
        <w:rPr>
          <w:bCs/>
          <w:sz w:val="24"/>
          <w:szCs w:val="24"/>
        </w:rPr>
        <w:t xml:space="preserve">19 772 tis. eur), </w:t>
      </w:r>
      <w:r w:rsidRPr="00D715AF">
        <w:rPr>
          <w:rFonts w:cs="Times New Roman"/>
          <w:bCs/>
          <w:sz w:val="24"/>
          <w:szCs w:val="24"/>
        </w:rPr>
        <w:t xml:space="preserve">najmä na úhrady </w:t>
      </w:r>
      <w:proofErr w:type="spellStart"/>
      <w:r w:rsidRPr="00D715AF">
        <w:rPr>
          <w:rFonts w:cs="Times New Roman"/>
          <w:bCs/>
          <w:sz w:val="24"/>
          <w:szCs w:val="24"/>
        </w:rPr>
        <w:t>agroenvironmentálnych</w:t>
      </w:r>
      <w:proofErr w:type="spellEnd"/>
      <w:r w:rsidRPr="00D715AF">
        <w:rPr>
          <w:rFonts w:cs="Times New Roman"/>
          <w:bCs/>
          <w:sz w:val="24"/>
          <w:szCs w:val="24"/>
        </w:rPr>
        <w:t xml:space="preserve"> záväzkov súvisiacich s klímou, platieb na udržiavanie postupov a metód ekologického poľnohospodárstva, na poskytnutie pomoci na</w:t>
      </w:r>
      <w:r w:rsidR="006E6317" w:rsidRPr="00D715AF">
        <w:rPr>
          <w:rFonts w:cs="Times New Roman"/>
          <w:bCs/>
          <w:sz w:val="24"/>
          <w:szCs w:val="24"/>
        </w:rPr>
        <w:t> </w:t>
      </w:r>
      <w:r w:rsidRPr="00D715AF">
        <w:rPr>
          <w:rFonts w:cs="Times New Roman"/>
          <w:bCs/>
          <w:sz w:val="24"/>
          <w:szCs w:val="24"/>
        </w:rPr>
        <w:t xml:space="preserve">začatie podnikateľskej činnosti pre mladých poľnohospodárov, na kompenzačné platby v horských oblastiach a </w:t>
      </w:r>
      <w:r w:rsidRPr="00D715AF">
        <w:rPr>
          <w:sz w:val="24"/>
          <w:szCs w:val="24"/>
        </w:rPr>
        <w:t>na platby iných projektov.</w:t>
      </w:r>
      <w:r w:rsidRPr="00D715AF">
        <w:rPr>
          <w:color w:val="FF0000"/>
          <w:sz w:val="24"/>
          <w:szCs w:val="24"/>
        </w:rPr>
        <w:t xml:space="preserve"> </w:t>
      </w:r>
    </w:p>
    <w:p w14:paraId="04E9B123" w14:textId="367D6F8F" w:rsidR="00867564" w:rsidRPr="00D715AF" w:rsidRDefault="00867564" w:rsidP="001665F3">
      <w:pPr>
        <w:spacing w:line="240" w:lineRule="auto"/>
        <w:rPr>
          <w:color w:val="FF0000"/>
          <w:sz w:val="24"/>
          <w:szCs w:val="24"/>
        </w:rPr>
      </w:pPr>
      <w:r w:rsidRPr="00D715AF">
        <w:rPr>
          <w:sz w:val="24"/>
          <w:szCs w:val="24"/>
        </w:rPr>
        <w:t xml:space="preserve">Vo výdavkovej položke </w:t>
      </w:r>
      <w:r w:rsidRPr="00E71F7C">
        <w:rPr>
          <w:b/>
          <w:sz w:val="24"/>
          <w:szCs w:val="24"/>
        </w:rPr>
        <w:t>transfery do zahraničia</w:t>
      </w:r>
      <w:r w:rsidRPr="00D715AF">
        <w:rPr>
          <w:b/>
          <w:sz w:val="24"/>
          <w:szCs w:val="24"/>
        </w:rPr>
        <w:t xml:space="preserve"> </w:t>
      </w:r>
      <w:r w:rsidRPr="00D715AF">
        <w:rPr>
          <w:sz w:val="24"/>
          <w:szCs w:val="24"/>
        </w:rPr>
        <w:t xml:space="preserve">sa zahŕňajú najmä </w:t>
      </w:r>
      <w:r w:rsidRPr="00D715AF">
        <w:rPr>
          <w:i/>
          <w:sz w:val="24"/>
          <w:szCs w:val="24"/>
          <w:u w:val="single"/>
        </w:rPr>
        <w:t>odvody Slovenskej republiky do rozpočtu Európskej únie</w:t>
      </w:r>
      <w:r w:rsidRPr="00D715AF">
        <w:rPr>
          <w:sz w:val="24"/>
          <w:szCs w:val="24"/>
        </w:rPr>
        <w:t xml:space="preserve"> na financovanie </w:t>
      </w:r>
      <w:r w:rsidR="00550176" w:rsidRPr="00D715AF">
        <w:rPr>
          <w:sz w:val="24"/>
          <w:szCs w:val="24"/>
        </w:rPr>
        <w:t>spoločných</w:t>
      </w:r>
      <w:r w:rsidRPr="00D715AF">
        <w:rPr>
          <w:sz w:val="24"/>
          <w:szCs w:val="24"/>
        </w:rPr>
        <w:t xml:space="preserve"> programov a politík EÚ. Skutočné čerpanie týchto výdavkov na úrovni 877 392 tis. eur je nižšie oproti rozpočtu</w:t>
      </w:r>
      <w:r w:rsidRPr="00D715AF">
        <w:rPr>
          <w:color w:val="FF0000"/>
          <w:sz w:val="24"/>
          <w:szCs w:val="24"/>
        </w:rPr>
        <w:t xml:space="preserve"> </w:t>
      </w:r>
      <w:r w:rsidRPr="00D715AF">
        <w:rPr>
          <w:sz w:val="24"/>
          <w:szCs w:val="24"/>
        </w:rPr>
        <w:t>o 36 249 tis. eur.</w:t>
      </w:r>
      <w:r w:rsidRPr="00D715AF">
        <w:rPr>
          <w:color w:val="FF0000"/>
          <w:sz w:val="24"/>
          <w:szCs w:val="24"/>
        </w:rPr>
        <w:t xml:space="preserve"> </w:t>
      </w:r>
    </w:p>
    <w:p w14:paraId="42EC3A7F" w14:textId="77777777" w:rsidR="00E1218F" w:rsidRDefault="00867564" w:rsidP="001665F3">
      <w:pPr>
        <w:spacing w:line="240" w:lineRule="auto"/>
        <w:rPr>
          <w:sz w:val="24"/>
          <w:szCs w:val="24"/>
        </w:rPr>
      </w:pPr>
      <w:r w:rsidRPr="00D715AF">
        <w:rPr>
          <w:i/>
          <w:sz w:val="24"/>
          <w:szCs w:val="24"/>
          <w:u w:val="single"/>
        </w:rPr>
        <w:t>Medzinárodným organizáciám</w:t>
      </w:r>
      <w:r w:rsidRPr="00D715AF">
        <w:rPr>
          <w:sz w:val="24"/>
          <w:szCs w:val="24"/>
        </w:rPr>
        <w:t xml:space="preserve"> sa poukázalo</w:t>
      </w:r>
      <w:r w:rsidRPr="00D715AF">
        <w:rPr>
          <w:color w:val="FF0000"/>
          <w:sz w:val="24"/>
          <w:szCs w:val="24"/>
        </w:rPr>
        <w:t xml:space="preserve"> </w:t>
      </w:r>
      <w:r w:rsidRPr="00D715AF">
        <w:rPr>
          <w:sz w:val="24"/>
          <w:szCs w:val="24"/>
        </w:rPr>
        <w:t>86 446 tis. eur, na čom sa podieľalo najmä Ministerstvo zahraničných vecí a európskych záležitostí SR sumou</w:t>
      </w:r>
      <w:r w:rsidRPr="00D715AF">
        <w:rPr>
          <w:color w:val="FF0000"/>
          <w:sz w:val="24"/>
          <w:szCs w:val="24"/>
        </w:rPr>
        <w:t xml:space="preserve"> </w:t>
      </w:r>
      <w:r w:rsidRPr="00D715AF">
        <w:rPr>
          <w:sz w:val="24"/>
          <w:szCs w:val="24"/>
        </w:rPr>
        <w:t>21 729 tis. eur, ktoré</w:t>
      </w:r>
      <w:r w:rsidRPr="00D715AF">
        <w:rPr>
          <w:color w:val="FF0000"/>
          <w:sz w:val="24"/>
          <w:szCs w:val="24"/>
        </w:rPr>
        <w:t xml:space="preserve"> </w:t>
      </w:r>
      <w:r w:rsidRPr="00D715AF">
        <w:rPr>
          <w:sz w:val="24"/>
          <w:szCs w:val="24"/>
        </w:rPr>
        <w:t>realizovalo najmä úhrady</w:t>
      </w:r>
      <w:r w:rsidRPr="00D715AF">
        <w:rPr>
          <w:color w:val="FF0000"/>
          <w:sz w:val="24"/>
          <w:szCs w:val="24"/>
        </w:rPr>
        <w:t xml:space="preserve"> </w:t>
      </w:r>
      <w:r w:rsidRPr="00D715AF">
        <w:rPr>
          <w:sz w:val="24"/>
          <w:szCs w:val="24"/>
        </w:rPr>
        <w:t xml:space="preserve">členských príspevkov do medzinárodných organizácií, ako napríklad Mierové </w:t>
      </w:r>
      <w:r w:rsidR="00E1218F">
        <w:rPr>
          <w:sz w:val="24"/>
          <w:szCs w:val="24"/>
        </w:rPr>
        <w:t>operácie OSN, OECD, NATO a iné.</w:t>
      </w:r>
    </w:p>
    <w:p w14:paraId="143D49AF" w14:textId="7B8CFCD0" w:rsidR="00867564" w:rsidRPr="00D715AF" w:rsidRDefault="00867564" w:rsidP="001665F3">
      <w:pPr>
        <w:spacing w:line="240" w:lineRule="auto"/>
        <w:rPr>
          <w:sz w:val="24"/>
          <w:szCs w:val="24"/>
        </w:rPr>
      </w:pPr>
      <w:r w:rsidRPr="00D715AF">
        <w:rPr>
          <w:sz w:val="24"/>
          <w:szCs w:val="24"/>
        </w:rPr>
        <w:t>Významná suma týchto transferov bola realizovaná Všeobecnou pokladničnou správou vo výške 20 123 tis. eur, Ministerstvom obrany SR v sume 15 521 tis. eur na úhradu príspevkov do NATO a EÚ, kapitolou Ministerstva školstva, vedy, výskumu a športu SR v objeme 13 718 tis. eur, ktorá realizovala úhrady pravidelných príspevkov na členstvo v medzinárodných organizáciách, ako napr</w:t>
      </w:r>
      <w:r w:rsidRPr="00D715AF">
        <w:rPr>
          <w:rFonts w:cs="Times New Roman"/>
          <w:sz w:val="24"/>
          <w:szCs w:val="24"/>
        </w:rPr>
        <w:t xml:space="preserve">. CERN, </w:t>
      </w:r>
      <w:proofErr w:type="spellStart"/>
      <w:r w:rsidRPr="00D715AF">
        <w:rPr>
          <w:rFonts w:cs="Times New Roman"/>
          <w:sz w:val="24"/>
          <w:szCs w:val="24"/>
        </w:rPr>
        <w:t>European</w:t>
      </w:r>
      <w:proofErr w:type="spellEnd"/>
      <w:r w:rsidRPr="00D715AF">
        <w:rPr>
          <w:rFonts w:cs="Times New Roman"/>
          <w:sz w:val="24"/>
          <w:szCs w:val="24"/>
        </w:rPr>
        <w:t xml:space="preserve"> </w:t>
      </w:r>
      <w:proofErr w:type="spellStart"/>
      <w:r w:rsidRPr="00D715AF">
        <w:rPr>
          <w:rFonts w:cs="Times New Roman"/>
          <w:sz w:val="24"/>
          <w:szCs w:val="24"/>
        </w:rPr>
        <w:t>Molecular</w:t>
      </w:r>
      <w:proofErr w:type="spellEnd"/>
      <w:r w:rsidRPr="00D715AF">
        <w:rPr>
          <w:rFonts w:cs="Times New Roman"/>
          <w:sz w:val="24"/>
          <w:szCs w:val="24"/>
        </w:rPr>
        <w:t xml:space="preserve"> </w:t>
      </w:r>
      <w:proofErr w:type="spellStart"/>
      <w:r w:rsidRPr="00D715AF">
        <w:rPr>
          <w:rFonts w:cs="Times New Roman"/>
          <w:sz w:val="24"/>
          <w:szCs w:val="24"/>
        </w:rPr>
        <w:t>Biology</w:t>
      </w:r>
      <w:proofErr w:type="spellEnd"/>
      <w:r w:rsidRPr="00D715AF">
        <w:rPr>
          <w:rFonts w:cs="Times New Roman"/>
          <w:sz w:val="24"/>
          <w:szCs w:val="24"/>
        </w:rPr>
        <w:t xml:space="preserve"> </w:t>
      </w:r>
      <w:proofErr w:type="spellStart"/>
      <w:r w:rsidRPr="00D715AF">
        <w:rPr>
          <w:rFonts w:cs="Times New Roman"/>
          <w:sz w:val="24"/>
          <w:szCs w:val="24"/>
        </w:rPr>
        <w:t>Laboratory</w:t>
      </w:r>
      <w:proofErr w:type="spellEnd"/>
      <w:r w:rsidRPr="00D715AF">
        <w:rPr>
          <w:rFonts w:cs="Times New Roman"/>
          <w:sz w:val="24"/>
          <w:szCs w:val="24"/>
        </w:rPr>
        <w:t xml:space="preserve"> (EMBL), </w:t>
      </w:r>
      <w:proofErr w:type="spellStart"/>
      <w:r w:rsidRPr="00D715AF">
        <w:rPr>
          <w:rFonts w:cs="Times New Roman"/>
          <w:sz w:val="24"/>
          <w:szCs w:val="24"/>
        </w:rPr>
        <w:t>Joint</w:t>
      </w:r>
      <w:proofErr w:type="spellEnd"/>
      <w:r w:rsidRPr="00D715AF">
        <w:rPr>
          <w:rFonts w:cs="Times New Roman"/>
          <w:sz w:val="24"/>
          <w:szCs w:val="24"/>
        </w:rPr>
        <w:t xml:space="preserve"> Institute </w:t>
      </w:r>
      <w:proofErr w:type="spellStart"/>
      <w:r w:rsidRPr="00D715AF">
        <w:rPr>
          <w:rFonts w:cs="Times New Roman"/>
          <w:sz w:val="24"/>
          <w:szCs w:val="24"/>
        </w:rPr>
        <w:t>for</w:t>
      </w:r>
      <w:proofErr w:type="spellEnd"/>
      <w:r w:rsidRPr="00D715AF">
        <w:rPr>
          <w:rFonts w:cs="Times New Roman"/>
          <w:sz w:val="24"/>
          <w:szCs w:val="24"/>
        </w:rPr>
        <w:t xml:space="preserve"> </w:t>
      </w:r>
      <w:proofErr w:type="spellStart"/>
      <w:r w:rsidRPr="00D715AF">
        <w:rPr>
          <w:rFonts w:cs="Times New Roman"/>
          <w:sz w:val="24"/>
          <w:szCs w:val="24"/>
        </w:rPr>
        <w:t>Nuclear</w:t>
      </w:r>
      <w:proofErr w:type="spellEnd"/>
      <w:r w:rsidRPr="00D715AF">
        <w:rPr>
          <w:rFonts w:cs="Times New Roman"/>
          <w:sz w:val="24"/>
          <w:szCs w:val="24"/>
        </w:rPr>
        <w:t xml:space="preserve"> </w:t>
      </w:r>
      <w:proofErr w:type="spellStart"/>
      <w:r w:rsidRPr="00D715AF">
        <w:rPr>
          <w:rFonts w:cs="Times New Roman"/>
          <w:sz w:val="24"/>
          <w:szCs w:val="24"/>
        </w:rPr>
        <w:t>Research</w:t>
      </w:r>
      <w:proofErr w:type="spellEnd"/>
      <w:r w:rsidRPr="00D715AF">
        <w:rPr>
          <w:rFonts w:cs="Times New Roman"/>
          <w:sz w:val="24"/>
          <w:szCs w:val="24"/>
        </w:rPr>
        <w:t xml:space="preserve"> Dubna, EUROPEAN SPACE AGENCY (ESA)</w:t>
      </w:r>
      <w:r w:rsidRPr="00D715AF">
        <w:rPr>
          <w:sz w:val="24"/>
          <w:szCs w:val="24"/>
        </w:rPr>
        <w:t xml:space="preserve"> a platby iným medzinárodným inštitúciám.</w:t>
      </w:r>
    </w:p>
    <w:p w14:paraId="0E407A5F" w14:textId="27FABA26" w:rsidR="00867564" w:rsidRPr="00B66EF5" w:rsidRDefault="00867564" w:rsidP="001665F3">
      <w:pPr>
        <w:spacing w:line="240" w:lineRule="auto"/>
        <w:rPr>
          <w:rFonts w:cs="Times New Roman"/>
        </w:rPr>
      </w:pPr>
      <w:r w:rsidRPr="00D715AF">
        <w:rPr>
          <w:rFonts w:cs="Times New Roman"/>
          <w:b/>
          <w:bCs/>
          <w:sz w:val="24"/>
          <w:szCs w:val="24"/>
        </w:rPr>
        <w:t>Transfery do tuzemských finančných inštitúcií</w:t>
      </w:r>
      <w:r w:rsidRPr="00D715AF">
        <w:rPr>
          <w:rFonts w:cs="Times New Roman"/>
          <w:sz w:val="24"/>
          <w:szCs w:val="24"/>
        </w:rPr>
        <w:t xml:space="preserve"> boli poskytnuté v celkovej sume 1 629 tis. eur. V najväčšej miere sa na tejto sume podieľalo Ministerstvo financií SR, ktoré poskytlo transfery </w:t>
      </w:r>
      <w:r w:rsidRPr="00D715AF">
        <w:rPr>
          <w:rFonts w:eastAsia="Times New Roman" w:cs="Times New Roman"/>
          <w:i/>
          <w:sz w:val="24"/>
          <w:szCs w:val="24"/>
          <w:u w:val="single"/>
        </w:rPr>
        <w:t>na úhradu výdavkov na činnosť Kancelárie Rady pre rozpočtovú zodpovednosť</w:t>
      </w:r>
      <w:r w:rsidRPr="00D715AF">
        <w:rPr>
          <w:rFonts w:eastAsia="Times New Roman" w:cs="Times New Roman"/>
          <w:sz w:val="24"/>
          <w:szCs w:val="24"/>
        </w:rPr>
        <w:t xml:space="preserve"> v objeme 1 275 tis. eur.</w:t>
      </w:r>
    </w:p>
    <w:p w14:paraId="1396C814" w14:textId="10F59538" w:rsidR="0051484D" w:rsidRPr="00E1218F" w:rsidRDefault="0051484D" w:rsidP="00F63BD6">
      <w:pPr>
        <w:pStyle w:val="Nadpis4"/>
        <w:spacing w:before="0"/>
        <w:rPr>
          <w:sz w:val="24"/>
          <w:szCs w:val="24"/>
        </w:rPr>
      </w:pPr>
      <w:bookmarkStart w:id="49" w:name="_Toc70026099"/>
      <w:r w:rsidRPr="00E1218F">
        <w:rPr>
          <w:sz w:val="24"/>
          <w:szCs w:val="24"/>
        </w:rPr>
        <w:t>Kapitálové výdavky</w:t>
      </w:r>
      <w:bookmarkEnd w:id="49"/>
    </w:p>
    <w:p w14:paraId="2AAD53C7" w14:textId="77777777" w:rsidR="00E1218F" w:rsidRDefault="0078085C" w:rsidP="001665F3">
      <w:pPr>
        <w:spacing w:line="240" w:lineRule="auto"/>
        <w:rPr>
          <w:sz w:val="24"/>
          <w:szCs w:val="24"/>
        </w:rPr>
      </w:pPr>
      <w:r w:rsidRPr="00D715AF">
        <w:rPr>
          <w:sz w:val="24"/>
          <w:szCs w:val="24"/>
        </w:rPr>
        <w:t>Kapitálové výdavky tvoria výdavky na obstaranie hmotného a nehmotného majetku, vrátane výdavkov súvisiacich s obstaraním tohto majetku (napr. montážne práce, dopravné) a kapitálové transfery, teda platby vykonané s cieľom umožniť príjemcovi nadobudnúť kapitálové aktíva alebo kompenzovať</w:t>
      </w:r>
      <w:r w:rsidR="00E1218F">
        <w:rPr>
          <w:sz w:val="24"/>
          <w:szCs w:val="24"/>
        </w:rPr>
        <w:t xml:space="preserve"> ich poškodenie alebo zničenie.</w:t>
      </w:r>
    </w:p>
    <w:p w14:paraId="2FE09D21" w14:textId="5673C5DE" w:rsidR="0078085C" w:rsidRPr="00D715AF" w:rsidRDefault="0078085C" w:rsidP="001665F3">
      <w:pPr>
        <w:spacing w:line="240" w:lineRule="auto"/>
        <w:rPr>
          <w:sz w:val="24"/>
          <w:szCs w:val="24"/>
        </w:rPr>
      </w:pPr>
      <w:r w:rsidRPr="00D715AF">
        <w:rPr>
          <w:sz w:val="24"/>
          <w:szCs w:val="24"/>
        </w:rPr>
        <w:t xml:space="preserve">Rozpočet kapitálových výdavkov na rok 2020 predstavoval sumu 1 628 138 tis. eur, ktorá sa rozpočtovými opatreniami zvýšila na 2 686 362 tis. eur. V skutočnosti sa čerpalo 2 662 446 tis. eur (2019: 2 858 949 tis. eur). Podstatné zmeny v upravenom rozpočte vznikli v dôsledku realizácie § 8 zákona o rozpočtových pravidlách. V zmysle uvedeného paragrafu môže Ministerstvo financií SR na konci bežného rozpočtového roka viazať výdavky (znížiť upravený rozpočet) o nevyčerpané prostriedky, ktoré budú v nasledujúcom rozpočtovom roku použité a týmto spôsobom navýšia upravený rozpočet nasledujúceho rozpočtového roka. O sumu viazaných prostriedkov Ministerstvo financií SR môže povoliť prekročenie limitu výdavkov v nasledujúcom rozpočtovom roku. </w:t>
      </w:r>
    </w:p>
    <w:p w14:paraId="56F8C098" w14:textId="77777777" w:rsidR="0078085C" w:rsidRPr="00D715AF" w:rsidRDefault="0078085C" w:rsidP="001665F3">
      <w:pPr>
        <w:spacing w:line="240" w:lineRule="auto"/>
        <w:rPr>
          <w:sz w:val="24"/>
          <w:szCs w:val="24"/>
        </w:rPr>
      </w:pPr>
      <w:r w:rsidRPr="00D715AF">
        <w:rPr>
          <w:sz w:val="24"/>
          <w:szCs w:val="24"/>
        </w:rPr>
        <w:t xml:space="preserve">V roku 2020 sa spolu použili kapitálové výdavky rozpočtované pred rokom 2020 v sume 427 741 tis. eur. V roku 2020 sa zaviazali kapitálové výdavky rozpočtované v rokoch 2018, 2019 a 2020 v sume 1 043 351 tis. eur. </w:t>
      </w:r>
      <w:r w:rsidRPr="00D715AF">
        <w:rPr>
          <w:rFonts w:cs="Times New Roman"/>
          <w:sz w:val="24"/>
          <w:szCs w:val="24"/>
        </w:rPr>
        <w:t>Kapitálové výdavky rozpočtované v roku 2018, ktoré neboli podľa zákona o rozpočtových pravidlách použité do konca roka 2020, možno v súlade s ustanovením § 33a ods. 1 zákona č. 67 z 2. apríla 2020 o niektorých mimoriadnych opatreniach vo finančnej oblasti v súvislosti so šírením nebezpečnej nákazlivej ľudskej choroby COVID-19 v znení neskorších predpisov použiť do 31. decembra 2021.</w:t>
      </w:r>
    </w:p>
    <w:p w14:paraId="20017D9C" w14:textId="77777777" w:rsidR="0078085C" w:rsidRPr="00D715AF" w:rsidRDefault="0078085C" w:rsidP="001665F3">
      <w:pPr>
        <w:spacing w:line="240" w:lineRule="auto"/>
        <w:rPr>
          <w:sz w:val="24"/>
          <w:szCs w:val="24"/>
        </w:rPr>
      </w:pPr>
      <w:r w:rsidRPr="00D715AF">
        <w:rPr>
          <w:sz w:val="24"/>
          <w:szCs w:val="24"/>
        </w:rPr>
        <w:t>Prehľad o kapitálových výdavkoch poskytuje nasledovná tabuľka:</w:t>
      </w:r>
    </w:p>
    <w:tbl>
      <w:tblPr>
        <w:tblW w:w="9081" w:type="dxa"/>
        <w:tblInd w:w="-10" w:type="dxa"/>
        <w:tblLayout w:type="fixed"/>
        <w:tblCellMar>
          <w:left w:w="70" w:type="dxa"/>
          <w:right w:w="70" w:type="dxa"/>
        </w:tblCellMar>
        <w:tblLook w:val="04A0" w:firstRow="1" w:lastRow="0" w:firstColumn="1" w:lastColumn="0" w:noHBand="0" w:noVBand="1"/>
      </w:tblPr>
      <w:tblGrid>
        <w:gridCol w:w="3427"/>
        <w:gridCol w:w="968"/>
        <w:gridCol w:w="960"/>
        <w:gridCol w:w="950"/>
        <w:gridCol w:w="1066"/>
        <w:gridCol w:w="992"/>
        <w:gridCol w:w="9"/>
        <w:gridCol w:w="700"/>
        <w:gridCol w:w="9"/>
      </w:tblGrid>
      <w:tr w:rsidR="0078085C" w:rsidRPr="00166B38" w14:paraId="4F8E6CFE" w14:textId="77777777" w:rsidTr="00166B38">
        <w:trPr>
          <w:trHeight w:val="300"/>
        </w:trPr>
        <w:tc>
          <w:tcPr>
            <w:tcW w:w="9081" w:type="dxa"/>
            <w:gridSpan w:val="9"/>
            <w:tcBorders>
              <w:top w:val="nil"/>
              <w:left w:val="single" w:sz="8" w:space="0" w:color="auto"/>
              <w:bottom w:val="nil"/>
              <w:right w:val="nil"/>
            </w:tcBorders>
            <w:shd w:val="clear" w:color="000000" w:fill="000000"/>
            <w:vAlign w:val="center"/>
            <w:hideMark/>
          </w:tcPr>
          <w:p w14:paraId="743C7CD8" w14:textId="241D2C4F" w:rsidR="0078085C" w:rsidRPr="00166B38" w:rsidRDefault="0078085C" w:rsidP="004B6995">
            <w:pPr>
              <w:spacing w:after="0" w:line="240" w:lineRule="auto"/>
              <w:rPr>
                <w:rFonts w:eastAsia="Times New Roman" w:cs="Times New Roman"/>
                <w:b/>
                <w:bCs/>
                <w:color w:val="FFFFFF"/>
                <w:sz w:val="18"/>
                <w:szCs w:val="18"/>
                <w:lang w:eastAsia="sk-SK"/>
              </w:rPr>
            </w:pPr>
            <w:r w:rsidRPr="00166B38">
              <w:rPr>
                <w:rFonts w:eastAsia="Times New Roman" w:cs="Times New Roman"/>
                <w:b/>
                <w:bCs/>
                <w:color w:val="FFFFFF"/>
                <w:sz w:val="18"/>
                <w:szCs w:val="18"/>
                <w:lang w:eastAsia="sk-SK"/>
              </w:rPr>
              <w:t xml:space="preserve">Kapitálové výdavky                                                                                                                    </w:t>
            </w:r>
            <w:r w:rsidR="00550176" w:rsidRPr="00166B38">
              <w:rPr>
                <w:rFonts w:eastAsia="Times New Roman" w:cs="Times New Roman"/>
                <w:b/>
                <w:bCs/>
                <w:color w:val="FFFFFF"/>
                <w:sz w:val="18"/>
                <w:szCs w:val="18"/>
                <w:lang w:eastAsia="sk-SK"/>
              </w:rPr>
              <w:t xml:space="preserve">                          </w:t>
            </w:r>
            <w:r w:rsidRPr="00166B38">
              <w:rPr>
                <w:rFonts w:eastAsia="Times New Roman" w:cs="Times New Roman"/>
                <w:b/>
                <w:bCs/>
                <w:color w:val="FFFFFF"/>
                <w:sz w:val="18"/>
                <w:szCs w:val="18"/>
                <w:lang w:eastAsia="sk-SK"/>
              </w:rPr>
              <w:t xml:space="preserve">      v tis. eur</w:t>
            </w:r>
          </w:p>
        </w:tc>
      </w:tr>
      <w:tr w:rsidR="0078085C" w:rsidRPr="00166B38" w14:paraId="1B12FDA6" w14:textId="77777777" w:rsidTr="00166B38">
        <w:trPr>
          <w:trHeight w:val="300"/>
        </w:trPr>
        <w:tc>
          <w:tcPr>
            <w:tcW w:w="3427" w:type="dxa"/>
            <w:tcBorders>
              <w:top w:val="nil"/>
              <w:left w:val="nil"/>
              <w:bottom w:val="nil"/>
              <w:right w:val="nil"/>
            </w:tcBorders>
            <w:shd w:val="clear" w:color="000000" w:fill="BFBFBF"/>
            <w:vAlign w:val="center"/>
            <w:hideMark/>
          </w:tcPr>
          <w:p w14:paraId="25F8364D" w14:textId="77777777" w:rsidR="0078085C" w:rsidRPr="00166B38" w:rsidRDefault="0078085C" w:rsidP="004B6995">
            <w:pPr>
              <w:spacing w:after="0" w:line="240" w:lineRule="auto"/>
              <w:jc w:val="center"/>
              <w:rPr>
                <w:rFonts w:ascii="Arial Narrow" w:eastAsia="Times New Roman" w:hAnsi="Arial Narrow" w:cs="Times New Roman"/>
                <w:b/>
                <w:bCs/>
                <w:color w:val="000000"/>
                <w:sz w:val="18"/>
                <w:szCs w:val="18"/>
                <w:lang w:eastAsia="sk-SK"/>
              </w:rPr>
            </w:pPr>
            <w:r w:rsidRPr="00166B38">
              <w:rPr>
                <w:rFonts w:ascii="Arial Narrow" w:eastAsia="Times New Roman" w:hAnsi="Arial Narrow" w:cs="Times New Roman"/>
                <w:b/>
                <w:bCs/>
                <w:color w:val="000000"/>
                <w:sz w:val="18"/>
                <w:szCs w:val="18"/>
                <w:lang w:eastAsia="sk-SK"/>
              </w:rPr>
              <w:t> </w:t>
            </w:r>
          </w:p>
        </w:tc>
        <w:tc>
          <w:tcPr>
            <w:tcW w:w="1928" w:type="dxa"/>
            <w:gridSpan w:val="2"/>
            <w:tcBorders>
              <w:top w:val="nil"/>
              <w:left w:val="nil"/>
              <w:bottom w:val="nil"/>
              <w:right w:val="nil"/>
            </w:tcBorders>
            <w:shd w:val="clear" w:color="000000" w:fill="BFBFBF"/>
            <w:vAlign w:val="center"/>
            <w:hideMark/>
          </w:tcPr>
          <w:p w14:paraId="3E47DC46" w14:textId="77777777" w:rsidR="0078085C" w:rsidRPr="00166B38" w:rsidRDefault="0078085C" w:rsidP="004B6995">
            <w:pPr>
              <w:spacing w:after="0" w:line="240" w:lineRule="auto"/>
              <w:jc w:val="center"/>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Skutočnosť</w:t>
            </w:r>
          </w:p>
        </w:tc>
        <w:tc>
          <w:tcPr>
            <w:tcW w:w="950" w:type="dxa"/>
            <w:tcBorders>
              <w:top w:val="nil"/>
              <w:left w:val="nil"/>
              <w:bottom w:val="nil"/>
              <w:right w:val="nil"/>
            </w:tcBorders>
            <w:shd w:val="clear" w:color="000000" w:fill="BFBFBF"/>
            <w:vAlign w:val="center"/>
            <w:hideMark/>
          </w:tcPr>
          <w:p w14:paraId="65DA3B06" w14:textId="77777777" w:rsidR="0078085C" w:rsidRPr="00166B38" w:rsidRDefault="0078085C" w:rsidP="004B6995">
            <w:pPr>
              <w:spacing w:after="0" w:line="240" w:lineRule="auto"/>
              <w:jc w:val="center"/>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Rozpočet</w:t>
            </w:r>
          </w:p>
        </w:tc>
        <w:tc>
          <w:tcPr>
            <w:tcW w:w="1066" w:type="dxa"/>
            <w:tcBorders>
              <w:top w:val="nil"/>
              <w:left w:val="nil"/>
              <w:bottom w:val="nil"/>
              <w:right w:val="nil"/>
            </w:tcBorders>
            <w:shd w:val="clear" w:color="000000" w:fill="BFBFBF"/>
            <w:vAlign w:val="center"/>
            <w:hideMark/>
          </w:tcPr>
          <w:p w14:paraId="00174DF8" w14:textId="77777777" w:rsidR="0078085C" w:rsidRPr="00166B38" w:rsidRDefault="0078085C" w:rsidP="004B6995">
            <w:pPr>
              <w:spacing w:after="0" w:line="240" w:lineRule="auto"/>
              <w:jc w:val="center"/>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Skutočnosť</w:t>
            </w:r>
          </w:p>
        </w:tc>
        <w:tc>
          <w:tcPr>
            <w:tcW w:w="1710" w:type="dxa"/>
            <w:gridSpan w:val="4"/>
            <w:tcBorders>
              <w:top w:val="nil"/>
              <w:left w:val="nil"/>
              <w:bottom w:val="nil"/>
              <w:right w:val="nil"/>
            </w:tcBorders>
            <w:shd w:val="clear" w:color="000000" w:fill="BFBFBF"/>
            <w:vAlign w:val="center"/>
            <w:hideMark/>
          </w:tcPr>
          <w:p w14:paraId="1916CF14" w14:textId="77777777" w:rsidR="0078085C" w:rsidRPr="00166B38" w:rsidRDefault="0078085C" w:rsidP="004B6995">
            <w:pPr>
              <w:spacing w:after="0" w:line="240" w:lineRule="auto"/>
              <w:jc w:val="center"/>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Rozdiel</w:t>
            </w:r>
          </w:p>
        </w:tc>
      </w:tr>
      <w:tr w:rsidR="0078085C" w:rsidRPr="00166B38" w14:paraId="132A920F" w14:textId="77777777" w:rsidTr="00166B38">
        <w:trPr>
          <w:trHeight w:val="300"/>
        </w:trPr>
        <w:tc>
          <w:tcPr>
            <w:tcW w:w="3427" w:type="dxa"/>
            <w:tcBorders>
              <w:top w:val="nil"/>
              <w:left w:val="nil"/>
              <w:bottom w:val="nil"/>
              <w:right w:val="nil"/>
            </w:tcBorders>
            <w:shd w:val="clear" w:color="000000" w:fill="BFBFBF"/>
            <w:vAlign w:val="center"/>
            <w:hideMark/>
          </w:tcPr>
          <w:p w14:paraId="42998019" w14:textId="77777777" w:rsidR="0078085C" w:rsidRPr="00166B38" w:rsidRDefault="0078085C" w:rsidP="004B6995">
            <w:pPr>
              <w:spacing w:after="0" w:line="240" w:lineRule="auto"/>
              <w:jc w:val="center"/>
              <w:rPr>
                <w:rFonts w:ascii="Arial Narrow" w:eastAsia="Times New Roman" w:hAnsi="Arial Narrow" w:cs="Times New Roman"/>
                <w:b/>
                <w:bCs/>
                <w:color w:val="000000"/>
                <w:sz w:val="18"/>
                <w:szCs w:val="18"/>
                <w:lang w:eastAsia="sk-SK"/>
              </w:rPr>
            </w:pPr>
            <w:r w:rsidRPr="00166B38">
              <w:rPr>
                <w:rFonts w:ascii="Arial Narrow" w:eastAsia="Times New Roman" w:hAnsi="Arial Narrow" w:cs="Times New Roman"/>
                <w:b/>
                <w:bCs/>
                <w:color w:val="000000"/>
                <w:sz w:val="18"/>
                <w:szCs w:val="18"/>
                <w:lang w:eastAsia="sk-SK"/>
              </w:rPr>
              <w:t> </w:t>
            </w:r>
          </w:p>
        </w:tc>
        <w:tc>
          <w:tcPr>
            <w:tcW w:w="968" w:type="dxa"/>
            <w:tcBorders>
              <w:top w:val="nil"/>
              <w:left w:val="nil"/>
              <w:bottom w:val="nil"/>
              <w:right w:val="nil"/>
            </w:tcBorders>
            <w:shd w:val="clear" w:color="000000" w:fill="BFBFBF"/>
            <w:vAlign w:val="center"/>
            <w:hideMark/>
          </w:tcPr>
          <w:p w14:paraId="15D40897" w14:textId="77777777" w:rsidR="0078085C" w:rsidRPr="00166B38" w:rsidRDefault="0078085C" w:rsidP="004B6995">
            <w:pPr>
              <w:spacing w:after="0" w:line="240" w:lineRule="auto"/>
              <w:jc w:val="center"/>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2018</w:t>
            </w:r>
          </w:p>
        </w:tc>
        <w:tc>
          <w:tcPr>
            <w:tcW w:w="960" w:type="dxa"/>
            <w:tcBorders>
              <w:top w:val="nil"/>
              <w:left w:val="nil"/>
              <w:bottom w:val="nil"/>
              <w:right w:val="nil"/>
            </w:tcBorders>
            <w:shd w:val="clear" w:color="000000" w:fill="BFBFBF"/>
            <w:vAlign w:val="center"/>
            <w:hideMark/>
          </w:tcPr>
          <w:p w14:paraId="025A439A" w14:textId="77777777" w:rsidR="0078085C" w:rsidRPr="00166B38" w:rsidRDefault="0078085C" w:rsidP="004B6995">
            <w:pPr>
              <w:spacing w:after="0" w:line="240" w:lineRule="auto"/>
              <w:jc w:val="center"/>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2019</w:t>
            </w:r>
          </w:p>
        </w:tc>
        <w:tc>
          <w:tcPr>
            <w:tcW w:w="950" w:type="dxa"/>
            <w:tcBorders>
              <w:top w:val="nil"/>
              <w:left w:val="nil"/>
              <w:bottom w:val="nil"/>
              <w:right w:val="nil"/>
            </w:tcBorders>
            <w:shd w:val="clear" w:color="000000" w:fill="BFBFBF"/>
            <w:vAlign w:val="center"/>
            <w:hideMark/>
          </w:tcPr>
          <w:p w14:paraId="5BE02E01" w14:textId="77777777" w:rsidR="0078085C" w:rsidRPr="00166B38" w:rsidRDefault="0078085C" w:rsidP="004B6995">
            <w:pPr>
              <w:spacing w:after="0" w:line="240" w:lineRule="auto"/>
              <w:jc w:val="center"/>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2020</w:t>
            </w:r>
          </w:p>
        </w:tc>
        <w:tc>
          <w:tcPr>
            <w:tcW w:w="1066" w:type="dxa"/>
            <w:tcBorders>
              <w:top w:val="nil"/>
              <w:left w:val="nil"/>
              <w:bottom w:val="nil"/>
              <w:right w:val="nil"/>
            </w:tcBorders>
            <w:shd w:val="clear" w:color="000000" w:fill="BFBFBF"/>
            <w:vAlign w:val="center"/>
            <w:hideMark/>
          </w:tcPr>
          <w:p w14:paraId="4251CC02" w14:textId="77777777" w:rsidR="0078085C" w:rsidRPr="00166B38" w:rsidRDefault="0078085C" w:rsidP="004B6995">
            <w:pPr>
              <w:spacing w:after="0" w:line="240" w:lineRule="auto"/>
              <w:jc w:val="center"/>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2020</w:t>
            </w:r>
          </w:p>
        </w:tc>
        <w:tc>
          <w:tcPr>
            <w:tcW w:w="1001" w:type="dxa"/>
            <w:gridSpan w:val="2"/>
            <w:tcBorders>
              <w:top w:val="nil"/>
              <w:left w:val="nil"/>
              <w:bottom w:val="nil"/>
              <w:right w:val="nil"/>
            </w:tcBorders>
            <w:shd w:val="clear" w:color="000000" w:fill="BFBFBF"/>
            <w:vAlign w:val="center"/>
            <w:hideMark/>
          </w:tcPr>
          <w:p w14:paraId="570C4BEE" w14:textId="77777777" w:rsidR="0078085C" w:rsidRPr="00166B38" w:rsidRDefault="0078085C" w:rsidP="004B6995">
            <w:pPr>
              <w:spacing w:after="0" w:line="240" w:lineRule="auto"/>
              <w:jc w:val="center"/>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 xml:space="preserve"> v tis. eur</w:t>
            </w:r>
          </w:p>
        </w:tc>
        <w:tc>
          <w:tcPr>
            <w:tcW w:w="709" w:type="dxa"/>
            <w:gridSpan w:val="2"/>
            <w:tcBorders>
              <w:top w:val="nil"/>
              <w:left w:val="nil"/>
              <w:bottom w:val="nil"/>
              <w:right w:val="nil"/>
            </w:tcBorders>
            <w:shd w:val="clear" w:color="000000" w:fill="BFBFBF"/>
            <w:vAlign w:val="center"/>
            <w:hideMark/>
          </w:tcPr>
          <w:p w14:paraId="0DC9D62F" w14:textId="77777777" w:rsidR="0078085C" w:rsidRPr="00166B38" w:rsidRDefault="0078085C" w:rsidP="004B6995">
            <w:pPr>
              <w:spacing w:after="0" w:line="240" w:lineRule="auto"/>
              <w:jc w:val="center"/>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v %</w:t>
            </w:r>
          </w:p>
        </w:tc>
      </w:tr>
      <w:tr w:rsidR="0078085C" w:rsidRPr="00166B38" w14:paraId="0504B115" w14:textId="77777777" w:rsidTr="00166B38">
        <w:trPr>
          <w:trHeight w:val="315"/>
        </w:trPr>
        <w:tc>
          <w:tcPr>
            <w:tcW w:w="3427" w:type="dxa"/>
            <w:tcBorders>
              <w:top w:val="nil"/>
              <w:left w:val="nil"/>
              <w:bottom w:val="single" w:sz="8" w:space="0" w:color="auto"/>
              <w:right w:val="nil"/>
            </w:tcBorders>
            <w:shd w:val="clear" w:color="000000" w:fill="BFBFBF"/>
            <w:vAlign w:val="center"/>
            <w:hideMark/>
          </w:tcPr>
          <w:p w14:paraId="6331F9C7" w14:textId="77777777" w:rsidR="0078085C" w:rsidRPr="00166B38" w:rsidRDefault="0078085C" w:rsidP="004B6995">
            <w:pPr>
              <w:spacing w:after="0" w:line="240" w:lineRule="auto"/>
              <w:jc w:val="center"/>
              <w:rPr>
                <w:rFonts w:ascii="Arial Narrow" w:eastAsia="Times New Roman" w:hAnsi="Arial Narrow" w:cs="Times New Roman"/>
                <w:b/>
                <w:bCs/>
                <w:color w:val="000000"/>
                <w:sz w:val="18"/>
                <w:szCs w:val="18"/>
                <w:lang w:eastAsia="sk-SK"/>
              </w:rPr>
            </w:pPr>
            <w:r w:rsidRPr="00166B38">
              <w:rPr>
                <w:rFonts w:ascii="Arial Narrow" w:eastAsia="Times New Roman" w:hAnsi="Arial Narrow" w:cs="Times New Roman"/>
                <w:b/>
                <w:bCs/>
                <w:color w:val="000000"/>
                <w:sz w:val="18"/>
                <w:szCs w:val="18"/>
                <w:lang w:eastAsia="sk-SK"/>
              </w:rPr>
              <w:t> </w:t>
            </w:r>
          </w:p>
        </w:tc>
        <w:tc>
          <w:tcPr>
            <w:tcW w:w="968" w:type="dxa"/>
            <w:tcBorders>
              <w:top w:val="nil"/>
              <w:left w:val="nil"/>
              <w:bottom w:val="single" w:sz="8" w:space="0" w:color="auto"/>
              <w:right w:val="nil"/>
            </w:tcBorders>
            <w:shd w:val="clear" w:color="000000" w:fill="BFBFBF"/>
            <w:vAlign w:val="center"/>
            <w:hideMark/>
          </w:tcPr>
          <w:p w14:paraId="0F482734" w14:textId="77777777" w:rsidR="0078085C" w:rsidRPr="00166B38" w:rsidRDefault="0078085C" w:rsidP="004B6995">
            <w:pPr>
              <w:spacing w:after="0" w:line="240" w:lineRule="auto"/>
              <w:jc w:val="center"/>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1</w:t>
            </w:r>
          </w:p>
        </w:tc>
        <w:tc>
          <w:tcPr>
            <w:tcW w:w="960" w:type="dxa"/>
            <w:tcBorders>
              <w:top w:val="nil"/>
              <w:left w:val="nil"/>
              <w:bottom w:val="single" w:sz="8" w:space="0" w:color="auto"/>
              <w:right w:val="nil"/>
            </w:tcBorders>
            <w:shd w:val="clear" w:color="000000" w:fill="BFBFBF"/>
            <w:vAlign w:val="center"/>
            <w:hideMark/>
          </w:tcPr>
          <w:p w14:paraId="5E14BC8C" w14:textId="77777777" w:rsidR="0078085C" w:rsidRPr="00166B38" w:rsidRDefault="0078085C" w:rsidP="004B6995">
            <w:pPr>
              <w:spacing w:after="0" w:line="240" w:lineRule="auto"/>
              <w:jc w:val="center"/>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2</w:t>
            </w:r>
          </w:p>
        </w:tc>
        <w:tc>
          <w:tcPr>
            <w:tcW w:w="950" w:type="dxa"/>
            <w:tcBorders>
              <w:top w:val="nil"/>
              <w:left w:val="nil"/>
              <w:bottom w:val="single" w:sz="8" w:space="0" w:color="auto"/>
              <w:right w:val="nil"/>
            </w:tcBorders>
            <w:shd w:val="clear" w:color="000000" w:fill="BFBFBF"/>
            <w:vAlign w:val="center"/>
            <w:hideMark/>
          </w:tcPr>
          <w:p w14:paraId="5C922BB6" w14:textId="77777777" w:rsidR="0078085C" w:rsidRPr="00166B38" w:rsidRDefault="0078085C" w:rsidP="004B6995">
            <w:pPr>
              <w:spacing w:after="0" w:line="240" w:lineRule="auto"/>
              <w:jc w:val="center"/>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3</w:t>
            </w:r>
          </w:p>
        </w:tc>
        <w:tc>
          <w:tcPr>
            <w:tcW w:w="1066" w:type="dxa"/>
            <w:tcBorders>
              <w:top w:val="nil"/>
              <w:left w:val="nil"/>
              <w:bottom w:val="single" w:sz="8" w:space="0" w:color="auto"/>
              <w:right w:val="nil"/>
            </w:tcBorders>
            <w:shd w:val="clear" w:color="000000" w:fill="BFBFBF"/>
            <w:vAlign w:val="center"/>
            <w:hideMark/>
          </w:tcPr>
          <w:p w14:paraId="6EA3D1B0" w14:textId="77777777" w:rsidR="0078085C" w:rsidRPr="00166B38" w:rsidRDefault="0078085C" w:rsidP="004B6995">
            <w:pPr>
              <w:spacing w:after="0" w:line="240" w:lineRule="auto"/>
              <w:jc w:val="center"/>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4</w:t>
            </w:r>
          </w:p>
        </w:tc>
        <w:tc>
          <w:tcPr>
            <w:tcW w:w="1001" w:type="dxa"/>
            <w:gridSpan w:val="2"/>
            <w:tcBorders>
              <w:top w:val="nil"/>
              <w:left w:val="nil"/>
              <w:bottom w:val="single" w:sz="8" w:space="0" w:color="auto"/>
              <w:right w:val="nil"/>
            </w:tcBorders>
            <w:shd w:val="clear" w:color="000000" w:fill="BFBFBF"/>
            <w:vAlign w:val="center"/>
            <w:hideMark/>
          </w:tcPr>
          <w:p w14:paraId="1DB02E59" w14:textId="77777777" w:rsidR="0078085C" w:rsidRPr="00166B38" w:rsidRDefault="0078085C" w:rsidP="004B6995">
            <w:pPr>
              <w:spacing w:after="0" w:line="240" w:lineRule="auto"/>
              <w:jc w:val="center"/>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5=4-3</w:t>
            </w:r>
          </w:p>
        </w:tc>
        <w:tc>
          <w:tcPr>
            <w:tcW w:w="709" w:type="dxa"/>
            <w:gridSpan w:val="2"/>
            <w:tcBorders>
              <w:top w:val="nil"/>
              <w:left w:val="nil"/>
              <w:bottom w:val="single" w:sz="8" w:space="0" w:color="auto"/>
              <w:right w:val="nil"/>
            </w:tcBorders>
            <w:shd w:val="clear" w:color="000000" w:fill="BFBFBF"/>
            <w:vAlign w:val="center"/>
            <w:hideMark/>
          </w:tcPr>
          <w:p w14:paraId="0AEEC4E8" w14:textId="77777777" w:rsidR="0078085C" w:rsidRPr="00166B38" w:rsidRDefault="0078085C" w:rsidP="004B6995">
            <w:pPr>
              <w:spacing w:after="0" w:line="240" w:lineRule="auto"/>
              <w:jc w:val="center"/>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6=4-3</w:t>
            </w:r>
          </w:p>
        </w:tc>
      </w:tr>
      <w:tr w:rsidR="0078085C" w:rsidRPr="00166B38" w14:paraId="6B629EF7" w14:textId="77777777" w:rsidTr="00166B38">
        <w:trPr>
          <w:gridAfter w:val="1"/>
          <w:wAfter w:w="9" w:type="dxa"/>
          <w:trHeight w:val="300"/>
        </w:trPr>
        <w:tc>
          <w:tcPr>
            <w:tcW w:w="3427" w:type="dxa"/>
            <w:tcBorders>
              <w:top w:val="nil"/>
              <w:left w:val="nil"/>
              <w:bottom w:val="nil"/>
              <w:right w:val="nil"/>
            </w:tcBorders>
            <w:shd w:val="clear" w:color="auto" w:fill="auto"/>
            <w:vAlign w:val="center"/>
            <w:hideMark/>
          </w:tcPr>
          <w:p w14:paraId="200A19F8" w14:textId="77777777" w:rsidR="0078085C" w:rsidRPr="00166B38" w:rsidRDefault="0078085C" w:rsidP="004B6995">
            <w:pPr>
              <w:spacing w:after="0" w:line="240" w:lineRule="auto"/>
              <w:jc w:val="left"/>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Obstarávanie kapitálových aktív</w:t>
            </w:r>
          </w:p>
        </w:tc>
        <w:tc>
          <w:tcPr>
            <w:tcW w:w="968" w:type="dxa"/>
            <w:tcBorders>
              <w:top w:val="nil"/>
              <w:left w:val="nil"/>
              <w:bottom w:val="nil"/>
              <w:right w:val="nil"/>
            </w:tcBorders>
            <w:shd w:val="clear" w:color="auto" w:fill="auto"/>
            <w:noWrap/>
            <w:vAlign w:val="center"/>
            <w:hideMark/>
          </w:tcPr>
          <w:p w14:paraId="3E93006E" w14:textId="77777777" w:rsidR="0078085C" w:rsidRPr="00166B38" w:rsidRDefault="0078085C" w:rsidP="004B6995">
            <w:pPr>
              <w:spacing w:after="0" w:line="240" w:lineRule="auto"/>
              <w:jc w:val="right"/>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721 148</w:t>
            </w:r>
          </w:p>
        </w:tc>
        <w:tc>
          <w:tcPr>
            <w:tcW w:w="960" w:type="dxa"/>
            <w:tcBorders>
              <w:top w:val="nil"/>
              <w:left w:val="nil"/>
              <w:bottom w:val="nil"/>
              <w:right w:val="nil"/>
            </w:tcBorders>
            <w:shd w:val="clear" w:color="auto" w:fill="auto"/>
            <w:noWrap/>
            <w:vAlign w:val="center"/>
            <w:hideMark/>
          </w:tcPr>
          <w:p w14:paraId="288464CA" w14:textId="77777777" w:rsidR="0078085C" w:rsidRPr="00166B38" w:rsidRDefault="0078085C" w:rsidP="004B6995">
            <w:pPr>
              <w:spacing w:after="0" w:line="240" w:lineRule="auto"/>
              <w:jc w:val="right"/>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1 096 498</w:t>
            </w:r>
          </w:p>
        </w:tc>
        <w:tc>
          <w:tcPr>
            <w:tcW w:w="950" w:type="dxa"/>
            <w:tcBorders>
              <w:top w:val="nil"/>
              <w:left w:val="nil"/>
              <w:bottom w:val="nil"/>
              <w:right w:val="nil"/>
            </w:tcBorders>
            <w:shd w:val="clear" w:color="auto" w:fill="auto"/>
            <w:noWrap/>
            <w:vAlign w:val="center"/>
            <w:hideMark/>
          </w:tcPr>
          <w:p w14:paraId="7A1B5147" w14:textId="77777777" w:rsidR="0078085C" w:rsidRPr="00166B38" w:rsidRDefault="0078085C" w:rsidP="004B6995">
            <w:pPr>
              <w:spacing w:after="0" w:line="240" w:lineRule="auto"/>
              <w:jc w:val="right"/>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786 511</w:t>
            </w:r>
          </w:p>
        </w:tc>
        <w:tc>
          <w:tcPr>
            <w:tcW w:w="1066" w:type="dxa"/>
            <w:tcBorders>
              <w:top w:val="nil"/>
              <w:left w:val="nil"/>
              <w:bottom w:val="nil"/>
              <w:right w:val="nil"/>
            </w:tcBorders>
            <w:shd w:val="clear" w:color="000000" w:fill="BFBFBF"/>
            <w:noWrap/>
            <w:vAlign w:val="center"/>
            <w:hideMark/>
          </w:tcPr>
          <w:p w14:paraId="0509FDF8" w14:textId="77777777" w:rsidR="0078085C" w:rsidRPr="00166B38" w:rsidRDefault="0078085C" w:rsidP="004B6995">
            <w:pPr>
              <w:spacing w:after="0" w:line="240" w:lineRule="auto"/>
              <w:jc w:val="right"/>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1 053 912</w:t>
            </w:r>
          </w:p>
        </w:tc>
        <w:tc>
          <w:tcPr>
            <w:tcW w:w="992" w:type="dxa"/>
            <w:tcBorders>
              <w:top w:val="nil"/>
              <w:left w:val="nil"/>
              <w:bottom w:val="nil"/>
              <w:right w:val="nil"/>
            </w:tcBorders>
            <w:shd w:val="clear" w:color="auto" w:fill="auto"/>
            <w:noWrap/>
            <w:vAlign w:val="center"/>
            <w:hideMark/>
          </w:tcPr>
          <w:p w14:paraId="6B60B93B" w14:textId="77777777" w:rsidR="0078085C" w:rsidRPr="00166B38" w:rsidRDefault="0078085C" w:rsidP="004B6995">
            <w:pPr>
              <w:spacing w:after="0" w:line="240" w:lineRule="auto"/>
              <w:jc w:val="right"/>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267 401</w:t>
            </w:r>
          </w:p>
        </w:tc>
        <w:tc>
          <w:tcPr>
            <w:tcW w:w="709" w:type="dxa"/>
            <w:gridSpan w:val="2"/>
            <w:tcBorders>
              <w:top w:val="nil"/>
              <w:left w:val="nil"/>
              <w:bottom w:val="nil"/>
              <w:right w:val="nil"/>
            </w:tcBorders>
            <w:shd w:val="clear" w:color="auto" w:fill="auto"/>
            <w:noWrap/>
            <w:vAlign w:val="center"/>
            <w:hideMark/>
          </w:tcPr>
          <w:p w14:paraId="78AEF7BA" w14:textId="77777777" w:rsidR="0078085C" w:rsidRPr="00166B38" w:rsidRDefault="0078085C" w:rsidP="004B6995">
            <w:pPr>
              <w:spacing w:after="0" w:line="240" w:lineRule="auto"/>
              <w:jc w:val="right"/>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-28</w:t>
            </w:r>
          </w:p>
        </w:tc>
      </w:tr>
      <w:tr w:rsidR="0078085C" w:rsidRPr="00166B38" w14:paraId="103E2CE9" w14:textId="77777777" w:rsidTr="00166B38">
        <w:trPr>
          <w:gridAfter w:val="1"/>
          <w:wAfter w:w="9" w:type="dxa"/>
          <w:trHeight w:val="300"/>
        </w:trPr>
        <w:tc>
          <w:tcPr>
            <w:tcW w:w="3427" w:type="dxa"/>
            <w:tcBorders>
              <w:top w:val="nil"/>
              <w:left w:val="nil"/>
              <w:bottom w:val="nil"/>
              <w:right w:val="nil"/>
            </w:tcBorders>
            <w:shd w:val="clear" w:color="auto" w:fill="auto"/>
            <w:vAlign w:val="center"/>
            <w:hideMark/>
          </w:tcPr>
          <w:p w14:paraId="4179686F" w14:textId="24A6802A" w:rsidR="0078085C" w:rsidRPr="00166B38" w:rsidRDefault="0078085C" w:rsidP="004B6995">
            <w:pPr>
              <w:spacing w:after="0" w:line="240" w:lineRule="auto"/>
              <w:jc w:val="left"/>
              <w:rPr>
                <w:rFonts w:eastAsia="Times New Roman" w:cs="Times New Roman"/>
                <w:color w:val="000000"/>
                <w:sz w:val="18"/>
                <w:szCs w:val="18"/>
                <w:lang w:eastAsia="sk-SK"/>
              </w:rPr>
            </w:pPr>
            <w:r w:rsidRPr="00166B38">
              <w:rPr>
                <w:rFonts w:eastAsia="Times New Roman" w:cs="Times New Roman"/>
                <w:color w:val="000000"/>
                <w:sz w:val="18"/>
                <w:szCs w:val="18"/>
                <w:lang w:eastAsia="sk-SK"/>
              </w:rPr>
              <w:t>strojov, prístrojov, zariadení, techniky</w:t>
            </w:r>
          </w:p>
        </w:tc>
        <w:tc>
          <w:tcPr>
            <w:tcW w:w="968" w:type="dxa"/>
            <w:tcBorders>
              <w:top w:val="nil"/>
              <w:left w:val="nil"/>
              <w:bottom w:val="nil"/>
              <w:right w:val="nil"/>
            </w:tcBorders>
            <w:shd w:val="clear" w:color="auto" w:fill="auto"/>
            <w:noWrap/>
            <w:vAlign w:val="center"/>
            <w:hideMark/>
          </w:tcPr>
          <w:p w14:paraId="69A84A28"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198 434</w:t>
            </w:r>
          </w:p>
        </w:tc>
        <w:tc>
          <w:tcPr>
            <w:tcW w:w="960" w:type="dxa"/>
            <w:tcBorders>
              <w:top w:val="nil"/>
              <w:left w:val="nil"/>
              <w:bottom w:val="nil"/>
              <w:right w:val="nil"/>
            </w:tcBorders>
            <w:shd w:val="clear" w:color="auto" w:fill="auto"/>
            <w:noWrap/>
            <w:vAlign w:val="center"/>
            <w:hideMark/>
          </w:tcPr>
          <w:p w14:paraId="7831C695"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594 668</w:t>
            </w:r>
          </w:p>
        </w:tc>
        <w:tc>
          <w:tcPr>
            <w:tcW w:w="950" w:type="dxa"/>
            <w:tcBorders>
              <w:top w:val="nil"/>
              <w:left w:val="nil"/>
              <w:bottom w:val="nil"/>
              <w:right w:val="nil"/>
            </w:tcBorders>
            <w:shd w:val="clear" w:color="auto" w:fill="auto"/>
            <w:noWrap/>
            <w:vAlign w:val="center"/>
            <w:hideMark/>
          </w:tcPr>
          <w:p w14:paraId="289C2B1B"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519 173</w:t>
            </w:r>
          </w:p>
        </w:tc>
        <w:tc>
          <w:tcPr>
            <w:tcW w:w="1066" w:type="dxa"/>
            <w:tcBorders>
              <w:top w:val="nil"/>
              <w:left w:val="nil"/>
              <w:bottom w:val="nil"/>
              <w:right w:val="nil"/>
            </w:tcBorders>
            <w:shd w:val="clear" w:color="000000" w:fill="BFBFBF"/>
            <w:noWrap/>
            <w:vAlign w:val="center"/>
            <w:hideMark/>
          </w:tcPr>
          <w:p w14:paraId="0A2E70B8"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449 679</w:t>
            </w:r>
          </w:p>
        </w:tc>
        <w:tc>
          <w:tcPr>
            <w:tcW w:w="992" w:type="dxa"/>
            <w:tcBorders>
              <w:top w:val="nil"/>
              <w:left w:val="nil"/>
              <w:bottom w:val="nil"/>
              <w:right w:val="nil"/>
            </w:tcBorders>
            <w:shd w:val="clear" w:color="auto" w:fill="auto"/>
            <w:noWrap/>
            <w:vAlign w:val="center"/>
            <w:hideMark/>
          </w:tcPr>
          <w:p w14:paraId="32A70861"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-69 495</w:t>
            </w:r>
          </w:p>
        </w:tc>
        <w:tc>
          <w:tcPr>
            <w:tcW w:w="709" w:type="dxa"/>
            <w:gridSpan w:val="2"/>
            <w:tcBorders>
              <w:top w:val="nil"/>
              <w:left w:val="nil"/>
              <w:bottom w:val="nil"/>
              <w:right w:val="nil"/>
            </w:tcBorders>
            <w:shd w:val="clear" w:color="auto" w:fill="auto"/>
            <w:noWrap/>
            <w:vAlign w:val="center"/>
            <w:hideMark/>
          </w:tcPr>
          <w:p w14:paraId="4CF93A4B"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-13</w:t>
            </w:r>
          </w:p>
        </w:tc>
      </w:tr>
      <w:tr w:rsidR="0078085C" w:rsidRPr="00166B38" w14:paraId="533E3CB6" w14:textId="77777777" w:rsidTr="00166B38">
        <w:trPr>
          <w:gridAfter w:val="1"/>
          <w:wAfter w:w="9" w:type="dxa"/>
          <w:trHeight w:val="480"/>
        </w:trPr>
        <w:tc>
          <w:tcPr>
            <w:tcW w:w="3427" w:type="dxa"/>
            <w:tcBorders>
              <w:top w:val="nil"/>
              <w:left w:val="nil"/>
              <w:bottom w:val="nil"/>
              <w:right w:val="nil"/>
            </w:tcBorders>
            <w:shd w:val="clear" w:color="auto" w:fill="auto"/>
            <w:vAlign w:val="center"/>
            <w:hideMark/>
          </w:tcPr>
          <w:p w14:paraId="3C4D9C12" w14:textId="77777777" w:rsidR="0078085C" w:rsidRPr="00166B38" w:rsidRDefault="0078085C" w:rsidP="004B6995">
            <w:pPr>
              <w:spacing w:after="0" w:line="240" w:lineRule="auto"/>
              <w:jc w:val="left"/>
              <w:rPr>
                <w:rFonts w:eastAsia="Times New Roman" w:cs="Times New Roman"/>
                <w:color w:val="000000"/>
                <w:sz w:val="18"/>
                <w:szCs w:val="18"/>
                <w:lang w:eastAsia="sk-SK"/>
              </w:rPr>
            </w:pPr>
            <w:r w:rsidRPr="00166B38">
              <w:rPr>
                <w:rFonts w:eastAsia="Times New Roman" w:cs="Times New Roman"/>
                <w:color w:val="000000"/>
                <w:sz w:val="18"/>
                <w:szCs w:val="18"/>
                <w:lang w:eastAsia="sk-SK"/>
              </w:rPr>
              <w:t>realizácia stavieb a ich technického zhodnotenia</w:t>
            </w:r>
          </w:p>
        </w:tc>
        <w:tc>
          <w:tcPr>
            <w:tcW w:w="968" w:type="dxa"/>
            <w:tcBorders>
              <w:top w:val="nil"/>
              <w:left w:val="nil"/>
              <w:bottom w:val="nil"/>
              <w:right w:val="nil"/>
            </w:tcBorders>
            <w:shd w:val="clear" w:color="auto" w:fill="auto"/>
            <w:noWrap/>
            <w:vAlign w:val="center"/>
            <w:hideMark/>
          </w:tcPr>
          <w:p w14:paraId="08692593"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218 274</w:t>
            </w:r>
          </w:p>
        </w:tc>
        <w:tc>
          <w:tcPr>
            <w:tcW w:w="960" w:type="dxa"/>
            <w:tcBorders>
              <w:top w:val="nil"/>
              <w:left w:val="nil"/>
              <w:bottom w:val="nil"/>
              <w:right w:val="nil"/>
            </w:tcBorders>
            <w:shd w:val="clear" w:color="auto" w:fill="auto"/>
            <w:noWrap/>
            <w:vAlign w:val="center"/>
            <w:hideMark/>
          </w:tcPr>
          <w:p w14:paraId="44D3335F"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144 967</w:t>
            </w:r>
          </w:p>
        </w:tc>
        <w:tc>
          <w:tcPr>
            <w:tcW w:w="950" w:type="dxa"/>
            <w:tcBorders>
              <w:top w:val="nil"/>
              <w:left w:val="nil"/>
              <w:bottom w:val="nil"/>
              <w:right w:val="nil"/>
            </w:tcBorders>
            <w:shd w:val="clear" w:color="auto" w:fill="auto"/>
            <w:noWrap/>
            <w:vAlign w:val="center"/>
            <w:hideMark/>
          </w:tcPr>
          <w:p w14:paraId="75669B79"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86 523</w:t>
            </w:r>
          </w:p>
        </w:tc>
        <w:tc>
          <w:tcPr>
            <w:tcW w:w="1066" w:type="dxa"/>
            <w:tcBorders>
              <w:top w:val="nil"/>
              <w:left w:val="nil"/>
              <w:bottom w:val="nil"/>
              <w:right w:val="nil"/>
            </w:tcBorders>
            <w:shd w:val="clear" w:color="000000" w:fill="BFBFBF"/>
            <w:noWrap/>
            <w:vAlign w:val="center"/>
            <w:hideMark/>
          </w:tcPr>
          <w:p w14:paraId="7C677A99"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286 549</w:t>
            </w:r>
          </w:p>
        </w:tc>
        <w:tc>
          <w:tcPr>
            <w:tcW w:w="992" w:type="dxa"/>
            <w:tcBorders>
              <w:top w:val="nil"/>
              <w:left w:val="nil"/>
              <w:bottom w:val="nil"/>
              <w:right w:val="nil"/>
            </w:tcBorders>
            <w:shd w:val="clear" w:color="auto" w:fill="auto"/>
            <w:noWrap/>
            <w:vAlign w:val="center"/>
            <w:hideMark/>
          </w:tcPr>
          <w:p w14:paraId="28D73359"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200 027</w:t>
            </w:r>
          </w:p>
        </w:tc>
        <w:tc>
          <w:tcPr>
            <w:tcW w:w="709" w:type="dxa"/>
            <w:gridSpan w:val="2"/>
            <w:tcBorders>
              <w:top w:val="nil"/>
              <w:left w:val="nil"/>
              <w:bottom w:val="nil"/>
              <w:right w:val="nil"/>
            </w:tcBorders>
            <w:shd w:val="clear" w:color="auto" w:fill="auto"/>
            <w:noWrap/>
            <w:vAlign w:val="center"/>
            <w:hideMark/>
          </w:tcPr>
          <w:p w14:paraId="62D9A93C"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-40</w:t>
            </w:r>
          </w:p>
        </w:tc>
      </w:tr>
      <w:tr w:rsidR="0078085C" w:rsidRPr="00166B38" w14:paraId="3C012C1A" w14:textId="77777777" w:rsidTr="00166B38">
        <w:trPr>
          <w:gridAfter w:val="1"/>
          <w:wAfter w:w="9" w:type="dxa"/>
          <w:trHeight w:val="720"/>
        </w:trPr>
        <w:tc>
          <w:tcPr>
            <w:tcW w:w="3427" w:type="dxa"/>
            <w:tcBorders>
              <w:top w:val="nil"/>
              <w:left w:val="nil"/>
              <w:bottom w:val="nil"/>
              <w:right w:val="nil"/>
            </w:tcBorders>
            <w:shd w:val="clear" w:color="auto" w:fill="auto"/>
            <w:vAlign w:val="center"/>
            <w:hideMark/>
          </w:tcPr>
          <w:p w14:paraId="15ABEAC3" w14:textId="77777777" w:rsidR="0078085C" w:rsidRPr="00166B38" w:rsidRDefault="0078085C" w:rsidP="004B6995">
            <w:pPr>
              <w:spacing w:after="0" w:line="240" w:lineRule="auto"/>
              <w:jc w:val="left"/>
              <w:rPr>
                <w:rFonts w:eastAsia="Times New Roman" w:cs="Times New Roman"/>
                <w:color w:val="000000"/>
                <w:sz w:val="18"/>
                <w:szCs w:val="18"/>
                <w:lang w:eastAsia="sk-SK"/>
              </w:rPr>
            </w:pPr>
            <w:proofErr w:type="spellStart"/>
            <w:r w:rsidRPr="00166B38">
              <w:rPr>
                <w:rFonts w:eastAsia="Times New Roman" w:cs="Times New Roman"/>
                <w:color w:val="000000"/>
                <w:sz w:val="18"/>
                <w:szCs w:val="18"/>
                <w:lang w:eastAsia="sk-SK"/>
              </w:rPr>
              <w:t>ost</w:t>
            </w:r>
            <w:proofErr w:type="spellEnd"/>
            <w:r w:rsidRPr="00166B38">
              <w:rPr>
                <w:rFonts w:eastAsia="Times New Roman" w:cs="Times New Roman"/>
                <w:color w:val="000000"/>
                <w:sz w:val="18"/>
                <w:szCs w:val="18"/>
                <w:lang w:eastAsia="sk-SK"/>
              </w:rPr>
              <w:t>. kapitálové výdavky (dokumentácia, rekonštrukcia a modernizácia strojov a </w:t>
            </w:r>
            <w:proofErr w:type="spellStart"/>
            <w:r w:rsidRPr="00166B38">
              <w:rPr>
                <w:rFonts w:eastAsia="Times New Roman" w:cs="Times New Roman"/>
                <w:color w:val="000000"/>
                <w:sz w:val="18"/>
                <w:szCs w:val="18"/>
                <w:lang w:eastAsia="sk-SK"/>
              </w:rPr>
              <w:t>ost</w:t>
            </w:r>
            <w:proofErr w:type="spellEnd"/>
            <w:r w:rsidRPr="00166B38">
              <w:rPr>
                <w:rFonts w:eastAsia="Times New Roman" w:cs="Times New Roman"/>
                <w:color w:val="000000"/>
                <w:sz w:val="18"/>
                <w:szCs w:val="18"/>
                <w:lang w:eastAsia="sk-SK"/>
              </w:rPr>
              <w:t>.)</w:t>
            </w:r>
          </w:p>
        </w:tc>
        <w:tc>
          <w:tcPr>
            <w:tcW w:w="968" w:type="dxa"/>
            <w:tcBorders>
              <w:top w:val="nil"/>
              <w:left w:val="nil"/>
              <w:bottom w:val="nil"/>
              <w:right w:val="nil"/>
            </w:tcBorders>
            <w:shd w:val="clear" w:color="auto" w:fill="auto"/>
            <w:noWrap/>
            <w:vAlign w:val="center"/>
            <w:hideMark/>
          </w:tcPr>
          <w:p w14:paraId="7F59E9BE"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116 377</w:t>
            </w:r>
          </w:p>
        </w:tc>
        <w:tc>
          <w:tcPr>
            <w:tcW w:w="960" w:type="dxa"/>
            <w:tcBorders>
              <w:top w:val="nil"/>
              <w:left w:val="nil"/>
              <w:bottom w:val="nil"/>
              <w:right w:val="nil"/>
            </w:tcBorders>
            <w:shd w:val="clear" w:color="auto" w:fill="auto"/>
            <w:noWrap/>
            <w:vAlign w:val="center"/>
            <w:hideMark/>
          </w:tcPr>
          <w:p w14:paraId="376912FD"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99 126</w:t>
            </w:r>
          </w:p>
        </w:tc>
        <w:tc>
          <w:tcPr>
            <w:tcW w:w="950" w:type="dxa"/>
            <w:tcBorders>
              <w:top w:val="nil"/>
              <w:left w:val="nil"/>
              <w:bottom w:val="nil"/>
              <w:right w:val="nil"/>
            </w:tcBorders>
            <w:shd w:val="clear" w:color="auto" w:fill="auto"/>
            <w:noWrap/>
            <w:vAlign w:val="center"/>
            <w:hideMark/>
          </w:tcPr>
          <w:p w14:paraId="550A3C37"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110 750</w:t>
            </w:r>
          </w:p>
        </w:tc>
        <w:tc>
          <w:tcPr>
            <w:tcW w:w="1066" w:type="dxa"/>
            <w:tcBorders>
              <w:top w:val="nil"/>
              <w:left w:val="nil"/>
              <w:bottom w:val="nil"/>
              <w:right w:val="nil"/>
            </w:tcBorders>
            <w:shd w:val="clear" w:color="000000" w:fill="BFBFBF"/>
            <w:noWrap/>
            <w:vAlign w:val="center"/>
            <w:hideMark/>
          </w:tcPr>
          <w:p w14:paraId="04B4EEB0"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179 192</w:t>
            </w:r>
          </w:p>
        </w:tc>
        <w:tc>
          <w:tcPr>
            <w:tcW w:w="992" w:type="dxa"/>
            <w:tcBorders>
              <w:top w:val="nil"/>
              <w:left w:val="nil"/>
              <w:bottom w:val="nil"/>
              <w:right w:val="nil"/>
            </w:tcBorders>
            <w:shd w:val="clear" w:color="auto" w:fill="auto"/>
            <w:noWrap/>
            <w:vAlign w:val="center"/>
            <w:hideMark/>
          </w:tcPr>
          <w:p w14:paraId="2C358E36"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68 442</w:t>
            </w:r>
          </w:p>
        </w:tc>
        <w:tc>
          <w:tcPr>
            <w:tcW w:w="709" w:type="dxa"/>
            <w:gridSpan w:val="2"/>
            <w:tcBorders>
              <w:top w:val="nil"/>
              <w:left w:val="nil"/>
              <w:bottom w:val="nil"/>
              <w:right w:val="nil"/>
            </w:tcBorders>
            <w:shd w:val="clear" w:color="auto" w:fill="auto"/>
            <w:noWrap/>
            <w:vAlign w:val="center"/>
            <w:hideMark/>
          </w:tcPr>
          <w:p w14:paraId="1D9D70E8"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12</w:t>
            </w:r>
          </w:p>
        </w:tc>
      </w:tr>
      <w:tr w:rsidR="0078085C" w:rsidRPr="00166B38" w14:paraId="79D16593" w14:textId="77777777" w:rsidTr="00166B38">
        <w:trPr>
          <w:gridAfter w:val="1"/>
          <w:wAfter w:w="9" w:type="dxa"/>
          <w:trHeight w:val="300"/>
        </w:trPr>
        <w:tc>
          <w:tcPr>
            <w:tcW w:w="3427" w:type="dxa"/>
            <w:tcBorders>
              <w:top w:val="nil"/>
              <w:left w:val="nil"/>
              <w:bottom w:val="nil"/>
              <w:right w:val="nil"/>
            </w:tcBorders>
            <w:shd w:val="clear" w:color="auto" w:fill="auto"/>
            <w:vAlign w:val="center"/>
            <w:hideMark/>
          </w:tcPr>
          <w:p w14:paraId="1405C7A7" w14:textId="228F991C" w:rsidR="0078085C" w:rsidRPr="00166B38" w:rsidRDefault="0078085C" w:rsidP="004B6995">
            <w:pPr>
              <w:spacing w:after="0" w:line="240" w:lineRule="auto"/>
              <w:jc w:val="left"/>
              <w:rPr>
                <w:rFonts w:eastAsia="Times New Roman" w:cs="Times New Roman"/>
                <w:color w:val="000000"/>
                <w:sz w:val="18"/>
                <w:szCs w:val="18"/>
                <w:lang w:eastAsia="sk-SK"/>
              </w:rPr>
            </w:pPr>
            <w:r w:rsidRPr="00166B38">
              <w:rPr>
                <w:rFonts w:eastAsia="Times New Roman" w:cs="Times New Roman"/>
                <w:color w:val="000000"/>
                <w:sz w:val="18"/>
                <w:szCs w:val="18"/>
                <w:lang w:eastAsia="sk-SK"/>
              </w:rPr>
              <w:t>pozemkov a nehmotných aktív</w:t>
            </w:r>
          </w:p>
        </w:tc>
        <w:tc>
          <w:tcPr>
            <w:tcW w:w="968" w:type="dxa"/>
            <w:tcBorders>
              <w:top w:val="nil"/>
              <w:left w:val="nil"/>
              <w:bottom w:val="nil"/>
              <w:right w:val="nil"/>
            </w:tcBorders>
            <w:shd w:val="clear" w:color="auto" w:fill="auto"/>
            <w:noWrap/>
            <w:vAlign w:val="center"/>
            <w:hideMark/>
          </w:tcPr>
          <w:p w14:paraId="3CC8FBDA"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78 003</w:t>
            </w:r>
          </w:p>
        </w:tc>
        <w:tc>
          <w:tcPr>
            <w:tcW w:w="960" w:type="dxa"/>
            <w:tcBorders>
              <w:top w:val="nil"/>
              <w:left w:val="nil"/>
              <w:bottom w:val="nil"/>
              <w:right w:val="nil"/>
            </w:tcBorders>
            <w:shd w:val="clear" w:color="auto" w:fill="auto"/>
            <w:noWrap/>
            <w:vAlign w:val="center"/>
            <w:hideMark/>
          </w:tcPr>
          <w:p w14:paraId="0572BE27"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69 433</w:t>
            </w:r>
          </w:p>
        </w:tc>
        <w:tc>
          <w:tcPr>
            <w:tcW w:w="950" w:type="dxa"/>
            <w:tcBorders>
              <w:top w:val="nil"/>
              <w:left w:val="nil"/>
              <w:bottom w:val="nil"/>
              <w:right w:val="nil"/>
            </w:tcBorders>
            <w:shd w:val="clear" w:color="auto" w:fill="auto"/>
            <w:noWrap/>
            <w:vAlign w:val="center"/>
            <w:hideMark/>
          </w:tcPr>
          <w:p w14:paraId="1DF59D7C"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25 866</w:t>
            </w:r>
          </w:p>
        </w:tc>
        <w:tc>
          <w:tcPr>
            <w:tcW w:w="1066" w:type="dxa"/>
            <w:tcBorders>
              <w:top w:val="nil"/>
              <w:left w:val="nil"/>
              <w:bottom w:val="nil"/>
              <w:right w:val="nil"/>
            </w:tcBorders>
            <w:shd w:val="clear" w:color="000000" w:fill="BFBFBF"/>
            <w:noWrap/>
            <w:vAlign w:val="center"/>
            <w:hideMark/>
          </w:tcPr>
          <w:p w14:paraId="72A7642D"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80 428</w:t>
            </w:r>
          </w:p>
        </w:tc>
        <w:tc>
          <w:tcPr>
            <w:tcW w:w="992" w:type="dxa"/>
            <w:tcBorders>
              <w:top w:val="nil"/>
              <w:left w:val="nil"/>
              <w:bottom w:val="nil"/>
              <w:right w:val="nil"/>
            </w:tcBorders>
            <w:shd w:val="clear" w:color="auto" w:fill="auto"/>
            <w:noWrap/>
            <w:vAlign w:val="center"/>
            <w:hideMark/>
          </w:tcPr>
          <w:p w14:paraId="1ABB1327"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54 562</w:t>
            </w:r>
          </w:p>
        </w:tc>
        <w:tc>
          <w:tcPr>
            <w:tcW w:w="709" w:type="dxa"/>
            <w:gridSpan w:val="2"/>
            <w:tcBorders>
              <w:top w:val="nil"/>
              <w:left w:val="nil"/>
              <w:bottom w:val="nil"/>
              <w:right w:val="nil"/>
            </w:tcBorders>
            <w:shd w:val="clear" w:color="auto" w:fill="auto"/>
            <w:noWrap/>
            <w:vAlign w:val="center"/>
            <w:hideMark/>
          </w:tcPr>
          <w:p w14:paraId="15DA7BF0"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-63</w:t>
            </w:r>
          </w:p>
        </w:tc>
      </w:tr>
      <w:tr w:rsidR="0078085C" w:rsidRPr="00166B38" w14:paraId="55A35541" w14:textId="77777777" w:rsidTr="00166B38">
        <w:trPr>
          <w:gridAfter w:val="1"/>
          <w:wAfter w:w="9" w:type="dxa"/>
          <w:trHeight w:val="300"/>
        </w:trPr>
        <w:tc>
          <w:tcPr>
            <w:tcW w:w="3427" w:type="dxa"/>
            <w:tcBorders>
              <w:top w:val="nil"/>
              <w:left w:val="nil"/>
              <w:bottom w:val="nil"/>
              <w:right w:val="nil"/>
            </w:tcBorders>
            <w:shd w:val="clear" w:color="auto" w:fill="auto"/>
            <w:vAlign w:val="center"/>
            <w:hideMark/>
          </w:tcPr>
          <w:p w14:paraId="7132ABDD" w14:textId="79F19671" w:rsidR="0078085C" w:rsidRPr="00166B38" w:rsidRDefault="0078085C" w:rsidP="004B6995">
            <w:pPr>
              <w:spacing w:after="0" w:line="240" w:lineRule="auto"/>
              <w:jc w:val="left"/>
              <w:rPr>
                <w:rFonts w:eastAsia="Times New Roman" w:cs="Times New Roman"/>
                <w:color w:val="000000"/>
                <w:sz w:val="18"/>
                <w:szCs w:val="18"/>
                <w:lang w:eastAsia="sk-SK"/>
              </w:rPr>
            </w:pPr>
            <w:r w:rsidRPr="00166B38">
              <w:rPr>
                <w:rFonts w:eastAsia="Times New Roman" w:cs="Times New Roman"/>
                <w:color w:val="000000"/>
                <w:sz w:val="18"/>
                <w:szCs w:val="18"/>
                <w:lang w:eastAsia="sk-SK"/>
              </w:rPr>
              <w:t>dopravných prostriedkov</w:t>
            </w:r>
          </w:p>
        </w:tc>
        <w:tc>
          <w:tcPr>
            <w:tcW w:w="968" w:type="dxa"/>
            <w:tcBorders>
              <w:top w:val="nil"/>
              <w:left w:val="nil"/>
              <w:bottom w:val="nil"/>
              <w:right w:val="nil"/>
            </w:tcBorders>
            <w:shd w:val="clear" w:color="auto" w:fill="auto"/>
            <w:noWrap/>
            <w:vAlign w:val="center"/>
            <w:hideMark/>
          </w:tcPr>
          <w:p w14:paraId="3FF83A0B"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97 326</w:t>
            </w:r>
          </w:p>
        </w:tc>
        <w:tc>
          <w:tcPr>
            <w:tcW w:w="960" w:type="dxa"/>
            <w:tcBorders>
              <w:top w:val="nil"/>
              <w:left w:val="nil"/>
              <w:bottom w:val="nil"/>
              <w:right w:val="nil"/>
            </w:tcBorders>
            <w:shd w:val="clear" w:color="auto" w:fill="auto"/>
            <w:noWrap/>
            <w:vAlign w:val="center"/>
            <w:hideMark/>
          </w:tcPr>
          <w:p w14:paraId="30D77C1B"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114 606</w:t>
            </w:r>
          </w:p>
        </w:tc>
        <w:tc>
          <w:tcPr>
            <w:tcW w:w="950" w:type="dxa"/>
            <w:tcBorders>
              <w:top w:val="nil"/>
              <w:left w:val="nil"/>
              <w:bottom w:val="nil"/>
              <w:right w:val="nil"/>
            </w:tcBorders>
            <w:shd w:val="clear" w:color="auto" w:fill="auto"/>
            <w:noWrap/>
            <w:vAlign w:val="center"/>
            <w:hideMark/>
          </w:tcPr>
          <w:p w14:paraId="55C0F5EB"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37 232</w:t>
            </w:r>
          </w:p>
        </w:tc>
        <w:tc>
          <w:tcPr>
            <w:tcW w:w="1066" w:type="dxa"/>
            <w:tcBorders>
              <w:top w:val="nil"/>
              <w:left w:val="nil"/>
              <w:bottom w:val="nil"/>
              <w:right w:val="nil"/>
            </w:tcBorders>
            <w:shd w:val="clear" w:color="000000" w:fill="BFBFBF"/>
            <w:noWrap/>
            <w:vAlign w:val="center"/>
            <w:hideMark/>
          </w:tcPr>
          <w:p w14:paraId="66A7179A"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50 955</w:t>
            </w:r>
          </w:p>
        </w:tc>
        <w:tc>
          <w:tcPr>
            <w:tcW w:w="992" w:type="dxa"/>
            <w:tcBorders>
              <w:top w:val="nil"/>
              <w:left w:val="nil"/>
              <w:bottom w:val="nil"/>
              <w:right w:val="nil"/>
            </w:tcBorders>
            <w:shd w:val="clear" w:color="auto" w:fill="auto"/>
            <w:noWrap/>
            <w:vAlign w:val="center"/>
            <w:hideMark/>
          </w:tcPr>
          <w:p w14:paraId="334169FB"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13 723</w:t>
            </w:r>
          </w:p>
        </w:tc>
        <w:tc>
          <w:tcPr>
            <w:tcW w:w="709" w:type="dxa"/>
            <w:gridSpan w:val="2"/>
            <w:tcBorders>
              <w:top w:val="nil"/>
              <w:left w:val="nil"/>
              <w:bottom w:val="nil"/>
              <w:right w:val="nil"/>
            </w:tcBorders>
            <w:shd w:val="clear" w:color="auto" w:fill="auto"/>
            <w:noWrap/>
            <w:vAlign w:val="center"/>
            <w:hideMark/>
          </w:tcPr>
          <w:p w14:paraId="6F8B7F66"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-68</w:t>
            </w:r>
          </w:p>
        </w:tc>
      </w:tr>
      <w:tr w:rsidR="0078085C" w:rsidRPr="00166B38" w14:paraId="27807BD0" w14:textId="77777777" w:rsidTr="00166B38">
        <w:trPr>
          <w:gridAfter w:val="1"/>
          <w:wAfter w:w="9" w:type="dxa"/>
          <w:trHeight w:val="300"/>
        </w:trPr>
        <w:tc>
          <w:tcPr>
            <w:tcW w:w="3427" w:type="dxa"/>
            <w:tcBorders>
              <w:top w:val="nil"/>
              <w:left w:val="nil"/>
              <w:bottom w:val="nil"/>
              <w:right w:val="nil"/>
            </w:tcBorders>
            <w:shd w:val="clear" w:color="auto" w:fill="auto"/>
            <w:vAlign w:val="center"/>
            <w:hideMark/>
          </w:tcPr>
          <w:p w14:paraId="760A7959" w14:textId="442573FF" w:rsidR="0078085C" w:rsidRPr="00166B38" w:rsidRDefault="0078085C" w:rsidP="004B6995">
            <w:pPr>
              <w:spacing w:after="0" w:line="240" w:lineRule="auto"/>
              <w:jc w:val="left"/>
              <w:rPr>
                <w:rFonts w:eastAsia="Times New Roman" w:cs="Times New Roman"/>
                <w:color w:val="000000"/>
                <w:sz w:val="18"/>
                <w:szCs w:val="18"/>
                <w:lang w:eastAsia="sk-SK"/>
              </w:rPr>
            </w:pPr>
            <w:r w:rsidRPr="00166B38">
              <w:rPr>
                <w:rFonts w:eastAsia="Times New Roman" w:cs="Times New Roman"/>
                <w:color w:val="000000"/>
                <w:sz w:val="18"/>
                <w:szCs w:val="18"/>
                <w:lang w:eastAsia="sk-SK"/>
              </w:rPr>
              <w:t>budov, objektov a ich častí</w:t>
            </w:r>
          </w:p>
        </w:tc>
        <w:tc>
          <w:tcPr>
            <w:tcW w:w="968" w:type="dxa"/>
            <w:tcBorders>
              <w:top w:val="nil"/>
              <w:left w:val="nil"/>
              <w:bottom w:val="nil"/>
              <w:right w:val="nil"/>
            </w:tcBorders>
            <w:shd w:val="clear" w:color="auto" w:fill="auto"/>
            <w:noWrap/>
            <w:vAlign w:val="center"/>
            <w:hideMark/>
          </w:tcPr>
          <w:p w14:paraId="0ADE4A44"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12 734</w:t>
            </w:r>
          </w:p>
        </w:tc>
        <w:tc>
          <w:tcPr>
            <w:tcW w:w="960" w:type="dxa"/>
            <w:tcBorders>
              <w:top w:val="nil"/>
              <w:left w:val="nil"/>
              <w:bottom w:val="nil"/>
              <w:right w:val="nil"/>
            </w:tcBorders>
            <w:shd w:val="clear" w:color="auto" w:fill="auto"/>
            <w:noWrap/>
            <w:vAlign w:val="center"/>
            <w:hideMark/>
          </w:tcPr>
          <w:p w14:paraId="0CD3BACB"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73 698</w:t>
            </w:r>
          </w:p>
        </w:tc>
        <w:tc>
          <w:tcPr>
            <w:tcW w:w="950" w:type="dxa"/>
            <w:tcBorders>
              <w:top w:val="nil"/>
              <w:left w:val="nil"/>
              <w:bottom w:val="nil"/>
              <w:right w:val="nil"/>
            </w:tcBorders>
            <w:shd w:val="clear" w:color="auto" w:fill="auto"/>
            <w:noWrap/>
            <w:vAlign w:val="center"/>
            <w:hideMark/>
          </w:tcPr>
          <w:p w14:paraId="31B1B80B"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6 967</w:t>
            </w:r>
          </w:p>
        </w:tc>
        <w:tc>
          <w:tcPr>
            <w:tcW w:w="1066" w:type="dxa"/>
            <w:tcBorders>
              <w:top w:val="nil"/>
              <w:left w:val="nil"/>
              <w:bottom w:val="nil"/>
              <w:right w:val="nil"/>
            </w:tcBorders>
            <w:shd w:val="clear" w:color="000000" w:fill="BFBFBF"/>
            <w:noWrap/>
            <w:vAlign w:val="center"/>
            <w:hideMark/>
          </w:tcPr>
          <w:p w14:paraId="09EE3D9D"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7 109</w:t>
            </w:r>
          </w:p>
        </w:tc>
        <w:tc>
          <w:tcPr>
            <w:tcW w:w="992" w:type="dxa"/>
            <w:tcBorders>
              <w:top w:val="nil"/>
              <w:left w:val="nil"/>
              <w:bottom w:val="nil"/>
              <w:right w:val="nil"/>
            </w:tcBorders>
            <w:shd w:val="clear" w:color="auto" w:fill="auto"/>
            <w:noWrap/>
            <w:vAlign w:val="center"/>
            <w:hideMark/>
          </w:tcPr>
          <w:p w14:paraId="13BE6BAE"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142</w:t>
            </w:r>
          </w:p>
        </w:tc>
        <w:tc>
          <w:tcPr>
            <w:tcW w:w="709" w:type="dxa"/>
            <w:gridSpan w:val="2"/>
            <w:tcBorders>
              <w:top w:val="nil"/>
              <w:left w:val="nil"/>
              <w:bottom w:val="nil"/>
              <w:right w:val="nil"/>
            </w:tcBorders>
            <w:shd w:val="clear" w:color="auto" w:fill="auto"/>
            <w:noWrap/>
            <w:vAlign w:val="center"/>
            <w:hideMark/>
          </w:tcPr>
          <w:p w14:paraId="0B35BC2B"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-91</w:t>
            </w:r>
          </w:p>
        </w:tc>
      </w:tr>
      <w:tr w:rsidR="0078085C" w:rsidRPr="00166B38" w14:paraId="19D45A3D" w14:textId="77777777" w:rsidTr="00166B38">
        <w:trPr>
          <w:gridAfter w:val="1"/>
          <w:wAfter w:w="9" w:type="dxa"/>
          <w:trHeight w:val="300"/>
        </w:trPr>
        <w:tc>
          <w:tcPr>
            <w:tcW w:w="3427" w:type="dxa"/>
            <w:tcBorders>
              <w:top w:val="nil"/>
              <w:left w:val="nil"/>
              <w:bottom w:val="nil"/>
              <w:right w:val="nil"/>
            </w:tcBorders>
            <w:shd w:val="clear" w:color="auto" w:fill="auto"/>
            <w:vAlign w:val="center"/>
            <w:hideMark/>
          </w:tcPr>
          <w:p w14:paraId="071AAB44" w14:textId="77777777" w:rsidR="0078085C" w:rsidRPr="00166B38" w:rsidRDefault="0078085C" w:rsidP="004B6995">
            <w:pPr>
              <w:spacing w:after="0" w:line="240" w:lineRule="auto"/>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Kapitálové transfery</w:t>
            </w:r>
          </w:p>
        </w:tc>
        <w:tc>
          <w:tcPr>
            <w:tcW w:w="968" w:type="dxa"/>
            <w:tcBorders>
              <w:top w:val="nil"/>
              <w:left w:val="nil"/>
              <w:bottom w:val="nil"/>
              <w:right w:val="nil"/>
            </w:tcBorders>
            <w:shd w:val="clear" w:color="auto" w:fill="auto"/>
            <w:noWrap/>
            <w:vAlign w:val="center"/>
            <w:hideMark/>
          </w:tcPr>
          <w:p w14:paraId="2528F4DF" w14:textId="77777777" w:rsidR="0078085C" w:rsidRPr="00166B38" w:rsidRDefault="0078085C" w:rsidP="004B6995">
            <w:pPr>
              <w:spacing w:after="0" w:line="240" w:lineRule="auto"/>
              <w:jc w:val="right"/>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1 681 176</w:t>
            </w:r>
          </w:p>
        </w:tc>
        <w:tc>
          <w:tcPr>
            <w:tcW w:w="960" w:type="dxa"/>
            <w:tcBorders>
              <w:top w:val="nil"/>
              <w:left w:val="nil"/>
              <w:bottom w:val="nil"/>
              <w:right w:val="nil"/>
            </w:tcBorders>
            <w:shd w:val="clear" w:color="auto" w:fill="auto"/>
            <w:noWrap/>
            <w:vAlign w:val="center"/>
            <w:hideMark/>
          </w:tcPr>
          <w:p w14:paraId="2F46C616" w14:textId="77777777" w:rsidR="0078085C" w:rsidRPr="00166B38" w:rsidRDefault="0078085C" w:rsidP="004B6995">
            <w:pPr>
              <w:spacing w:after="0" w:line="240" w:lineRule="auto"/>
              <w:jc w:val="right"/>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1 762 451</w:t>
            </w:r>
          </w:p>
        </w:tc>
        <w:tc>
          <w:tcPr>
            <w:tcW w:w="950" w:type="dxa"/>
            <w:tcBorders>
              <w:top w:val="nil"/>
              <w:left w:val="nil"/>
              <w:bottom w:val="nil"/>
              <w:right w:val="nil"/>
            </w:tcBorders>
            <w:shd w:val="clear" w:color="auto" w:fill="auto"/>
            <w:noWrap/>
            <w:vAlign w:val="center"/>
            <w:hideMark/>
          </w:tcPr>
          <w:p w14:paraId="492A00E0" w14:textId="77777777" w:rsidR="0078085C" w:rsidRPr="00166B38" w:rsidRDefault="0078085C" w:rsidP="004B6995">
            <w:pPr>
              <w:spacing w:after="0" w:line="240" w:lineRule="auto"/>
              <w:jc w:val="right"/>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841 627</w:t>
            </w:r>
          </w:p>
        </w:tc>
        <w:tc>
          <w:tcPr>
            <w:tcW w:w="1066" w:type="dxa"/>
            <w:tcBorders>
              <w:top w:val="nil"/>
              <w:left w:val="nil"/>
              <w:bottom w:val="nil"/>
              <w:right w:val="nil"/>
            </w:tcBorders>
            <w:shd w:val="clear" w:color="000000" w:fill="BFBFBF"/>
            <w:noWrap/>
            <w:vAlign w:val="center"/>
            <w:hideMark/>
          </w:tcPr>
          <w:p w14:paraId="6B7064C5" w14:textId="77777777" w:rsidR="0078085C" w:rsidRPr="00166B38" w:rsidRDefault="0078085C" w:rsidP="004B6995">
            <w:pPr>
              <w:spacing w:after="0" w:line="240" w:lineRule="auto"/>
              <w:jc w:val="right"/>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1 608 534</w:t>
            </w:r>
          </w:p>
        </w:tc>
        <w:tc>
          <w:tcPr>
            <w:tcW w:w="992" w:type="dxa"/>
            <w:tcBorders>
              <w:top w:val="nil"/>
              <w:left w:val="nil"/>
              <w:bottom w:val="nil"/>
              <w:right w:val="nil"/>
            </w:tcBorders>
            <w:shd w:val="clear" w:color="auto" w:fill="auto"/>
            <w:noWrap/>
            <w:vAlign w:val="center"/>
            <w:hideMark/>
          </w:tcPr>
          <w:p w14:paraId="51D6B9C6" w14:textId="77777777" w:rsidR="0078085C" w:rsidRPr="00166B38" w:rsidRDefault="0078085C" w:rsidP="004B6995">
            <w:pPr>
              <w:spacing w:after="0" w:line="240" w:lineRule="auto"/>
              <w:jc w:val="right"/>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766 907</w:t>
            </w:r>
          </w:p>
        </w:tc>
        <w:tc>
          <w:tcPr>
            <w:tcW w:w="709" w:type="dxa"/>
            <w:gridSpan w:val="2"/>
            <w:tcBorders>
              <w:top w:val="nil"/>
              <w:left w:val="nil"/>
              <w:bottom w:val="nil"/>
              <w:right w:val="nil"/>
            </w:tcBorders>
            <w:shd w:val="clear" w:color="auto" w:fill="auto"/>
            <w:noWrap/>
            <w:vAlign w:val="center"/>
            <w:hideMark/>
          </w:tcPr>
          <w:p w14:paraId="35A1C376" w14:textId="77777777" w:rsidR="0078085C" w:rsidRPr="00166B38" w:rsidRDefault="0078085C" w:rsidP="004B6995">
            <w:pPr>
              <w:spacing w:after="0" w:line="240" w:lineRule="auto"/>
              <w:jc w:val="right"/>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-52</w:t>
            </w:r>
          </w:p>
        </w:tc>
      </w:tr>
      <w:tr w:rsidR="0078085C" w:rsidRPr="00166B38" w14:paraId="0EAD6C4D" w14:textId="77777777" w:rsidTr="00166B38">
        <w:trPr>
          <w:gridAfter w:val="1"/>
          <w:wAfter w:w="9" w:type="dxa"/>
          <w:trHeight w:val="300"/>
        </w:trPr>
        <w:tc>
          <w:tcPr>
            <w:tcW w:w="3427" w:type="dxa"/>
            <w:tcBorders>
              <w:top w:val="nil"/>
              <w:left w:val="nil"/>
              <w:bottom w:val="nil"/>
              <w:right w:val="nil"/>
            </w:tcBorders>
            <w:shd w:val="clear" w:color="auto" w:fill="auto"/>
            <w:vAlign w:val="center"/>
            <w:hideMark/>
          </w:tcPr>
          <w:p w14:paraId="02969DDF" w14:textId="77777777" w:rsidR="0078085C" w:rsidRPr="00166B38" w:rsidRDefault="0078085C" w:rsidP="004B6995">
            <w:pPr>
              <w:spacing w:after="0" w:line="240" w:lineRule="auto"/>
              <w:jc w:val="left"/>
              <w:rPr>
                <w:rFonts w:eastAsia="Times New Roman" w:cs="Times New Roman"/>
                <w:color w:val="000000"/>
                <w:sz w:val="18"/>
                <w:szCs w:val="18"/>
                <w:lang w:eastAsia="sk-SK"/>
              </w:rPr>
            </w:pPr>
            <w:r w:rsidRPr="00166B38">
              <w:rPr>
                <w:rFonts w:eastAsia="Times New Roman" w:cs="Times New Roman"/>
                <w:color w:val="000000"/>
                <w:sz w:val="18"/>
                <w:szCs w:val="18"/>
                <w:lang w:eastAsia="sk-SK"/>
              </w:rPr>
              <w:t>v rámci verejnej správy</w:t>
            </w:r>
          </w:p>
        </w:tc>
        <w:tc>
          <w:tcPr>
            <w:tcW w:w="968" w:type="dxa"/>
            <w:tcBorders>
              <w:top w:val="nil"/>
              <w:left w:val="nil"/>
              <w:bottom w:val="nil"/>
              <w:right w:val="nil"/>
            </w:tcBorders>
            <w:shd w:val="clear" w:color="auto" w:fill="auto"/>
            <w:noWrap/>
            <w:vAlign w:val="center"/>
            <w:hideMark/>
          </w:tcPr>
          <w:p w14:paraId="673320F7"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1 319 259</w:t>
            </w:r>
          </w:p>
        </w:tc>
        <w:tc>
          <w:tcPr>
            <w:tcW w:w="960" w:type="dxa"/>
            <w:tcBorders>
              <w:top w:val="nil"/>
              <w:left w:val="nil"/>
              <w:bottom w:val="nil"/>
              <w:right w:val="nil"/>
            </w:tcBorders>
            <w:shd w:val="clear" w:color="auto" w:fill="auto"/>
            <w:noWrap/>
            <w:vAlign w:val="center"/>
            <w:hideMark/>
          </w:tcPr>
          <w:p w14:paraId="2F84A356"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1 228 162</w:t>
            </w:r>
          </w:p>
        </w:tc>
        <w:tc>
          <w:tcPr>
            <w:tcW w:w="950" w:type="dxa"/>
            <w:tcBorders>
              <w:top w:val="nil"/>
              <w:left w:val="nil"/>
              <w:bottom w:val="nil"/>
              <w:right w:val="nil"/>
            </w:tcBorders>
            <w:shd w:val="clear" w:color="auto" w:fill="auto"/>
            <w:noWrap/>
            <w:vAlign w:val="center"/>
            <w:hideMark/>
          </w:tcPr>
          <w:p w14:paraId="0E7AF189"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257 857</w:t>
            </w:r>
          </w:p>
        </w:tc>
        <w:tc>
          <w:tcPr>
            <w:tcW w:w="1066" w:type="dxa"/>
            <w:tcBorders>
              <w:top w:val="nil"/>
              <w:left w:val="nil"/>
              <w:bottom w:val="nil"/>
              <w:right w:val="nil"/>
            </w:tcBorders>
            <w:shd w:val="clear" w:color="000000" w:fill="BFBFBF"/>
            <w:noWrap/>
            <w:vAlign w:val="center"/>
            <w:hideMark/>
          </w:tcPr>
          <w:p w14:paraId="1D90DFB3"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1 188 889</w:t>
            </w:r>
          </w:p>
        </w:tc>
        <w:tc>
          <w:tcPr>
            <w:tcW w:w="992" w:type="dxa"/>
            <w:tcBorders>
              <w:top w:val="nil"/>
              <w:left w:val="nil"/>
              <w:bottom w:val="nil"/>
              <w:right w:val="nil"/>
            </w:tcBorders>
            <w:shd w:val="clear" w:color="auto" w:fill="auto"/>
            <w:noWrap/>
            <w:vAlign w:val="center"/>
            <w:hideMark/>
          </w:tcPr>
          <w:p w14:paraId="59E2A214"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931 032</w:t>
            </w:r>
          </w:p>
        </w:tc>
        <w:tc>
          <w:tcPr>
            <w:tcW w:w="709" w:type="dxa"/>
            <w:gridSpan w:val="2"/>
            <w:tcBorders>
              <w:top w:val="nil"/>
              <w:left w:val="nil"/>
              <w:bottom w:val="nil"/>
              <w:right w:val="nil"/>
            </w:tcBorders>
            <w:shd w:val="clear" w:color="auto" w:fill="auto"/>
            <w:noWrap/>
            <w:vAlign w:val="center"/>
            <w:hideMark/>
          </w:tcPr>
          <w:p w14:paraId="6670C11D"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-79</w:t>
            </w:r>
          </w:p>
        </w:tc>
      </w:tr>
      <w:tr w:rsidR="0078085C" w:rsidRPr="00166B38" w14:paraId="58752DC3" w14:textId="77777777" w:rsidTr="00166B38">
        <w:trPr>
          <w:gridAfter w:val="1"/>
          <w:wAfter w:w="9" w:type="dxa"/>
          <w:trHeight w:val="300"/>
        </w:trPr>
        <w:tc>
          <w:tcPr>
            <w:tcW w:w="3427" w:type="dxa"/>
            <w:tcBorders>
              <w:top w:val="nil"/>
              <w:left w:val="nil"/>
              <w:bottom w:val="nil"/>
              <w:right w:val="nil"/>
            </w:tcBorders>
            <w:shd w:val="clear" w:color="auto" w:fill="auto"/>
            <w:vAlign w:val="center"/>
            <w:hideMark/>
          </w:tcPr>
          <w:p w14:paraId="2E2075A1" w14:textId="77777777" w:rsidR="0078085C" w:rsidRPr="00166B38" w:rsidRDefault="0078085C" w:rsidP="004B6995">
            <w:pPr>
              <w:spacing w:after="0" w:line="240" w:lineRule="auto"/>
              <w:jc w:val="left"/>
              <w:rPr>
                <w:rFonts w:eastAsia="Times New Roman" w:cs="Times New Roman"/>
                <w:color w:val="000000"/>
                <w:sz w:val="18"/>
                <w:szCs w:val="18"/>
                <w:lang w:eastAsia="sk-SK"/>
              </w:rPr>
            </w:pPr>
            <w:r w:rsidRPr="00166B38">
              <w:rPr>
                <w:rFonts w:eastAsia="Times New Roman" w:cs="Times New Roman"/>
                <w:color w:val="000000"/>
                <w:sz w:val="18"/>
                <w:szCs w:val="18"/>
                <w:lang w:eastAsia="sk-SK"/>
              </w:rPr>
              <w:t xml:space="preserve">nefinančným subjektom </w:t>
            </w:r>
          </w:p>
        </w:tc>
        <w:tc>
          <w:tcPr>
            <w:tcW w:w="968" w:type="dxa"/>
            <w:tcBorders>
              <w:top w:val="nil"/>
              <w:left w:val="nil"/>
              <w:bottom w:val="nil"/>
              <w:right w:val="nil"/>
            </w:tcBorders>
            <w:shd w:val="clear" w:color="auto" w:fill="auto"/>
            <w:noWrap/>
            <w:vAlign w:val="center"/>
            <w:hideMark/>
          </w:tcPr>
          <w:p w14:paraId="2E4D690C"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331 578</w:t>
            </w:r>
          </w:p>
        </w:tc>
        <w:tc>
          <w:tcPr>
            <w:tcW w:w="960" w:type="dxa"/>
            <w:tcBorders>
              <w:top w:val="nil"/>
              <w:left w:val="nil"/>
              <w:bottom w:val="nil"/>
              <w:right w:val="nil"/>
            </w:tcBorders>
            <w:shd w:val="clear" w:color="auto" w:fill="auto"/>
            <w:noWrap/>
            <w:vAlign w:val="center"/>
            <w:hideMark/>
          </w:tcPr>
          <w:p w14:paraId="6AC3B6BE"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465 570</w:t>
            </w:r>
          </w:p>
        </w:tc>
        <w:tc>
          <w:tcPr>
            <w:tcW w:w="950" w:type="dxa"/>
            <w:tcBorders>
              <w:top w:val="nil"/>
              <w:left w:val="nil"/>
              <w:bottom w:val="nil"/>
              <w:right w:val="nil"/>
            </w:tcBorders>
            <w:shd w:val="clear" w:color="auto" w:fill="auto"/>
            <w:noWrap/>
            <w:vAlign w:val="center"/>
            <w:hideMark/>
          </w:tcPr>
          <w:p w14:paraId="71467881"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534 565</w:t>
            </w:r>
          </w:p>
        </w:tc>
        <w:tc>
          <w:tcPr>
            <w:tcW w:w="1066" w:type="dxa"/>
            <w:tcBorders>
              <w:top w:val="nil"/>
              <w:left w:val="nil"/>
              <w:bottom w:val="nil"/>
              <w:right w:val="nil"/>
            </w:tcBorders>
            <w:shd w:val="clear" w:color="000000" w:fill="BFBFBF"/>
            <w:noWrap/>
            <w:vAlign w:val="center"/>
            <w:hideMark/>
          </w:tcPr>
          <w:p w14:paraId="3789D2C4"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354 849</w:t>
            </w:r>
          </w:p>
        </w:tc>
        <w:tc>
          <w:tcPr>
            <w:tcW w:w="992" w:type="dxa"/>
            <w:tcBorders>
              <w:top w:val="nil"/>
              <w:left w:val="nil"/>
              <w:bottom w:val="nil"/>
              <w:right w:val="nil"/>
            </w:tcBorders>
            <w:shd w:val="clear" w:color="auto" w:fill="auto"/>
            <w:noWrap/>
            <w:vAlign w:val="center"/>
            <w:hideMark/>
          </w:tcPr>
          <w:p w14:paraId="3D67843E"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-179 716</w:t>
            </w:r>
          </w:p>
        </w:tc>
        <w:tc>
          <w:tcPr>
            <w:tcW w:w="709" w:type="dxa"/>
            <w:gridSpan w:val="2"/>
            <w:tcBorders>
              <w:top w:val="nil"/>
              <w:left w:val="nil"/>
              <w:bottom w:val="nil"/>
              <w:right w:val="nil"/>
            </w:tcBorders>
            <w:shd w:val="clear" w:color="auto" w:fill="auto"/>
            <w:noWrap/>
            <w:vAlign w:val="center"/>
            <w:hideMark/>
          </w:tcPr>
          <w:p w14:paraId="47490C99"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15</w:t>
            </w:r>
          </w:p>
        </w:tc>
      </w:tr>
      <w:tr w:rsidR="0078085C" w:rsidRPr="00166B38" w14:paraId="6C390B72" w14:textId="77777777" w:rsidTr="00166B38">
        <w:trPr>
          <w:gridAfter w:val="1"/>
          <w:wAfter w:w="9" w:type="dxa"/>
          <w:trHeight w:val="480"/>
        </w:trPr>
        <w:tc>
          <w:tcPr>
            <w:tcW w:w="3427" w:type="dxa"/>
            <w:tcBorders>
              <w:top w:val="nil"/>
              <w:left w:val="nil"/>
              <w:bottom w:val="nil"/>
              <w:right w:val="nil"/>
            </w:tcBorders>
            <w:shd w:val="clear" w:color="auto" w:fill="auto"/>
            <w:vAlign w:val="center"/>
            <w:hideMark/>
          </w:tcPr>
          <w:p w14:paraId="22696610" w14:textId="77777777" w:rsidR="0078085C" w:rsidRPr="00166B38" w:rsidRDefault="0078085C" w:rsidP="004B6995">
            <w:pPr>
              <w:spacing w:after="0" w:line="240" w:lineRule="auto"/>
              <w:jc w:val="left"/>
              <w:rPr>
                <w:rFonts w:eastAsia="Times New Roman" w:cs="Times New Roman"/>
                <w:color w:val="000000"/>
                <w:sz w:val="18"/>
                <w:szCs w:val="18"/>
                <w:lang w:eastAsia="sk-SK"/>
              </w:rPr>
            </w:pPr>
            <w:r w:rsidRPr="00166B38">
              <w:rPr>
                <w:rFonts w:eastAsia="Times New Roman" w:cs="Times New Roman"/>
                <w:color w:val="000000"/>
                <w:sz w:val="18"/>
                <w:szCs w:val="18"/>
                <w:lang w:eastAsia="sk-SK"/>
              </w:rPr>
              <w:t>jednotlivcom a neziskovým právnickým osobám</w:t>
            </w:r>
          </w:p>
        </w:tc>
        <w:tc>
          <w:tcPr>
            <w:tcW w:w="968" w:type="dxa"/>
            <w:tcBorders>
              <w:top w:val="nil"/>
              <w:left w:val="nil"/>
              <w:bottom w:val="nil"/>
              <w:right w:val="nil"/>
            </w:tcBorders>
            <w:shd w:val="clear" w:color="auto" w:fill="auto"/>
            <w:noWrap/>
            <w:vAlign w:val="center"/>
            <w:hideMark/>
          </w:tcPr>
          <w:p w14:paraId="407D2D95"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22 417</w:t>
            </w:r>
          </w:p>
        </w:tc>
        <w:tc>
          <w:tcPr>
            <w:tcW w:w="960" w:type="dxa"/>
            <w:tcBorders>
              <w:top w:val="nil"/>
              <w:left w:val="nil"/>
              <w:bottom w:val="nil"/>
              <w:right w:val="nil"/>
            </w:tcBorders>
            <w:shd w:val="clear" w:color="auto" w:fill="auto"/>
            <w:noWrap/>
            <w:vAlign w:val="center"/>
            <w:hideMark/>
          </w:tcPr>
          <w:p w14:paraId="1D4A88B2"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65 711</w:t>
            </w:r>
          </w:p>
        </w:tc>
        <w:tc>
          <w:tcPr>
            <w:tcW w:w="950" w:type="dxa"/>
            <w:tcBorders>
              <w:top w:val="nil"/>
              <w:left w:val="nil"/>
              <w:bottom w:val="nil"/>
              <w:right w:val="nil"/>
            </w:tcBorders>
            <w:shd w:val="clear" w:color="auto" w:fill="auto"/>
            <w:noWrap/>
            <w:vAlign w:val="center"/>
            <w:hideMark/>
          </w:tcPr>
          <w:p w14:paraId="4F6AC6CA"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49 205</w:t>
            </w:r>
          </w:p>
        </w:tc>
        <w:tc>
          <w:tcPr>
            <w:tcW w:w="1066" w:type="dxa"/>
            <w:tcBorders>
              <w:top w:val="nil"/>
              <w:left w:val="nil"/>
              <w:bottom w:val="nil"/>
              <w:right w:val="nil"/>
            </w:tcBorders>
            <w:shd w:val="clear" w:color="000000" w:fill="BFBFBF"/>
            <w:noWrap/>
            <w:vAlign w:val="center"/>
            <w:hideMark/>
          </w:tcPr>
          <w:p w14:paraId="4E592114"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59 182</w:t>
            </w:r>
          </w:p>
        </w:tc>
        <w:tc>
          <w:tcPr>
            <w:tcW w:w="992" w:type="dxa"/>
            <w:tcBorders>
              <w:top w:val="nil"/>
              <w:left w:val="nil"/>
              <w:bottom w:val="nil"/>
              <w:right w:val="nil"/>
            </w:tcBorders>
            <w:shd w:val="clear" w:color="auto" w:fill="auto"/>
            <w:noWrap/>
            <w:vAlign w:val="center"/>
            <w:hideMark/>
          </w:tcPr>
          <w:p w14:paraId="4C56D31B"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9 977</w:t>
            </w:r>
          </w:p>
        </w:tc>
        <w:tc>
          <w:tcPr>
            <w:tcW w:w="709" w:type="dxa"/>
            <w:gridSpan w:val="2"/>
            <w:tcBorders>
              <w:top w:val="nil"/>
              <w:left w:val="nil"/>
              <w:bottom w:val="nil"/>
              <w:right w:val="nil"/>
            </w:tcBorders>
            <w:shd w:val="clear" w:color="auto" w:fill="auto"/>
            <w:noWrap/>
            <w:vAlign w:val="center"/>
            <w:hideMark/>
          </w:tcPr>
          <w:p w14:paraId="39EDA0A7"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-25</w:t>
            </w:r>
          </w:p>
        </w:tc>
      </w:tr>
      <w:tr w:rsidR="0078085C" w:rsidRPr="00166B38" w14:paraId="667ED4AA" w14:textId="77777777" w:rsidTr="00166B38">
        <w:trPr>
          <w:gridAfter w:val="1"/>
          <w:wAfter w:w="9" w:type="dxa"/>
          <w:trHeight w:val="300"/>
        </w:trPr>
        <w:tc>
          <w:tcPr>
            <w:tcW w:w="3427" w:type="dxa"/>
            <w:tcBorders>
              <w:top w:val="nil"/>
              <w:left w:val="nil"/>
              <w:bottom w:val="nil"/>
              <w:right w:val="nil"/>
            </w:tcBorders>
            <w:shd w:val="clear" w:color="auto" w:fill="auto"/>
            <w:vAlign w:val="center"/>
            <w:hideMark/>
          </w:tcPr>
          <w:p w14:paraId="6378FA04" w14:textId="77777777" w:rsidR="0078085C" w:rsidRPr="00166B38" w:rsidRDefault="0078085C" w:rsidP="004B6995">
            <w:pPr>
              <w:spacing w:after="0" w:line="240" w:lineRule="auto"/>
              <w:jc w:val="left"/>
              <w:rPr>
                <w:rFonts w:eastAsia="Times New Roman" w:cs="Times New Roman"/>
                <w:color w:val="000000"/>
                <w:sz w:val="18"/>
                <w:szCs w:val="18"/>
                <w:lang w:eastAsia="sk-SK"/>
              </w:rPr>
            </w:pPr>
            <w:r w:rsidRPr="00166B38">
              <w:rPr>
                <w:rFonts w:eastAsia="Times New Roman" w:cs="Times New Roman"/>
                <w:color w:val="000000"/>
                <w:sz w:val="18"/>
                <w:szCs w:val="18"/>
                <w:lang w:eastAsia="sk-SK"/>
              </w:rPr>
              <w:t>do zahraničia</w:t>
            </w:r>
          </w:p>
        </w:tc>
        <w:tc>
          <w:tcPr>
            <w:tcW w:w="968" w:type="dxa"/>
            <w:tcBorders>
              <w:top w:val="nil"/>
              <w:left w:val="nil"/>
              <w:bottom w:val="nil"/>
              <w:right w:val="nil"/>
            </w:tcBorders>
            <w:shd w:val="clear" w:color="auto" w:fill="auto"/>
            <w:noWrap/>
            <w:vAlign w:val="center"/>
            <w:hideMark/>
          </w:tcPr>
          <w:p w14:paraId="331C50FB"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275</w:t>
            </w:r>
          </w:p>
        </w:tc>
        <w:tc>
          <w:tcPr>
            <w:tcW w:w="960" w:type="dxa"/>
            <w:tcBorders>
              <w:top w:val="nil"/>
              <w:left w:val="nil"/>
              <w:bottom w:val="nil"/>
              <w:right w:val="nil"/>
            </w:tcBorders>
            <w:shd w:val="clear" w:color="auto" w:fill="auto"/>
            <w:noWrap/>
            <w:vAlign w:val="center"/>
            <w:hideMark/>
          </w:tcPr>
          <w:p w14:paraId="605B8BBE"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3 008</w:t>
            </w:r>
          </w:p>
        </w:tc>
        <w:tc>
          <w:tcPr>
            <w:tcW w:w="950" w:type="dxa"/>
            <w:tcBorders>
              <w:top w:val="nil"/>
              <w:left w:val="nil"/>
              <w:bottom w:val="nil"/>
              <w:right w:val="nil"/>
            </w:tcBorders>
            <w:shd w:val="clear" w:color="auto" w:fill="auto"/>
            <w:noWrap/>
            <w:vAlign w:val="center"/>
            <w:hideMark/>
          </w:tcPr>
          <w:p w14:paraId="330CDAB5"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0</w:t>
            </w:r>
          </w:p>
        </w:tc>
        <w:tc>
          <w:tcPr>
            <w:tcW w:w="1066" w:type="dxa"/>
            <w:tcBorders>
              <w:top w:val="nil"/>
              <w:left w:val="nil"/>
              <w:bottom w:val="nil"/>
              <w:right w:val="nil"/>
            </w:tcBorders>
            <w:shd w:val="clear" w:color="000000" w:fill="BFBFBF"/>
            <w:noWrap/>
            <w:vAlign w:val="center"/>
            <w:hideMark/>
          </w:tcPr>
          <w:p w14:paraId="0F2F0DB3"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5 614</w:t>
            </w:r>
          </w:p>
        </w:tc>
        <w:tc>
          <w:tcPr>
            <w:tcW w:w="992" w:type="dxa"/>
            <w:tcBorders>
              <w:top w:val="nil"/>
              <w:left w:val="nil"/>
              <w:bottom w:val="nil"/>
              <w:right w:val="nil"/>
            </w:tcBorders>
            <w:shd w:val="clear" w:color="auto" w:fill="auto"/>
            <w:noWrap/>
            <w:vAlign w:val="center"/>
            <w:hideMark/>
          </w:tcPr>
          <w:p w14:paraId="1B2D4B7F"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5 614</w:t>
            </w:r>
          </w:p>
        </w:tc>
        <w:tc>
          <w:tcPr>
            <w:tcW w:w="709" w:type="dxa"/>
            <w:gridSpan w:val="2"/>
            <w:tcBorders>
              <w:top w:val="nil"/>
              <w:left w:val="nil"/>
              <w:bottom w:val="nil"/>
              <w:right w:val="nil"/>
            </w:tcBorders>
            <w:shd w:val="clear" w:color="auto" w:fill="auto"/>
            <w:noWrap/>
            <w:vAlign w:val="center"/>
            <w:hideMark/>
          </w:tcPr>
          <w:p w14:paraId="33B5F4D8"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0</w:t>
            </w:r>
          </w:p>
        </w:tc>
      </w:tr>
      <w:tr w:rsidR="0078085C" w:rsidRPr="00166B38" w14:paraId="71B769BE" w14:textId="77777777" w:rsidTr="00166B38">
        <w:trPr>
          <w:gridAfter w:val="1"/>
          <w:wAfter w:w="9" w:type="dxa"/>
          <w:trHeight w:val="315"/>
        </w:trPr>
        <w:tc>
          <w:tcPr>
            <w:tcW w:w="3427" w:type="dxa"/>
            <w:tcBorders>
              <w:top w:val="nil"/>
              <w:left w:val="nil"/>
              <w:bottom w:val="single" w:sz="8" w:space="0" w:color="auto"/>
              <w:right w:val="nil"/>
            </w:tcBorders>
            <w:shd w:val="clear" w:color="auto" w:fill="auto"/>
            <w:vAlign w:val="center"/>
            <w:hideMark/>
          </w:tcPr>
          <w:p w14:paraId="2AB16190" w14:textId="77777777" w:rsidR="0078085C" w:rsidRPr="00166B38" w:rsidRDefault="0078085C" w:rsidP="004B6995">
            <w:pPr>
              <w:spacing w:after="0" w:line="240" w:lineRule="auto"/>
              <w:jc w:val="left"/>
              <w:rPr>
                <w:rFonts w:eastAsia="Times New Roman" w:cs="Times New Roman"/>
                <w:color w:val="000000"/>
                <w:sz w:val="18"/>
                <w:szCs w:val="18"/>
                <w:lang w:eastAsia="sk-SK"/>
              </w:rPr>
            </w:pPr>
            <w:r w:rsidRPr="00166B38">
              <w:rPr>
                <w:rFonts w:eastAsia="Times New Roman" w:cs="Times New Roman"/>
                <w:color w:val="000000"/>
                <w:sz w:val="18"/>
                <w:szCs w:val="18"/>
                <w:lang w:eastAsia="sk-SK"/>
              </w:rPr>
              <w:t>transfery finančným inštitúciám</w:t>
            </w:r>
          </w:p>
        </w:tc>
        <w:tc>
          <w:tcPr>
            <w:tcW w:w="968" w:type="dxa"/>
            <w:tcBorders>
              <w:top w:val="nil"/>
              <w:left w:val="nil"/>
              <w:bottom w:val="single" w:sz="8" w:space="0" w:color="auto"/>
              <w:right w:val="nil"/>
            </w:tcBorders>
            <w:shd w:val="clear" w:color="auto" w:fill="auto"/>
            <w:noWrap/>
            <w:vAlign w:val="center"/>
            <w:hideMark/>
          </w:tcPr>
          <w:p w14:paraId="71F8A90D"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7 647</w:t>
            </w:r>
          </w:p>
        </w:tc>
        <w:tc>
          <w:tcPr>
            <w:tcW w:w="960" w:type="dxa"/>
            <w:tcBorders>
              <w:top w:val="nil"/>
              <w:left w:val="nil"/>
              <w:bottom w:val="single" w:sz="8" w:space="0" w:color="auto"/>
              <w:right w:val="nil"/>
            </w:tcBorders>
            <w:shd w:val="clear" w:color="auto" w:fill="auto"/>
            <w:noWrap/>
            <w:vAlign w:val="center"/>
            <w:hideMark/>
          </w:tcPr>
          <w:p w14:paraId="6B7A4C75"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0</w:t>
            </w:r>
          </w:p>
        </w:tc>
        <w:tc>
          <w:tcPr>
            <w:tcW w:w="950" w:type="dxa"/>
            <w:tcBorders>
              <w:top w:val="nil"/>
              <w:left w:val="nil"/>
              <w:bottom w:val="single" w:sz="8" w:space="0" w:color="auto"/>
              <w:right w:val="nil"/>
            </w:tcBorders>
            <w:shd w:val="clear" w:color="auto" w:fill="auto"/>
            <w:noWrap/>
            <w:vAlign w:val="center"/>
            <w:hideMark/>
          </w:tcPr>
          <w:p w14:paraId="4DD424B5"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0</w:t>
            </w:r>
          </w:p>
        </w:tc>
        <w:tc>
          <w:tcPr>
            <w:tcW w:w="1066" w:type="dxa"/>
            <w:tcBorders>
              <w:top w:val="nil"/>
              <w:left w:val="nil"/>
              <w:bottom w:val="single" w:sz="8" w:space="0" w:color="auto"/>
              <w:right w:val="nil"/>
            </w:tcBorders>
            <w:shd w:val="clear" w:color="000000" w:fill="BFBFBF"/>
            <w:noWrap/>
            <w:vAlign w:val="center"/>
            <w:hideMark/>
          </w:tcPr>
          <w:p w14:paraId="5E910580"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0</w:t>
            </w:r>
          </w:p>
        </w:tc>
        <w:tc>
          <w:tcPr>
            <w:tcW w:w="992" w:type="dxa"/>
            <w:tcBorders>
              <w:top w:val="nil"/>
              <w:left w:val="nil"/>
              <w:bottom w:val="single" w:sz="8" w:space="0" w:color="auto"/>
              <w:right w:val="nil"/>
            </w:tcBorders>
            <w:shd w:val="clear" w:color="auto" w:fill="auto"/>
            <w:noWrap/>
            <w:vAlign w:val="center"/>
            <w:hideMark/>
          </w:tcPr>
          <w:p w14:paraId="7C8CDFDB"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0</w:t>
            </w:r>
          </w:p>
        </w:tc>
        <w:tc>
          <w:tcPr>
            <w:tcW w:w="709" w:type="dxa"/>
            <w:gridSpan w:val="2"/>
            <w:tcBorders>
              <w:top w:val="nil"/>
              <w:left w:val="nil"/>
              <w:bottom w:val="single" w:sz="8" w:space="0" w:color="auto"/>
              <w:right w:val="nil"/>
            </w:tcBorders>
            <w:shd w:val="clear" w:color="auto" w:fill="auto"/>
            <w:noWrap/>
            <w:vAlign w:val="center"/>
            <w:hideMark/>
          </w:tcPr>
          <w:p w14:paraId="4374C507"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0</w:t>
            </w:r>
          </w:p>
        </w:tc>
      </w:tr>
      <w:tr w:rsidR="0078085C" w:rsidRPr="00166B38" w14:paraId="4C3109CC" w14:textId="77777777" w:rsidTr="00166B38">
        <w:trPr>
          <w:gridAfter w:val="1"/>
          <w:wAfter w:w="9" w:type="dxa"/>
          <w:trHeight w:val="315"/>
        </w:trPr>
        <w:tc>
          <w:tcPr>
            <w:tcW w:w="3427" w:type="dxa"/>
            <w:tcBorders>
              <w:top w:val="nil"/>
              <w:left w:val="nil"/>
              <w:bottom w:val="single" w:sz="8" w:space="0" w:color="auto"/>
              <w:right w:val="nil"/>
            </w:tcBorders>
            <w:shd w:val="clear" w:color="auto" w:fill="auto"/>
            <w:vAlign w:val="center"/>
            <w:hideMark/>
          </w:tcPr>
          <w:p w14:paraId="246093D0" w14:textId="77777777" w:rsidR="0078085C" w:rsidRPr="00166B38" w:rsidRDefault="0078085C" w:rsidP="004B6995">
            <w:pPr>
              <w:spacing w:after="0" w:line="240" w:lineRule="auto"/>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Spolu</w:t>
            </w:r>
          </w:p>
        </w:tc>
        <w:tc>
          <w:tcPr>
            <w:tcW w:w="968" w:type="dxa"/>
            <w:tcBorders>
              <w:top w:val="nil"/>
              <w:left w:val="nil"/>
              <w:bottom w:val="single" w:sz="8" w:space="0" w:color="auto"/>
              <w:right w:val="nil"/>
            </w:tcBorders>
            <w:shd w:val="clear" w:color="auto" w:fill="auto"/>
            <w:noWrap/>
            <w:vAlign w:val="center"/>
            <w:hideMark/>
          </w:tcPr>
          <w:p w14:paraId="28135AB8" w14:textId="77777777" w:rsidR="0078085C" w:rsidRPr="00166B38" w:rsidRDefault="0078085C" w:rsidP="004B6995">
            <w:pPr>
              <w:spacing w:after="0" w:line="240" w:lineRule="auto"/>
              <w:jc w:val="right"/>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2 402 324</w:t>
            </w:r>
          </w:p>
        </w:tc>
        <w:tc>
          <w:tcPr>
            <w:tcW w:w="960" w:type="dxa"/>
            <w:tcBorders>
              <w:top w:val="nil"/>
              <w:left w:val="nil"/>
              <w:bottom w:val="single" w:sz="8" w:space="0" w:color="auto"/>
              <w:right w:val="nil"/>
            </w:tcBorders>
            <w:shd w:val="clear" w:color="auto" w:fill="auto"/>
            <w:noWrap/>
            <w:vAlign w:val="center"/>
            <w:hideMark/>
          </w:tcPr>
          <w:p w14:paraId="098C1B9D" w14:textId="77777777" w:rsidR="0078085C" w:rsidRPr="00166B38" w:rsidRDefault="0078085C" w:rsidP="004B6995">
            <w:pPr>
              <w:spacing w:after="0" w:line="240" w:lineRule="auto"/>
              <w:jc w:val="right"/>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2 858 949</w:t>
            </w:r>
          </w:p>
        </w:tc>
        <w:tc>
          <w:tcPr>
            <w:tcW w:w="950" w:type="dxa"/>
            <w:tcBorders>
              <w:top w:val="nil"/>
              <w:left w:val="nil"/>
              <w:bottom w:val="single" w:sz="8" w:space="0" w:color="auto"/>
              <w:right w:val="nil"/>
            </w:tcBorders>
            <w:shd w:val="clear" w:color="auto" w:fill="auto"/>
            <w:noWrap/>
            <w:vAlign w:val="center"/>
            <w:hideMark/>
          </w:tcPr>
          <w:p w14:paraId="5F0C168C" w14:textId="77777777" w:rsidR="0078085C" w:rsidRPr="00166B38" w:rsidRDefault="0078085C" w:rsidP="004B6995">
            <w:pPr>
              <w:spacing w:after="0" w:line="240" w:lineRule="auto"/>
              <w:jc w:val="right"/>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1 628 138</w:t>
            </w:r>
          </w:p>
        </w:tc>
        <w:tc>
          <w:tcPr>
            <w:tcW w:w="1066" w:type="dxa"/>
            <w:tcBorders>
              <w:top w:val="nil"/>
              <w:left w:val="nil"/>
              <w:bottom w:val="single" w:sz="8" w:space="0" w:color="auto"/>
              <w:right w:val="nil"/>
            </w:tcBorders>
            <w:shd w:val="clear" w:color="000000" w:fill="BFBFBF"/>
            <w:noWrap/>
            <w:vAlign w:val="center"/>
            <w:hideMark/>
          </w:tcPr>
          <w:p w14:paraId="6DC9E1C2" w14:textId="77777777" w:rsidR="0078085C" w:rsidRPr="00166B38" w:rsidRDefault="0078085C" w:rsidP="004B6995">
            <w:pPr>
              <w:spacing w:after="0" w:line="240" w:lineRule="auto"/>
              <w:jc w:val="right"/>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2 662 446</w:t>
            </w:r>
          </w:p>
        </w:tc>
        <w:tc>
          <w:tcPr>
            <w:tcW w:w="992" w:type="dxa"/>
            <w:tcBorders>
              <w:top w:val="nil"/>
              <w:left w:val="nil"/>
              <w:bottom w:val="single" w:sz="8" w:space="0" w:color="auto"/>
              <w:right w:val="nil"/>
            </w:tcBorders>
            <w:shd w:val="clear" w:color="auto" w:fill="auto"/>
            <w:noWrap/>
            <w:vAlign w:val="center"/>
            <w:hideMark/>
          </w:tcPr>
          <w:p w14:paraId="74E6B4B4" w14:textId="77777777" w:rsidR="0078085C" w:rsidRPr="00166B38" w:rsidRDefault="0078085C" w:rsidP="004B6995">
            <w:pPr>
              <w:spacing w:after="0" w:line="240" w:lineRule="auto"/>
              <w:jc w:val="right"/>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1 034 308</w:t>
            </w:r>
          </w:p>
        </w:tc>
        <w:tc>
          <w:tcPr>
            <w:tcW w:w="709" w:type="dxa"/>
            <w:gridSpan w:val="2"/>
            <w:tcBorders>
              <w:top w:val="nil"/>
              <w:left w:val="nil"/>
              <w:bottom w:val="single" w:sz="8" w:space="0" w:color="auto"/>
              <w:right w:val="nil"/>
            </w:tcBorders>
            <w:shd w:val="clear" w:color="auto" w:fill="auto"/>
            <w:noWrap/>
            <w:vAlign w:val="center"/>
            <w:hideMark/>
          </w:tcPr>
          <w:p w14:paraId="51AF4684" w14:textId="77777777" w:rsidR="0078085C" w:rsidRPr="00166B38" w:rsidRDefault="0078085C" w:rsidP="004B6995">
            <w:pPr>
              <w:spacing w:after="0" w:line="240" w:lineRule="auto"/>
              <w:jc w:val="right"/>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-43</w:t>
            </w:r>
          </w:p>
        </w:tc>
      </w:tr>
    </w:tbl>
    <w:p w14:paraId="1051BAC4" w14:textId="7C710DFF" w:rsidR="0078085C" w:rsidRPr="005B6D1E" w:rsidRDefault="0033680F" w:rsidP="0033680F">
      <w:pPr>
        <w:jc w:val="cente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166B38">
        <w:rPr>
          <w:sz w:val="18"/>
          <w:szCs w:val="18"/>
        </w:rPr>
        <w:t xml:space="preserve">                </w:t>
      </w:r>
      <w:r w:rsidR="0078085C" w:rsidRPr="005B6D1E">
        <w:rPr>
          <w:sz w:val="18"/>
          <w:szCs w:val="18"/>
        </w:rPr>
        <w:t>Zdroj: MF SR</w:t>
      </w:r>
    </w:p>
    <w:p w14:paraId="700397D1" w14:textId="77777777" w:rsidR="00E1218F" w:rsidRDefault="0078085C" w:rsidP="00E1218F">
      <w:pPr>
        <w:spacing w:line="240" w:lineRule="auto"/>
        <w:rPr>
          <w:sz w:val="24"/>
          <w:szCs w:val="24"/>
        </w:rPr>
      </w:pPr>
      <w:r w:rsidRPr="00D715AF">
        <w:rPr>
          <w:b/>
          <w:sz w:val="24"/>
          <w:szCs w:val="24"/>
        </w:rPr>
        <w:t xml:space="preserve">Obstarávanie kapitálových aktív </w:t>
      </w:r>
      <w:r w:rsidRPr="00D715AF">
        <w:rPr>
          <w:sz w:val="24"/>
          <w:szCs w:val="24"/>
        </w:rPr>
        <w:t>predstavuje obstaranie majetku dlhodobej povahy do vlastníctva štátu dodávateľským spôsobom alebo v rámci vlastných výkonov štátu. Rozpočet na obstarávanie kapitálových aktív bol stanovený sumou 786 511 tis. eur, ktorá sa rozpočtovými opatreniami počas roka zvýšila na 1 065 997 tis. eur. Skutočné čerpanie predsta</w:t>
      </w:r>
      <w:r w:rsidR="00E1218F">
        <w:rPr>
          <w:sz w:val="24"/>
          <w:szCs w:val="24"/>
        </w:rPr>
        <w:t>vovalo sumu 1 053 912 tis. eur.</w:t>
      </w:r>
    </w:p>
    <w:p w14:paraId="533D9FB2" w14:textId="54E41659" w:rsidR="00E1218F" w:rsidRDefault="0078085C" w:rsidP="00E1218F">
      <w:pPr>
        <w:spacing w:line="240" w:lineRule="auto"/>
        <w:rPr>
          <w:sz w:val="24"/>
          <w:szCs w:val="24"/>
        </w:rPr>
      </w:pPr>
      <w:r w:rsidRPr="00E1218F">
        <w:rPr>
          <w:b/>
          <w:i/>
          <w:sz w:val="24"/>
          <w:szCs w:val="24"/>
        </w:rPr>
        <w:t>Nákup</w:t>
      </w:r>
      <w:r w:rsidRPr="00D715AF">
        <w:rPr>
          <w:b/>
          <w:i/>
          <w:sz w:val="24"/>
          <w:szCs w:val="24"/>
        </w:rPr>
        <w:t xml:space="preserve"> strojov, prístrojov, zariadení a techniky</w:t>
      </w:r>
      <w:r w:rsidRPr="00D715AF">
        <w:rPr>
          <w:sz w:val="24"/>
          <w:szCs w:val="24"/>
        </w:rPr>
        <w:t xml:space="preserve"> dosiahol v skutočnosti 449 679 tis. eur. V porovnaní s predchádzajúcim rokom išlo o pokles o 42 586 tis. eur. Najväčší podiel na tejto sume predstavoval </w:t>
      </w:r>
      <w:r w:rsidR="00550176" w:rsidRPr="00D715AF">
        <w:rPr>
          <w:i/>
          <w:sz w:val="24"/>
          <w:szCs w:val="24"/>
          <w:u w:val="single"/>
        </w:rPr>
        <w:t>n</w:t>
      </w:r>
      <w:r w:rsidRPr="00D715AF">
        <w:rPr>
          <w:i/>
          <w:sz w:val="24"/>
          <w:szCs w:val="24"/>
          <w:u w:val="single"/>
        </w:rPr>
        <w:t>ákup špeciálnych strojov, prístrojov, zariadení a techniky</w:t>
      </w:r>
      <w:r w:rsidRPr="00D715AF">
        <w:rPr>
          <w:i/>
          <w:sz w:val="24"/>
          <w:szCs w:val="24"/>
        </w:rPr>
        <w:t xml:space="preserve"> </w:t>
      </w:r>
      <w:r w:rsidRPr="00D715AF">
        <w:rPr>
          <w:sz w:val="24"/>
          <w:szCs w:val="24"/>
        </w:rPr>
        <w:t>v objeme 390 445 tis. eur, ktorý zaznamenal medziro</w:t>
      </w:r>
      <w:r w:rsidR="00E1218F">
        <w:rPr>
          <w:sz w:val="24"/>
          <w:szCs w:val="24"/>
        </w:rPr>
        <w:t xml:space="preserve">čný pokles o 155 153 tis. eur. </w:t>
      </w:r>
    </w:p>
    <w:p w14:paraId="665992E8" w14:textId="7E24441B" w:rsidR="0078085C" w:rsidRPr="00E1218F" w:rsidRDefault="0078085C" w:rsidP="00E1218F">
      <w:pPr>
        <w:spacing w:line="240" w:lineRule="auto"/>
        <w:rPr>
          <w:sz w:val="24"/>
          <w:szCs w:val="24"/>
        </w:rPr>
      </w:pPr>
      <w:r w:rsidRPr="00E1218F">
        <w:rPr>
          <w:sz w:val="24"/>
          <w:szCs w:val="24"/>
          <w:u w:val="single"/>
        </w:rPr>
        <w:t>Ministerstvo obrany SR</w:t>
      </w:r>
      <w:r w:rsidRPr="00D715AF">
        <w:rPr>
          <w:sz w:val="24"/>
          <w:szCs w:val="24"/>
        </w:rPr>
        <w:t xml:space="preserve"> čerpalo prostriedky v sume 375 111 tis. eur, predovšetkým v rámci programu Rozvoj obrany - Rozvoj výzbroje, techniky a materiálu, napr. na viacúčelové taktické stíhacie lietadlá (353 722 tis. eur) a na Rozvoj komunikačných a informačných systémov (11 327 tis. eur). Pokles skutočnosti oproti schválenému rozpočtu o 47 448 tis. eur bol z dôvodu presunu rozpočtových prostriedkov na použitie do roku 2021. V porovnaní so skutočným čerpaním v roku 2019 došlo k poklesu výdavkov o 142 923 tis. eur. </w:t>
      </w:r>
    </w:p>
    <w:p w14:paraId="1565BF6D" w14:textId="77777777" w:rsidR="0078085C" w:rsidRPr="00D715AF" w:rsidRDefault="0078085C" w:rsidP="001665F3">
      <w:pPr>
        <w:spacing w:line="240" w:lineRule="auto"/>
        <w:rPr>
          <w:b/>
          <w:sz w:val="24"/>
          <w:szCs w:val="24"/>
        </w:rPr>
      </w:pPr>
      <w:r w:rsidRPr="00E1218F">
        <w:rPr>
          <w:sz w:val="24"/>
          <w:szCs w:val="24"/>
          <w:u w:val="single"/>
        </w:rPr>
        <w:t>Ministerstvo financií SR</w:t>
      </w:r>
      <w:r w:rsidRPr="00D715AF">
        <w:rPr>
          <w:sz w:val="24"/>
          <w:szCs w:val="24"/>
        </w:rPr>
        <w:t xml:space="preserve"> čerpalo výdavky vo výške 9 140 tis. eur, z toho najviac (8 606 tis. eur) čerpalo Finančné riaditeľstvo SR v rámci programu Vybudovanie nosnej infraštruktúry bezpečného informačno-komunikačného systému.</w:t>
      </w:r>
    </w:p>
    <w:p w14:paraId="7B6D76B6" w14:textId="77777777" w:rsidR="0078085C" w:rsidRPr="00D715AF" w:rsidRDefault="0078085C" w:rsidP="001665F3">
      <w:pPr>
        <w:spacing w:line="240" w:lineRule="auto"/>
        <w:rPr>
          <w:sz w:val="24"/>
          <w:szCs w:val="24"/>
        </w:rPr>
      </w:pPr>
      <w:r w:rsidRPr="00D715AF">
        <w:rPr>
          <w:sz w:val="24"/>
          <w:szCs w:val="24"/>
        </w:rPr>
        <w:t xml:space="preserve">Výdavky </w:t>
      </w:r>
      <w:r w:rsidRPr="00E1218F">
        <w:rPr>
          <w:sz w:val="24"/>
          <w:szCs w:val="24"/>
          <w:u w:val="single"/>
        </w:rPr>
        <w:t>Ministerstva vnútra SR</w:t>
      </w:r>
      <w:r w:rsidRPr="00D715AF">
        <w:rPr>
          <w:sz w:val="24"/>
          <w:szCs w:val="24"/>
        </w:rPr>
        <w:t xml:space="preserve"> boli čerpané v sume 3 110 tis. eur, v rámci programu Efektívna a spoľahlivá štátna správa na ochranu verejného poriadku, bezpečnosť osôb a majetku, boj proti kriminalite, na bezpečnosť schengenského priestoru, na záchranu života a zdravia, na všeobecnú vnútornú správu a živnostenské podnikanie. Finančné prostriedky boli použité napr. na obstaranie hasičského vybavenia, na obstaranie špeciálnych zariadení pre ochranu štátnej hranice s Ukrajinou, na nákup spravodajskej techniky pre potreby policajného zboru a na služby súvisiace s obstaraním špeciálnej techniky pre zaistenie bezpečnostných záujmov SR a </w:t>
      </w:r>
      <w:proofErr w:type="spellStart"/>
      <w:r w:rsidRPr="00D715AF">
        <w:rPr>
          <w:sz w:val="24"/>
          <w:szCs w:val="24"/>
        </w:rPr>
        <w:t>operatívno</w:t>
      </w:r>
      <w:proofErr w:type="spellEnd"/>
      <w:r w:rsidRPr="00D715AF">
        <w:rPr>
          <w:sz w:val="24"/>
          <w:szCs w:val="24"/>
        </w:rPr>
        <w:t xml:space="preserve"> pátracej činnosti pre letisko Košice a Poprad.</w:t>
      </w:r>
    </w:p>
    <w:p w14:paraId="31701436" w14:textId="77777777" w:rsidR="0078085C" w:rsidRPr="00D715AF" w:rsidRDefault="0078085C" w:rsidP="001665F3">
      <w:pPr>
        <w:spacing w:line="240" w:lineRule="auto"/>
        <w:rPr>
          <w:iCs/>
          <w:sz w:val="24"/>
          <w:szCs w:val="24"/>
        </w:rPr>
      </w:pPr>
      <w:r w:rsidRPr="00D715AF">
        <w:rPr>
          <w:sz w:val="24"/>
          <w:szCs w:val="24"/>
        </w:rPr>
        <w:t xml:space="preserve">Výdavky na </w:t>
      </w:r>
      <w:r w:rsidRPr="00D715AF">
        <w:rPr>
          <w:i/>
          <w:sz w:val="24"/>
          <w:szCs w:val="24"/>
          <w:u w:val="single"/>
        </w:rPr>
        <w:t>nákup výpočtovej techniky</w:t>
      </w:r>
      <w:r w:rsidRPr="00D715AF">
        <w:rPr>
          <w:i/>
          <w:sz w:val="24"/>
          <w:szCs w:val="24"/>
        </w:rPr>
        <w:t xml:space="preserve"> </w:t>
      </w:r>
      <w:r w:rsidRPr="00D715AF">
        <w:rPr>
          <w:sz w:val="24"/>
          <w:szCs w:val="24"/>
        </w:rPr>
        <w:t xml:space="preserve">dosiahli sumu 38 326 tis. eur. Najvýznamnejšie finančné prostriedky boli čerpané na Ministerstve vnútra SR (17 123 tis. eur), kde išlo o obstaranie mobilných pracovných staníc, riadiacich a </w:t>
      </w:r>
      <w:proofErr w:type="spellStart"/>
      <w:r w:rsidRPr="00D715AF">
        <w:rPr>
          <w:sz w:val="24"/>
          <w:szCs w:val="24"/>
        </w:rPr>
        <w:t>dohľadových</w:t>
      </w:r>
      <w:proofErr w:type="spellEnd"/>
      <w:r w:rsidRPr="00D715AF">
        <w:rPr>
          <w:sz w:val="24"/>
          <w:szCs w:val="24"/>
        </w:rPr>
        <w:t xml:space="preserve"> pracovísk, hardvérových bezpečnostných modulov (napr. zariadenia k zabezpečovacím systémom, ich implementácia a testovanie), na Ministerstve financií SR (7 041 tis. eur) predovšetkým na vybudovanie nosnej infraštruktúry bezpečného informačno-komunikačného systému pre Finančné riaditeľstvo SR. Finančné prostriedky na Ministerstve práce, sociálnych vecí a rodiny SR (4 489 tis. eur) boli čerpané v rámci </w:t>
      </w:r>
      <w:r w:rsidRPr="00D715AF">
        <w:rPr>
          <w:iCs/>
          <w:sz w:val="24"/>
          <w:szCs w:val="24"/>
        </w:rPr>
        <w:t xml:space="preserve">Národného projektu Efektívnymi službami k občanovi pre menej rozvinuté regióny a na Ministerstve investícií, regionálneho rozvoja a informatizácie SR (3 468 tis. eur) išlo o výdavky z projektu Národný systém riadenia incidentov kybernetickej bezpečnosti vo verejnej správe. </w:t>
      </w:r>
    </w:p>
    <w:p w14:paraId="33C42B44" w14:textId="77777777" w:rsidR="0078085C" w:rsidRPr="00D715AF" w:rsidRDefault="0078085C" w:rsidP="001665F3">
      <w:pPr>
        <w:spacing w:line="240" w:lineRule="auto"/>
        <w:rPr>
          <w:iCs/>
          <w:sz w:val="24"/>
          <w:szCs w:val="24"/>
        </w:rPr>
      </w:pPr>
      <w:r w:rsidRPr="00D715AF">
        <w:rPr>
          <w:iCs/>
          <w:sz w:val="24"/>
          <w:szCs w:val="24"/>
        </w:rPr>
        <w:t xml:space="preserve">Schválený rozpočet na </w:t>
      </w:r>
      <w:r w:rsidRPr="00D715AF">
        <w:rPr>
          <w:i/>
          <w:iCs/>
          <w:sz w:val="24"/>
          <w:szCs w:val="24"/>
          <w:u w:val="single"/>
        </w:rPr>
        <w:t>nákup prevádzkových strojov, prístrojov, zariadení a techniky</w:t>
      </w:r>
      <w:r w:rsidRPr="00D715AF">
        <w:rPr>
          <w:i/>
          <w:iCs/>
          <w:sz w:val="24"/>
          <w:szCs w:val="24"/>
        </w:rPr>
        <w:t xml:space="preserve"> </w:t>
      </w:r>
      <w:r w:rsidRPr="00D715AF">
        <w:rPr>
          <w:iCs/>
          <w:sz w:val="24"/>
          <w:szCs w:val="24"/>
        </w:rPr>
        <w:t>bol v sume 76 397 tis. eur, skutočné čerpanie bolo o 63 440 tis. eur nižšie, z toho najvýznamnejší pokles zaznamenalo Ministerstvo zdravotníctva SR o 63 808 tis. eur, z dôvodu presunu finančných prostriedkov na rozpočtové a príspevkové organizácie v pôsobnosti ministerstva. Výdavky Ministerstva zdravotníctva SR predstavovali sumu 5 242 tis. eur, súviseli s nákupom vybavenia laboratórií pre diagnostiku ochorenia COVID-19, vybavenia analytických laboratórií a nákup pľúcnych ventilátorov.</w:t>
      </w:r>
    </w:p>
    <w:p w14:paraId="07BCACC5" w14:textId="4856557A" w:rsidR="0078085C" w:rsidRPr="00D715AF" w:rsidRDefault="0078085C" w:rsidP="001665F3">
      <w:pPr>
        <w:spacing w:line="240" w:lineRule="auto"/>
        <w:rPr>
          <w:sz w:val="24"/>
          <w:szCs w:val="24"/>
        </w:rPr>
      </w:pPr>
      <w:r w:rsidRPr="00D715AF">
        <w:rPr>
          <w:b/>
          <w:i/>
          <w:sz w:val="24"/>
          <w:szCs w:val="24"/>
        </w:rPr>
        <w:t>Realizácia stavieb a ich technického zhodnotenia</w:t>
      </w:r>
      <w:r w:rsidRPr="00D715AF">
        <w:rPr>
          <w:sz w:val="24"/>
          <w:szCs w:val="24"/>
        </w:rPr>
        <w:t xml:space="preserve"> predstavovala výdavky v hodnote 286 549 tis. eur. V porovnaní s rokom 2019 došlo k zvýšeniu výdavkov o 141 582 tis. eur a k vyššiemu čerpaniu oproti schválenému rozpočtu o 200 026 tis. eur. Najvyšší podiel na výdavkoch mala kapitola Ministerstva dopravy a výstavby SR (128 679 tis. eur), Ministerstvo obrany SR (89 239 tis. eur), Ministerstvo vnútra SR (16 577 tis. eur) a Ministerstvo zdra</w:t>
      </w:r>
      <w:r w:rsidR="002E5CAD" w:rsidRPr="00D715AF">
        <w:rPr>
          <w:sz w:val="24"/>
          <w:szCs w:val="24"/>
        </w:rPr>
        <w:t>votníctva SR (15 276 tis. eur).</w:t>
      </w:r>
    </w:p>
    <w:p w14:paraId="6C3CA59B" w14:textId="7518B19B" w:rsidR="0078085C" w:rsidRPr="00D715AF" w:rsidRDefault="0078085C" w:rsidP="001665F3">
      <w:pPr>
        <w:spacing w:line="240" w:lineRule="auto"/>
        <w:rPr>
          <w:sz w:val="24"/>
          <w:szCs w:val="24"/>
        </w:rPr>
      </w:pPr>
      <w:r w:rsidRPr="00D715AF">
        <w:rPr>
          <w:sz w:val="24"/>
          <w:szCs w:val="24"/>
        </w:rPr>
        <w:t xml:space="preserve">Výdavky </w:t>
      </w:r>
      <w:r w:rsidRPr="00D715AF">
        <w:rPr>
          <w:i/>
          <w:sz w:val="24"/>
          <w:szCs w:val="24"/>
          <w:u w:val="single"/>
        </w:rPr>
        <w:t>na rekonštrukciu a modernizáciu</w:t>
      </w:r>
      <w:r w:rsidRPr="00D715AF">
        <w:rPr>
          <w:i/>
          <w:sz w:val="24"/>
          <w:szCs w:val="24"/>
        </w:rPr>
        <w:t xml:space="preserve"> </w:t>
      </w:r>
      <w:r w:rsidRPr="00D715AF">
        <w:rPr>
          <w:sz w:val="24"/>
          <w:szCs w:val="24"/>
        </w:rPr>
        <w:t>(156 590 tis. eur</w:t>
      </w:r>
      <w:r w:rsidRPr="00D715AF">
        <w:rPr>
          <w:i/>
          <w:sz w:val="24"/>
          <w:szCs w:val="24"/>
        </w:rPr>
        <w:t xml:space="preserve">) </w:t>
      </w:r>
      <w:r w:rsidRPr="00D715AF">
        <w:rPr>
          <w:sz w:val="24"/>
          <w:szCs w:val="24"/>
        </w:rPr>
        <w:t>boli najvyššie na Ministerstve obrany SR</w:t>
      </w:r>
      <w:r w:rsidR="00AD5035" w:rsidRPr="00D715AF">
        <w:rPr>
          <w:sz w:val="24"/>
          <w:szCs w:val="24"/>
        </w:rPr>
        <w:t xml:space="preserve"> a</w:t>
      </w:r>
      <w:r w:rsidRPr="00D715AF">
        <w:rPr>
          <w:sz w:val="24"/>
          <w:szCs w:val="24"/>
        </w:rPr>
        <w:t xml:space="preserve"> dosiahli sumu 83 430 tis. eur, išlo predovšetkým o rekonštrukciu a modernizáciu nehnuteľného majetku v rámci programu Rozvoj obrany – Rozvoj infraštruktúry síl na rekonštrukciu a modernizáciu nehnuteľného majetku, a to najmä na riešenie infraštruktúry v súvislosti s realizáciou projektu viacúčelové taktické lietadlá </w:t>
      </w:r>
      <w:r w:rsidRPr="00D715AF">
        <w:rPr>
          <w:color w:val="000000"/>
          <w:sz w:val="24"/>
          <w:szCs w:val="24"/>
        </w:rPr>
        <w:t>v rámci projektu Modernizácia leteckej základnej Sliač</w:t>
      </w:r>
      <w:r w:rsidRPr="00D715AF">
        <w:rPr>
          <w:sz w:val="24"/>
          <w:szCs w:val="24"/>
        </w:rPr>
        <w:t xml:space="preserve">, rekonštrukciu atletického štadióna Vojenského športového centra Dukla Banská Bystrica </w:t>
      </w:r>
      <w:r w:rsidRPr="00D715AF">
        <w:rPr>
          <w:color w:val="000000"/>
          <w:sz w:val="24"/>
          <w:szCs w:val="24"/>
        </w:rPr>
        <w:t>v rámci projektu Zvýšenie kvality života personálu</w:t>
      </w:r>
      <w:r w:rsidRPr="00D715AF">
        <w:rPr>
          <w:sz w:val="24"/>
          <w:szCs w:val="24"/>
        </w:rPr>
        <w:t>, na plynofikáciu a zateplenie objektov a </w:t>
      </w:r>
      <w:r w:rsidR="00CE7CC6" w:rsidRPr="00D715AF">
        <w:rPr>
          <w:sz w:val="24"/>
          <w:szCs w:val="24"/>
        </w:rPr>
        <w:t>podobne</w:t>
      </w:r>
      <w:r w:rsidR="00CE7CC6" w:rsidRPr="00D715AF">
        <w:rPr>
          <w:rStyle w:val="Odkaznapoznmkupodiarou"/>
          <w:sz w:val="24"/>
          <w:szCs w:val="24"/>
        </w:rPr>
        <w:footnoteReference w:id="36"/>
      </w:r>
      <w:r w:rsidRPr="00D715AF">
        <w:rPr>
          <w:sz w:val="24"/>
          <w:szCs w:val="24"/>
        </w:rPr>
        <w:t>.</w:t>
      </w:r>
    </w:p>
    <w:p w14:paraId="6DAA134E" w14:textId="77777777" w:rsidR="0078085C" w:rsidRPr="00D715AF" w:rsidRDefault="0078085C" w:rsidP="001665F3">
      <w:pPr>
        <w:spacing w:line="240" w:lineRule="auto"/>
        <w:rPr>
          <w:sz w:val="24"/>
          <w:szCs w:val="24"/>
        </w:rPr>
      </w:pPr>
      <w:r w:rsidRPr="00D715AF">
        <w:rPr>
          <w:sz w:val="24"/>
          <w:szCs w:val="24"/>
        </w:rPr>
        <w:t xml:space="preserve">Na </w:t>
      </w:r>
      <w:r w:rsidRPr="00E1218F">
        <w:rPr>
          <w:sz w:val="24"/>
          <w:szCs w:val="24"/>
          <w:u w:val="single"/>
        </w:rPr>
        <w:t>Ministerstve dopravy</w:t>
      </w:r>
      <w:r w:rsidRPr="00D715AF">
        <w:rPr>
          <w:sz w:val="24"/>
          <w:szCs w:val="24"/>
        </w:rPr>
        <w:t xml:space="preserve"> a výstavby SR (26 104 tis. eur) to boli výdavky Slovenskej správy ciest v rámci projektu Výstavby cestnej siete napr. na rekonštrukcie a modernizácie ciest I. triedy, mostov, vozoviek, prechodov pre chodcov a v rámci programu Cestná infraštruktúra na výstavbu verejných komunikácií v regióne Nitra. </w:t>
      </w:r>
    </w:p>
    <w:p w14:paraId="30B39C09" w14:textId="77777777" w:rsidR="0078085C" w:rsidRPr="00D715AF" w:rsidRDefault="0078085C" w:rsidP="001665F3">
      <w:pPr>
        <w:spacing w:line="240" w:lineRule="auto"/>
        <w:rPr>
          <w:sz w:val="24"/>
          <w:szCs w:val="24"/>
          <w:highlight w:val="yellow"/>
        </w:rPr>
      </w:pPr>
      <w:r w:rsidRPr="00E1218F">
        <w:rPr>
          <w:sz w:val="24"/>
          <w:szCs w:val="24"/>
          <w:u w:val="single"/>
        </w:rPr>
        <w:t>Ministerstvo vnútra SR</w:t>
      </w:r>
      <w:r w:rsidRPr="00D715AF">
        <w:rPr>
          <w:sz w:val="24"/>
          <w:szCs w:val="24"/>
        </w:rPr>
        <w:t xml:space="preserve"> čerpalo výdavky vo výške 12 040 tis. eur, tieto boli použité na rekonštrukciu a modernizáciu objektov, budov a častí Okresných riaditeľstiev Policajného zboru (napr. Trebišov, Prievidza, Rimavská Sobota) v rámci programov Efektívna a spoľahlivá štátna správa (Ochrana verejného poriadku, bezpečnosti osôb a majetku, boj proti kriminalite, Záchrana života a zdravia, Všeobecná vnútorná správa a živnostenské podnikanie, Kataster a Riadenie a kontrola).</w:t>
      </w:r>
    </w:p>
    <w:p w14:paraId="7575D31E" w14:textId="77777777" w:rsidR="0078085C" w:rsidRPr="00D715AF" w:rsidRDefault="0078085C" w:rsidP="001665F3">
      <w:pPr>
        <w:spacing w:line="240" w:lineRule="auto"/>
        <w:rPr>
          <w:sz w:val="24"/>
          <w:szCs w:val="24"/>
        </w:rPr>
      </w:pPr>
      <w:r w:rsidRPr="00D715AF">
        <w:rPr>
          <w:sz w:val="24"/>
          <w:szCs w:val="24"/>
        </w:rPr>
        <w:t xml:space="preserve">Výdavky </w:t>
      </w:r>
      <w:r w:rsidRPr="00E1218F">
        <w:rPr>
          <w:sz w:val="24"/>
          <w:szCs w:val="24"/>
          <w:u w:val="single"/>
        </w:rPr>
        <w:t>Ministerstva spravodlivosti SR</w:t>
      </w:r>
      <w:r w:rsidRPr="00D715AF">
        <w:rPr>
          <w:sz w:val="24"/>
          <w:szCs w:val="24"/>
        </w:rPr>
        <w:t xml:space="preserve"> dosiahli na tejto podpoložke hodnotu 8 863 tis. eur, napr. v rámci programu Kvalita životného prostredia na modernizáciu administratívnych budov zboru väzenskej a justičnej stráže (5 927 tis. eur), na rekonštrukcie budov súdov a pod.</w:t>
      </w:r>
    </w:p>
    <w:p w14:paraId="44311B89" w14:textId="77777777" w:rsidR="0078085C" w:rsidRPr="00D715AF" w:rsidRDefault="0078085C" w:rsidP="001665F3">
      <w:pPr>
        <w:spacing w:line="240" w:lineRule="auto"/>
        <w:rPr>
          <w:sz w:val="24"/>
          <w:szCs w:val="24"/>
        </w:rPr>
      </w:pPr>
      <w:r w:rsidRPr="00E1218F">
        <w:rPr>
          <w:sz w:val="24"/>
          <w:szCs w:val="24"/>
          <w:u w:val="single"/>
        </w:rPr>
        <w:t>Ministerstvo hospodárstva SR</w:t>
      </w:r>
      <w:r w:rsidRPr="00D715AF">
        <w:rPr>
          <w:sz w:val="24"/>
          <w:szCs w:val="24"/>
        </w:rPr>
        <w:t xml:space="preserve"> čerpalo prostriedky vo výške 7 484 tis. eur v rámci programu Hospodárska mobilizácia v súvislosti s technickým zhodnotením integrovaných bezpečnostných systémov v objektoch osobitnej dôležitosti spoločnosti SLOVNAFT, a. s. (7 150 tis. eur).</w:t>
      </w:r>
    </w:p>
    <w:p w14:paraId="2AFA3781" w14:textId="52F3DEBA" w:rsidR="0078085C" w:rsidRPr="00D715AF" w:rsidRDefault="0078085C" w:rsidP="001665F3">
      <w:pPr>
        <w:spacing w:line="240" w:lineRule="auto"/>
        <w:rPr>
          <w:sz w:val="24"/>
          <w:szCs w:val="24"/>
        </w:rPr>
      </w:pPr>
      <w:r w:rsidRPr="00E1218F">
        <w:rPr>
          <w:sz w:val="24"/>
          <w:szCs w:val="24"/>
          <w:u w:val="single"/>
        </w:rPr>
        <w:t>Kancelária Národnej rady SR</w:t>
      </w:r>
      <w:r w:rsidRPr="00D715AF">
        <w:rPr>
          <w:sz w:val="24"/>
          <w:szCs w:val="24"/>
        </w:rPr>
        <w:t xml:space="preserve"> čerpala výdavky v celkovej sume 5 627 tis. eur, </w:t>
      </w:r>
      <w:r w:rsidR="00AD5035" w:rsidRPr="00D715AF">
        <w:rPr>
          <w:sz w:val="24"/>
          <w:szCs w:val="24"/>
        </w:rPr>
        <w:t xml:space="preserve">najmä na </w:t>
      </w:r>
      <w:r w:rsidRPr="00D715AF">
        <w:rPr>
          <w:sz w:val="24"/>
          <w:szCs w:val="24"/>
        </w:rPr>
        <w:t>rekonštrukciu a modernizáciu národnej kultúrnej pamiatky Bratislavský hrad (5 197 tis. eur).</w:t>
      </w:r>
    </w:p>
    <w:p w14:paraId="5C301672" w14:textId="77777777" w:rsidR="0078085C" w:rsidRPr="00D715AF" w:rsidRDefault="0078085C" w:rsidP="001665F3">
      <w:pPr>
        <w:spacing w:line="240" w:lineRule="auto"/>
        <w:rPr>
          <w:sz w:val="24"/>
          <w:szCs w:val="24"/>
        </w:rPr>
      </w:pPr>
      <w:r w:rsidRPr="00D715AF">
        <w:rPr>
          <w:sz w:val="24"/>
          <w:szCs w:val="24"/>
        </w:rPr>
        <w:t xml:space="preserve">Výdavky </w:t>
      </w:r>
      <w:r w:rsidRPr="00E1218F">
        <w:rPr>
          <w:sz w:val="24"/>
          <w:szCs w:val="24"/>
          <w:u w:val="single"/>
        </w:rPr>
        <w:t>Ministerstva práce, sociálnych vecí a rodiny SR</w:t>
      </w:r>
      <w:r w:rsidRPr="00D715AF">
        <w:rPr>
          <w:sz w:val="24"/>
          <w:szCs w:val="24"/>
        </w:rPr>
        <w:t xml:space="preserve"> v sume 4 357 tis. eur sa týkali predovšetkým </w:t>
      </w:r>
      <w:r w:rsidRPr="00D715AF">
        <w:rPr>
          <w:iCs/>
          <w:sz w:val="24"/>
          <w:szCs w:val="24"/>
        </w:rPr>
        <w:t>rekonštrukcie budov úradov práce (2 481 tis. eur) a rekonštrukcie Centier pre deti a rodiny (1 374 tis. eur).</w:t>
      </w:r>
    </w:p>
    <w:p w14:paraId="3BD9F14D" w14:textId="77777777" w:rsidR="0078085C" w:rsidRPr="00D715AF" w:rsidRDefault="0078085C" w:rsidP="001665F3">
      <w:pPr>
        <w:spacing w:line="240" w:lineRule="auto"/>
        <w:rPr>
          <w:sz w:val="24"/>
          <w:szCs w:val="24"/>
        </w:rPr>
      </w:pPr>
      <w:r w:rsidRPr="00D715AF">
        <w:rPr>
          <w:sz w:val="24"/>
          <w:szCs w:val="24"/>
        </w:rPr>
        <w:t>Najvyšší nárast skutočnosti oproti schválenému rozpočtu bol na kapitole Ministerstva obrany SR (o 52 793 tis. eur) z dôvodu presunu rozpočtových prostriedkov z minulých rokov a na Ministerstve dopravy a výstavby SR (o 22 600 tis. eur) súviselo s viacerými faktormi ako sú verejné obstarávania, uzatvorenie zmlúv, vydanie povolení a pod.</w:t>
      </w:r>
    </w:p>
    <w:p w14:paraId="3E8A3AFB" w14:textId="77777777" w:rsidR="00E1218F" w:rsidRDefault="0078085C" w:rsidP="001665F3">
      <w:pPr>
        <w:tabs>
          <w:tab w:val="left" w:pos="284"/>
        </w:tabs>
        <w:spacing w:line="240" w:lineRule="auto"/>
        <w:rPr>
          <w:sz w:val="24"/>
          <w:szCs w:val="24"/>
        </w:rPr>
      </w:pPr>
      <w:r w:rsidRPr="00D715AF">
        <w:rPr>
          <w:sz w:val="24"/>
          <w:szCs w:val="24"/>
        </w:rPr>
        <w:t xml:space="preserve">Čerpanie výdavkov </w:t>
      </w:r>
      <w:r w:rsidRPr="00D715AF">
        <w:rPr>
          <w:i/>
          <w:sz w:val="24"/>
          <w:szCs w:val="24"/>
          <w:u w:val="single"/>
        </w:rPr>
        <w:t>na realizáciu nových stavieb</w:t>
      </w:r>
      <w:r w:rsidRPr="00D715AF">
        <w:rPr>
          <w:sz w:val="24"/>
          <w:szCs w:val="24"/>
        </w:rPr>
        <w:t xml:space="preserve"> bolo vo výške 127 774 tis. eur a medziročne sa zvýšilo o 94 310 tis. eur. Najvyššie boli výdavky Ministerstva dopravy a výstavby SR 102 576 tis. eur, predovšetkým na financovanie DPH úsekov PPP projektu D4/R7 odovzdaných do predčasného užívania v priebehu roka 2020 (56 727 tis. eur), na financovanie akceptačných protokolov vo forme odplaty za činnosti súvisiace s PPP projektom D4/R7 vykonané Národnou diaľničnou spoločnosťou (9 130 tis. eur). Nárast oproti schválenému rozpočtu (o 95 331 tis. eur) bol spôsobený napr. použitím uvoľnenýc</w:t>
      </w:r>
      <w:r w:rsidR="00E1218F">
        <w:rPr>
          <w:sz w:val="24"/>
          <w:szCs w:val="24"/>
        </w:rPr>
        <w:t>h prostriedkov z minulého roka.</w:t>
      </w:r>
    </w:p>
    <w:p w14:paraId="330AE14D" w14:textId="580584AD" w:rsidR="0078085C" w:rsidRPr="00D715AF" w:rsidRDefault="0078085C" w:rsidP="001665F3">
      <w:pPr>
        <w:tabs>
          <w:tab w:val="left" w:pos="284"/>
        </w:tabs>
        <w:spacing w:line="240" w:lineRule="auto"/>
        <w:rPr>
          <w:sz w:val="24"/>
          <w:szCs w:val="24"/>
        </w:rPr>
      </w:pPr>
      <w:r w:rsidRPr="00D715AF">
        <w:rPr>
          <w:sz w:val="24"/>
          <w:szCs w:val="24"/>
        </w:rPr>
        <w:t xml:space="preserve">Významné čerpanie dosiahlo aj Ministerstvo zdravotníctva SR (15 170 tis. eur), išlo o výstavbu </w:t>
      </w:r>
      <w:proofErr w:type="spellStart"/>
      <w:r w:rsidRPr="00D715AF">
        <w:rPr>
          <w:sz w:val="24"/>
          <w:szCs w:val="24"/>
        </w:rPr>
        <w:t>Detenčného</w:t>
      </w:r>
      <w:proofErr w:type="spellEnd"/>
      <w:r w:rsidRPr="00D715AF">
        <w:rPr>
          <w:sz w:val="24"/>
          <w:szCs w:val="24"/>
        </w:rPr>
        <w:t xml:space="preserve"> ústavu Hronovce a prípravu výstavby novej nemocnice Rázsochy - búracie práce. Ministerstvo obrany SR vykazovalo výdavky v sume 5 809 tis. eur v rámci programu Rozvoj infraštruktúry síl na realizáciu nových stavieb v projektoch modernizácie Vojenského výcvikového priestoru Lešť, modernizácie letiska Kuchyňa a na vybudovanie prístrešku pre garážovanú techniku v Prešove.</w:t>
      </w:r>
    </w:p>
    <w:p w14:paraId="43722801" w14:textId="286AFCB8" w:rsidR="0078085C" w:rsidRPr="00D715AF" w:rsidRDefault="0078085C" w:rsidP="001665F3">
      <w:pPr>
        <w:spacing w:line="240" w:lineRule="auto"/>
        <w:rPr>
          <w:sz w:val="24"/>
          <w:szCs w:val="24"/>
        </w:rPr>
      </w:pPr>
      <w:r w:rsidRPr="00D715AF">
        <w:rPr>
          <w:b/>
          <w:i/>
          <w:sz w:val="24"/>
          <w:szCs w:val="24"/>
        </w:rPr>
        <w:t>Nákup pozemkov a nehmotných aktív</w:t>
      </w:r>
      <w:r w:rsidRPr="00D715AF">
        <w:rPr>
          <w:sz w:val="24"/>
          <w:szCs w:val="24"/>
        </w:rPr>
        <w:t xml:space="preserve"> predstavoval sumu 80 428 tis. eur, pričom schválený rozpočet bol prekročený o 54 562 tis. eur. Z týchto výdavkov boli najvyššie výdavky na </w:t>
      </w:r>
      <w:r w:rsidRPr="00D715AF">
        <w:rPr>
          <w:i/>
          <w:sz w:val="24"/>
          <w:szCs w:val="24"/>
          <w:u w:val="single"/>
        </w:rPr>
        <w:t>nákup softvéru</w:t>
      </w:r>
      <w:r w:rsidR="00271111" w:rsidRPr="00D715AF">
        <w:rPr>
          <w:sz w:val="24"/>
          <w:szCs w:val="24"/>
        </w:rPr>
        <w:t xml:space="preserve"> </w:t>
      </w:r>
      <w:r w:rsidRPr="00D715AF">
        <w:rPr>
          <w:sz w:val="24"/>
          <w:szCs w:val="24"/>
        </w:rPr>
        <w:t>69 399 tis. eur (2019: 57 054 tis. eur) a</w:t>
      </w:r>
      <w:r w:rsidR="00271111" w:rsidRPr="00D715AF">
        <w:rPr>
          <w:sz w:val="24"/>
          <w:szCs w:val="24"/>
        </w:rPr>
        <w:t xml:space="preserve"> </w:t>
      </w:r>
      <w:r w:rsidRPr="00D715AF">
        <w:rPr>
          <w:i/>
          <w:sz w:val="24"/>
          <w:szCs w:val="24"/>
          <w:u w:val="single"/>
        </w:rPr>
        <w:t>nákup pozemkov</w:t>
      </w:r>
      <w:r w:rsidRPr="00D715AF">
        <w:rPr>
          <w:sz w:val="24"/>
          <w:szCs w:val="24"/>
        </w:rPr>
        <w:t xml:space="preserve"> 8</w:t>
      </w:r>
      <w:r w:rsidR="00271111" w:rsidRPr="00D715AF">
        <w:rPr>
          <w:sz w:val="24"/>
          <w:szCs w:val="24"/>
        </w:rPr>
        <w:t> </w:t>
      </w:r>
      <w:r w:rsidRPr="00D715AF">
        <w:rPr>
          <w:sz w:val="24"/>
          <w:szCs w:val="24"/>
        </w:rPr>
        <w:t>357</w:t>
      </w:r>
      <w:r w:rsidR="00271111" w:rsidRPr="00D715AF">
        <w:rPr>
          <w:sz w:val="24"/>
          <w:szCs w:val="24"/>
        </w:rPr>
        <w:t> tis. </w:t>
      </w:r>
      <w:r w:rsidRPr="00D715AF">
        <w:rPr>
          <w:sz w:val="24"/>
          <w:szCs w:val="24"/>
        </w:rPr>
        <w:t>eur (2019: 10 574 tis. eur)</w:t>
      </w:r>
    </w:p>
    <w:p w14:paraId="0D7590D3" w14:textId="77777777" w:rsidR="0078085C" w:rsidRPr="00D715AF" w:rsidRDefault="0078085C" w:rsidP="001665F3">
      <w:pPr>
        <w:spacing w:line="240" w:lineRule="auto"/>
        <w:rPr>
          <w:sz w:val="24"/>
          <w:szCs w:val="24"/>
        </w:rPr>
      </w:pPr>
      <w:r w:rsidRPr="00D715AF">
        <w:rPr>
          <w:sz w:val="24"/>
          <w:szCs w:val="24"/>
        </w:rPr>
        <w:t xml:space="preserve">Kapitola </w:t>
      </w:r>
      <w:r w:rsidRPr="00E1218F">
        <w:rPr>
          <w:sz w:val="24"/>
          <w:szCs w:val="24"/>
          <w:u w:val="single"/>
        </w:rPr>
        <w:t>Ministerstva financií SR</w:t>
      </w:r>
      <w:r w:rsidRPr="00D715AF">
        <w:rPr>
          <w:sz w:val="24"/>
          <w:szCs w:val="24"/>
        </w:rPr>
        <w:t xml:space="preserve"> čerpala výdavky na softvér v sume 14 014 tis. eur, z toho predovšetkým Finančné riaditeľstvo SR na projekt Vybudovanie nosnej infraštruktúry bezpečného informačno-komunikačného systému (7 726 tis. eur), na Informačný systém pre podporu boja proti podvodom (2 486 tis. eur) a úrad Ministerstva financií SR na nákup softvéru v rámci programu Centrálne licenčné zmluvné vzťahy (3 712 tis. eur).</w:t>
      </w:r>
    </w:p>
    <w:p w14:paraId="724195B0" w14:textId="7359352D" w:rsidR="0078085C" w:rsidRPr="00D715AF" w:rsidRDefault="0078085C" w:rsidP="001665F3">
      <w:pPr>
        <w:spacing w:line="240" w:lineRule="auto"/>
        <w:rPr>
          <w:sz w:val="24"/>
          <w:szCs w:val="24"/>
        </w:rPr>
      </w:pPr>
      <w:r w:rsidRPr="00E1218F">
        <w:rPr>
          <w:sz w:val="24"/>
          <w:szCs w:val="24"/>
          <w:u w:val="single"/>
        </w:rPr>
        <w:t>Štatistický úrad SR</w:t>
      </w:r>
      <w:r w:rsidRPr="00D715AF">
        <w:rPr>
          <w:sz w:val="24"/>
          <w:szCs w:val="24"/>
        </w:rPr>
        <w:t xml:space="preserve"> dosiahol výdavky vo výške 11 366 tis. eur, išlo o nákup softvéru určeného pre sčítanie obyvateľov, domov a bytov 2021, a to na softvér pre 1. etapu – na územnú prípravu na sčítanie domov a bytov a pre nadväzujúcu 2. etapu - na elektronické sčítanie obyvateľov</w:t>
      </w:r>
      <w:r w:rsidR="00FF325A" w:rsidRPr="00D715AF">
        <w:rPr>
          <w:rStyle w:val="Odkaznapoznmkupodiarou"/>
          <w:sz w:val="24"/>
          <w:szCs w:val="24"/>
        </w:rPr>
        <w:footnoteReference w:id="37"/>
      </w:r>
      <w:r w:rsidRPr="00D715AF">
        <w:rPr>
          <w:sz w:val="24"/>
          <w:szCs w:val="24"/>
        </w:rPr>
        <w:t>.</w:t>
      </w:r>
    </w:p>
    <w:p w14:paraId="59187321" w14:textId="77777777" w:rsidR="0078085C" w:rsidRPr="00D715AF" w:rsidRDefault="0078085C" w:rsidP="001665F3">
      <w:pPr>
        <w:spacing w:line="240" w:lineRule="auto"/>
        <w:rPr>
          <w:sz w:val="24"/>
          <w:szCs w:val="24"/>
        </w:rPr>
      </w:pPr>
      <w:r w:rsidRPr="00D715AF">
        <w:rPr>
          <w:sz w:val="24"/>
          <w:szCs w:val="24"/>
        </w:rPr>
        <w:t xml:space="preserve">Výdavky </w:t>
      </w:r>
      <w:r w:rsidRPr="00E1218F">
        <w:rPr>
          <w:sz w:val="24"/>
          <w:szCs w:val="24"/>
          <w:u w:val="single"/>
        </w:rPr>
        <w:t>Ministerstva vnútra SR</w:t>
      </w:r>
      <w:r w:rsidRPr="00D715AF">
        <w:rPr>
          <w:sz w:val="24"/>
          <w:szCs w:val="24"/>
        </w:rPr>
        <w:t xml:space="preserve"> boli vo výške 6 946 tis. eur, išlo predovšetkým o zabezpečenie vývoja, testovania, implementácie, upgrade a </w:t>
      </w:r>
      <w:proofErr w:type="spellStart"/>
      <w:r w:rsidRPr="00D715AF">
        <w:rPr>
          <w:sz w:val="24"/>
          <w:szCs w:val="24"/>
        </w:rPr>
        <w:t>rollout</w:t>
      </w:r>
      <w:proofErr w:type="spellEnd"/>
      <w:r w:rsidRPr="00D715AF">
        <w:rPr>
          <w:sz w:val="24"/>
          <w:szCs w:val="24"/>
        </w:rPr>
        <w:t xml:space="preserve"> riešenia informačných systémov ministerstva a informačno-komunikačných technológií v rámci programu Efektívna a spoľahlivá štátna správa pre informačné systémy ministerstva.</w:t>
      </w:r>
    </w:p>
    <w:p w14:paraId="1A058BF0" w14:textId="77777777" w:rsidR="0078085C" w:rsidRPr="00D715AF" w:rsidRDefault="0078085C" w:rsidP="001665F3">
      <w:pPr>
        <w:spacing w:line="240" w:lineRule="auto"/>
        <w:rPr>
          <w:sz w:val="24"/>
          <w:szCs w:val="24"/>
        </w:rPr>
      </w:pPr>
      <w:r w:rsidRPr="00E1218F">
        <w:rPr>
          <w:sz w:val="24"/>
          <w:szCs w:val="24"/>
          <w:u w:val="single"/>
        </w:rPr>
        <w:t>Ministerstvo zdravotníctva SR</w:t>
      </w:r>
      <w:r w:rsidRPr="00D715AF">
        <w:rPr>
          <w:sz w:val="24"/>
          <w:szCs w:val="24"/>
        </w:rPr>
        <w:t xml:space="preserve"> vynaložilo finančné prostriedky vo výške 6 781 tis. eur, predovšetkým na financovanie národného projektu - Integrovaný systém úradov verejného zdravotníctva v Úrade verejného zdravotníctva SR. </w:t>
      </w:r>
    </w:p>
    <w:p w14:paraId="61D62C95" w14:textId="77777777" w:rsidR="0078085C" w:rsidRPr="00D715AF" w:rsidRDefault="0078085C" w:rsidP="001665F3">
      <w:pPr>
        <w:spacing w:line="240" w:lineRule="auto"/>
        <w:rPr>
          <w:sz w:val="24"/>
          <w:szCs w:val="24"/>
        </w:rPr>
      </w:pPr>
      <w:r w:rsidRPr="00D715AF">
        <w:rPr>
          <w:sz w:val="24"/>
          <w:szCs w:val="24"/>
        </w:rPr>
        <w:t xml:space="preserve">Výdavky </w:t>
      </w:r>
      <w:r w:rsidRPr="00E1218F">
        <w:rPr>
          <w:sz w:val="24"/>
          <w:szCs w:val="24"/>
          <w:u w:val="single"/>
        </w:rPr>
        <w:t>Ministerstva školstva, vedy, výskumu a športu SR</w:t>
      </w:r>
      <w:r w:rsidRPr="00D715AF">
        <w:rPr>
          <w:sz w:val="24"/>
          <w:szCs w:val="24"/>
        </w:rPr>
        <w:t xml:space="preserve"> tvorili sumu 6 652 tis. eur, z toho najviac pre Štátny inštitút odborného vzdelávania na národný projekt Duálne vzdelávanie a zvýšenie atraktivity a kvality odborného vzdelávania a prípravy (3 600 tis. eur) a v rámci programu Informačné technológie financované zo ŠR na IS Centrálne úložisko digitálneho edukačného programu - CUDEO (1 736 tis. eur).</w:t>
      </w:r>
    </w:p>
    <w:p w14:paraId="70794B62" w14:textId="77777777" w:rsidR="0078085C" w:rsidRPr="00D715AF" w:rsidRDefault="0078085C" w:rsidP="001665F3">
      <w:pPr>
        <w:spacing w:line="240" w:lineRule="auto"/>
        <w:rPr>
          <w:sz w:val="24"/>
          <w:szCs w:val="24"/>
        </w:rPr>
      </w:pPr>
      <w:r w:rsidRPr="00D715AF">
        <w:rPr>
          <w:sz w:val="24"/>
          <w:szCs w:val="24"/>
        </w:rPr>
        <w:t xml:space="preserve">Výdavky </w:t>
      </w:r>
      <w:r w:rsidRPr="00E1218F">
        <w:rPr>
          <w:sz w:val="24"/>
          <w:szCs w:val="24"/>
          <w:u w:val="single"/>
        </w:rPr>
        <w:t>Ministerstva investícií, regionálneho rozvoja a informatizácie SR</w:t>
      </w:r>
      <w:r w:rsidRPr="00D715AF">
        <w:rPr>
          <w:sz w:val="24"/>
          <w:szCs w:val="24"/>
        </w:rPr>
        <w:t xml:space="preserve"> boli v sume 4 290 tis. eur, z toho najviac v rámci Národného systému riadenia incidentov kybernetickej bezpečnosti vo verejnej správe.</w:t>
      </w:r>
    </w:p>
    <w:p w14:paraId="784DE715" w14:textId="77777777" w:rsidR="0078085C" w:rsidRPr="00D715AF" w:rsidRDefault="0078085C" w:rsidP="001665F3">
      <w:pPr>
        <w:spacing w:line="240" w:lineRule="auto"/>
        <w:rPr>
          <w:sz w:val="24"/>
          <w:szCs w:val="24"/>
        </w:rPr>
      </w:pPr>
      <w:r w:rsidRPr="00D715AF">
        <w:rPr>
          <w:sz w:val="24"/>
          <w:szCs w:val="24"/>
        </w:rPr>
        <w:t xml:space="preserve">Skutočné čerpanie výdavkov na nákup softvéru na </w:t>
      </w:r>
      <w:r w:rsidRPr="00E1218F">
        <w:rPr>
          <w:sz w:val="24"/>
          <w:szCs w:val="24"/>
          <w:u w:val="single"/>
        </w:rPr>
        <w:t>Ministerstve obrany SR</w:t>
      </w:r>
      <w:r w:rsidRPr="00D715AF">
        <w:rPr>
          <w:sz w:val="24"/>
          <w:szCs w:val="24"/>
        </w:rPr>
        <w:t xml:space="preserve"> bolo nižšie o 4 541 tis. eur oproti schválenému rozpočtu, dôvodom bol presun prostriedkov na plnenie iných prioritných úloh rezortu obrany v roku 2021.</w:t>
      </w:r>
    </w:p>
    <w:p w14:paraId="5FA713D4" w14:textId="77777777" w:rsidR="0078085C" w:rsidRPr="00D715AF" w:rsidRDefault="0078085C" w:rsidP="001665F3">
      <w:pPr>
        <w:spacing w:line="240" w:lineRule="auto"/>
        <w:rPr>
          <w:sz w:val="24"/>
          <w:szCs w:val="24"/>
        </w:rPr>
      </w:pPr>
      <w:r w:rsidRPr="00D715AF">
        <w:rPr>
          <w:i/>
          <w:sz w:val="24"/>
          <w:szCs w:val="24"/>
          <w:u w:val="single"/>
        </w:rPr>
        <w:t>Nákup nových pozemkov</w:t>
      </w:r>
      <w:r w:rsidRPr="00D715AF">
        <w:rPr>
          <w:sz w:val="24"/>
          <w:szCs w:val="24"/>
        </w:rPr>
        <w:t xml:space="preserve"> prestavoval sumu 8 357 tis. eur, z toho najviac Ministerstvo dopravy a výstavby SR (5 107 tis. eur) najmä na výstavbu cestnej siete a prípravu projektov plánovaných na financovanie z fondov EÚ.</w:t>
      </w:r>
    </w:p>
    <w:p w14:paraId="27B087F4" w14:textId="77777777" w:rsidR="0078085C" w:rsidRPr="00D715AF" w:rsidRDefault="0078085C" w:rsidP="001665F3">
      <w:pPr>
        <w:spacing w:line="240" w:lineRule="auto"/>
        <w:rPr>
          <w:sz w:val="24"/>
          <w:szCs w:val="24"/>
        </w:rPr>
      </w:pPr>
      <w:r w:rsidRPr="00D715AF">
        <w:rPr>
          <w:sz w:val="24"/>
          <w:szCs w:val="24"/>
        </w:rPr>
        <w:t xml:space="preserve">Na </w:t>
      </w:r>
      <w:r w:rsidRPr="00D715AF">
        <w:rPr>
          <w:b/>
          <w:i/>
          <w:sz w:val="24"/>
          <w:szCs w:val="24"/>
        </w:rPr>
        <w:t>rekonštrukciu a modernizáciu strojov</w:t>
      </w:r>
      <w:r w:rsidRPr="00D715AF">
        <w:rPr>
          <w:i/>
          <w:sz w:val="24"/>
          <w:szCs w:val="24"/>
        </w:rPr>
        <w:t xml:space="preserve"> </w:t>
      </w:r>
      <w:r w:rsidRPr="00D715AF">
        <w:rPr>
          <w:b/>
          <w:i/>
          <w:sz w:val="24"/>
          <w:szCs w:val="24"/>
        </w:rPr>
        <w:t>a zariadení, výpočtovej a telekomunikačnej techniky, softvéru a komunikačnej infraštruktúry</w:t>
      </w:r>
      <w:r w:rsidRPr="00D715AF">
        <w:rPr>
          <w:i/>
          <w:sz w:val="24"/>
          <w:szCs w:val="24"/>
        </w:rPr>
        <w:t xml:space="preserve"> </w:t>
      </w:r>
      <w:r w:rsidRPr="00D715AF">
        <w:rPr>
          <w:sz w:val="24"/>
          <w:szCs w:val="24"/>
        </w:rPr>
        <w:t>boli použité kapitálové výdavky</w:t>
      </w:r>
      <w:r w:rsidRPr="00D715AF">
        <w:rPr>
          <w:i/>
          <w:sz w:val="24"/>
          <w:szCs w:val="24"/>
        </w:rPr>
        <w:t xml:space="preserve"> </w:t>
      </w:r>
      <w:r w:rsidRPr="00D715AF">
        <w:rPr>
          <w:sz w:val="24"/>
          <w:szCs w:val="24"/>
        </w:rPr>
        <w:t xml:space="preserve">v hodnote 58 286 tis. eur, z toho jednoznačne prevládali ako v rozpočte, tak aj v plnení výdavky na </w:t>
      </w:r>
      <w:r w:rsidRPr="00D715AF">
        <w:rPr>
          <w:i/>
          <w:sz w:val="24"/>
          <w:szCs w:val="24"/>
          <w:u w:val="single"/>
        </w:rPr>
        <w:t xml:space="preserve">softvér </w:t>
      </w:r>
      <w:r w:rsidRPr="00D715AF">
        <w:rPr>
          <w:sz w:val="24"/>
          <w:szCs w:val="24"/>
        </w:rPr>
        <w:t>55 754 tis. eur. Z pohľadu kapitol boli najvýznamnejšie sumy čerpané v kapitole</w:t>
      </w:r>
      <w:r w:rsidRPr="00D715AF">
        <w:rPr>
          <w:color w:val="FF0000"/>
          <w:sz w:val="24"/>
          <w:szCs w:val="24"/>
        </w:rPr>
        <w:t xml:space="preserve"> </w:t>
      </w:r>
      <w:r w:rsidRPr="00D715AF">
        <w:rPr>
          <w:sz w:val="24"/>
          <w:szCs w:val="24"/>
        </w:rPr>
        <w:t>Ministerstva financií SR (26 427 tis. eur), Ministerstva vnútra SR</w:t>
      </w:r>
      <w:r w:rsidRPr="00D715AF">
        <w:rPr>
          <w:color w:val="FF0000"/>
          <w:sz w:val="24"/>
          <w:szCs w:val="24"/>
        </w:rPr>
        <w:t xml:space="preserve"> </w:t>
      </w:r>
      <w:r w:rsidRPr="00D715AF">
        <w:rPr>
          <w:sz w:val="24"/>
          <w:szCs w:val="24"/>
        </w:rPr>
        <w:t>(12 931 tis. eur), Ministerstva investícií, regionálneho rozvoja a informatizácie SR (11 045 tis. eur) a na Štatistickom úrade SR (1 734 tis. eur).</w:t>
      </w:r>
    </w:p>
    <w:p w14:paraId="4D2CF0EC" w14:textId="77777777" w:rsidR="0004591C" w:rsidRDefault="0078085C" w:rsidP="001665F3">
      <w:pPr>
        <w:spacing w:line="240" w:lineRule="auto"/>
        <w:rPr>
          <w:sz w:val="24"/>
          <w:szCs w:val="24"/>
        </w:rPr>
      </w:pPr>
      <w:r w:rsidRPr="00D715AF">
        <w:rPr>
          <w:sz w:val="24"/>
          <w:szCs w:val="24"/>
        </w:rPr>
        <w:t xml:space="preserve">Výdavky </w:t>
      </w:r>
      <w:r w:rsidRPr="00D715AF">
        <w:rPr>
          <w:i/>
          <w:sz w:val="24"/>
          <w:szCs w:val="24"/>
          <w:u w:val="single"/>
        </w:rPr>
        <w:t>na rekonštrukciu a modernizáciu softvéru</w:t>
      </w:r>
      <w:r w:rsidRPr="00D715AF">
        <w:rPr>
          <w:sz w:val="24"/>
          <w:szCs w:val="24"/>
        </w:rPr>
        <w:t xml:space="preserve"> predstavovali sumu 55 755 tis. eur. Najviac čerpalo výdavky Ministerstvo financií SR (26 107 tis. eur), napr. Finančné riaditeľstvo SR na Informačný systém pre výmenu informácií (4 354 tis. eur), na Colný informačný systém (4 124 tis. eur), na Prierezový informačný systém (3 778 tis. eur) a na informačný systém pre podporu boja proti podvodom (3 561 tis. eur). Úrad Ministerstva financií SR čerpal výdavky na nákup softvérového zabezpečenia projektu UNITAS na zjednotenie výberu daní, cla a poistných odvodov (3 561 tis. eur), na modernizáciu </w:t>
      </w:r>
      <w:r w:rsidR="00694130" w:rsidRPr="00D715AF">
        <w:rPr>
          <w:sz w:val="24"/>
          <w:szCs w:val="24"/>
        </w:rPr>
        <w:t>nadrezortného</w:t>
      </w:r>
      <w:r w:rsidRPr="00D715AF">
        <w:rPr>
          <w:sz w:val="24"/>
          <w:szCs w:val="24"/>
        </w:rPr>
        <w:t xml:space="preserve"> účtovného systému (2 454 tis. eur)</w:t>
      </w:r>
      <w:r w:rsidR="0004591C">
        <w:rPr>
          <w:sz w:val="24"/>
          <w:szCs w:val="24"/>
        </w:rPr>
        <w:t>.</w:t>
      </w:r>
    </w:p>
    <w:p w14:paraId="0758E9C4" w14:textId="50237908" w:rsidR="0078085C" w:rsidRPr="00D715AF" w:rsidRDefault="0078085C" w:rsidP="001665F3">
      <w:pPr>
        <w:spacing w:line="240" w:lineRule="auto"/>
        <w:rPr>
          <w:sz w:val="24"/>
          <w:szCs w:val="24"/>
        </w:rPr>
      </w:pPr>
      <w:r w:rsidRPr="00D715AF">
        <w:rPr>
          <w:sz w:val="24"/>
          <w:szCs w:val="24"/>
        </w:rPr>
        <w:t xml:space="preserve">Ministerstvo vnútra SR výdavky v sume 12 911 tis. eur čerpalo najmä na modernizáciu existujúcich softvérov a aplikácií, napr. v súvislosti s novelou zákona o cestnej premávke, na úpravu Schengenského informačného systému, úpravu systému evidencie vozidiel, úpravu informačného systému </w:t>
      </w:r>
      <w:proofErr w:type="spellStart"/>
      <w:r w:rsidRPr="00D715AF">
        <w:rPr>
          <w:sz w:val="24"/>
          <w:szCs w:val="24"/>
        </w:rPr>
        <w:t>CESDaP</w:t>
      </w:r>
      <w:proofErr w:type="spellEnd"/>
      <w:r w:rsidRPr="00D715AF">
        <w:rPr>
          <w:sz w:val="24"/>
          <w:szCs w:val="24"/>
        </w:rPr>
        <w:t xml:space="preserve"> (centrálna evidencia správnych deliktov a priestupkov), úpravu systému registra obyvateľov, na úpravu centrálneho informačného systému matrík a iné.</w:t>
      </w:r>
    </w:p>
    <w:p w14:paraId="790CB68D" w14:textId="77777777" w:rsidR="0078085C" w:rsidRPr="00D715AF" w:rsidRDefault="0078085C" w:rsidP="001665F3">
      <w:pPr>
        <w:spacing w:line="240" w:lineRule="auto"/>
        <w:rPr>
          <w:sz w:val="24"/>
          <w:szCs w:val="24"/>
        </w:rPr>
      </w:pPr>
      <w:r w:rsidRPr="00D715AF">
        <w:rPr>
          <w:sz w:val="24"/>
          <w:szCs w:val="24"/>
        </w:rPr>
        <w:t xml:space="preserve">Výdavky Ministerstva investícií, regionálneho rozvoja a informatizácie SR (11 045 tis. eur) boli použité najmä na aktualizáciu a zvýšenie výkonnosti systémovej a aplikačnej podpory informačného systému integrovaných obslužných miest (IS IOM) a informačného systému Centrálnej správy referenčných údajov (IS CSRÚ). </w:t>
      </w:r>
    </w:p>
    <w:p w14:paraId="77C441D2" w14:textId="77777777" w:rsidR="0078085C" w:rsidRPr="00D715AF" w:rsidRDefault="0078085C" w:rsidP="001665F3">
      <w:pPr>
        <w:spacing w:line="240" w:lineRule="auto"/>
        <w:rPr>
          <w:sz w:val="24"/>
          <w:szCs w:val="24"/>
        </w:rPr>
      </w:pPr>
      <w:r w:rsidRPr="00D715AF">
        <w:rPr>
          <w:sz w:val="24"/>
          <w:szCs w:val="24"/>
        </w:rPr>
        <w:t>Štatistický úrad SR dosiahol výdavky vo výške 1 734 tis. eur, išlo o technické zhodnotenie integrovaného štatistického informačného systému.</w:t>
      </w:r>
    </w:p>
    <w:p w14:paraId="3F1E0635" w14:textId="77777777" w:rsidR="0078085C" w:rsidRPr="00D715AF" w:rsidRDefault="0078085C" w:rsidP="001665F3">
      <w:pPr>
        <w:spacing w:line="240" w:lineRule="auto"/>
        <w:rPr>
          <w:sz w:val="24"/>
          <w:szCs w:val="24"/>
        </w:rPr>
      </w:pPr>
      <w:r w:rsidRPr="00D715AF">
        <w:rPr>
          <w:b/>
          <w:i/>
          <w:sz w:val="24"/>
          <w:szCs w:val="24"/>
        </w:rPr>
        <w:t xml:space="preserve">Nákup dopravných prostriedkov </w:t>
      </w:r>
      <w:r w:rsidRPr="00D715AF">
        <w:rPr>
          <w:sz w:val="24"/>
          <w:szCs w:val="24"/>
        </w:rPr>
        <w:t>dosiahol 50 955 tis. eur, z toho najväčší podiel výdavkov tvorila kapitola Ministerstva obrany SR 38 196 tis. eur a Ministerstva vnútra SR 8 132 tis. eur. V porovnaní s rokom 2019 bol zaznamenaný pokles výdavkov o 63</w:t>
      </w:r>
      <w:r w:rsidRPr="00D715AF">
        <w:rPr>
          <w:rFonts w:eastAsia="Times New Roman" w:cs="Times New Roman"/>
          <w:bCs/>
          <w:sz w:val="24"/>
          <w:szCs w:val="24"/>
          <w:lang w:eastAsia="sk-SK"/>
        </w:rPr>
        <w:t> 651</w:t>
      </w:r>
      <w:r w:rsidRPr="00D715AF">
        <w:rPr>
          <w:sz w:val="24"/>
          <w:szCs w:val="24"/>
        </w:rPr>
        <w:t> tis. eur.</w:t>
      </w:r>
    </w:p>
    <w:p w14:paraId="7DE0EEE6" w14:textId="77777777" w:rsidR="0078085C" w:rsidRPr="00D715AF" w:rsidRDefault="0078085C" w:rsidP="001665F3">
      <w:pPr>
        <w:spacing w:line="240" w:lineRule="auto"/>
        <w:rPr>
          <w:sz w:val="24"/>
          <w:szCs w:val="24"/>
        </w:rPr>
      </w:pPr>
      <w:r w:rsidRPr="00D715AF">
        <w:rPr>
          <w:sz w:val="24"/>
          <w:szCs w:val="24"/>
        </w:rPr>
        <w:t xml:space="preserve">Ministerstvo obrany SR realizovalo výdavky na </w:t>
      </w:r>
      <w:r w:rsidRPr="00D715AF">
        <w:rPr>
          <w:i/>
          <w:sz w:val="24"/>
          <w:szCs w:val="24"/>
        </w:rPr>
        <w:t>nákup lietadiel</w:t>
      </w:r>
      <w:r w:rsidRPr="00D715AF">
        <w:rPr>
          <w:sz w:val="24"/>
          <w:szCs w:val="24"/>
        </w:rPr>
        <w:t xml:space="preserve"> v hodnote 22 728 tis. eur, pričom išlo o platby za viacúčelové vrtuľníky. Z uvedenej sumy bola časť prostriedkov čerpaná na úhradu DPH za dodané 3 ks vrtuľníkov UH-60M </w:t>
      </w:r>
      <w:proofErr w:type="spellStart"/>
      <w:r w:rsidRPr="00D715AF">
        <w:rPr>
          <w:sz w:val="24"/>
          <w:szCs w:val="24"/>
        </w:rPr>
        <w:t>Blackhawk</w:t>
      </w:r>
      <w:proofErr w:type="spellEnd"/>
      <w:r w:rsidRPr="00D715AF">
        <w:rPr>
          <w:sz w:val="24"/>
          <w:szCs w:val="24"/>
        </w:rPr>
        <w:t xml:space="preserve"> v roku 2020 a ďalšie prostriedky boli čerpané na úhradu zmluvných splátok. Výdavky na </w:t>
      </w:r>
      <w:r w:rsidRPr="00D715AF">
        <w:rPr>
          <w:i/>
          <w:sz w:val="24"/>
          <w:szCs w:val="24"/>
          <w:u w:val="single"/>
        </w:rPr>
        <w:t>nákup</w:t>
      </w:r>
      <w:r w:rsidRPr="00D715AF">
        <w:rPr>
          <w:sz w:val="24"/>
          <w:szCs w:val="24"/>
          <w:u w:val="single"/>
        </w:rPr>
        <w:t xml:space="preserve"> </w:t>
      </w:r>
      <w:r w:rsidRPr="00D715AF">
        <w:rPr>
          <w:i/>
          <w:sz w:val="24"/>
          <w:szCs w:val="24"/>
          <w:u w:val="single"/>
        </w:rPr>
        <w:t>osobných automobilov</w:t>
      </w:r>
      <w:r w:rsidRPr="00D715AF">
        <w:rPr>
          <w:i/>
          <w:sz w:val="24"/>
          <w:szCs w:val="24"/>
        </w:rPr>
        <w:t xml:space="preserve"> </w:t>
      </w:r>
      <w:r w:rsidRPr="00D715AF">
        <w:rPr>
          <w:sz w:val="24"/>
          <w:szCs w:val="24"/>
        </w:rPr>
        <w:t>boli vo výške</w:t>
      </w:r>
      <w:r w:rsidRPr="00D715AF">
        <w:rPr>
          <w:i/>
          <w:sz w:val="24"/>
          <w:szCs w:val="24"/>
        </w:rPr>
        <w:t xml:space="preserve"> </w:t>
      </w:r>
      <w:r w:rsidRPr="00D715AF">
        <w:rPr>
          <w:sz w:val="24"/>
          <w:szCs w:val="24"/>
        </w:rPr>
        <w:t xml:space="preserve">5 046 tis. eur, išlo o nákup osobných automobilov najmä pre Ozbrojené sily SR na plnenie úloh domáceho a medzinárodného krízového manažmentu. Na </w:t>
      </w:r>
      <w:r w:rsidRPr="00D715AF">
        <w:rPr>
          <w:i/>
          <w:sz w:val="24"/>
          <w:szCs w:val="24"/>
          <w:u w:val="single"/>
        </w:rPr>
        <w:t>nákup nákladných vozidiel, ťahačov</w:t>
      </w:r>
      <w:r w:rsidRPr="00D715AF">
        <w:rPr>
          <w:sz w:val="24"/>
          <w:szCs w:val="24"/>
          <w:u w:val="single"/>
        </w:rPr>
        <w:t xml:space="preserve">, </w:t>
      </w:r>
      <w:r w:rsidRPr="00D715AF">
        <w:rPr>
          <w:i/>
          <w:sz w:val="24"/>
          <w:szCs w:val="24"/>
          <w:u w:val="single"/>
        </w:rPr>
        <w:t>prípojných vozidiel</w:t>
      </w:r>
      <w:r w:rsidRPr="00D715AF">
        <w:rPr>
          <w:i/>
          <w:sz w:val="24"/>
          <w:szCs w:val="24"/>
        </w:rPr>
        <w:t xml:space="preserve"> </w:t>
      </w:r>
      <w:r w:rsidRPr="00D715AF">
        <w:rPr>
          <w:sz w:val="24"/>
          <w:szCs w:val="24"/>
        </w:rPr>
        <w:t>boli výdavky</w:t>
      </w:r>
      <w:r w:rsidRPr="00D715AF">
        <w:rPr>
          <w:i/>
          <w:sz w:val="24"/>
          <w:szCs w:val="24"/>
        </w:rPr>
        <w:t xml:space="preserve"> </w:t>
      </w:r>
      <w:r w:rsidRPr="00D715AF">
        <w:rPr>
          <w:sz w:val="24"/>
          <w:szCs w:val="24"/>
        </w:rPr>
        <w:t>v hodnote 4 170 tis. eur v rámci programu Rozvoj obrany a Obrana na špeciálnu techniku pre Ozbrojené sily SR. Ministerstvo čerpalo výdavky na</w:t>
      </w:r>
      <w:r w:rsidRPr="00D715AF">
        <w:rPr>
          <w:i/>
          <w:sz w:val="24"/>
          <w:szCs w:val="24"/>
        </w:rPr>
        <w:t xml:space="preserve"> </w:t>
      </w:r>
      <w:r w:rsidRPr="00D715AF">
        <w:rPr>
          <w:i/>
          <w:sz w:val="24"/>
          <w:szCs w:val="24"/>
          <w:u w:val="single"/>
        </w:rPr>
        <w:t>nákup špeciálnych automobilov</w:t>
      </w:r>
      <w:r w:rsidRPr="00D715AF">
        <w:rPr>
          <w:i/>
          <w:sz w:val="24"/>
          <w:szCs w:val="24"/>
        </w:rPr>
        <w:t xml:space="preserve"> </w:t>
      </w:r>
      <w:r w:rsidRPr="00D715AF">
        <w:rPr>
          <w:sz w:val="24"/>
          <w:szCs w:val="24"/>
        </w:rPr>
        <w:t>v sume 4 161 tis. eur, z toho najmä na projekt ťažká ženijná technika pre Ozbrojené sily SR (3 153 tis. eur) a na špeciálne automobily pre Vojenskú políciu (822 tis. eur). Pokles skutočne čerpaných prostriedkov oproti schválenému rozpočtu o 23 192 tis. eur súvisel s nerealizovaním niektorých projektov (napr. bojové obrnené vozidlá 8x8, viacúčelové taktické vozidlá).</w:t>
      </w:r>
    </w:p>
    <w:p w14:paraId="3939F0FB" w14:textId="77777777" w:rsidR="0078085C" w:rsidRPr="00D715AF" w:rsidRDefault="0078085C" w:rsidP="001665F3">
      <w:pPr>
        <w:spacing w:line="240" w:lineRule="auto"/>
        <w:rPr>
          <w:sz w:val="24"/>
          <w:szCs w:val="24"/>
        </w:rPr>
      </w:pPr>
      <w:r w:rsidRPr="00D715AF">
        <w:rPr>
          <w:sz w:val="24"/>
          <w:szCs w:val="24"/>
        </w:rPr>
        <w:t xml:space="preserve">Výdavky Ministerstva vnútra SR tvorili v prevažnej miere výdavky na </w:t>
      </w:r>
      <w:r w:rsidRPr="00D715AF">
        <w:rPr>
          <w:i/>
          <w:sz w:val="24"/>
          <w:szCs w:val="24"/>
        </w:rPr>
        <w:t xml:space="preserve">nákup osobných automobilov </w:t>
      </w:r>
      <w:r w:rsidRPr="00D715AF">
        <w:rPr>
          <w:sz w:val="24"/>
          <w:szCs w:val="24"/>
        </w:rPr>
        <w:t xml:space="preserve">vo výške 6 656 tis. eur v rámci programu Efektívna a spoľahlivá štátna správa (Centrálna podpora). Finančné prostriedky boli použité na nákup osobných automobilov a príslušenstva, na úpravu služobných vozidiel pre potreby výkonu policajných a záchranných zložiek a rôznych útvarov ministerstva. Čerpanie výdavkov na </w:t>
      </w:r>
      <w:r w:rsidRPr="00D715AF">
        <w:rPr>
          <w:i/>
          <w:sz w:val="24"/>
          <w:szCs w:val="24"/>
        </w:rPr>
        <w:t>nákup nákladných vozidiel, ťahačov, prípojných vozidiel</w:t>
      </w:r>
      <w:r w:rsidRPr="00D715AF">
        <w:rPr>
          <w:sz w:val="24"/>
          <w:szCs w:val="24"/>
        </w:rPr>
        <w:t xml:space="preserve"> predstavovalo sumu 1 398 tis. eur. Išlo o prostriedky z Európskeho fondu regionálneho rozvoja</w:t>
      </w:r>
      <w:r w:rsidRPr="00D715AF">
        <w:rPr>
          <w:color w:val="1F497D"/>
          <w:sz w:val="24"/>
          <w:szCs w:val="24"/>
        </w:rPr>
        <w:t xml:space="preserve">, </w:t>
      </w:r>
      <w:r w:rsidRPr="00D715AF">
        <w:rPr>
          <w:sz w:val="24"/>
          <w:szCs w:val="24"/>
        </w:rPr>
        <w:t xml:space="preserve">v rámci operačného programu Kvalita životného prostredia, na zvýšenie odborných a intervenčných kapacít na regionálnej a lokálnej úrovni, na posilnenie intervenčných kapacít Hasičského a záchranného zboru na refundáciu výdavkov na obstaranie hasičskej techniky. </w:t>
      </w:r>
    </w:p>
    <w:p w14:paraId="7EDE97BC" w14:textId="2FBFF3A9" w:rsidR="0078085C" w:rsidRPr="00D715AF" w:rsidRDefault="0078085C" w:rsidP="001665F3">
      <w:pPr>
        <w:spacing w:line="240" w:lineRule="auto"/>
        <w:rPr>
          <w:sz w:val="24"/>
          <w:szCs w:val="24"/>
        </w:rPr>
      </w:pPr>
      <w:r w:rsidRPr="00D715AF">
        <w:rPr>
          <w:sz w:val="24"/>
          <w:szCs w:val="24"/>
        </w:rPr>
        <w:t xml:space="preserve">Pri </w:t>
      </w:r>
      <w:r w:rsidRPr="00D715AF">
        <w:rPr>
          <w:b/>
          <w:i/>
          <w:sz w:val="24"/>
          <w:szCs w:val="24"/>
        </w:rPr>
        <w:t>nákupe budov, objektov alebo ich častí výdavky</w:t>
      </w:r>
      <w:r w:rsidRPr="00D715AF">
        <w:rPr>
          <w:sz w:val="24"/>
          <w:szCs w:val="24"/>
        </w:rPr>
        <w:t xml:space="preserve"> dosiahli hodnotu 7 109 tis. eur. Oproti predchádzajúcemu obdobiu bol zaznamenaný pokles o 68 589 tis. eur. Pokles bol zaznamenaný aj medzi schváleným rozpočtom a skutočnosťou najviac na Ministerstve zahraničných vecí a európskych záležitostí SR (o 3 500 tis. eur), dôvodom bol presun do kategórie kapitálových transferov na použitie v roku 2</w:t>
      </w:r>
      <w:r w:rsidR="0004591C">
        <w:rPr>
          <w:sz w:val="24"/>
          <w:szCs w:val="24"/>
        </w:rPr>
        <w:t>021, na</w:t>
      </w:r>
      <w:r w:rsidR="008C105D">
        <w:rPr>
          <w:sz w:val="24"/>
          <w:szCs w:val="24"/>
        </w:rPr>
        <w:t xml:space="preserve"> </w:t>
      </w:r>
      <w:r w:rsidRPr="00D715AF">
        <w:rPr>
          <w:sz w:val="24"/>
          <w:szCs w:val="24"/>
        </w:rPr>
        <w:t xml:space="preserve">Ministerstve práce, sociálnych vecí a rodiny SR (o 2 161 tis. eur), dôvodom bol presun finančných prostriedkov, ktoré boli rozpočtované na nákup budov pre </w:t>
      </w:r>
      <w:r w:rsidRPr="00D715AF">
        <w:rPr>
          <w:iCs/>
          <w:sz w:val="24"/>
          <w:szCs w:val="24"/>
        </w:rPr>
        <w:t>štátne centrá pre deti a rodiny.</w:t>
      </w:r>
      <w:r w:rsidRPr="00D715AF">
        <w:rPr>
          <w:sz w:val="24"/>
          <w:szCs w:val="24"/>
        </w:rPr>
        <w:t xml:space="preserve"> Najvýznamnejšiu sumu čerpalo Ministerstvo spravodlivosti SR (3 245 tis. eur), išlo o na nákup budovy pre Okresný súd Žiar nad Hronom.</w:t>
      </w:r>
    </w:p>
    <w:p w14:paraId="3C6FFD3C" w14:textId="238EC0E5" w:rsidR="0078085C" w:rsidRPr="00D715AF" w:rsidRDefault="0078085C" w:rsidP="001665F3">
      <w:pPr>
        <w:spacing w:line="240" w:lineRule="auto"/>
        <w:rPr>
          <w:sz w:val="24"/>
          <w:szCs w:val="24"/>
        </w:rPr>
      </w:pPr>
      <w:r w:rsidRPr="00D715AF">
        <w:rPr>
          <w:b/>
          <w:i/>
          <w:sz w:val="24"/>
          <w:szCs w:val="24"/>
        </w:rPr>
        <w:t xml:space="preserve">Ostatné kapitálové výdavky </w:t>
      </w:r>
      <w:r w:rsidRPr="00D715AF">
        <w:rPr>
          <w:sz w:val="24"/>
          <w:szCs w:val="24"/>
        </w:rPr>
        <w:t xml:space="preserve">dosiahli sumu 112 692 tis. eur (2019: 8 838 tis. eur). Dôvodom výrazného medziročného nárastu bolo čerpanie finančných prostriedkov na Správe štátnych hmotných rezerv SR v hodnote 107 449 tis. eur, išlo o tvorbu pohotovostných zásob - nákup zdravotníckych pomôcok určených na riešenie pandémie spôsobenú koronavírusom. Medzi nakúpené zdravotnícke pomôcky patrí okrem iného nákup testov na ochorenie COVID-19 (62 204 tis. eur), respirátorov FFP2, FFP3, </w:t>
      </w:r>
      <w:r w:rsidR="00BC7851" w:rsidRPr="00D715AF">
        <w:rPr>
          <w:sz w:val="24"/>
          <w:szCs w:val="24"/>
        </w:rPr>
        <w:t>jednorazových</w:t>
      </w:r>
      <w:r w:rsidRPr="00D715AF">
        <w:rPr>
          <w:sz w:val="24"/>
          <w:szCs w:val="24"/>
        </w:rPr>
        <w:t xml:space="preserve"> masiek (33 507 tis. eur), ochranných odevov (6 461 tis. eur), </w:t>
      </w:r>
      <w:r w:rsidR="00BC7851" w:rsidRPr="00D715AF">
        <w:rPr>
          <w:sz w:val="24"/>
          <w:szCs w:val="24"/>
        </w:rPr>
        <w:t>jednorazových</w:t>
      </w:r>
      <w:r w:rsidRPr="00D715AF">
        <w:rPr>
          <w:sz w:val="24"/>
          <w:szCs w:val="24"/>
        </w:rPr>
        <w:t xml:space="preserve"> nitrilových rukavíc (3 844 tis. eur), ochranných okuliarov, čiapok a pod.</w:t>
      </w:r>
    </w:p>
    <w:p w14:paraId="19F8AAB9" w14:textId="639A3DF7" w:rsidR="00151971" w:rsidRPr="0004591C" w:rsidRDefault="00151971" w:rsidP="0004591C">
      <w:pPr>
        <w:spacing w:before="240"/>
        <w:rPr>
          <w:b/>
          <w:color w:val="5B9BD5" w:themeColor="accent1"/>
          <w:sz w:val="24"/>
          <w:szCs w:val="24"/>
        </w:rPr>
      </w:pPr>
      <w:r w:rsidRPr="0004591C">
        <w:rPr>
          <w:b/>
          <w:color w:val="5B9BD5" w:themeColor="accent1"/>
          <w:sz w:val="24"/>
          <w:szCs w:val="24"/>
        </w:rPr>
        <w:t>Kapitálové transfery</w:t>
      </w:r>
    </w:p>
    <w:p w14:paraId="5DBA0633" w14:textId="77777777" w:rsidR="00C414C0" w:rsidRPr="00D715AF" w:rsidRDefault="00C414C0" w:rsidP="001665F3">
      <w:pPr>
        <w:spacing w:line="240" w:lineRule="auto"/>
        <w:rPr>
          <w:sz w:val="24"/>
          <w:szCs w:val="24"/>
        </w:rPr>
      </w:pPr>
      <w:r w:rsidRPr="00D715AF">
        <w:rPr>
          <w:b/>
          <w:sz w:val="24"/>
          <w:szCs w:val="24"/>
        </w:rPr>
        <w:t>Kapitálové transfery</w:t>
      </w:r>
      <w:r w:rsidRPr="00D715AF">
        <w:rPr>
          <w:sz w:val="24"/>
          <w:szCs w:val="24"/>
        </w:rPr>
        <w:t xml:space="preserve"> zahŕňajú platby vykonávané s cieľom umožniť príjemcovi nadobudnúť kapitálové aktíva alebo kompenzovať ich poškodenie alebo zničenie. Schválený rozpočet pre rok 2020 bol stanovený sumou 841 627 tis. eur. V skutočnosti kapitálové transfery boli vo výške 1 608 534 tis. eur (2019: 1 762 451 tis. eur) a tvoria 60,4 % z celkových kapitálových výdavkov. Z celkovej sumy kapitálových transferov bolo zo zdrojov EŠIF použitých 777 523 tis. eur a zo zdroja ŠR 713 465 tis. eur (spolufinancovanie v sume 117 546 tis. eur). Dôvodom zvýšenia rozpočtu počas roka úhrnom o 778 738 tis. eur bolo najmä čerpanie finančných prostriedkov na realizáciu projektov v rámci rozvoja dopravnej infraštruktúry, budovanie diaľnic a rýchlostných ciest.</w:t>
      </w:r>
    </w:p>
    <w:tbl>
      <w:tblPr>
        <w:tblW w:w="9122" w:type="dxa"/>
        <w:tblLayout w:type="fixed"/>
        <w:tblCellMar>
          <w:left w:w="70" w:type="dxa"/>
          <w:right w:w="70" w:type="dxa"/>
        </w:tblCellMar>
        <w:tblLook w:val="04A0" w:firstRow="1" w:lastRow="0" w:firstColumn="1" w:lastColumn="0" w:noHBand="0" w:noVBand="1"/>
      </w:tblPr>
      <w:tblGrid>
        <w:gridCol w:w="2967"/>
        <w:gridCol w:w="1134"/>
        <w:gridCol w:w="1142"/>
        <w:gridCol w:w="1126"/>
        <w:gridCol w:w="1134"/>
        <w:gridCol w:w="910"/>
        <w:gridCol w:w="709"/>
      </w:tblGrid>
      <w:tr w:rsidR="0078085C" w:rsidRPr="00166B38" w14:paraId="142B0519" w14:textId="77777777" w:rsidTr="00166B38">
        <w:trPr>
          <w:trHeight w:val="300"/>
        </w:trPr>
        <w:tc>
          <w:tcPr>
            <w:tcW w:w="9122" w:type="dxa"/>
            <w:gridSpan w:val="7"/>
            <w:tcBorders>
              <w:top w:val="nil"/>
              <w:left w:val="single" w:sz="8" w:space="0" w:color="auto"/>
              <w:bottom w:val="nil"/>
              <w:right w:val="nil"/>
            </w:tcBorders>
            <w:shd w:val="clear" w:color="000000" w:fill="000000"/>
            <w:vAlign w:val="center"/>
            <w:hideMark/>
          </w:tcPr>
          <w:p w14:paraId="2F52BD0A" w14:textId="7F878623" w:rsidR="0078085C" w:rsidRPr="00166B38" w:rsidRDefault="0078085C" w:rsidP="00E9647D">
            <w:pPr>
              <w:spacing w:after="0" w:line="240" w:lineRule="auto"/>
              <w:rPr>
                <w:rFonts w:eastAsia="Times New Roman" w:cs="Times New Roman"/>
                <w:b/>
                <w:bCs/>
                <w:color w:val="FFFFFF"/>
                <w:sz w:val="18"/>
                <w:szCs w:val="18"/>
                <w:lang w:eastAsia="sk-SK"/>
              </w:rPr>
            </w:pPr>
            <w:r w:rsidRPr="00166B38">
              <w:rPr>
                <w:rFonts w:eastAsia="Times New Roman" w:cs="Times New Roman"/>
                <w:b/>
                <w:bCs/>
                <w:color w:val="FFFFFF"/>
                <w:sz w:val="18"/>
                <w:szCs w:val="18"/>
                <w:lang w:eastAsia="sk-SK"/>
              </w:rPr>
              <w:t xml:space="preserve">Kapitálové transfery                                                                                                                                   </w:t>
            </w:r>
            <w:r w:rsidR="00E905A0">
              <w:rPr>
                <w:rFonts w:eastAsia="Times New Roman" w:cs="Times New Roman"/>
                <w:b/>
                <w:bCs/>
                <w:color w:val="FFFFFF"/>
                <w:sz w:val="18"/>
                <w:szCs w:val="18"/>
                <w:lang w:eastAsia="sk-SK"/>
              </w:rPr>
              <w:t xml:space="preserve">               </w:t>
            </w:r>
            <w:r w:rsidRPr="00166B38">
              <w:rPr>
                <w:rFonts w:eastAsia="Times New Roman" w:cs="Times New Roman"/>
                <w:b/>
                <w:bCs/>
                <w:color w:val="FFFFFF"/>
                <w:sz w:val="18"/>
                <w:szCs w:val="18"/>
                <w:lang w:eastAsia="sk-SK"/>
              </w:rPr>
              <w:t xml:space="preserve">   v tis. eur</w:t>
            </w:r>
          </w:p>
        </w:tc>
      </w:tr>
      <w:tr w:rsidR="0078085C" w:rsidRPr="00166B38" w14:paraId="1EC19B36" w14:textId="77777777" w:rsidTr="00166B38">
        <w:trPr>
          <w:trHeight w:val="300"/>
        </w:trPr>
        <w:tc>
          <w:tcPr>
            <w:tcW w:w="2967" w:type="dxa"/>
            <w:tcBorders>
              <w:top w:val="nil"/>
              <w:left w:val="nil"/>
              <w:bottom w:val="nil"/>
              <w:right w:val="nil"/>
            </w:tcBorders>
            <w:shd w:val="clear" w:color="000000" w:fill="BFBFBF"/>
            <w:vAlign w:val="center"/>
            <w:hideMark/>
          </w:tcPr>
          <w:p w14:paraId="516F491A" w14:textId="77777777" w:rsidR="0078085C" w:rsidRPr="00166B38" w:rsidRDefault="0078085C" w:rsidP="004B6995">
            <w:pPr>
              <w:spacing w:after="0" w:line="240" w:lineRule="auto"/>
              <w:jc w:val="center"/>
              <w:rPr>
                <w:rFonts w:ascii="Arial Narrow" w:eastAsia="Times New Roman" w:hAnsi="Arial Narrow" w:cs="Times New Roman"/>
                <w:b/>
                <w:bCs/>
                <w:color w:val="000000"/>
                <w:sz w:val="18"/>
                <w:szCs w:val="18"/>
                <w:lang w:eastAsia="sk-SK"/>
              </w:rPr>
            </w:pPr>
            <w:r w:rsidRPr="00166B38">
              <w:rPr>
                <w:rFonts w:ascii="Arial Narrow" w:eastAsia="Times New Roman" w:hAnsi="Arial Narrow" w:cs="Times New Roman"/>
                <w:b/>
                <w:bCs/>
                <w:color w:val="000000"/>
                <w:sz w:val="18"/>
                <w:szCs w:val="18"/>
                <w:lang w:eastAsia="sk-SK"/>
              </w:rPr>
              <w:t> </w:t>
            </w:r>
          </w:p>
        </w:tc>
        <w:tc>
          <w:tcPr>
            <w:tcW w:w="2276" w:type="dxa"/>
            <w:gridSpan w:val="2"/>
            <w:tcBorders>
              <w:top w:val="nil"/>
              <w:left w:val="nil"/>
              <w:bottom w:val="nil"/>
              <w:right w:val="nil"/>
            </w:tcBorders>
            <w:shd w:val="clear" w:color="000000" w:fill="BFBFBF"/>
            <w:vAlign w:val="center"/>
            <w:hideMark/>
          </w:tcPr>
          <w:p w14:paraId="35544D0D" w14:textId="77777777" w:rsidR="0078085C" w:rsidRPr="00166B38" w:rsidRDefault="0078085C" w:rsidP="004B6995">
            <w:pPr>
              <w:spacing w:after="0" w:line="240" w:lineRule="auto"/>
              <w:jc w:val="center"/>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Skutočnosť</w:t>
            </w:r>
          </w:p>
        </w:tc>
        <w:tc>
          <w:tcPr>
            <w:tcW w:w="1126" w:type="dxa"/>
            <w:tcBorders>
              <w:top w:val="nil"/>
              <w:left w:val="nil"/>
              <w:bottom w:val="nil"/>
              <w:right w:val="nil"/>
            </w:tcBorders>
            <w:shd w:val="clear" w:color="000000" w:fill="BFBFBF"/>
            <w:vAlign w:val="center"/>
            <w:hideMark/>
          </w:tcPr>
          <w:p w14:paraId="7E1CC70F" w14:textId="77777777" w:rsidR="0078085C" w:rsidRPr="00166B38" w:rsidRDefault="0078085C" w:rsidP="004B6995">
            <w:pPr>
              <w:spacing w:after="0" w:line="240" w:lineRule="auto"/>
              <w:jc w:val="center"/>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Rozpočet</w:t>
            </w:r>
          </w:p>
        </w:tc>
        <w:tc>
          <w:tcPr>
            <w:tcW w:w="1134" w:type="dxa"/>
            <w:tcBorders>
              <w:top w:val="nil"/>
              <w:left w:val="nil"/>
              <w:bottom w:val="nil"/>
              <w:right w:val="nil"/>
            </w:tcBorders>
            <w:shd w:val="clear" w:color="000000" w:fill="BFBFBF"/>
            <w:vAlign w:val="center"/>
            <w:hideMark/>
          </w:tcPr>
          <w:p w14:paraId="310D7466" w14:textId="77777777" w:rsidR="0078085C" w:rsidRPr="00166B38" w:rsidRDefault="0078085C" w:rsidP="004B6995">
            <w:pPr>
              <w:spacing w:after="0" w:line="240" w:lineRule="auto"/>
              <w:jc w:val="center"/>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Skutočnosť</w:t>
            </w:r>
          </w:p>
        </w:tc>
        <w:tc>
          <w:tcPr>
            <w:tcW w:w="1619" w:type="dxa"/>
            <w:gridSpan w:val="2"/>
            <w:tcBorders>
              <w:top w:val="nil"/>
              <w:left w:val="nil"/>
              <w:bottom w:val="nil"/>
              <w:right w:val="nil"/>
            </w:tcBorders>
            <w:shd w:val="clear" w:color="000000" w:fill="BFBFBF"/>
            <w:vAlign w:val="center"/>
            <w:hideMark/>
          </w:tcPr>
          <w:p w14:paraId="6C3740E6" w14:textId="77777777" w:rsidR="0078085C" w:rsidRPr="00166B38" w:rsidRDefault="0078085C" w:rsidP="004B6995">
            <w:pPr>
              <w:spacing w:after="0" w:line="240" w:lineRule="auto"/>
              <w:jc w:val="center"/>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Rozdiel</w:t>
            </w:r>
          </w:p>
        </w:tc>
      </w:tr>
      <w:tr w:rsidR="0078085C" w:rsidRPr="00166B38" w14:paraId="6D3A5E4E" w14:textId="77777777" w:rsidTr="00166B38">
        <w:trPr>
          <w:trHeight w:val="300"/>
        </w:trPr>
        <w:tc>
          <w:tcPr>
            <w:tcW w:w="2967" w:type="dxa"/>
            <w:tcBorders>
              <w:top w:val="nil"/>
              <w:left w:val="nil"/>
              <w:bottom w:val="nil"/>
              <w:right w:val="nil"/>
            </w:tcBorders>
            <w:shd w:val="clear" w:color="000000" w:fill="BFBFBF"/>
            <w:vAlign w:val="center"/>
            <w:hideMark/>
          </w:tcPr>
          <w:p w14:paraId="046C3093" w14:textId="77777777" w:rsidR="0078085C" w:rsidRPr="00166B38" w:rsidRDefault="0078085C" w:rsidP="004B6995">
            <w:pPr>
              <w:spacing w:after="0" w:line="240" w:lineRule="auto"/>
              <w:jc w:val="center"/>
              <w:rPr>
                <w:rFonts w:ascii="Arial Narrow" w:eastAsia="Times New Roman" w:hAnsi="Arial Narrow" w:cs="Times New Roman"/>
                <w:b/>
                <w:bCs/>
                <w:color w:val="000000"/>
                <w:sz w:val="18"/>
                <w:szCs w:val="18"/>
                <w:lang w:eastAsia="sk-SK"/>
              </w:rPr>
            </w:pPr>
            <w:r w:rsidRPr="00166B38">
              <w:rPr>
                <w:rFonts w:ascii="Arial Narrow" w:eastAsia="Times New Roman" w:hAnsi="Arial Narrow" w:cs="Times New Roman"/>
                <w:b/>
                <w:bCs/>
                <w:color w:val="000000"/>
                <w:sz w:val="18"/>
                <w:szCs w:val="18"/>
                <w:lang w:eastAsia="sk-SK"/>
              </w:rPr>
              <w:t> </w:t>
            </w:r>
          </w:p>
        </w:tc>
        <w:tc>
          <w:tcPr>
            <w:tcW w:w="1134" w:type="dxa"/>
            <w:tcBorders>
              <w:top w:val="nil"/>
              <w:left w:val="nil"/>
              <w:bottom w:val="nil"/>
              <w:right w:val="nil"/>
            </w:tcBorders>
            <w:shd w:val="clear" w:color="000000" w:fill="BFBFBF"/>
            <w:vAlign w:val="center"/>
            <w:hideMark/>
          </w:tcPr>
          <w:p w14:paraId="45903598" w14:textId="77777777" w:rsidR="0078085C" w:rsidRPr="00166B38" w:rsidRDefault="0078085C" w:rsidP="004B6995">
            <w:pPr>
              <w:spacing w:after="0" w:line="240" w:lineRule="auto"/>
              <w:jc w:val="center"/>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2018</w:t>
            </w:r>
          </w:p>
        </w:tc>
        <w:tc>
          <w:tcPr>
            <w:tcW w:w="1142" w:type="dxa"/>
            <w:tcBorders>
              <w:top w:val="nil"/>
              <w:left w:val="nil"/>
              <w:bottom w:val="nil"/>
              <w:right w:val="nil"/>
            </w:tcBorders>
            <w:shd w:val="clear" w:color="000000" w:fill="BFBFBF"/>
            <w:vAlign w:val="center"/>
            <w:hideMark/>
          </w:tcPr>
          <w:p w14:paraId="4864D8EB" w14:textId="77777777" w:rsidR="0078085C" w:rsidRPr="00166B38" w:rsidRDefault="0078085C" w:rsidP="004B6995">
            <w:pPr>
              <w:spacing w:after="0" w:line="240" w:lineRule="auto"/>
              <w:jc w:val="center"/>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2019</w:t>
            </w:r>
          </w:p>
        </w:tc>
        <w:tc>
          <w:tcPr>
            <w:tcW w:w="1126" w:type="dxa"/>
            <w:tcBorders>
              <w:top w:val="nil"/>
              <w:left w:val="nil"/>
              <w:bottom w:val="nil"/>
              <w:right w:val="nil"/>
            </w:tcBorders>
            <w:shd w:val="clear" w:color="000000" w:fill="BFBFBF"/>
            <w:vAlign w:val="center"/>
            <w:hideMark/>
          </w:tcPr>
          <w:p w14:paraId="5FE27AE6" w14:textId="77777777" w:rsidR="0078085C" w:rsidRPr="00166B38" w:rsidRDefault="0078085C" w:rsidP="004B6995">
            <w:pPr>
              <w:spacing w:after="0" w:line="240" w:lineRule="auto"/>
              <w:jc w:val="center"/>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2020</w:t>
            </w:r>
          </w:p>
        </w:tc>
        <w:tc>
          <w:tcPr>
            <w:tcW w:w="1134" w:type="dxa"/>
            <w:tcBorders>
              <w:top w:val="nil"/>
              <w:left w:val="nil"/>
              <w:bottom w:val="nil"/>
              <w:right w:val="nil"/>
            </w:tcBorders>
            <w:shd w:val="clear" w:color="000000" w:fill="BFBFBF"/>
            <w:vAlign w:val="center"/>
            <w:hideMark/>
          </w:tcPr>
          <w:p w14:paraId="0E91A6FE" w14:textId="77777777" w:rsidR="0078085C" w:rsidRPr="00166B38" w:rsidRDefault="0078085C" w:rsidP="004B6995">
            <w:pPr>
              <w:spacing w:after="0" w:line="240" w:lineRule="auto"/>
              <w:jc w:val="center"/>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2020</w:t>
            </w:r>
          </w:p>
        </w:tc>
        <w:tc>
          <w:tcPr>
            <w:tcW w:w="910" w:type="dxa"/>
            <w:tcBorders>
              <w:top w:val="nil"/>
              <w:left w:val="nil"/>
              <w:bottom w:val="nil"/>
              <w:right w:val="nil"/>
            </w:tcBorders>
            <w:shd w:val="clear" w:color="000000" w:fill="BFBFBF"/>
            <w:vAlign w:val="center"/>
            <w:hideMark/>
          </w:tcPr>
          <w:p w14:paraId="04C02529" w14:textId="77777777" w:rsidR="0078085C" w:rsidRPr="00166B38" w:rsidRDefault="0078085C" w:rsidP="004B6995">
            <w:pPr>
              <w:spacing w:after="0" w:line="240" w:lineRule="auto"/>
              <w:jc w:val="center"/>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 xml:space="preserve"> v tis. eur</w:t>
            </w:r>
          </w:p>
        </w:tc>
        <w:tc>
          <w:tcPr>
            <w:tcW w:w="709" w:type="dxa"/>
            <w:tcBorders>
              <w:top w:val="nil"/>
              <w:left w:val="nil"/>
              <w:bottom w:val="nil"/>
              <w:right w:val="nil"/>
            </w:tcBorders>
            <w:shd w:val="clear" w:color="000000" w:fill="BFBFBF"/>
            <w:vAlign w:val="center"/>
            <w:hideMark/>
          </w:tcPr>
          <w:p w14:paraId="5A5E42ED" w14:textId="77777777" w:rsidR="0078085C" w:rsidRPr="00166B38" w:rsidRDefault="0078085C" w:rsidP="004B6995">
            <w:pPr>
              <w:spacing w:after="0" w:line="240" w:lineRule="auto"/>
              <w:jc w:val="center"/>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v %</w:t>
            </w:r>
          </w:p>
        </w:tc>
      </w:tr>
      <w:tr w:rsidR="0078085C" w:rsidRPr="00166B38" w14:paraId="56B1E23D" w14:textId="77777777" w:rsidTr="00166B38">
        <w:trPr>
          <w:trHeight w:val="315"/>
        </w:trPr>
        <w:tc>
          <w:tcPr>
            <w:tcW w:w="2967" w:type="dxa"/>
            <w:tcBorders>
              <w:top w:val="nil"/>
              <w:left w:val="nil"/>
              <w:bottom w:val="single" w:sz="8" w:space="0" w:color="auto"/>
              <w:right w:val="nil"/>
            </w:tcBorders>
            <w:shd w:val="clear" w:color="000000" w:fill="BFBFBF"/>
            <w:vAlign w:val="center"/>
            <w:hideMark/>
          </w:tcPr>
          <w:p w14:paraId="7340B8DD" w14:textId="77777777" w:rsidR="0078085C" w:rsidRPr="00166B38" w:rsidRDefault="0078085C" w:rsidP="004B6995">
            <w:pPr>
              <w:spacing w:after="0" w:line="240" w:lineRule="auto"/>
              <w:jc w:val="center"/>
              <w:rPr>
                <w:rFonts w:ascii="Arial Narrow" w:eastAsia="Times New Roman" w:hAnsi="Arial Narrow" w:cs="Times New Roman"/>
                <w:b/>
                <w:bCs/>
                <w:color w:val="000000"/>
                <w:sz w:val="18"/>
                <w:szCs w:val="18"/>
                <w:lang w:eastAsia="sk-SK"/>
              </w:rPr>
            </w:pPr>
            <w:r w:rsidRPr="00166B38">
              <w:rPr>
                <w:rFonts w:ascii="Arial Narrow" w:eastAsia="Times New Roman" w:hAnsi="Arial Narrow" w:cs="Times New Roman"/>
                <w:b/>
                <w:bCs/>
                <w:color w:val="000000"/>
                <w:sz w:val="18"/>
                <w:szCs w:val="18"/>
                <w:lang w:eastAsia="sk-SK"/>
              </w:rPr>
              <w:t> </w:t>
            </w:r>
          </w:p>
        </w:tc>
        <w:tc>
          <w:tcPr>
            <w:tcW w:w="1134" w:type="dxa"/>
            <w:tcBorders>
              <w:top w:val="nil"/>
              <w:left w:val="nil"/>
              <w:bottom w:val="single" w:sz="8" w:space="0" w:color="auto"/>
              <w:right w:val="nil"/>
            </w:tcBorders>
            <w:shd w:val="clear" w:color="000000" w:fill="BFBFBF"/>
            <w:vAlign w:val="center"/>
            <w:hideMark/>
          </w:tcPr>
          <w:p w14:paraId="1500F118" w14:textId="77777777" w:rsidR="0078085C" w:rsidRPr="00166B38" w:rsidRDefault="0078085C" w:rsidP="004B6995">
            <w:pPr>
              <w:spacing w:after="0" w:line="240" w:lineRule="auto"/>
              <w:jc w:val="center"/>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1</w:t>
            </w:r>
          </w:p>
        </w:tc>
        <w:tc>
          <w:tcPr>
            <w:tcW w:w="1142" w:type="dxa"/>
            <w:tcBorders>
              <w:top w:val="nil"/>
              <w:left w:val="nil"/>
              <w:bottom w:val="single" w:sz="8" w:space="0" w:color="auto"/>
              <w:right w:val="nil"/>
            </w:tcBorders>
            <w:shd w:val="clear" w:color="000000" w:fill="BFBFBF"/>
            <w:vAlign w:val="center"/>
            <w:hideMark/>
          </w:tcPr>
          <w:p w14:paraId="602DF477" w14:textId="77777777" w:rsidR="0078085C" w:rsidRPr="00166B38" w:rsidRDefault="0078085C" w:rsidP="004B6995">
            <w:pPr>
              <w:spacing w:after="0" w:line="240" w:lineRule="auto"/>
              <w:jc w:val="center"/>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2</w:t>
            </w:r>
          </w:p>
        </w:tc>
        <w:tc>
          <w:tcPr>
            <w:tcW w:w="1126" w:type="dxa"/>
            <w:tcBorders>
              <w:top w:val="nil"/>
              <w:left w:val="nil"/>
              <w:bottom w:val="single" w:sz="8" w:space="0" w:color="auto"/>
              <w:right w:val="nil"/>
            </w:tcBorders>
            <w:shd w:val="clear" w:color="000000" w:fill="BFBFBF"/>
            <w:vAlign w:val="center"/>
            <w:hideMark/>
          </w:tcPr>
          <w:p w14:paraId="5E0875C3" w14:textId="77777777" w:rsidR="0078085C" w:rsidRPr="00166B38" w:rsidRDefault="0078085C" w:rsidP="004B6995">
            <w:pPr>
              <w:spacing w:after="0" w:line="240" w:lineRule="auto"/>
              <w:jc w:val="center"/>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3</w:t>
            </w:r>
          </w:p>
        </w:tc>
        <w:tc>
          <w:tcPr>
            <w:tcW w:w="1134" w:type="dxa"/>
            <w:tcBorders>
              <w:top w:val="nil"/>
              <w:left w:val="nil"/>
              <w:bottom w:val="single" w:sz="8" w:space="0" w:color="auto"/>
              <w:right w:val="nil"/>
            </w:tcBorders>
            <w:shd w:val="clear" w:color="000000" w:fill="BFBFBF"/>
            <w:vAlign w:val="center"/>
            <w:hideMark/>
          </w:tcPr>
          <w:p w14:paraId="059A8F56" w14:textId="77777777" w:rsidR="0078085C" w:rsidRPr="00166B38" w:rsidRDefault="0078085C" w:rsidP="004B6995">
            <w:pPr>
              <w:spacing w:after="0" w:line="240" w:lineRule="auto"/>
              <w:jc w:val="center"/>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4</w:t>
            </w:r>
          </w:p>
        </w:tc>
        <w:tc>
          <w:tcPr>
            <w:tcW w:w="910" w:type="dxa"/>
            <w:tcBorders>
              <w:top w:val="nil"/>
              <w:left w:val="nil"/>
              <w:bottom w:val="single" w:sz="8" w:space="0" w:color="auto"/>
              <w:right w:val="nil"/>
            </w:tcBorders>
            <w:shd w:val="clear" w:color="000000" w:fill="BFBFBF"/>
            <w:vAlign w:val="center"/>
            <w:hideMark/>
          </w:tcPr>
          <w:p w14:paraId="15799363" w14:textId="77777777" w:rsidR="0078085C" w:rsidRPr="00166B38" w:rsidRDefault="0078085C" w:rsidP="004B6995">
            <w:pPr>
              <w:spacing w:after="0" w:line="240" w:lineRule="auto"/>
              <w:jc w:val="center"/>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5=4-3</w:t>
            </w:r>
          </w:p>
        </w:tc>
        <w:tc>
          <w:tcPr>
            <w:tcW w:w="709" w:type="dxa"/>
            <w:tcBorders>
              <w:top w:val="nil"/>
              <w:left w:val="nil"/>
              <w:bottom w:val="single" w:sz="8" w:space="0" w:color="auto"/>
              <w:right w:val="nil"/>
            </w:tcBorders>
            <w:shd w:val="clear" w:color="000000" w:fill="BFBFBF"/>
            <w:vAlign w:val="center"/>
            <w:hideMark/>
          </w:tcPr>
          <w:p w14:paraId="7417F8D4" w14:textId="77777777" w:rsidR="0078085C" w:rsidRPr="00166B38" w:rsidRDefault="0078085C" w:rsidP="004B6995">
            <w:pPr>
              <w:spacing w:after="0" w:line="240" w:lineRule="auto"/>
              <w:jc w:val="center"/>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6=4-3</w:t>
            </w:r>
          </w:p>
        </w:tc>
      </w:tr>
      <w:tr w:rsidR="0078085C" w:rsidRPr="00166B38" w14:paraId="23965A67" w14:textId="77777777" w:rsidTr="00166B38">
        <w:trPr>
          <w:trHeight w:val="300"/>
        </w:trPr>
        <w:tc>
          <w:tcPr>
            <w:tcW w:w="2967" w:type="dxa"/>
            <w:tcBorders>
              <w:top w:val="nil"/>
              <w:left w:val="nil"/>
              <w:bottom w:val="nil"/>
              <w:right w:val="nil"/>
            </w:tcBorders>
            <w:shd w:val="clear" w:color="auto" w:fill="auto"/>
            <w:vAlign w:val="center"/>
            <w:hideMark/>
          </w:tcPr>
          <w:p w14:paraId="01411681" w14:textId="77777777" w:rsidR="0078085C" w:rsidRPr="00166B38" w:rsidRDefault="0078085C" w:rsidP="004B6995">
            <w:pPr>
              <w:spacing w:after="0" w:line="240" w:lineRule="auto"/>
              <w:jc w:val="left"/>
              <w:rPr>
                <w:rFonts w:eastAsia="Times New Roman" w:cs="Times New Roman"/>
                <w:color w:val="000000"/>
                <w:sz w:val="18"/>
                <w:szCs w:val="18"/>
                <w:lang w:eastAsia="sk-SK"/>
              </w:rPr>
            </w:pPr>
            <w:r w:rsidRPr="00166B38">
              <w:rPr>
                <w:rFonts w:eastAsia="Times New Roman" w:cs="Times New Roman"/>
                <w:color w:val="000000"/>
                <w:sz w:val="18"/>
                <w:szCs w:val="18"/>
                <w:lang w:eastAsia="sk-SK"/>
              </w:rPr>
              <w:t>V rámci verejnej správy</w:t>
            </w:r>
          </w:p>
        </w:tc>
        <w:tc>
          <w:tcPr>
            <w:tcW w:w="1134" w:type="dxa"/>
            <w:tcBorders>
              <w:top w:val="nil"/>
              <w:left w:val="nil"/>
              <w:bottom w:val="nil"/>
              <w:right w:val="nil"/>
            </w:tcBorders>
            <w:shd w:val="clear" w:color="auto" w:fill="auto"/>
            <w:noWrap/>
            <w:vAlign w:val="center"/>
            <w:hideMark/>
          </w:tcPr>
          <w:p w14:paraId="39090C42"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1 319 259</w:t>
            </w:r>
          </w:p>
        </w:tc>
        <w:tc>
          <w:tcPr>
            <w:tcW w:w="1142" w:type="dxa"/>
            <w:tcBorders>
              <w:top w:val="nil"/>
              <w:left w:val="nil"/>
              <w:bottom w:val="nil"/>
              <w:right w:val="nil"/>
            </w:tcBorders>
            <w:shd w:val="clear" w:color="auto" w:fill="auto"/>
            <w:noWrap/>
            <w:vAlign w:val="center"/>
            <w:hideMark/>
          </w:tcPr>
          <w:p w14:paraId="2B281F10"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1 228 162</w:t>
            </w:r>
          </w:p>
        </w:tc>
        <w:tc>
          <w:tcPr>
            <w:tcW w:w="1126" w:type="dxa"/>
            <w:tcBorders>
              <w:top w:val="nil"/>
              <w:left w:val="nil"/>
              <w:bottom w:val="nil"/>
              <w:right w:val="nil"/>
            </w:tcBorders>
            <w:shd w:val="clear" w:color="auto" w:fill="auto"/>
            <w:noWrap/>
            <w:vAlign w:val="center"/>
            <w:hideMark/>
          </w:tcPr>
          <w:p w14:paraId="3D3C7B02"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257 857</w:t>
            </w:r>
          </w:p>
        </w:tc>
        <w:tc>
          <w:tcPr>
            <w:tcW w:w="1134" w:type="dxa"/>
            <w:tcBorders>
              <w:top w:val="nil"/>
              <w:left w:val="nil"/>
              <w:bottom w:val="nil"/>
              <w:right w:val="nil"/>
            </w:tcBorders>
            <w:shd w:val="clear" w:color="000000" w:fill="BFBFBF"/>
            <w:noWrap/>
            <w:vAlign w:val="center"/>
            <w:hideMark/>
          </w:tcPr>
          <w:p w14:paraId="5447DF88"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1 188 889</w:t>
            </w:r>
          </w:p>
        </w:tc>
        <w:tc>
          <w:tcPr>
            <w:tcW w:w="910" w:type="dxa"/>
            <w:tcBorders>
              <w:top w:val="nil"/>
              <w:left w:val="nil"/>
              <w:bottom w:val="nil"/>
              <w:right w:val="nil"/>
            </w:tcBorders>
            <w:shd w:val="clear" w:color="auto" w:fill="auto"/>
            <w:noWrap/>
            <w:vAlign w:val="center"/>
            <w:hideMark/>
          </w:tcPr>
          <w:p w14:paraId="64573C25"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931 032</w:t>
            </w:r>
          </w:p>
        </w:tc>
        <w:tc>
          <w:tcPr>
            <w:tcW w:w="709" w:type="dxa"/>
            <w:tcBorders>
              <w:top w:val="nil"/>
              <w:left w:val="nil"/>
              <w:bottom w:val="nil"/>
              <w:right w:val="nil"/>
            </w:tcBorders>
            <w:shd w:val="clear" w:color="auto" w:fill="auto"/>
            <w:noWrap/>
            <w:vAlign w:val="center"/>
            <w:hideMark/>
          </w:tcPr>
          <w:p w14:paraId="01AB4C2F"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-79</w:t>
            </w:r>
          </w:p>
        </w:tc>
      </w:tr>
      <w:tr w:rsidR="0078085C" w:rsidRPr="00166B38" w14:paraId="233412AB" w14:textId="77777777" w:rsidTr="00166B38">
        <w:trPr>
          <w:trHeight w:val="480"/>
        </w:trPr>
        <w:tc>
          <w:tcPr>
            <w:tcW w:w="2967" w:type="dxa"/>
            <w:tcBorders>
              <w:top w:val="nil"/>
              <w:left w:val="nil"/>
              <w:bottom w:val="nil"/>
              <w:right w:val="nil"/>
            </w:tcBorders>
            <w:shd w:val="clear" w:color="auto" w:fill="auto"/>
            <w:vAlign w:val="center"/>
            <w:hideMark/>
          </w:tcPr>
          <w:p w14:paraId="5A16E527" w14:textId="77777777" w:rsidR="0078085C" w:rsidRPr="00166B38" w:rsidRDefault="0078085C" w:rsidP="004B6995">
            <w:pPr>
              <w:spacing w:after="0" w:line="240" w:lineRule="auto"/>
              <w:jc w:val="left"/>
              <w:rPr>
                <w:rFonts w:eastAsia="Times New Roman" w:cs="Times New Roman"/>
                <w:color w:val="000000"/>
                <w:sz w:val="18"/>
                <w:szCs w:val="18"/>
                <w:lang w:eastAsia="sk-SK"/>
              </w:rPr>
            </w:pPr>
            <w:r w:rsidRPr="00166B38">
              <w:rPr>
                <w:rFonts w:eastAsia="Times New Roman" w:cs="Times New Roman"/>
                <w:color w:val="000000"/>
                <w:sz w:val="18"/>
                <w:szCs w:val="18"/>
                <w:lang w:eastAsia="sk-SK"/>
              </w:rPr>
              <w:t>Nefinančným subjektom</w:t>
            </w:r>
          </w:p>
        </w:tc>
        <w:tc>
          <w:tcPr>
            <w:tcW w:w="1134" w:type="dxa"/>
            <w:tcBorders>
              <w:top w:val="nil"/>
              <w:left w:val="nil"/>
              <w:bottom w:val="nil"/>
              <w:right w:val="nil"/>
            </w:tcBorders>
            <w:shd w:val="clear" w:color="auto" w:fill="auto"/>
            <w:noWrap/>
            <w:vAlign w:val="center"/>
            <w:hideMark/>
          </w:tcPr>
          <w:p w14:paraId="3B6201CE"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331 578</w:t>
            </w:r>
          </w:p>
        </w:tc>
        <w:tc>
          <w:tcPr>
            <w:tcW w:w="1142" w:type="dxa"/>
            <w:tcBorders>
              <w:top w:val="nil"/>
              <w:left w:val="nil"/>
              <w:bottom w:val="nil"/>
              <w:right w:val="nil"/>
            </w:tcBorders>
            <w:shd w:val="clear" w:color="auto" w:fill="auto"/>
            <w:noWrap/>
            <w:vAlign w:val="center"/>
            <w:hideMark/>
          </w:tcPr>
          <w:p w14:paraId="39EC003F"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465 570</w:t>
            </w:r>
          </w:p>
        </w:tc>
        <w:tc>
          <w:tcPr>
            <w:tcW w:w="1126" w:type="dxa"/>
            <w:tcBorders>
              <w:top w:val="nil"/>
              <w:left w:val="nil"/>
              <w:bottom w:val="nil"/>
              <w:right w:val="nil"/>
            </w:tcBorders>
            <w:shd w:val="clear" w:color="auto" w:fill="auto"/>
            <w:noWrap/>
            <w:vAlign w:val="center"/>
            <w:hideMark/>
          </w:tcPr>
          <w:p w14:paraId="2DD24482"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534 565</w:t>
            </w:r>
          </w:p>
        </w:tc>
        <w:tc>
          <w:tcPr>
            <w:tcW w:w="1134" w:type="dxa"/>
            <w:tcBorders>
              <w:top w:val="nil"/>
              <w:left w:val="nil"/>
              <w:bottom w:val="nil"/>
              <w:right w:val="nil"/>
            </w:tcBorders>
            <w:shd w:val="clear" w:color="000000" w:fill="BFBFBF"/>
            <w:noWrap/>
            <w:vAlign w:val="center"/>
            <w:hideMark/>
          </w:tcPr>
          <w:p w14:paraId="769AFDF9"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354 849</w:t>
            </w:r>
          </w:p>
        </w:tc>
        <w:tc>
          <w:tcPr>
            <w:tcW w:w="910" w:type="dxa"/>
            <w:tcBorders>
              <w:top w:val="nil"/>
              <w:left w:val="nil"/>
              <w:bottom w:val="nil"/>
              <w:right w:val="nil"/>
            </w:tcBorders>
            <w:shd w:val="clear" w:color="auto" w:fill="auto"/>
            <w:noWrap/>
            <w:vAlign w:val="center"/>
            <w:hideMark/>
          </w:tcPr>
          <w:p w14:paraId="330E35FD"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-179 716</w:t>
            </w:r>
          </w:p>
        </w:tc>
        <w:tc>
          <w:tcPr>
            <w:tcW w:w="709" w:type="dxa"/>
            <w:tcBorders>
              <w:top w:val="nil"/>
              <w:left w:val="nil"/>
              <w:bottom w:val="nil"/>
              <w:right w:val="nil"/>
            </w:tcBorders>
            <w:shd w:val="clear" w:color="auto" w:fill="auto"/>
            <w:noWrap/>
            <w:vAlign w:val="center"/>
            <w:hideMark/>
          </w:tcPr>
          <w:p w14:paraId="433A008E"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15</w:t>
            </w:r>
          </w:p>
        </w:tc>
      </w:tr>
      <w:tr w:rsidR="0078085C" w:rsidRPr="00166B38" w14:paraId="206FEBE1" w14:textId="77777777" w:rsidTr="00166B38">
        <w:trPr>
          <w:trHeight w:val="480"/>
        </w:trPr>
        <w:tc>
          <w:tcPr>
            <w:tcW w:w="2967" w:type="dxa"/>
            <w:tcBorders>
              <w:top w:val="nil"/>
              <w:left w:val="nil"/>
              <w:bottom w:val="nil"/>
              <w:right w:val="nil"/>
            </w:tcBorders>
            <w:shd w:val="clear" w:color="auto" w:fill="auto"/>
            <w:vAlign w:val="center"/>
            <w:hideMark/>
          </w:tcPr>
          <w:p w14:paraId="1FBCDDC0" w14:textId="77777777" w:rsidR="0078085C" w:rsidRPr="00166B38" w:rsidRDefault="0078085C" w:rsidP="004B6995">
            <w:pPr>
              <w:spacing w:after="0" w:line="240" w:lineRule="auto"/>
              <w:jc w:val="left"/>
              <w:rPr>
                <w:rFonts w:eastAsia="Times New Roman" w:cs="Times New Roman"/>
                <w:color w:val="000000"/>
                <w:sz w:val="18"/>
                <w:szCs w:val="18"/>
                <w:lang w:eastAsia="sk-SK"/>
              </w:rPr>
            </w:pPr>
            <w:r w:rsidRPr="00166B38">
              <w:rPr>
                <w:rFonts w:eastAsia="Times New Roman" w:cs="Times New Roman"/>
                <w:color w:val="000000"/>
                <w:sz w:val="18"/>
                <w:szCs w:val="18"/>
                <w:lang w:eastAsia="sk-SK"/>
              </w:rPr>
              <w:t>Jednotlivcom a neziskovým právnickým osobám</w:t>
            </w:r>
          </w:p>
        </w:tc>
        <w:tc>
          <w:tcPr>
            <w:tcW w:w="1134" w:type="dxa"/>
            <w:tcBorders>
              <w:top w:val="nil"/>
              <w:left w:val="nil"/>
              <w:bottom w:val="nil"/>
              <w:right w:val="nil"/>
            </w:tcBorders>
            <w:shd w:val="clear" w:color="auto" w:fill="auto"/>
            <w:noWrap/>
            <w:vAlign w:val="center"/>
            <w:hideMark/>
          </w:tcPr>
          <w:p w14:paraId="2B93C7FF"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22 417</w:t>
            </w:r>
          </w:p>
        </w:tc>
        <w:tc>
          <w:tcPr>
            <w:tcW w:w="1142" w:type="dxa"/>
            <w:tcBorders>
              <w:top w:val="nil"/>
              <w:left w:val="nil"/>
              <w:bottom w:val="nil"/>
              <w:right w:val="nil"/>
            </w:tcBorders>
            <w:shd w:val="clear" w:color="auto" w:fill="auto"/>
            <w:noWrap/>
            <w:vAlign w:val="center"/>
            <w:hideMark/>
          </w:tcPr>
          <w:p w14:paraId="5F6C52C8"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65 711</w:t>
            </w:r>
          </w:p>
        </w:tc>
        <w:tc>
          <w:tcPr>
            <w:tcW w:w="1126" w:type="dxa"/>
            <w:tcBorders>
              <w:top w:val="nil"/>
              <w:left w:val="nil"/>
              <w:bottom w:val="nil"/>
              <w:right w:val="nil"/>
            </w:tcBorders>
            <w:shd w:val="clear" w:color="auto" w:fill="auto"/>
            <w:noWrap/>
            <w:vAlign w:val="center"/>
            <w:hideMark/>
          </w:tcPr>
          <w:p w14:paraId="59B0B7FE"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49 205</w:t>
            </w:r>
          </w:p>
        </w:tc>
        <w:tc>
          <w:tcPr>
            <w:tcW w:w="1134" w:type="dxa"/>
            <w:tcBorders>
              <w:top w:val="nil"/>
              <w:left w:val="nil"/>
              <w:bottom w:val="nil"/>
              <w:right w:val="nil"/>
            </w:tcBorders>
            <w:shd w:val="clear" w:color="000000" w:fill="BFBFBF"/>
            <w:noWrap/>
            <w:vAlign w:val="center"/>
            <w:hideMark/>
          </w:tcPr>
          <w:p w14:paraId="6B8F7658"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59 182</w:t>
            </w:r>
          </w:p>
        </w:tc>
        <w:tc>
          <w:tcPr>
            <w:tcW w:w="910" w:type="dxa"/>
            <w:tcBorders>
              <w:top w:val="nil"/>
              <w:left w:val="nil"/>
              <w:bottom w:val="nil"/>
              <w:right w:val="nil"/>
            </w:tcBorders>
            <w:shd w:val="clear" w:color="auto" w:fill="auto"/>
            <w:noWrap/>
            <w:vAlign w:val="center"/>
            <w:hideMark/>
          </w:tcPr>
          <w:p w14:paraId="79BBFD75"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9 977</w:t>
            </w:r>
          </w:p>
        </w:tc>
        <w:tc>
          <w:tcPr>
            <w:tcW w:w="709" w:type="dxa"/>
            <w:tcBorders>
              <w:top w:val="nil"/>
              <w:left w:val="nil"/>
              <w:bottom w:val="nil"/>
              <w:right w:val="nil"/>
            </w:tcBorders>
            <w:shd w:val="clear" w:color="auto" w:fill="auto"/>
            <w:noWrap/>
            <w:vAlign w:val="center"/>
            <w:hideMark/>
          </w:tcPr>
          <w:p w14:paraId="3BF77C7F"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-25</w:t>
            </w:r>
          </w:p>
        </w:tc>
      </w:tr>
      <w:tr w:rsidR="0078085C" w:rsidRPr="00166B38" w14:paraId="131BF3C5" w14:textId="77777777" w:rsidTr="00166B38">
        <w:trPr>
          <w:trHeight w:val="300"/>
        </w:trPr>
        <w:tc>
          <w:tcPr>
            <w:tcW w:w="2967" w:type="dxa"/>
            <w:tcBorders>
              <w:top w:val="nil"/>
              <w:left w:val="nil"/>
              <w:bottom w:val="nil"/>
              <w:right w:val="nil"/>
            </w:tcBorders>
            <w:shd w:val="clear" w:color="auto" w:fill="auto"/>
            <w:vAlign w:val="center"/>
            <w:hideMark/>
          </w:tcPr>
          <w:p w14:paraId="00B8E51E" w14:textId="77777777" w:rsidR="0078085C" w:rsidRPr="00166B38" w:rsidRDefault="0078085C" w:rsidP="004B6995">
            <w:pPr>
              <w:spacing w:after="0" w:line="240" w:lineRule="auto"/>
              <w:jc w:val="left"/>
              <w:rPr>
                <w:rFonts w:eastAsia="Times New Roman" w:cs="Times New Roman"/>
                <w:color w:val="000000"/>
                <w:sz w:val="18"/>
                <w:szCs w:val="18"/>
                <w:lang w:eastAsia="sk-SK"/>
              </w:rPr>
            </w:pPr>
            <w:r w:rsidRPr="00166B38">
              <w:rPr>
                <w:rFonts w:eastAsia="Times New Roman" w:cs="Times New Roman"/>
                <w:color w:val="000000"/>
                <w:sz w:val="18"/>
                <w:szCs w:val="18"/>
                <w:lang w:eastAsia="sk-SK"/>
              </w:rPr>
              <w:t>Do zahraničia</w:t>
            </w:r>
          </w:p>
        </w:tc>
        <w:tc>
          <w:tcPr>
            <w:tcW w:w="1134" w:type="dxa"/>
            <w:tcBorders>
              <w:top w:val="nil"/>
              <w:left w:val="nil"/>
              <w:bottom w:val="nil"/>
              <w:right w:val="nil"/>
            </w:tcBorders>
            <w:shd w:val="clear" w:color="auto" w:fill="auto"/>
            <w:noWrap/>
            <w:vAlign w:val="center"/>
            <w:hideMark/>
          </w:tcPr>
          <w:p w14:paraId="503A6339"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275</w:t>
            </w:r>
          </w:p>
        </w:tc>
        <w:tc>
          <w:tcPr>
            <w:tcW w:w="1142" w:type="dxa"/>
            <w:tcBorders>
              <w:top w:val="nil"/>
              <w:left w:val="nil"/>
              <w:bottom w:val="nil"/>
              <w:right w:val="nil"/>
            </w:tcBorders>
            <w:shd w:val="clear" w:color="auto" w:fill="auto"/>
            <w:noWrap/>
            <w:vAlign w:val="center"/>
            <w:hideMark/>
          </w:tcPr>
          <w:p w14:paraId="6AFD6BCE"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3 008</w:t>
            </w:r>
          </w:p>
        </w:tc>
        <w:tc>
          <w:tcPr>
            <w:tcW w:w="1126" w:type="dxa"/>
            <w:tcBorders>
              <w:top w:val="nil"/>
              <w:left w:val="nil"/>
              <w:bottom w:val="nil"/>
              <w:right w:val="nil"/>
            </w:tcBorders>
            <w:shd w:val="clear" w:color="auto" w:fill="auto"/>
            <w:noWrap/>
            <w:vAlign w:val="center"/>
            <w:hideMark/>
          </w:tcPr>
          <w:p w14:paraId="171DAAEF"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0</w:t>
            </w:r>
          </w:p>
        </w:tc>
        <w:tc>
          <w:tcPr>
            <w:tcW w:w="1134" w:type="dxa"/>
            <w:tcBorders>
              <w:top w:val="nil"/>
              <w:left w:val="nil"/>
              <w:bottom w:val="nil"/>
              <w:right w:val="nil"/>
            </w:tcBorders>
            <w:shd w:val="clear" w:color="000000" w:fill="BFBFBF"/>
            <w:noWrap/>
            <w:vAlign w:val="center"/>
            <w:hideMark/>
          </w:tcPr>
          <w:p w14:paraId="68335848"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5 614</w:t>
            </w:r>
          </w:p>
        </w:tc>
        <w:tc>
          <w:tcPr>
            <w:tcW w:w="910" w:type="dxa"/>
            <w:tcBorders>
              <w:top w:val="nil"/>
              <w:left w:val="nil"/>
              <w:bottom w:val="nil"/>
              <w:right w:val="nil"/>
            </w:tcBorders>
            <w:shd w:val="clear" w:color="auto" w:fill="auto"/>
            <w:noWrap/>
            <w:vAlign w:val="center"/>
            <w:hideMark/>
          </w:tcPr>
          <w:p w14:paraId="14CEAA9C"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5 614</w:t>
            </w:r>
          </w:p>
        </w:tc>
        <w:tc>
          <w:tcPr>
            <w:tcW w:w="709" w:type="dxa"/>
            <w:tcBorders>
              <w:top w:val="nil"/>
              <w:left w:val="nil"/>
              <w:bottom w:val="nil"/>
              <w:right w:val="nil"/>
            </w:tcBorders>
            <w:shd w:val="clear" w:color="auto" w:fill="auto"/>
            <w:noWrap/>
            <w:vAlign w:val="center"/>
            <w:hideMark/>
          </w:tcPr>
          <w:p w14:paraId="5773DE17"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0</w:t>
            </w:r>
          </w:p>
        </w:tc>
      </w:tr>
      <w:tr w:rsidR="0078085C" w:rsidRPr="00166B38" w14:paraId="47F91FA0" w14:textId="77777777" w:rsidTr="00166B38">
        <w:trPr>
          <w:trHeight w:val="315"/>
        </w:trPr>
        <w:tc>
          <w:tcPr>
            <w:tcW w:w="2967" w:type="dxa"/>
            <w:tcBorders>
              <w:top w:val="nil"/>
              <w:left w:val="nil"/>
              <w:bottom w:val="single" w:sz="8" w:space="0" w:color="auto"/>
              <w:right w:val="nil"/>
            </w:tcBorders>
            <w:shd w:val="clear" w:color="auto" w:fill="auto"/>
            <w:vAlign w:val="center"/>
            <w:hideMark/>
          </w:tcPr>
          <w:p w14:paraId="3263971F" w14:textId="09C52232" w:rsidR="0078085C" w:rsidRPr="00166B38" w:rsidRDefault="00166B38" w:rsidP="004B6995">
            <w:pPr>
              <w:spacing w:after="0" w:line="240" w:lineRule="auto"/>
              <w:jc w:val="left"/>
              <w:rPr>
                <w:rFonts w:eastAsia="Times New Roman" w:cs="Times New Roman"/>
                <w:color w:val="000000"/>
                <w:sz w:val="18"/>
                <w:szCs w:val="18"/>
                <w:lang w:eastAsia="sk-SK"/>
              </w:rPr>
            </w:pPr>
            <w:r>
              <w:rPr>
                <w:rFonts w:eastAsia="Times New Roman" w:cs="Times New Roman"/>
                <w:color w:val="000000"/>
                <w:sz w:val="18"/>
                <w:szCs w:val="18"/>
                <w:lang w:eastAsia="sk-SK"/>
              </w:rPr>
              <w:t>F</w:t>
            </w:r>
            <w:r w:rsidR="0078085C" w:rsidRPr="00166B38">
              <w:rPr>
                <w:rFonts w:eastAsia="Times New Roman" w:cs="Times New Roman"/>
                <w:color w:val="000000"/>
                <w:sz w:val="18"/>
                <w:szCs w:val="18"/>
                <w:lang w:eastAsia="sk-SK"/>
              </w:rPr>
              <w:t>inančným inštitúciám</w:t>
            </w:r>
          </w:p>
        </w:tc>
        <w:tc>
          <w:tcPr>
            <w:tcW w:w="1134" w:type="dxa"/>
            <w:tcBorders>
              <w:top w:val="nil"/>
              <w:left w:val="nil"/>
              <w:bottom w:val="single" w:sz="8" w:space="0" w:color="auto"/>
              <w:right w:val="nil"/>
            </w:tcBorders>
            <w:shd w:val="clear" w:color="auto" w:fill="auto"/>
            <w:noWrap/>
            <w:vAlign w:val="center"/>
            <w:hideMark/>
          </w:tcPr>
          <w:p w14:paraId="31A94FD6"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7 647</w:t>
            </w:r>
          </w:p>
        </w:tc>
        <w:tc>
          <w:tcPr>
            <w:tcW w:w="1142" w:type="dxa"/>
            <w:tcBorders>
              <w:top w:val="nil"/>
              <w:left w:val="nil"/>
              <w:bottom w:val="single" w:sz="8" w:space="0" w:color="auto"/>
              <w:right w:val="nil"/>
            </w:tcBorders>
            <w:shd w:val="clear" w:color="auto" w:fill="auto"/>
            <w:noWrap/>
            <w:vAlign w:val="center"/>
            <w:hideMark/>
          </w:tcPr>
          <w:p w14:paraId="47689AD6"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0</w:t>
            </w:r>
          </w:p>
        </w:tc>
        <w:tc>
          <w:tcPr>
            <w:tcW w:w="1126" w:type="dxa"/>
            <w:tcBorders>
              <w:top w:val="nil"/>
              <w:left w:val="nil"/>
              <w:bottom w:val="single" w:sz="8" w:space="0" w:color="auto"/>
              <w:right w:val="nil"/>
            </w:tcBorders>
            <w:shd w:val="clear" w:color="auto" w:fill="auto"/>
            <w:noWrap/>
            <w:vAlign w:val="center"/>
            <w:hideMark/>
          </w:tcPr>
          <w:p w14:paraId="1308D245"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0</w:t>
            </w:r>
          </w:p>
        </w:tc>
        <w:tc>
          <w:tcPr>
            <w:tcW w:w="1134" w:type="dxa"/>
            <w:tcBorders>
              <w:top w:val="nil"/>
              <w:left w:val="nil"/>
              <w:bottom w:val="single" w:sz="8" w:space="0" w:color="auto"/>
              <w:right w:val="nil"/>
            </w:tcBorders>
            <w:shd w:val="clear" w:color="000000" w:fill="BFBFBF"/>
            <w:noWrap/>
            <w:vAlign w:val="center"/>
            <w:hideMark/>
          </w:tcPr>
          <w:p w14:paraId="54776254"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0</w:t>
            </w:r>
          </w:p>
        </w:tc>
        <w:tc>
          <w:tcPr>
            <w:tcW w:w="910" w:type="dxa"/>
            <w:tcBorders>
              <w:top w:val="nil"/>
              <w:left w:val="nil"/>
              <w:bottom w:val="single" w:sz="8" w:space="0" w:color="auto"/>
              <w:right w:val="nil"/>
            </w:tcBorders>
            <w:shd w:val="clear" w:color="auto" w:fill="auto"/>
            <w:noWrap/>
            <w:vAlign w:val="center"/>
            <w:hideMark/>
          </w:tcPr>
          <w:p w14:paraId="03041260"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0</w:t>
            </w:r>
          </w:p>
        </w:tc>
        <w:tc>
          <w:tcPr>
            <w:tcW w:w="709" w:type="dxa"/>
            <w:tcBorders>
              <w:top w:val="nil"/>
              <w:left w:val="nil"/>
              <w:bottom w:val="single" w:sz="8" w:space="0" w:color="auto"/>
              <w:right w:val="nil"/>
            </w:tcBorders>
            <w:shd w:val="clear" w:color="auto" w:fill="auto"/>
            <w:noWrap/>
            <w:vAlign w:val="center"/>
            <w:hideMark/>
          </w:tcPr>
          <w:p w14:paraId="4E41A8E4" w14:textId="77777777" w:rsidR="0078085C" w:rsidRPr="00166B38" w:rsidRDefault="0078085C" w:rsidP="004B6995">
            <w:pPr>
              <w:spacing w:after="0" w:line="240" w:lineRule="auto"/>
              <w:jc w:val="right"/>
              <w:rPr>
                <w:rFonts w:eastAsia="Times New Roman" w:cs="Times New Roman"/>
                <w:color w:val="000000"/>
                <w:sz w:val="18"/>
                <w:szCs w:val="18"/>
                <w:lang w:eastAsia="sk-SK"/>
              </w:rPr>
            </w:pPr>
            <w:r w:rsidRPr="00166B38">
              <w:rPr>
                <w:rFonts w:eastAsia="Times New Roman" w:cs="Times New Roman"/>
                <w:color w:val="000000"/>
                <w:sz w:val="18"/>
                <w:szCs w:val="18"/>
                <w:lang w:eastAsia="sk-SK"/>
              </w:rPr>
              <w:t>0</w:t>
            </w:r>
          </w:p>
        </w:tc>
      </w:tr>
      <w:tr w:rsidR="0078085C" w:rsidRPr="00166B38" w14:paraId="01A98504" w14:textId="77777777" w:rsidTr="00166B38">
        <w:trPr>
          <w:trHeight w:val="315"/>
        </w:trPr>
        <w:tc>
          <w:tcPr>
            <w:tcW w:w="2967" w:type="dxa"/>
            <w:tcBorders>
              <w:top w:val="nil"/>
              <w:left w:val="nil"/>
              <w:bottom w:val="single" w:sz="8" w:space="0" w:color="auto"/>
              <w:right w:val="nil"/>
            </w:tcBorders>
            <w:shd w:val="clear" w:color="auto" w:fill="auto"/>
            <w:vAlign w:val="center"/>
            <w:hideMark/>
          </w:tcPr>
          <w:p w14:paraId="3B3F2414" w14:textId="77777777" w:rsidR="0078085C" w:rsidRPr="00166B38" w:rsidRDefault="0078085C" w:rsidP="004B6995">
            <w:pPr>
              <w:spacing w:after="0" w:line="240" w:lineRule="auto"/>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Spolu</w:t>
            </w:r>
          </w:p>
        </w:tc>
        <w:tc>
          <w:tcPr>
            <w:tcW w:w="1134" w:type="dxa"/>
            <w:tcBorders>
              <w:top w:val="nil"/>
              <w:left w:val="nil"/>
              <w:bottom w:val="single" w:sz="8" w:space="0" w:color="auto"/>
              <w:right w:val="nil"/>
            </w:tcBorders>
            <w:shd w:val="clear" w:color="auto" w:fill="auto"/>
            <w:noWrap/>
            <w:vAlign w:val="center"/>
            <w:hideMark/>
          </w:tcPr>
          <w:p w14:paraId="0057DCC6" w14:textId="77777777" w:rsidR="0078085C" w:rsidRPr="00166B38" w:rsidRDefault="0078085C" w:rsidP="004B6995">
            <w:pPr>
              <w:spacing w:after="0" w:line="240" w:lineRule="auto"/>
              <w:jc w:val="right"/>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1 681 176</w:t>
            </w:r>
          </w:p>
        </w:tc>
        <w:tc>
          <w:tcPr>
            <w:tcW w:w="1142" w:type="dxa"/>
            <w:tcBorders>
              <w:top w:val="nil"/>
              <w:left w:val="nil"/>
              <w:bottom w:val="single" w:sz="8" w:space="0" w:color="auto"/>
              <w:right w:val="nil"/>
            </w:tcBorders>
            <w:shd w:val="clear" w:color="auto" w:fill="auto"/>
            <w:noWrap/>
            <w:vAlign w:val="center"/>
            <w:hideMark/>
          </w:tcPr>
          <w:p w14:paraId="45BD52AC" w14:textId="77777777" w:rsidR="0078085C" w:rsidRPr="00166B38" w:rsidRDefault="0078085C" w:rsidP="004B6995">
            <w:pPr>
              <w:spacing w:after="0" w:line="240" w:lineRule="auto"/>
              <w:jc w:val="right"/>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1 762 451</w:t>
            </w:r>
          </w:p>
        </w:tc>
        <w:tc>
          <w:tcPr>
            <w:tcW w:w="1126" w:type="dxa"/>
            <w:tcBorders>
              <w:top w:val="nil"/>
              <w:left w:val="nil"/>
              <w:bottom w:val="single" w:sz="8" w:space="0" w:color="auto"/>
              <w:right w:val="nil"/>
            </w:tcBorders>
            <w:shd w:val="clear" w:color="auto" w:fill="auto"/>
            <w:noWrap/>
            <w:vAlign w:val="center"/>
            <w:hideMark/>
          </w:tcPr>
          <w:p w14:paraId="0B1979EA" w14:textId="77777777" w:rsidR="0078085C" w:rsidRPr="00166B38" w:rsidRDefault="0078085C" w:rsidP="004B6995">
            <w:pPr>
              <w:spacing w:after="0" w:line="240" w:lineRule="auto"/>
              <w:jc w:val="right"/>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841 627</w:t>
            </w:r>
          </w:p>
        </w:tc>
        <w:tc>
          <w:tcPr>
            <w:tcW w:w="1134" w:type="dxa"/>
            <w:tcBorders>
              <w:top w:val="nil"/>
              <w:left w:val="nil"/>
              <w:bottom w:val="single" w:sz="8" w:space="0" w:color="auto"/>
              <w:right w:val="nil"/>
            </w:tcBorders>
            <w:shd w:val="clear" w:color="000000" w:fill="BFBFBF"/>
            <w:noWrap/>
            <w:vAlign w:val="center"/>
            <w:hideMark/>
          </w:tcPr>
          <w:p w14:paraId="6B66B74F" w14:textId="77777777" w:rsidR="0078085C" w:rsidRPr="00166B38" w:rsidRDefault="0078085C" w:rsidP="004B6995">
            <w:pPr>
              <w:spacing w:after="0" w:line="240" w:lineRule="auto"/>
              <w:jc w:val="right"/>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1 608 534</w:t>
            </w:r>
          </w:p>
        </w:tc>
        <w:tc>
          <w:tcPr>
            <w:tcW w:w="910" w:type="dxa"/>
            <w:tcBorders>
              <w:top w:val="nil"/>
              <w:left w:val="nil"/>
              <w:bottom w:val="single" w:sz="8" w:space="0" w:color="auto"/>
              <w:right w:val="nil"/>
            </w:tcBorders>
            <w:shd w:val="clear" w:color="auto" w:fill="auto"/>
            <w:noWrap/>
            <w:vAlign w:val="center"/>
            <w:hideMark/>
          </w:tcPr>
          <w:p w14:paraId="5E933F78" w14:textId="77777777" w:rsidR="0078085C" w:rsidRPr="00166B38" w:rsidRDefault="0078085C" w:rsidP="004B6995">
            <w:pPr>
              <w:spacing w:after="0" w:line="240" w:lineRule="auto"/>
              <w:jc w:val="right"/>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766 907</w:t>
            </w:r>
          </w:p>
        </w:tc>
        <w:tc>
          <w:tcPr>
            <w:tcW w:w="709" w:type="dxa"/>
            <w:tcBorders>
              <w:top w:val="nil"/>
              <w:left w:val="nil"/>
              <w:bottom w:val="single" w:sz="8" w:space="0" w:color="auto"/>
              <w:right w:val="nil"/>
            </w:tcBorders>
            <w:shd w:val="clear" w:color="auto" w:fill="auto"/>
            <w:noWrap/>
            <w:vAlign w:val="center"/>
            <w:hideMark/>
          </w:tcPr>
          <w:p w14:paraId="51F6BC7A" w14:textId="77777777" w:rsidR="0078085C" w:rsidRPr="00166B38" w:rsidRDefault="0078085C" w:rsidP="004B6995">
            <w:pPr>
              <w:spacing w:after="0" w:line="240" w:lineRule="auto"/>
              <w:jc w:val="right"/>
              <w:rPr>
                <w:rFonts w:eastAsia="Times New Roman" w:cs="Times New Roman"/>
                <w:b/>
                <w:bCs/>
                <w:color w:val="000000"/>
                <w:sz w:val="18"/>
                <w:szCs w:val="18"/>
                <w:lang w:eastAsia="sk-SK"/>
              </w:rPr>
            </w:pPr>
            <w:r w:rsidRPr="00166B38">
              <w:rPr>
                <w:rFonts w:eastAsia="Times New Roman" w:cs="Times New Roman"/>
                <w:b/>
                <w:bCs/>
                <w:color w:val="000000"/>
                <w:sz w:val="18"/>
                <w:szCs w:val="18"/>
                <w:lang w:eastAsia="sk-SK"/>
              </w:rPr>
              <w:t>-52</w:t>
            </w:r>
          </w:p>
        </w:tc>
      </w:tr>
    </w:tbl>
    <w:p w14:paraId="5F60A51F" w14:textId="05BD3842" w:rsidR="0078085C" w:rsidRPr="00D35956" w:rsidRDefault="00E905A0" w:rsidP="00E905A0">
      <w:pPr>
        <w:tabs>
          <w:tab w:val="left" w:pos="7938"/>
        </w:tabs>
        <w:rPr>
          <w:sz w:val="18"/>
          <w:szCs w:val="18"/>
        </w:rPr>
      </w:pPr>
      <w:r>
        <w:rPr>
          <w:sz w:val="20"/>
          <w:szCs w:val="20"/>
        </w:rPr>
        <w:tab/>
      </w:r>
      <w:r w:rsidR="0078085C">
        <w:rPr>
          <w:sz w:val="20"/>
          <w:szCs w:val="20"/>
        </w:rPr>
        <w:t xml:space="preserve">  </w:t>
      </w:r>
      <w:r w:rsidR="0078085C" w:rsidRPr="00D35956">
        <w:rPr>
          <w:sz w:val="18"/>
          <w:szCs w:val="18"/>
        </w:rPr>
        <w:t>Zdroj: MF SR</w:t>
      </w:r>
    </w:p>
    <w:p w14:paraId="624303B5" w14:textId="77777777" w:rsidR="0078085C" w:rsidRPr="00D715AF" w:rsidRDefault="0078085C" w:rsidP="001665F3">
      <w:pPr>
        <w:spacing w:line="240" w:lineRule="auto"/>
        <w:rPr>
          <w:sz w:val="24"/>
          <w:szCs w:val="24"/>
        </w:rPr>
      </w:pPr>
      <w:r w:rsidRPr="00D715AF">
        <w:rPr>
          <w:b/>
          <w:i/>
          <w:sz w:val="24"/>
          <w:szCs w:val="24"/>
        </w:rPr>
        <w:t>Transfery v rámci verejnej správy</w:t>
      </w:r>
      <w:r w:rsidRPr="00D715AF">
        <w:rPr>
          <w:sz w:val="24"/>
          <w:szCs w:val="24"/>
        </w:rPr>
        <w:t xml:space="preserve"> tvorili 1 188 889 tis. eur (2019: 1 228 162 tis. eur), čo predstavuje až 73,9 % z celkových kapitálových transferov. Ministerstvo dopravy a výstavby SR poskytlo transfer v celkovej hodnote 650 896 tis. eur, a to najmä Národnej diaľničnej spoločnosti (434 170 tis. eur), a. s., Železniciam SR (98 000 tis. eur) a Železničnej spoločnosti Slovensko, a. s. (54 496 tis. eur).</w:t>
      </w:r>
    </w:p>
    <w:p w14:paraId="3FF220ED" w14:textId="2B223CBB" w:rsidR="0078085C" w:rsidRPr="00D715AF" w:rsidRDefault="0078085C" w:rsidP="001665F3">
      <w:pPr>
        <w:spacing w:line="240" w:lineRule="auto"/>
        <w:rPr>
          <w:sz w:val="24"/>
          <w:szCs w:val="24"/>
        </w:rPr>
      </w:pPr>
      <w:r w:rsidRPr="00D715AF">
        <w:rPr>
          <w:sz w:val="24"/>
          <w:szCs w:val="24"/>
        </w:rPr>
        <w:t xml:space="preserve">Transfery určené </w:t>
      </w:r>
      <w:r w:rsidRPr="00D715AF">
        <w:rPr>
          <w:i/>
          <w:sz w:val="24"/>
          <w:szCs w:val="24"/>
          <w:u w:val="single"/>
        </w:rPr>
        <w:t>Národnej diaľničnej spoločnosti, a. s.</w:t>
      </w:r>
      <w:r w:rsidRPr="00D715AF">
        <w:rPr>
          <w:sz w:val="24"/>
          <w:szCs w:val="24"/>
        </w:rPr>
        <w:t xml:space="preserve"> boli najmä na financovanie prípravy a pokračujúcej výstavby diaľnic a rýchlostných ciest, vrátane dofinancovania projektov financovaných z prostriedkov operačného programu Integrovaná infraštruktúra, predovšetkým na investičné akcie D1 Hubová - Ivachnová (150 584 tis. eur), D1 Prešov západ - Prešov juh (66 844 tis. eur), R4 Prešov severný obchvat (37 831 tis. eur), R2 Kriváň – Lovinobaňa (31 309 tis. eur) a ďalšie. </w:t>
      </w:r>
      <w:r w:rsidRPr="00D715AF">
        <w:rPr>
          <w:i/>
          <w:sz w:val="24"/>
          <w:szCs w:val="24"/>
          <w:u w:val="single"/>
        </w:rPr>
        <w:t>Železniciam SR</w:t>
      </w:r>
      <w:r w:rsidRPr="00D715AF">
        <w:rPr>
          <w:sz w:val="24"/>
          <w:szCs w:val="24"/>
        </w:rPr>
        <w:t xml:space="preserve"> boli poskytnuté transfery za účelom modernizácie a rozvoja železničnej dopravnej cesty, napr. na modernizáciu železničnej trate Púchov-Žilina pre traťovú rýchlosť do 160 km/hod</w:t>
      </w:r>
      <w:r w:rsidR="00E9647D" w:rsidRPr="00D715AF">
        <w:rPr>
          <w:sz w:val="24"/>
          <w:szCs w:val="24"/>
        </w:rPr>
        <w:t>.</w:t>
      </w:r>
      <w:r w:rsidR="00852DC6" w:rsidRPr="00D715AF">
        <w:rPr>
          <w:sz w:val="24"/>
          <w:szCs w:val="24"/>
        </w:rPr>
        <w:t xml:space="preserve"> (52 160 tis. eur), na K</w:t>
      </w:r>
      <w:r w:rsidRPr="00D715AF">
        <w:rPr>
          <w:sz w:val="24"/>
          <w:szCs w:val="24"/>
        </w:rPr>
        <w:t xml:space="preserve">omunikačnú infraštruktúru služieb </w:t>
      </w:r>
      <w:proofErr w:type="spellStart"/>
      <w:r w:rsidRPr="00D715AF">
        <w:rPr>
          <w:sz w:val="24"/>
          <w:szCs w:val="24"/>
        </w:rPr>
        <w:t>telematiky</w:t>
      </w:r>
      <w:proofErr w:type="spellEnd"/>
      <w:r w:rsidR="00852DC6" w:rsidRPr="00D715AF">
        <w:rPr>
          <w:rStyle w:val="Odkaznapoznmkupodiarou"/>
          <w:sz w:val="24"/>
          <w:szCs w:val="24"/>
        </w:rPr>
        <w:footnoteReference w:id="38"/>
      </w:r>
      <w:r w:rsidRPr="00D715AF">
        <w:rPr>
          <w:sz w:val="24"/>
          <w:szCs w:val="24"/>
        </w:rPr>
        <w:t xml:space="preserve"> ŽSR (21 135 tis. eur). </w:t>
      </w:r>
      <w:r w:rsidRPr="00D715AF">
        <w:rPr>
          <w:i/>
          <w:sz w:val="24"/>
          <w:szCs w:val="24"/>
          <w:u w:val="single"/>
        </w:rPr>
        <w:t>Železničnej spoločnosti Slovensko, a. s.</w:t>
      </w:r>
      <w:r w:rsidRPr="00D715AF">
        <w:rPr>
          <w:i/>
          <w:sz w:val="24"/>
          <w:szCs w:val="24"/>
        </w:rPr>
        <w:t xml:space="preserve"> </w:t>
      </w:r>
      <w:r w:rsidRPr="00D715AF">
        <w:rPr>
          <w:sz w:val="24"/>
          <w:szCs w:val="24"/>
        </w:rPr>
        <w:t xml:space="preserve">sa poskytli finančné prostriedky v rámci </w:t>
      </w:r>
      <w:r w:rsidR="00852DC6" w:rsidRPr="00D715AF">
        <w:rPr>
          <w:sz w:val="24"/>
          <w:szCs w:val="24"/>
        </w:rPr>
        <w:t>OP II</w:t>
      </w:r>
      <w:r w:rsidRPr="00D715AF">
        <w:rPr>
          <w:sz w:val="24"/>
          <w:szCs w:val="24"/>
        </w:rPr>
        <w:t xml:space="preserve">, hlavne na modernizáciu vozového parku železničných koľajových vozidiel a na obnovu vozidiel ozubnicovej železnice vo Vysokých Tatrách. </w:t>
      </w:r>
    </w:p>
    <w:p w14:paraId="46E60CB3" w14:textId="7B8C52EF" w:rsidR="0078085C" w:rsidRPr="00D715AF" w:rsidRDefault="0078085C" w:rsidP="001665F3">
      <w:pPr>
        <w:spacing w:line="240" w:lineRule="auto"/>
        <w:rPr>
          <w:sz w:val="24"/>
          <w:szCs w:val="24"/>
        </w:rPr>
      </w:pPr>
      <w:r w:rsidRPr="00D715AF">
        <w:rPr>
          <w:sz w:val="24"/>
          <w:szCs w:val="24"/>
          <w:u w:val="single"/>
        </w:rPr>
        <w:t xml:space="preserve">Kapitálové transfery územnej samospráve tvoria druhú najväčšiu skupinu výdavkov z tejto skupiny. </w:t>
      </w:r>
      <w:r w:rsidRPr="00D715AF">
        <w:rPr>
          <w:i/>
          <w:sz w:val="24"/>
          <w:szCs w:val="24"/>
          <w:u w:val="single"/>
        </w:rPr>
        <w:t>Obciam</w:t>
      </w:r>
      <w:r w:rsidRPr="00D715AF">
        <w:rPr>
          <w:sz w:val="24"/>
          <w:szCs w:val="24"/>
        </w:rPr>
        <w:t xml:space="preserve"> bolo poskytnutých 325 274 tis. eur (2019: 305 671 tis. eur). Najvyššími sumami sa na transferoch obciam podieľali Ministerstvo životného prostredia SR (92 159 tis. eur), Ministerstvo pôdohospodárstva a rozvoja vidieka SR (68 784 tis. eur), Ministerstvo dopravy a výstavby SR (58 586 tis. eur), Ministerstvo investícií, regionálneho rozvoja a informatizácie SR (40 892 tis. eur), Všeobecná pokladničná správa (29 539 tis. eur), a Ministerstvo vnútra SR (26 758 tis. eur). Z celkovej poskytnutej sumy tvorili prostriedky z rozpočtu EÚ 214 864 tis. eur, z toho najmä z Európskeho fondu regionálneho rozvoja v rámci 2. programového obdobia (119 445 tis. eur,), Kohézneho fondu v rámci 2. programového obdobia (66 794 tis. eur) a z Európskeho poľnohospodárskeho fondu pre rozvoj vidieka (20</w:t>
      </w:r>
      <w:r w:rsidR="00613E7F">
        <w:rPr>
          <w:sz w:val="24"/>
          <w:szCs w:val="24"/>
        </w:rPr>
        <w:t> </w:t>
      </w:r>
      <w:r w:rsidRPr="00D715AF">
        <w:rPr>
          <w:sz w:val="24"/>
          <w:szCs w:val="24"/>
        </w:rPr>
        <w:t>951</w:t>
      </w:r>
      <w:r w:rsidR="00613E7F">
        <w:rPr>
          <w:sz w:val="24"/>
          <w:szCs w:val="24"/>
        </w:rPr>
        <w:t> tis. </w:t>
      </w:r>
      <w:r w:rsidRPr="00D715AF">
        <w:rPr>
          <w:sz w:val="24"/>
          <w:szCs w:val="24"/>
        </w:rPr>
        <w:t xml:space="preserve">eur). </w:t>
      </w:r>
    </w:p>
    <w:p w14:paraId="40B1EBBF" w14:textId="65886254" w:rsidR="00C428DA" w:rsidRPr="00D715AF" w:rsidRDefault="00C428DA" w:rsidP="001665F3">
      <w:pPr>
        <w:spacing w:line="240" w:lineRule="auto"/>
        <w:rPr>
          <w:b/>
          <w:i/>
          <w:sz w:val="24"/>
          <w:szCs w:val="24"/>
        </w:rPr>
      </w:pPr>
      <w:r w:rsidRPr="00D715AF">
        <w:rPr>
          <w:b/>
          <w:i/>
          <w:sz w:val="24"/>
          <w:szCs w:val="24"/>
        </w:rPr>
        <w:t>Bližší popis vzťahov štátneho rozpočtu a obcí je v kapitole 3.2.3.</w:t>
      </w:r>
    </w:p>
    <w:p w14:paraId="00446779" w14:textId="75D254C7" w:rsidR="00F0707E" w:rsidRPr="00D715AF" w:rsidRDefault="00F0707E" w:rsidP="001665F3">
      <w:pPr>
        <w:spacing w:line="240" w:lineRule="auto"/>
        <w:rPr>
          <w:sz w:val="24"/>
          <w:szCs w:val="24"/>
        </w:rPr>
      </w:pPr>
      <w:r w:rsidRPr="00D715AF">
        <w:rPr>
          <w:i/>
          <w:sz w:val="24"/>
          <w:szCs w:val="24"/>
          <w:u w:val="single"/>
        </w:rPr>
        <w:t>Vyšším územným celkom</w:t>
      </w:r>
      <w:r w:rsidRPr="00D715AF">
        <w:rPr>
          <w:sz w:val="24"/>
          <w:szCs w:val="24"/>
        </w:rPr>
        <w:t xml:space="preserve"> boli poskytnuté transfery v celkovej hodnote 56 333 tis. eur, z toho zo zdrojov EÚ bolo 39 529 tis. eur. Ministerstvo pôdohospodárstva a rozvoja vidieka SR poskytlo 28 221 tis. eur prostredníctvom nenávratných finančných prostriedkov z Európskeho fondu regionálneho rozvoja</w:t>
      </w:r>
      <w:r w:rsidR="00C428DA" w:rsidRPr="00D715AF">
        <w:rPr>
          <w:sz w:val="24"/>
          <w:szCs w:val="24"/>
        </w:rPr>
        <w:t>.</w:t>
      </w:r>
      <w:r w:rsidRPr="00D715AF">
        <w:rPr>
          <w:sz w:val="24"/>
          <w:szCs w:val="24"/>
        </w:rPr>
        <w:t xml:space="preserve"> </w:t>
      </w:r>
    </w:p>
    <w:p w14:paraId="555C5078" w14:textId="58C41480" w:rsidR="00C428DA" w:rsidRPr="00D715AF" w:rsidRDefault="00C428DA" w:rsidP="001665F3">
      <w:pPr>
        <w:spacing w:line="240" w:lineRule="auto"/>
        <w:rPr>
          <w:b/>
          <w:i/>
          <w:sz w:val="24"/>
          <w:szCs w:val="24"/>
        </w:rPr>
      </w:pPr>
      <w:r w:rsidRPr="00D715AF">
        <w:rPr>
          <w:b/>
          <w:i/>
          <w:sz w:val="24"/>
          <w:szCs w:val="24"/>
        </w:rPr>
        <w:t>Bližší popis vzťahov štátneho rozpočtu a VÚC je v kapitole 3.2.4.</w:t>
      </w:r>
    </w:p>
    <w:p w14:paraId="3205BC16" w14:textId="77777777" w:rsidR="0078085C" w:rsidRPr="00D715AF" w:rsidRDefault="0078085C" w:rsidP="001665F3">
      <w:pPr>
        <w:spacing w:line="240" w:lineRule="auto"/>
        <w:rPr>
          <w:sz w:val="24"/>
          <w:szCs w:val="24"/>
        </w:rPr>
      </w:pPr>
      <w:r w:rsidRPr="00D715AF">
        <w:rPr>
          <w:i/>
          <w:sz w:val="24"/>
          <w:szCs w:val="24"/>
          <w:u w:val="single"/>
        </w:rPr>
        <w:t>Príspevkovým organizáciám</w:t>
      </w:r>
      <w:r w:rsidRPr="00D715AF">
        <w:rPr>
          <w:sz w:val="24"/>
          <w:szCs w:val="24"/>
        </w:rPr>
        <w:t xml:space="preserve"> bolo poskytnutých 152 518 tis. eur. Najviac prostriedkov poskytlo Ministerstvo zdravotníctva SR (61 395 tis. eur), Ministerstvo kultúry SR (27 080 tis. eur), Ministerstvo životného prostredia SR (20 279 tis. eur), Ministerstvo investícií, regionálneho rozvoja a informatizácie SR (18 652 tis. eur) a Ministerstvo pôdohospodárstva a rozvoja vidieka SR (16 656 tis. eur).</w:t>
      </w:r>
    </w:p>
    <w:p w14:paraId="210D6505" w14:textId="5F3AA4EE" w:rsidR="0078085C" w:rsidRPr="00D715AF" w:rsidRDefault="0078085C" w:rsidP="001665F3">
      <w:pPr>
        <w:spacing w:line="240" w:lineRule="auto"/>
        <w:rPr>
          <w:sz w:val="24"/>
          <w:szCs w:val="24"/>
        </w:rPr>
      </w:pPr>
      <w:r w:rsidRPr="00D715AF">
        <w:rPr>
          <w:sz w:val="24"/>
          <w:szCs w:val="24"/>
        </w:rPr>
        <w:t xml:space="preserve">Ministerstvo zdravotníctva SR poskytlo transfery organizáciám kapitoly, ale aj príspevkovým organizáciám mimo pôsobnosti ministerstva napr. Slovenskej akadémii vied. Prostriedky poskytnuté zdravotníckym zariadeniam boli predovšetkým určené na financovanie vybavenia nemocníc v súvislosti s riešením </w:t>
      </w:r>
      <w:proofErr w:type="spellStart"/>
      <w:r w:rsidRPr="00D715AF">
        <w:rPr>
          <w:sz w:val="24"/>
          <w:szCs w:val="24"/>
        </w:rPr>
        <w:t>pandemickej</w:t>
      </w:r>
      <w:proofErr w:type="spellEnd"/>
      <w:r w:rsidRPr="00D715AF">
        <w:rPr>
          <w:sz w:val="24"/>
          <w:szCs w:val="24"/>
        </w:rPr>
        <w:t xml:space="preserve"> situácie spôsobenej ochorením COVID-19, na obstaranie nového prístrojového vybavenia, na rekonštrukciu, stavebné úpravy a modernizáciu priestorov a budov zdravotníckych zariadení. Najviac prostriedkov išlo pre Univerzitnú nemocnicu Bratislava (19 696 tis. eur), Fakultnú nemocnicu s poliklinikou F. D. </w:t>
      </w:r>
      <w:proofErr w:type="spellStart"/>
      <w:r w:rsidRPr="00D715AF">
        <w:rPr>
          <w:sz w:val="24"/>
          <w:szCs w:val="24"/>
        </w:rPr>
        <w:t>Roosvelta</w:t>
      </w:r>
      <w:proofErr w:type="spellEnd"/>
      <w:r w:rsidRPr="00D715AF">
        <w:rPr>
          <w:sz w:val="24"/>
          <w:szCs w:val="24"/>
        </w:rPr>
        <w:t>, B.</w:t>
      </w:r>
      <w:r w:rsidR="00613E7F">
        <w:rPr>
          <w:sz w:val="24"/>
          <w:szCs w:val="24"/>
        </w:rPr>
        <w:t> </w:t>
      </w:r>
      <w:r w:rsidRPr="00D715AF">
        <w:rPr>
          <w:sz w:val="24"/>
          <w:szCs w:val="24"/>
        </w:rPr>
        <w:t xml:space="preserve">Bystrica (8 403 tis. eur), Univerzitnú nemocnicu L. </w:t>
      </w:r>
      <w:proofErr w:type="spellStart"/>
      <w:r w:rsidRPr="00D715AF">
        <w:rPr>
          <w:sz w:val="24"/>
          <w:szCs w:val="24"/>
        </w:rPr>
        <w:t>Pasteura</w:t>
      </w:r>
      <w:proofErr w:type="spellEnd"/>
      <w:r w:rsidRPr="00D715AF">
        <w:rPr>
          <w:sz w:val="24"/>
          <w:szCs w:val="24"/>
        </w:rPr>
        <w:t>, Košice (4 943 tis. eur), Národný ústav detských chorôb Bratislava (4 538 tis. eur), Fakultnú nemocnicu s poliklinikou Nové Zámky (4 036 tis. eur). Nemocniciam boli poskytnuté aj finančné prostriedky na financovanie opatrení hospodárskej mobilizácie v celkovej sume 2 493 tis. eur.</w:t>
      </w:r>
    </w:p>
    <w:p w14:paraId="19E9402B" w14:textId="77777777" w:rsidR="0078085C" w:rsidRPr="00D715AF" w:rsidRDefault="0078085C" w:rsidP="001665F3">
      <w:pPr>
        <w:spacing w:line="240" w:lineRule="auto"/>
        <w:rPr>
          <w:sz w:val="24"/>
          <w:szCs w:val="24"/>
          <w:highlight w:val="yellow"/>
        </w:rPr>
      </w:pPr>
      <w:r w:rsidRPr="00935B24">
        <w:rPr>
          <w:sz w:val="24"/>
          <w:szCs w:val="24"/>
          <w:u w:val="single"/>
        </w:rPr>
        <w:t>Kapitola Ministerstva kultúry SR</w:t>
      </w:r>
      <w:r w:rsidRPr="00D715AF">
        <w:rPr>
          <w:sz w:val="24"/>
          <w:szCs w:val="24"/>
        </w:rPr>
        <w:t xml:space="preserve"> poskytla transfery </w:t>
      </w:r>
      <w:r w:rsidRPr="00D715AF">
        <w:rPr>
          <w:sz w:val="24"/>
          <w:szCs w:val="24"/>
          <w:lang w:eastAsia="sk-SK"/>
        </w:rPr>
        <w:t>pre Slovenskú národnú galériu</w:t>
      </w:r>
      <w:r w:rsidRPr="00D715AF">
        <w:rPr>
          <w:sz w:val="24"/>
          <w:szCs w:val="24"/>
        </w:rPr>
        <w:t xml:space="preserve"> na rekonštrukciu a modernizáciu (18 200 tis. eur), na vybavenie laboratórnej techniky (2 812 tis. eur), pre </w:t>
      </w:r>
      <w:r w:rsidRPr="00D715AF">
        <w:rPr>
          <w:sz w:val="24"/>
          <w:szCs w:val="24"/>
          <w:lang w:eastAsia="sk-SK"/>
        </w:rPr>
        <w:t>Slovenské národné múzeum, napr. na obnovu Spišského hradu (1 565 tis. eur) a ďalšie.</w:t>
      </w:r>
    </w:p>
    <w:p w14:paraId="244F72D0" w14:textId="77777777" w:rsidR="0078085C" w:rsidRPr="00D715AF" w:rsidRDefault="0078085C" w:rsidP="001665F3">
      <w:pPr>
        <w:spacing w:line="240" w:lineRule="auto"/>
        <w:rPr>
          <w:sz w:val="24"/>
          <w:szCs w:val="24"/>
        </w:rPr>
      </w:pPr>
      <w:r w:rsidRPr="00935B24">
        <w:rPr>
          <w:sz w:val="24"/>
          <w:szCs w:val="24"/>
          <w:u w:val="single"/>
        </w:rPr>
        <w:t>Ministerstvo životného prostredia SR</w:t>
      </w:r>
      <w:r w:rsidRPr="00D715AF">
        <w:rPr>
          <w:sz w:val="24"/>
          <w:szCs w:val="24"/>
        </w:rPr>
        <w:t xml:space="preserve"> poskytlo transfer v rámci programu Kvalita životného prostredia, najmä pre účely monitorovania a hodnotenia množstva a režimu povrchových vôd, na skvalitnenie Národnej monitorovacej siete kvality ovzdušia a na spracovanie dokumentov miestnych územných systémov ekologickej stability pre potreby vytvorenia základnej východiskovej bázy pre reguláciu návrhu budovania zelenej infraštruktúry. Najvýznamnejší príjemcovia boli Slovenský hydrometeorologický ústav (12 552 tis. eur), Výskumný ústav vodného hospodárstva (1 942 tis. eur) a Slovenská agentúra životného prostredia (1 796 tis. eur).</w:t>
      </w:r>
    </w:p>
    <w:p w14:paraId="16F44A17" w14:textId="77777777" w:rsidR="0078085C" w:rsidRPr="00D715AF" w:rsidRDefault="0078085C" w:rsidP="001665F3">
      <w:pPr>
        <w:spacing w:line="240" w:lineRule="auto"/>
        <w:rPr>
          <w:sz w:val="24"/>
          <w:szCs w:val="24"/>
          <w:highlight w:val="yellow"/>
        </w:rPr>
      </w:pPr>
      <w:r w:rsidRPr="00935B24">
        <w:rPr>
          <w:sz w:val="24"/>
          <w:szCs w:val="24"/>
          <w:u w:val="single"/>
        </w:rPr>
        <w:t>Ministerstvo investícií, regionálneho rozvoja a informatizácie SR</w:t>
      </w:r>
      <w:r w:rsidRPr="00D715AF">
        <w:rPr>
          <w:sz w:val="24"/>
          <w:szCs w:val="24"/>
        </w:rPr>
        <w:t xml:space="preserve"> poskytlo finančné prostriedky v rámci OP Ľahší prístup k efektívnym a kvalitnejším službám (9 941 tis. eur), predovšetkým na podporu projektov z oblasti predškolského vzdelávania (výstavba a rekonštrukcia materských škôlok), základného a stredného školstva (rekonštrukcia budov škôl, výbava a modernizácia odborných učební a pod.) ako aj na projekty z oblasti modernizácie zdravotníckej infraštruktúry (prijímatelia nemocnice), transfer Národnej agentúre pre sieťové a elektronické služby (NASES) poskytlo na rozvoj ústredného portálu softvérových a hardvérových komponentov (5 578 tis. eur) a pod. </w:t>
      </w:r>
    </w:p>
    <w:p w14:paraId="34CB147F" w14:textId="77777777" w:rsidR="0078085C" w:rsidRPr="00D715AF" w:rsidRDefault="0078085C" w:rsidP="001665F3">
      <w:pPr>
        <w:spacing w:line="240" w:lineRule="auto"/>
        <w:rPr>
          <w:sz w:val="24"/>
          <w:szCs w:val="24"/>
        </w:rPr>
      </w:pPr>
      <w:r w:rsidRPr="00935B24">
        <w:rPr>
          <w:sz w:val="24"/>
          <w:szCs w:val="24"/>
          <w:u w:val="single"/>
        </w:rPr>
        <w:t>Ministerstvo pôdohospodárstva a rozvoja vidieka SR</w:t>
      </w:r>
      <w:r w:rsidRPr="00D715AF">
        <w:rPr>
          <w:sz w:val="24"/>
          <w:szCs w:val="24"/>
        </w:rPr>
        <w:t xml:space="preserve"> vykazovalo transfery prostredníctvom Integrovaného regionálneho operačného programu v rámci prioritnej osi - Ľahší prístup k efektívnym a kvalitnejším službám. Išlo napr. o projekty stredných škôl s cieľom zvýšenia počtu žiakov stredných odborných škôl na praktickom vyučovaní a projekty s cieľom modernizovať infraštruktúru ústavných zariadení poskytujúcich akútnu zdravotnú starostlivosť, za účelom zvýšenia ich produktivity a efektívnosti.</w:t>
      </w:r>
    </w:p>
    <w:p w14:paraId="279053C5" w14:textId="7BC818A1" w:rsidR="0078085C" w:rsidRPr="00D715AF" w:rsidRDefault="0078085C" w:rsidP="001665F3">
      <w:pPr>
        <w:spacing w:line="240" w:lineRule="auto"/>
        <w:rPr>
          <w:rFonts w:eastAsia="Times New Roman"/>
          <w:sz w:val="24"/>
          <w:szCs w:val="24"/>
        </w:rPr>
      </w:pPr>
      <w:r w:rsidRPr="00D715AF">
        <w:rPr>
          <w:sz w:val="24"/>
          <w:szCs w:val="24"/>
        </w:rPr>
        <w:t xml:space="preserve">Transfery </w:t>
      </w:r>
      <w:r w:rsidRPr="00D715AF">
        <w:rPr>
          <w:i/>
          <w:sz w:val="24"/>
          <w:szCs w:val="24"/>
          <w:u w:val="single"/>
        </w:rPr>
        <w:t>verejným vysokým školám</w:t>
      </w:r>
      <w:r w:rsidRPr="00D715AF">
        <w:rPr>
          <w:sz w:val="24"/>
          <w:szCs w:val="24"/>
        </w:rPr>
        <w:t xml:space="preserve"> boli v sume 33 520 tis. eur, z toho najviac poskytla kapitola Ministerstva školstva, vedy, výskumu a športu SR (25 675 tis. eur) napr. na rekonštrukcie študentských domovov (10 632 tis. eur), na spolufinancovanie pre Slovenskú technickú univerzitu v Bratislave na projekt Zlepšenie univerzitných kapacít a kompetencií vo výskume, vývoji a inováciách (3 151 tis. eur), pre Univerzitu Komenského v Bratislave na projekt Univerzitný vedecký park (2 836 tis. eur) a pod. Ministerstvo životného prostredia SR rámci Operačného programu Kvalita životného prostredia, prioritná os Energeticky efektívne </w:t>
      </w:r>
      <w:proofErr w:type="spellStart"/>
      <w:r w:rsidRPr="00D715AF">
        <w:rPr>
          <w:sz w:val="24"/>
          <w:szCs w:val="24"/>
        </w:rPr>
        <w:t>nízkouhlíkové</w:t>
      </w:r>
      <w:proofErr w:type="spellEnd"/>
      <w:r w:rsidRPr="00D715AF">
        <w:rPr>
          <w:sz w:val="24"/>
          <w:szCs w:val="24"/>
        </w:rPr>
        <w:t xml:space="preserve"> hospodárstvo vo všetkých sektoroch poskytlo finančné prostriedky v sume 5 618 tis. eur, predovšetkým na zn</w:t>
      </w:r>
      <w:r w:rsidRPr="00D715AF">
        <w:rPr>
          <w:rFonts w:eastAsia="Times New Roman"/>
          <w:sz w:val="24"/>
          <w:szCs w:val="24"/>
        </w:rPr>
        <w:t>íženie energetickej náročnosti budov, z toho najviac pre Žilinskú univerzita v Žiline (2 346 tis. eur) a Univerzitu veterinárskeho lekárstva a farmácie v</w:t>
      </w:r>
      <w:r w:rsidR="00613E7F">
        <w:rPr>
          <w:rFonts w:eastAsia="Times New Roman"/>
          <w:sz w:val="24"/>
          <w:szCs w:val="24"/>
        </w:rPr>
        <w:t> </w:t>
      </w:r>
      <w:r w:rsidRPr="00D715AF">
        <w:rPr>
          <w:rFonts w:eastAsia="Times New Roman"/>
          <w:sz w:val="24"/>
          <w:szCs w:val="24"/>
        </w:rPr>
        <w:t>Košiciach (1 853 tis. eur).</w:t>
      </w:r>
    </w:p>
    <w:p w14:paraId="66EA8009" w14:textId="77777777" w:rsidR="0078085C" w:rsidRPr="00D715AF" w:rsidRDefault="0078085C" w:rsidP="001665F3">
      <w:pPr>
        <w:spacing w:line="240" w:lineRule="auto"/>
        <w:rPr>
          <w:sz w:val="24"/>
          <w:szCs w:val="24"/>
        </w:rPr>
      </w:pPr>
      <w:r w:rsidRPr="00D715AF">
        <w:rPr>
          <w:sz w:val="24"/>
          <w:szCs w:val="24"/>
        </w:rPr>
        <w:t>Transfery</w:t>
      </w:r>
      <w:r w:rsidRPr="00D715AF">
        <w:rPr>
          <w:b/>
          <w:i/>
          <w:sz w:val="24"/>
          <w:szCs w:val="24"/>
        </w:rPr>
        <w:t xml:space="preserve"> nefinančným subjektom </w:t>
      </w:r>
      <w:r w:rsidRPr="00D715AF">
        <w:rPr>
          <w:sz w:val="24"/>
          <w:szCs w:val="24"/>
        </w:rPr>
        <w:t>tvorili 354 849 tis. eur, čo predstavuje 22,1 % z celkovej výšky kapitálových transferov. Najvyššiu hodnotu vykazovali kapitoly Ministerstva životného prostredia SR (109 291 tis. eur), Ministerstva pôdohospodárstva a rozvoja vidieka SR (108 654 tis. eur), Ministerstva hospodárstva SR (81 680 tis. eur) a Ministerstva investícií, regionálneho rozvoja a informatizácie SR (33 911 tis. eur).</w:t>
      </w:r>
    </w:p>
    <w:p w14:paraId="4D3EC072" w14:textId="77777777" w:rsidR="0078085C" w:rsidRPr="00D715AF" w:rsidRDefault="0078085C" w:rsidP="001665F3">
      <w:pPr>
        <w:spacing w:line="240" w:lineRule="auto"/>
        <w:rPr>
          <w:sz w:val="24"/>
          <w:szCs w:val="24"/>
        </w:rPr>
      </w:pPr>
      <w:r w:rsidRPr="00D715AF">
        <w:rPr>
          <w:i/>
          <w:sz w:val="24"/>
          <w:szCs w:val="24"/>
          <w:u w:val="single"/>
        </w:rPr>
        <w:t>Ostatným právnickým osobám</w:t>
      </w:r>
      <w:r w:rsidRPr="00D715AF">
        <w:rPr>
          <w:sz w:val="24"/>
          <w:szCs w:val="24"/>
        </w:rPr>
        <w:t xml:space="preserve"> boli poskytnuté transfery v celkovej výške 269 933 tis. eur. Najvýznamnejšie prostriedky poskytlo Ministerstvo pôdohospodárstva a rozvoja vidieka SR vo výške 100 354 tis. eur ako nenávratné finančné príspevky z Európskeho poľnohospodárskeho fondu pre rozvoj vidieka a z Európskeho fondu regionálneho rozvoja. Išlo napr. o p</w:t>
      </w:r>
      <w:r w:rsidRPr="00D715AF">
        <w:rPr>
          <w:bCs/>
          <w:sz w:val="24"/>
          <w:szCs w:val="24"/>
        </w:rPr>
        <w:t>odporu na investície do poľnohospodárskych podnikov (22 760 tis. eur), na investície na spracovanie, uvádzanie na trh alebo vývoj poľnohospodárskych výrobkov (28 730 tis. eur), na investície do vytvárania a rozvoja nepoľnohospodárskych činností (13 875 tis. eur) a pod.</w:t>
      </w:r>
    </w:p>
    <w:p w14:paraId="7B69B3D2" w14:textId="77777777" w:rsidR="0078085C" w:rsidRPr="00D715AF" w:rsidRDefault="0078085C" w:rsidP="001665F3">
      <w:pPr>
        <w:spacing w:line="240" w:lineRule="auto"/>
        <w:rPr>
          <w:sz w:val="24"/>
          <w:szCs w:val="24"/>
        </w:rPr>
      </w:pPr>
      <w:r w:rsidRPr="00D715AF">
        <w:rPr>
          <w:sz w:val="24"/>
          <w:szCs w:val="24"/>
        </w:rPr>
        <w:t xml:space="preserve">Transfery </w:t>
      </w:r>
      <w:r w:rsidRPr="00935B24">
        <w:rPr>
          <w:sz w:val="24"/>
          <w:szCs w:val="24"/>
          <w:u w:val="single"/>
        </w:rPr>
        <w:t xml:space="preserve">Ministerstva hospodárstva SR </w:t>
      </w:r>
      <w:r w:rsidRPr="00D715AF">
        <w:rPr>
          <w:sz w:val="24"/>
          <w:szCs w:val="24"/>
        </w:rPr>
        <w:t>vo výške 80 068 tis. eur boli poskytnuté predovšetkým</w:t>
      </w:r>
      <w:r w:rsidRPr="00D715AF">
        <w:rPr>
          <w:sz w:val="24"/>
          <w:szCs w:val="24"/>
          <w:highlight w:val="yellow"/>
        </w:rPr>
        <w:t xml:space="preserve"> </w:t>
      </w:r>
      <w:r w:rsidRPr="00D715AF">
        <w:rPr>
          <w:sz w:val="24"/>
          <w:szCs w:val="24"/>
        </w:rPr>
        <w:t>v rámci operačného programu Integrovaná infraštruktúra na podporu zvyšovania konkurencieschopnosti podnikov, zabezpečovanie prístupu k finančným zdrojom pre podniky na Slovensku a zvyšovanie investícií do podpory podnikov najmä v oblasti technologického rozvoja, inovácií, výskumu a vývoja. Pokles medzi skutočným čerpaním výdavkov a schváleným rozpočtom (o 51 591 tis. eur) bol ovplyvnený procesom verejného obstarávania tovarov a služieb podľa zákona o verejnom obstarávaní, procesom vyhlasovania výziev na poskytovanie dotácií a negatívny vplyv mala aj celková ekonomická situácia v súvislosti s dopadom COVID-19.</w:t>
      </w:r>
    </w:p>
    <w:p w14:paraId="21247A66" w14:textId="77777777" w:rsidR="0078085C" w:rsidRPr="00D715AF" w:rsidRDefault="0078085C" w:rsidP="001665F3">
      <w:pPr>
        <w:spacing w:line="240" w:lineRule="auto"/>
        <w:rPr>
          <w:sz w:val="24"/>
          <w:szCs w:val="24"/>
        </w:rPr>
      </w:pPr>
      <w:r w:rsidRPr="00935B24">
        <w:rPr>
          <w:sz w:val="24"/>
          <w:szCs w:val="24"/>
          <w:u w:val="single"/>
        </w:rPr>
        <w:t>Ministerstvo životného prostredia SR</w:t>
      </w:r>
      <w:r w:rsidRPr="00D715AF">
        <w:rPr>
          <w:sz w:val="24"/>
          <w:szCs w:val="24"/>
        </w:rPr>
        <w:t xml:space="preserve"> poskytlo transfery v sume 52 958 tis. eur v rámci programu Kvalita životného prostredia, najviac spoločnosti Severoslovenské vodárne a kanalizácie, a. s. (16 579 tis. eur) na účely </w:t>
      </w:r>
      <w:r w:rsidRPr="00D715AF">
        <w:rPr>
          <w:rFonts w:eastAsia="Times New Roman"/>
          <w:sz w:val="24"/>
          <w:szCs w:val="24"/>
        </w:rPr>
        <w:t xml:space="preserve">zásobovania vodou, </w:t>
      </w:r>
      <w:proofErr w:type="spellStart"/>
      <w:r w:rsidRPr="00D715AF">
        <w:rPr>
          <w:rFonts w:eastAsia="Times New Roman"/>
          <w:sz w:val="24"/>
          <w:szCs w:val="24"/>
        </w:rPr>
        <w:t>odkanalizovanie</w:t>
      </w:r>
      <w:proofErr w:type="spellEnd"/>
      <w:r w:rsidRPr="00D715AF">
        <w:rPr>
          <w:rFonts w:eastAsia="Times New Roman"/>
          <w:sz w:val="24"/>
          <w:szCs w:val="24"/>
        </w:rPr>
        <w:t xml:space="preserve"> a čistenie odpadových vôd regiónu Stredné Kysuce, </w:t>
      </w:r>
      <w:r w:rsidRPr="00D715AF">
        <w:rPr>
          <w:sz w:val="24"/>
          <w:szCs w:val="24"/>
        </w:rPr>
        <w:t xml:space="preserve">spoločnosti U. S. Steel Košice (16 088 tis. eur) na odprašovanie a kontrolu emisií a spoločnosti </w:t>
      </w:r>
      <w:proofErr w:type="spellStart"/>
      <w:r w:rsidRPr="00D715AF">
        <w:rPr>
          <w:sz w:val="24"/>
          <w:szCs w:val="24"/>
        </w:rPr>
        <w:t>Bukóza</w:t>
      </w:r>
      <w:proofErr w:type="spellEnd"/>
      <w:r w:rsidRPr="00D715AF">
        <w:rPr>
          <w:sz w:val="24"/>
          <w:szCs w:val="24"/>
        </w:rPr>
        <w:t xml:space="preserve"> Invest s.r.o. (2 369 tis. eur) na recykláciu zberového papiera. Dôvodom poklesu skutočne poskytnutých finančných prostriedkov oproti schválenému rozpočtu o 326 341 tis. eur je využívanie danej položky pri rozpise schváleného rozpočtu celého operačného programu a následný presun podľa prijímaných žiadostí o platbu.</w:t>
      </w:r>
    </w:p>
    <w:p w14:paraId="0F785F51" w14:textId="77777777" w:rsidR="0078085C" w:rsidRPr="00D715AF" w:rsidRDefault="0078085C" w:rsidP="001665F3">
      <w:pPr>
        <w:spacing w:line="240" w:lineRule="auto"/>
        <w:rPr>
          <w:sz w:val="24"/>
          <w:szCs w:val="24"/>
        </w:rPr>
      </w:pPr>
      <w:r w:rsidRPr="00935B24">
        <w:rPr>
          <w:sz w:val="24"/>
          <w:szCs w:val="24"/>
          <w:u w:val="single"/>
        </w:rPr>
        <w:t>Ministerstvo investícií, regionálneho rozvoja a informatizácie SR</w:t>
      </w:r>
      <w:r w:rsidRPr="00D715AF">
        <w:rPr>
          <w:sz w:val="24"/>
          <w:szCs w:val="24"/>
        </w:rPr>
        <w:t xml:space="preserve"> vykázalo transfery v sume 31 723 tis. eur, z toho predovšetkým v rámci Integrovaného regionálneho programu - Ľahší prístup k efektívnym a kvalitnejším službám (13 967 tis. eur) a na regionálne príspevky pre najmenej rozvinuté okresy v zmysle zákona č. 336/2015 Z. z o podpore najmenej rozvinutých okresov v znení neskorších predpisov (8 307 tis. eur).</w:t>
      </w:r>
    </w:p>
    <w:p w14:paraId="17ED6C1D" w14:textId="607FAFFB" w:rsidR="0078085C" w:rsidRPr="00D715AF" w:rsidRDefault="0078085C" w:rsidP="001665F3">
      <w:pPr>
        <w:spacing w:line="240" w:lineRule="auto"/>
        <w:rPr>
          <w:sz w:val="24"/>
          <w:szCs w:val="24"/>
        </w:rPr>
      </w:pPr>
      <w:r w:rsidRPr="00D715AF">
        <w:rPr>
          <w:sz w:val="24"/>
          <w:szCs w:val="24"/>
        </w:rPr>
        <w:t xml:space="preserve">Transfery </w:t>
      </w:r>
      <w:r w:rsidRPr="00D715AF">
        <w:rPr>
          <w:i/>
          <w:sz w:val="24"/>
          <w:szCs w:val="24"/>
          <w:u w:val="single"/>
        </w:rPr>
        <w:t xml:space="preserve">právnickým osobám založeným štátom, obcou, alebo vyšším územným celkom </w:t>
      </w:r>
      <w:r w:rsidRPr="00D715AF">
        <w:rPr>
          <w:sz w:val="24"/>
          <w:szCs w:val="24"/>
        </w:rPr>
        <w:t>boli vykázané vo výške 74 058 tis. eur, najviac poskytlo Ministerstvo životného prostredia SR (56 036 tis. eur), išlo predovšetkým o transfery vodárenským spoločnostiam v rámci operačného programu Kvalita životného prostredia pre účely inovácie a modernizácie kanalizácií a čističiek odpadových vôd, na protipovodňovú ochranu a pod. (Stredoslov</w:t>
      </w:r>
      <w:r w:rsidR="00E05268">
        <w:rPr>
          <w:sz w:val="24"/>
          <w:szCs w:val="24"/>
        </w:rPr>
        <w:t>enská vodárenská spoločnosť, a. </w:t>
      </w:r>
      <w:r w:rsidRPr="00D715AF">
        <w:rPr>
          <w:sz w:val="24"/>
          <w:szCs w:val="24"/>
        </w:rPr>
        <w:t>s. 28 019 tis. eur, Slovenský vodohospodársky podnik, š. p. 14 248 tis. eur, Žilinská teplárenská, a.s</w:t>
      </w:r>
      <w:r w:rsidR="00E05268">
        <w:rPr>
          <w:sz w:val="24"/>
          <w:szCs w:val="24"/>
        </w:rPr>
        <w:t>.</w:t>
      </w:r>
      <w:r w:rsidRPr="00D715AF">
        <w:rPr>
          <w:sz w:val="24"/>
          <w:szCs w:val="24"/>
        </w:rPr>
        <w:t xml:space="preserve"> 3 153 tis. eur a ďalšie). </w:t>
      </w:r>
      <w:r w:rsidRPr="00935B24">
        <w:rPr>
          <w:sz w:val="24"/>
          <w:szCs w:val="24"/>
          <w:u w:val="single"/>
        </w:rPr>
        <w:t>Transfery Všeobecnej pokladničnej správy</w:t>
      </w:r>
      <w:r w:rsidRPr="00D715AF">
        <w:rPr>
          <w:sz w:val="24"/>
          <w:szCs w:val="24"/>
        </w:rPr>
        <w:t xml:space="preserve"> boli vo výške 8 675 tis. eur a boli určené napr. pre </w:t>
      </w:r>
      <w:r w:rsidR="00BC36DF">
        <w:rPr>
          <w:sz w:val="24"/>
          <w:szCs w:val="24"/>
        </w:rPr>
        <w:t>MBB a.</w:t>
      </w:r>
      <w:r w:rsidR="00613E7F">
        <w:rPr>
          <w:sz w:val="24"/>
          <w:szCs w:val="24"/>
        </w:rPr>
        <w:t xml:space="preserve"> </w:t>
      </w:r>
      <w:r w:rsidR="00BC36DF">
        <w:rPr>
          <w:sz w:val="24"/>
          <w:szCs w:val="24"/>
        </w:rPr>
        <w:t>s.</w:t>
      </w:r>
      <w:r w:rsidRPr="00D715AF">
        <w:rPr>
          <w:sz w:val="24"/>
          <w:szCs w:val="24"/>
        </w:rPr>
        <w:t xml:space="preserve"> </w:t>
      </w:r>
      <w:r w:rsidR="008C105D" w:rsidRPr="008C105D">
        <w:rPr>
          <w:sz w:val="24"/>
          <w:szCs w:val="24"/>
        </w:rPr>
        <w:t>na revitalizáciu, rekonštrukciu a vybavenie existujúcej športovej infraštruktúry a jej príslušenstva</w:t>
      </w:r>
      <w:r w:rsidRPr="00D715AF">
        <w:rPr>
          <w:sz w:val="24"/>
          <w:szCs w:val="24"/>
        </w:rPr>
        <w:t xml:space="preserve"> (3 350 tis. eur), pre Správu majetku Sereď, s.r.o. na rekonštrukciu a prestavbu futbalového štadióna v meste Sereď (2 000 tis. eur), pre Arénu DSZ, a.s. na výstavbu multifunkčnej športovej haly v meste Dunajská Streda (2 000 tis. eur). Ministerstvo dopravy a výstavby SR vykázalo transfery vo výške 7 798 tis. eur, napr. pre Letisko M.R. Štefánika Bratislava na prechod na ECAC (</w:t>
      </w:r>
      <w:proofErr w:type="spellStart"/>
      <w:r w:rsidRPr="00D715AF">
        <w:rPr>
          <w:sz w:val="24"/>
          <w:szCs w:val="24"/>
        </w:rPr>
        <w:t>European</w:t>
      </w:r>
      <w:proofErr w:type="spellEnd"/>
      <w:r w:rsidRPr="00D715AF">
        <w:rPr>
          <w:sz w:val="24"/>
          <w:szCs w:val="24"/>
        </w:rPr>
        <w:t xml:space="preserve"> </w:t>
      </w:r>
      <w:proofErr w:type="spellStart"/>
      <w:r w:rsidRPr="00D715AF">
        <w:rPr>
          <w:sz w:val="24"/>
          <w:szCs w:val="24"/>
        </w:rPr>
        <w:t>Committee</w:t>
      </w:r>
      <w:proofErr w:type="spellEnd"/>
      <w:r w:rsidRPr="00D715AF">
        <w:rPr>
          <w:sz w:val="24"/>
          <w:szCs w:val="24"/>
        </w:rPr>
        <w:t xml:space="preserve"> </w:t>
      </w:r>
      <w:proofErr w:type="spellStart"/>
      <w:r w:rsidRPr="00D715AF">
        <w:rPr>
          <w:sz w:val="24"/>
          <w:szCs w:val="24"/>
        </w:rPr>
        <w:t>for</w:t>
      </w:r>
      <w:proofErr w:type="spellEnd"/>
      <w:r w:rsidRPr="00D715AF">
        <w:rPr>
          <w:sz w:val="24"/>
          <w:szCs w:val="24"/>
        </w:rPr>
        <w:t xml:space="preserve"> Civil </w:t>
      </w:r>
      <w:proofErr w:type="spellStart"/>
      <w:r w:rsidRPr="00D715AF">
        <w:rPr>
          <w:sz w:val="24"/>
          <w:szCs w:val="24"/>
        </w:rPr>
        <w:t>Aviation</w:t>
      </w:r>
      <w:proofErr w:type="spellEnd"/>
      <w:r w:rsidRPr="00D715AF">
        <w:rPr>
          <w:sz w:val="24"/>
          <w:szCs w:val="24"/>
        </w:rPr>
        <w:t>) Štandard 3 a ďalšie.</w:t>
      </w:r>
    </w:p>
    <w:p w14:paraId="0A59452B" w14:textId="77777777" w:rsidR="0078085C" w:rsidRPr="00D715AF" w:rsidRDefault="0078085C" w:rsidP="001665F3">
      <w:pPr>
        <w:spacing w:line="240" w:lineRule="auto"/>
        <w:rPr>
          <w:sz w:val="24"/>
          <w:szCs w:val="24"/>
          <w:highlight w:val="yellow"/>
        </w:rPr>
      </w:pPr>
      <w:r w:rsidRPr="00D715AF">
        <w:rPr>
          <w:b/>
          <w:i/>
          <w:sz w:val="24"/>
          <w:szCs w:val="24"/>
        </w:rPr>
        <w:t>Transfery jednotlivcom a neziskovým právnickým osobám</w:t>
      </w:r>
      <w:r w:rsidRPr="00D715AF">
        <w:rPr>
          <w:sz w:val="24"/>
          <w:szCs w:val="24"/>
        </w:rPr>
        <w:t xml:space="preserve"> boli poskytnuté vo výške 59 182 tis. eur (2019: 65 711 tis. eur), z toho </w:t>
      </w:r>
      <w:r w:rsidRPr="00D715AF">
        <w:rPr>
          <w:i/>
          <w:sz w:val="24"/>
          <w:szCs w:val="24"/>
          <w:u w:val="single"/>
        </w:rPr>
        <w:t>občianskym združeniam, nadáciám a neinvestičným fondom</w:t>
      </w:r>
      <w:r w:rsidRPr="00D715AF">
        <w:rPr>
          <w:sz w:val="24"/>
          <w:szCs w:val="24"/>
        </w:rPr>
        <w:t xml:space="preserve"> 25 691 tis. eur (2019: 41 262 tis. eur). Najviac prostriedkov poskytla Všeobecná pokladničná správa (15 597 tis. eur), predovšetkým Slovenskej basketbalovej asociácii na dostavbu a rekonštrukciu športovej infraštruktúry (8 460 tis. eur) a Slovenskej kanoistike na rekonštrukcia areálu Divoká Voda v BA - Čunovo a modernizáciu areálu vodného slalomu Ondreja </w:t>
      </w:r>
      <w:proofErr w:type="spellStart"/>
      <w:r w:rsidRPr="00D715AF">
        <w:rPr>
          <w:sz w:val="24"/>
          <w:szCs w:val="24"/>
        </w:rPr>
        <w:t>Cibáka</w:t>
      </w:r>
      <w:proofErr w:type="spellEnd"/>
      <w:r w:rsidRPr="00D715AF">
        <w:rPr>
          <w:sz w:val="24"/>
          <w:szCs w:val="24"/>
        </w:rPr>
        <w:t xml:space="preserve"> v Liptovskom Mikuláši (5 000 tis. eur). Ministerstvo školstva, vedy, výskumu a športu SR poskytlo transfer (6 830 tis. eur) napr. Slovenskému futbalovému zväzu na rekonštrukciu, modernizáciu a budovanie futbalových štadiónov (4 500 tis. eur).</w:t>
      </w:r>
      <w:r w:rsidRPr="00D715AF">
        <w:rPr>
          <w:sz w:val="24"/>
          <w:szCs w:val="24"/>
          <w:highlight w:val="yellow"/>
        </w:rPr>
        <w:t xml:space="preserve"> </w:t>
      </w:r>
    </w:p>
    <w:p w14:paraId="1DBF31AE" w14:textId="77777777" w:rsidR="0078085C" w:rsidRPr="00D715AF" w:rsidRDefault="0078085C" w:rsidP="001665F3">
      <w:pPr>
        <w:spacing w:line="240" w:lineRule="auto"/>
        <w:rPr>
          <w:sz w:val="24"/>
          <w:szCs w:val="24"/>
        </w:rPr>
      </w:pPr>
      <w:r w:rsidRPr="00D715AF">
        <w:rPr>
          <w:i/>
          <w:sz w:val="24"/>
          <w:szCs w:val="24"/>
          <w:u w:val="single"/>
        </w:rPr>
        <w:t>Transfery neziskovej právnickej osobe</w:t>
      </w:r>
      <w:r w:rsidRPr="00D715AF">
        <w:rPr>
          <w:sz w:val="24"/>
          <w:szCs w:val="24"/>
        </w:rPr>
        <w:t xml:space="preserve"> boli poskytnuté vo výške 21 713 tis. eur, z toho najviac Ministerstvo pôdohospodárstva a rozvoja vidieka SR (9 828 tis. eur) prostredníctvom Integrovaného regionálneho operačného programu v rámci prioritnej osi - Bezpečná a ekologická doprava v regiónoch, a Ministerstvo investícií, regionálneho rozvoja a informatizácie SR (7 181 tis. eur), v rámci operačného programu - Ľahší prístup k efektívnym a kvalitnejším službám predovšetkým na projekty modernizácie a zvyšovania kapacít základných a stredných škôl, kde prijímateľmi boli neziskové organizácie (súkromné základné a stredné školy) a na regionálne príspevky pre najmenej rozvinuté okresy v zmysle zákona č. 336/2015 Z. z o podpore najmenej rozvinutých okresov v znení neskorších predpisov. </w:t>
      </w:r>
    </w:p>
    <w:p w14:paraId="4AE19662" w14:textId="3F4CD0A4" w:rsidR="00712D17" w:rsidRDefault="0078085C" w:rsidP="001665F3">
      <w:pPr>
        <w:spacing w:line="240" w:lineRule="auto"/>
        <w:rPr>
          <w:sz w:val="24"/>
          <w:szCs w:val="24"/>
        </w:rPr>
      </w:pPr>
      <w:r w:rsidRPr="00D715AF">
        <w:rPr>
          <w:b/>
          <w:i/>
          <w:sz w:val="24"/>
          <w:szCs w:val="24"/>
        </w:rPr>
        <w:t>Transfery do zahraničia</w:t>
      </w:r>
      <w:r w:rsidRPr="00D715AF">
        <w:rPr>
          <w:sz w:val="24"/>
          <w:szCs w:val="24"/>
        </w:rPr>
        <w:t xml:space="preserve"> tvorili 5 614 tis. eur, pričom takmer celú sumu predstavoval príspevok Ministerstva pôdohospodárstva a rozvoja vidieka SR (4 555 tis. eur). Išlo najmä o poskytnutie nenávratných finančných prostriedkov z Európskeho fondu regionálneho rozvoja prostredníctvom Operačného programu cezhraničnej spolupráce </w:t>
      </w:r>
      <w:proofErr w:type="spellStart"/>
      <w:r w:rsidRPr="00D715AF">
        <w:rPr>
          <w:sz w:val="24"/>
          <w:szCs w:val="24"/>
        </w:rPr>
        <w:t>Interreg</w:t>
      </w:r>
      <w:proofErr w:type="spellEnd"/>
      <w:r w:rsidRPr="00D715AF">
        <w:rPr>
          <w:sz w:val="24"/>
          <w:szCs w:val="24"/>
        </w:rPr>
        <w:t xml:space="preserve"> V-A Slovensko – Česká republika na Kvalitné životné prostredie.</w:t>
      </w:r>
    </w:p>
    <w:p w14:paraId="00ECFAA6" w14:textId="3CEE7097" w:rsidR="00712D17" w:rsidRDefault="00712D17">
      <w:pPr>
        <w:spacing w:after="160" w:line="259" w:lineRule="auto"/>
        <w:jc w:val="left"/>
        <w:rPr>
          <w:sz w:val="24"/>
          <w:szCs w:val="24"/>
        </w:rPr>
      </w:pPr>
    </w:p>
    <w:p w14:paraId="4D315620" w14:textId="7EAFC50D" w:rsidR="0078085C" w:rsidRPr="00935B24" w:rsidRDefault="0078085C" w:rsidP="008D0228">
      <w:pPr>
        <w:pStyle w:val="Nadpis3"/>
        <w:spacing w:before="0"/>
        <w:rPr>
          <w:sz w:val="24"/>
        </w:rPr>
      </w:pPr>
      <w:bookmarkStart w:id="50" w:name="_Toc70026100"/>
      <w:r w:rsidRPr="00935B24">
        <w:rPr>
          <w:sz w:val="24"/>
        </w:rPr>
        <w:t>Výdavky podľa funkčnej klasifikácie</w:t>
      </w:r>
      <w:bookmarkEnd w:id="50"/>
    </w:p>
    <w:p w14:paraId="78C1E556" w14:textId="77777777" w:rsidR="0078085C" w:rsidRPr="00D715AF" w:rsidRDefault="0078085C" w:rsidP="001665F3">
      <w:pPr>
        <w:spacing w:line="240" w:lineRule="auto"/>
        <w:rPr>
          <w:sz w:val="24"/>
          <w:szCs w:val="24"/>
        </w:rPr>
      </w:pPr>
      <w:r w:rsidRPr="00D715AF">
        <w:rPr>
          <w:sz w:val="24"/>
          <w:szCs w:val="24"/>
        </w:rPr>
        <w:t xml:space="preserve">Výdavky štátneho rozpočtu podľa funkčnej klasifikácie sa triedia v súlade s vyhláškou Štatistického úradu SR č. 257/2014 Z. z. (tzv. COFOG). Táto klasifikácia predstavuje rozdelenie výdavkov podľa funkcie, pričom funkciou sa rozumie určitá oblasť činností, ktorú daná organizácia financuje napr. oblasť školstva, zdravotníctva, kultúry, bezpečnosti a podobne. Výdavky sa triedia do tej funkcie, s ktorou súvisia, bez ohľadu na hlavný predmet činnosti samotnej organizácie. </w:t>
      </w:r>
    </w:p>
    <w:tbl>
      <w:tblPr>
        <w:tblW w:w="9212" w:type="dxa"/>
        <w:tblInd w:w="-10" w:type="dxa"/>
        <w:tblLayout w:type="fixed"/>
        <w:tblCellMar>
          <w:left w:w="70" w:type="dxa"/>
          <w:right w:w="70" w:type="dxa"/>
        </w:tblCellMar>
        <w:tblLook w:val="04A0" w:firstRow="1" w:lastRow="0" w:firstColumn="1" w:lastColumn="0" w:noHBand="0" w:noVBand="1"/>
      </w:tblPr>
      <w:tblGrid>
        <w:gridCol w:w="2410"/>
        <w:gridCol w:w="1132"/>
        <w:gridCol w:w="1134"/>
        <w:gridCol w:w="1134"/>
        <w:gridCol w:w="1276"/>
        <w:gridCol w:w="1134"/>
        <w:gridCol w:w="992"/>
      </w:tblGrid>
      <w:tr w:rsidR="00A02135" w:rsidRPr="00712D17" w14:paraId="2D33379B" w14:textId="77777777" w:rsidTr="00712D17">
        <w:trPr>
          <w:trHeight w:val="452"/>
        </w:trPr>
        <w:tc>
          <w:tcPr>
            <w:tcW w:w="9212" w:type="dxa"/>
            <w:gridSpan w:val="7"/>
            <w:tcBorders>
              <w:top w:val="nil"/>
              <w:left w:val="single" w:sz="8" w:space="0" w:color="auto"/>
              <w:bottom w:val="nil"/>
              <w:right w:val="nil"/>
            </w:tcBorders>
            <w:shd w:val="clear" w:color="000000" w:fill="000000"/>
            <w:vAlign w:val="center"/>
            <w:hideMark/>
          </w:tcPr>
          <w:p w14:paraId="4304E0DC" w14:textId="4E7E1850" w:rsidR="00A02135" w:rsidRPr="00712D17" w:rsidRDefault="00A02135" w:rsidP="00A02135">
            <w:pPr>
              <w:spacing w:after="0" w:line="240" w:lineRule="auto"/>
              <w:jc w:val="left"/>
              <w:rPr>
                <w:rFonts w:eastAsia="Times New Roman" w:cs="Times New Roman"/>
                <w:b/>
                <w:bCs/>
                <w:color w:val="FFFFFF"/>
                <w:sz w:val="18"/>
                <w:szCs w:val="18"/>
                <w:lang w:eastAsia="sk-SK"/>
              </w:rPr>
            </w:pPr>
            <w:r w:rsidRPr="00712D17">
              <w:rPr>
                <w:rFonts w:eastAsia="Times New Roman" w:cs="Times New Roman"/>
                <w:b/>
                <w:bCs/>
                <w:color w:val="FFFFFF"/>
                <w:sz w:val="18"/>
                <w:szCs w:val="18"/>
                <w:lang w:eastAsia="sk-SK"/>
              </w:rPr>
              <w:t xml:space="preserve">Výdavky štátneho rozpočtu podľa funkčnej klasifikácie                                                             </w:t>
            </w:r>
            <w:r w:rsidR="005C4AEB">
              <w:rPr>
                <w:rFonts w:eastAsia="Times New Roman" w:cs="Times New Roman"/>
                <w:b/>
                <w:bCs/>
                <w:color w:val="FFFFFF"/>
                <w:sz w:val="18"/>
                <w:szCs w:val="18"/>
                <w:lang w:eastAsia="sk-SK"/>
              </w:rPr>
              <w:t xml:space="preserve">                </w:t>
            </w:r>
            <w:r w:rsidR="00613E7F">
              <w:rPr>
                <w:rFonts w:eastAsia="Times New Roman" w:cs="Times New Roman"/>
                <w:b/>
                <w:bCs/>
                <w:color w:val="FFFFFF"/>
                <w:sz w:val="18"/>
                <w:szCs w:val="18"/>
                <w:lang w:eastAsia="sk-SK"/>
              </w:rPr>
              <w:t xml:space="preserve">        </w:t>
            </w:r>
            <w:r w:rsidR="005C4AEB">
              <w:rPr>
                <w:rFonts w:eastAsia="Times New Roman" w:cs="Times New Roman"/>
                <w:b/>
                <w:bCs/>
                <w:color w:val="FFFFFF"/>
                <w:sz w:val="18"/>
                <w:szCs w:val="18"/>
                <w:lang w:eastAsia="sk-SK"/>
              </w:rPr>
              <w:t xml:space="preserve">       </w:t>
            </w:r>
            <w:r w:rsidRPr="00712D17">
              <w:rPr>
                <w:rFonts w:eastAsia="Times New Roman" w:cs="Times New Roman"/>
                <w:b/>
                <w:bCs/>
                <w:color w:val="FFFFFF"/>
                <w:sz w:val="18"/>
                <w:szCs w:val="18"/>
                <w:lang w:eastAsia="sk-SK"/>
              </w:rPr>
              <w:t>v tis. eur</w:t>
            </w:r>
          </w:p>
        </w:tc>
      </w:tr>
      <w:tr w:rsidR="00A02135" w:rsidRPr="00712D17" w14:paraId="6CE2E055" w14:textId="77777777" w:rsidTr="00712D17">
        <w:trPr>
          <w:trHeight w:val="452"/>
        </w:trPr>
        <w:tc>
          <w:tcPr>
            <w:tcW w:w="2410" w:type="dxa"/>
            <w:tcBorders>
              <w:top w:val="nil"/>
              <w:left w:val="nil"/>
              <w:bottom w:val="nil"/>
              <w:right w:val="nil"/>
            </w:tcBorders>
            <w:shd w:val="clear" w:color="000000" w:fill="BFBFBF"/>
            <w:vAlign w:val="center"/>
            <w:hideMark/>
          </w:tcPr>
          <w:p w14:paraId="20E90D6D" w14:textId="77777777" w:rsidR="00A02135" w:rsidRPr="00712D17" w:rsidRDefault="00A02135" w:rsidP="00A02135">
            <w:pPr>
              <w:spacing w:after="0" w:line="240" w:lineRule="auto"/>
              <w:jc w:val="center"/>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 </w:t>
            </w:r>
          </w:p>
        </w:tc>
        <w:tc>
          <w:tcPr>
            <w:tcW w:w="2266" w:type="dxa"/>
            <w:gridSpan w:val="2"/>
            <w:tcBorders>
              <w:top w:val="nil"/>
              <w:left w:val="nil"/>
              <w:bottom w:val="nil"/>
              <w:right w:val="nil"/>
            </w:tcBorders>
            <w:shd w:val="clear" w:color="000000" w:fill="BFBFBF"/>
            <w:vAlign w:val="center"/>
            <w:hideMark/>
          </w:tcPr>
          <w:p w14:paraId="27B4D974" w14:textId="77777777" w:rsidR="00A02135" w:rsidRPr="00712D17" w:rsidRDefault="00A02135" w:rsidP="00A02135">
            <w:pPr>
              <w:spacing w:after="0" w:line="240" w:lineRule="auto"/>
              <w:jc w:val="center"/>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Skutočnosť</w:t>
            </w:r>
          </w:p>
        </w:tc>
        <w:tc>
          <w:tcPr>
            <w:tcW w:w="1134" w:type="dxa"/>
            <w:tcBorders>
              <w:top w:val="nil"/>
              <w:left w:val="nil"/>
              <w:bottom w:val="nil"/>
              <w:right w:val="nil"/>
            </w:tcBorders>
            <w:shd w:val="clear" w:color="000000" w:fill="BFBFBF"/>
            <w:vAlign w:val="center"/>
            <w:hideMark/>
          </w:tcPr>
          <w:p w14:paraId="6006FC39" w14:textId="77777777" w:rsidR="00A02135" w:rsidRPr="00712D17" w:rsidRDefault="00A02135" w:rsidP="00A02135">
            <w:pPr>
              <w:spacing w:after="0" w:line="240" w:lineRule="auto"/>
              <w:jc w:val="center"/>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Rozpočet</w:t>
            </w:r>
          </w:p>
        </w:tc>
        <w:tc>
          <w:tcPr>
            <w:tcW w:w="1276" w:type="dxa"/>
            <w:tcBorders>
              <w:top w:val="nil"/>
              <w:left w:val="nil"/>
              <w:bottom w:val="nil"/>
              <w:right w:val="nil"/>
            </w:tcBorders>
            <w:shd w:val="clear" w:color="000000" w:fill="BFBFBF"/>
            <w:vAlign w:val="center"/>
            <w:hideMark/>
          </w:tcPr>
          <w:p w14:paraId="070702AF" w14:textId="77777777" w:rsidR="00A02135" w:rsidRPr="00712D17" w:rsidRDefault="00A02135" w:rsidP="00A02135">
            <w:pPr>
              <w:spacing w:after="0" w:line="240" w:lineRule="auto"/>
              <w:jc w:val="center"/>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Skutočnosť</w:t>
            </w:r>
          </w:p>
        </w:tc>
        <w:tc>
          <w:tcPr>
            <w:tcW w:w="2126" w:type="dxa"/>
            <w:gridSpan w:val="2"/>
            <w:tcBorders>
              <w:top w:val="nil"/>
              <w:left w:val="nil"/>
              <w:bottom w:val="nil"/>
              <w:right w:val="nil"/>
            </w:tcBorders>
            <w:shd w:val="clear" w:color="000000" w:fill="BFBFBF"/>
            <w:vAlign w:val="center"/>
            <w:hideMark/>
          </w:tcPr>
          <w:p w14:paraId="32FE9D3C" w14:textId="77777777" w:rsidR="00A02135" w:rsidRPr="00712D17" w:rsidRDefault="00A02135" w:rsidP="00A02135">
            <w:pPr>
              <w:spacing w:after="0" w:line="240" w:lineRule="auto"/>
              <w:jc w:val="center"/>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Rozdiel</w:t>
            </w:r>
          </w:p>
        </w:tc>
      </w:tr>
      <w:tr w:rsidR="00A02135" w:rsidRPr="00712D17" w14:paraId="43F0CC42" w14:textId="77777777" w:rsidTr="00712D17">
        <w:trPr>
          <w:trHeight w:val="282"/>
        </w:trPr>
        <w:tc>
          <w:tcPr>
            <w:tcW w:w="2410" w:type="dxa"/>
            <w:tcBorders>
              <w:top w:val="nil"/>
              <w:left w:val="nil"/>
              <w:bottom w:val="nil"/>
              <w:right w:val="nil"/>
            </w:tcBorders>
            <w:shd w:val="clear" w:color="000000" w:fill="BFBFBF"/>
            <w:vAlign w:val="center"/>
            <w:hideMark/>
          </w:tcPr>
          <w:p w14:paraId="56C51F67" w14:textId="77777777" w:rsidR="00A02135" w:rsidRPr="00712D17" w:rsidRDefault="00A02135" w:rsidP="00A02135">
            <w:pPr>
              <w:spacing w:after="0" w:line="240" w:lineRule="auto"/>
              <w:jc w:val="center"/>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 </w:t>
            </w:r>
          </w:p>
        </w:tc>
        <w:tc>
          <w:tcPr>
            <w:tcW w:w="1132" w:type="dxa"/>
            <w:tcBorders>
              <w:top w:val="nil"/>
              <w:left w:val="nil"/>
              <w:bottom w:val="nil"/>
              <w:right w:val="nil"/>
            </w:tcBorders>
            <w:shd w:val="clear" w:color="000000" w:fill="BFBFBF"/>
            <w:vAlign w:val="center"/>
            <w:hideMark/>
          </w:tcPr>
          <w:p w14:paraId="63529C71" w14:textId="77777777" w:rsidR="00A02135" w:rsidRPr="00712D17" w:rsidRDefault="00A02135" w:rsidP="00A02135">
            <w:pPr>
              <w:spacing w:after="0" w:line="240" w:lineRule="auto"/>
              <w:jc w:val="center"/>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2018</w:t>
            </w:r>
          </w:p>
        </w:tc>
        <w:tc>
          <w:tcPr>
            <w:tcW w:w="1134" w:type="dxa"/>
            <w:tcBorders>
              <w:top w:val="nil"/>
              <w:left w:val="nil"/>
              <w:bottom w:val="nil"/>
              <w:right w:val="nil"/>
            </w:tcBorders>
            <w:shd w:val="clear" w:color="000000" w:fill="BFBFBF"/>
            <w:vAlign w:val="center"/>
            <w:hideMark/>
          </w:tcPr>
          <w:p w14:paraId="734875B6" w14:textId="77777777" w:rsidR="00A02135" w:rsidRPr="00712D17" w:rsidRDefault="00A02135" w:rsidP="00A02135">
            <w:pPr>
              <w:spacing w:after="0" w:line="240" w:lineRule="auto"/>
              <w:jc w:val="center"/>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2019</w:t>
            </w:r>
          </w:p>
        </w:tc>
        <w:tc>
          <w:tcPr>
            <w:tcW w:w="1134" w:type="dxa"/>
            <w:tcBorders>
              <w:top w:val="nil"/>
              <w:left w:val="nil"/>
              <w:bottom w:val="nil"/>
              <w:right w:val="nil"/>
            </w:tcBorders>
            <w:shd w:val="clear" w:color="000000" w:fill="BFBFBF"/>
            <w:vAlign w:val="center"/>
            <w:hideMark/>
          </w:tcPr>
          <w:p w14:paraId="3DD8BF14" w14:textId="77777777" w:rsidR="00A02135" w:rsidRPr="00712D17" w:rsidRDefault="00A02135" w:rsidP="00A02135">
            <w:pPr>
              <w:spacing w:after="0" w:line="240" w:lineRule="auto"/>
              <w:jc w:val="center"/>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2020</w:t>
            </w:r>
          </w:p>
        </w:tc>
        <w:tc>
          <w:tcPr>
            <w:tcW w:w="1276" w:type="dxa"/>
            <w:tcBorders>
              <w:top w:val="nil"/>
              <w:left w:val="nil"/>
              <w:bottom w:val="nil"/>
              <w:right w:val="nil"/>
            </w:tcBorders>
            <w:shd w:val="clear" w:color="000000" w:fill="BFBFBF"/>
            <w:vAlign w:val="center"/>
            <w:hideMark/>
          </w:tcPr>
          <w:p w14:paraId="3F2734C3" w14:textId="77777777" w:rsidR="00A02135" w:rsidRPr="00712D17" w:rsidRDefault="00A02135" w:rsidP="00A02135">
            <w:pPr>
              <w:spacing w:after="0" w:line="240" w:lineRule="auto"/>
              <w:jc w:val="center"/>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2020</w:t>
            </w:r>
          </w:p>
        </w:tc>
        <w:tc>
          <w:tcPr>
            <w:tcW w:w="1134" w:type="dxa"/>
            <w:tcBorders>
              <w:top w:val="nil"/>
              <w:left w:val="nil"/>
              <w:bottom w:val="nil"/>
              <w:right w:val="nil"/>
            </w:tcBorders>
            <w:shd w:val="clear" w:color="000000" w:fill="BFBFBF"/>
            <w:vAlign w:val="center"/>
            <w:hideMark/>
          </w:tcPr>
          <w:p w14:paraId="5E1FF627" w14:textId="77777777" w:rsidR="00A02135" w:rsidRPr="00712D17" w:rsidRDefault="00A02135" w:rsidP="00A02135">
            <w:pPr>
              <w:spacing w:after="0" w:line="240" w:lineRule="auto"/>
              <w:jc w:val="center"/>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 xml:space="preserve"> v tis. eur</w:t>
            </w:r>
          </w:p>
        </w:tc>
        <w:tc>
          <w:tcPr>
            <w:tcW w:w="992" w:type="dxa"/>
            <w:tcBorders>
              <w:top w:val="nil"/>
              <w:left w:val="nil"/>
              <w:bottom w:val="nil"/>
              <w:right w:val="nil"/>
            </w:tcBorders>
            <w:shd w:val="clear" w:color="000000" w:fill="BFBFBF"/>
            <w:vAlign w:val="center"/>
            <w:hideMark/>
          </w:tcPr>
          <w:p w14:paraId="0B3323CB" w14:textId="77777777" w:rsidR="00A02135" w:rsidRPr="00712D17" w:rsidRDefault="00A02135" w:rsidP="00A02135">
            <w:pPr>
              <w:spacing w:after="0" w:line="240" w:lineRule="auto"/>
              <w:jc w:val="center"/>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v %</w:t>
            </w:r>
          </w:p>
        </w:tc>
      </w:tr>
      <w:tr w:rsidR="00A02135" w:rsidRPr="00712D17" w14:paraId="15CF332A" w14:textId="77777777" w:rsidTr="00712D17">
        <w:trPr>
          <w:trHeight w:val="296"/>
        </w:trPr>
        <w:tc>
          <w:tcPr>
            <w:tcW w:w="2410" w:type="dxa"/>
            <w:tcBorders>
              <w:top w:val="nil"/>
              <w:left w:val="nil"/>
              <w:bottom w:val="single" w:sz="8" w:space="0" w:color="auto"/>
              <w:right w:val="nil"/>
            </w:tcBorders>
            <w:shd w:val="clear" w:color="000000" w:fill="BFBFBF"/>
            <w:vAlign w:val="center"/>
            <w:hideMark/>
          </w:tcPr>
          <w:p w14:paraId="07D8CB95" w14:textId="77777777" w:rsidR="00A02135" w:rsidRPr="00712D17" w:rsidRDefault="00A02135" w:rsidP="00A02135">
            <w:pPr>
              <w:spacing w:after="0" w:line="240" w:lineRule="auto"/>
              <w:jc w:val="center"/>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 </w:t>
            </w:r>
          </w:p>
        </w:tc>
        <w:tc>
          <w:tcPr>
            <w:tcW w:w="1132" w:type="dxa"/>
            <w:tcBorders>
              <w:top w:val="nil"/>
              <w:left w:val="nil"/>
              <w:bottom w:val="single" w:sz="8" w:space="0" w:color="auto"/>
              <w:right w:val="nil"/>
            </w:tcBorders>
            <w:shd w:val="clear" w:color="000000" w:fill="BFBFBF"/>
            <w:vAlign w:val="center"/>
            <w:hideMark/>
          </w:tcPr>
          <w:p w14:paraId="2306D12C" w14:textId="77777777" w:rsidR="00A02135" w:rsidRPr="00712D17" w:rsidRDefault="00A02135" w:rsidP="00A02135">
            <w:pPr>
              <w:spacing w:after="0" w:line="240" w:lineRule="auto"/>
              <w:jc w:val="center"/>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1</w:t>
            </w:r>
          </w:p>
        </w:tc>
        <w:tc>
          <w:tcPr>
            <w:tcW w:w="1134" w:type="dxa"/>
            <w:tcBorders>
              <w:top w:val="nil"/>
              <w:left w:val="nil"/>
              <w:bottom w:val="single" w:sz="8" w:space="0" w:color="auto"/>
              <w:right w:val="nil"/>
            </w:tcBorders>
            <w:shd w:val="clear" w:color="000000" w:fill="BFBFBF"/>
            <w:vAlign w:val="center"/>
            <w:hideMark/>
          </w:tcPr>
          <w:p w14:paraId="579347BF" w14:textId="77777777" w:rsidR="00A02135" w:rsidRPr="00712D17" w:rsidRDefault="00A02135" w:rsidP="00A02135">
            <w:pPr>
              <w:spacing w:after="0" w:line="240" w:lineRule="auto"/>
              <w:jc w:val="center"/>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2</w:t>
            </w:r>
          </w:p>
        </w:tc>
        <w:tc>
          <w:tcPr>
            <w:tcW w:w="1134" w:type="dxa"/>
            <w:tcBorders>
              <w:top w:val="nil"/>
              <w:left w:val="nil"/>
              <w:bottom w:val="single" w:sz="8" w:space="0" w:color="auto"/>
              <w:right w:val="nil"/>
            </w:tcBorders>
            <w:shd w:val="clear" w:color="000000" w:fill="BFBFBF"/>
            <w:vAlign w:val="center"/>
            <w:hideMark/>
          </w:tcPr>
          <w:p w14:paraId="48343E28" w14:textId="77777777" w:rsidR="00A02135" w:rsidRPr="00712D17" w:rsidRDefault="00A02135" w:rsidP="00A02135">
            <w:pPr>
              <w:spacing w:after="0" w:line="240" w:lineRule="auto"/>
              <w:jc w:val="center"/>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3</w:t>
            </w:r>
          </w:p>
        </w:tc>
        <w:tc>
          <w:tcPr>
            <w:tcW w:w="1276" w:type="dxa"/>
            <w:tcBorders>
              <w:top w:val="nil"/>
              <w:left w:val="nil"/>
              <w:bottom w:val="single" w:sz="8" w:space="0" w:color="auto"/>
              <w:right w:val="nil"/>
            </w:tcBorders>
            <w:shd w:val="clear" w:color="000000" w:fill="BFBFBF"/>
            <w:vAlign w:val="center"/>
            <w:hideMark/>
          </w:tcPr>
          <w:p w14:paraId="17416138" w14:textId="77777777" w:rsidR="00A02135" w:rsidRPr="00712D17" w:rsidRDefault="00A02135" w:rsidP="00A02135">
            <w:pPr>
              <w:spacing w:after="0" w:line="240" w:lineRule="auto"/>
              <w:jc w:val="center"/>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4</w:t>
            </w:r>
          </w:p>
        </w:tc>
        <w:tc>
          <w:tcPr>
            <w:tcW w:w="1134" w:type="dxa"/>
            <w:tcBorders>
              <w:top w:val="nil"/>
              <w:left w:val="nil"/>
              <w:bottom w:val="single" w:sz="8" w:space="0" w:color="auto"/>
              <w:right w:val="nil"/>
            </w:tcBorders>
            <w:shd w:val="clear" w:color="000000" w:fill="BFBFBF"/>
            <w:vAlign w:val="center"/>
            <w:hideMark/>
          </w:tcPr>
          <w:p w14:paraId="423B6F45" w14:textId="77777777" w:rsidR="00A02135" w:rsidRPr="00712D17" w:rsidRDefault="00A02135" w:rsidP="00A02135">
            <w:pPr>
              <w:spacing w:after="0" w:line="240" w:lineRule="auto"/>
              <w:jc w:val="center"/>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5=4-3</w:t>
            </w:r>
          </w:p>
        </w:tc>
        <w:tc>
          <w:tcPr>
            <w:tcW w:w="992" w:type="dxa"/>
            <w:tcBorders>
              <w:top w:val="nil"/>
              <w:left w:val="nil"/>
              <w:bottom w:val="single" w:sz="8" w:space="0" w:color="auto"/>
              <w:right w:val="nil"/>
            </w:tcBorders>
            <w:shd w:val="clear" w:color="000000" w:fill="BFBFBF"/>
            <w:vAlign w:val="center"/>
            <w:hideMark/>
          </w:tcPr>
          <w:p w14:paraId="7D28804E" w14:textId="77777777" w:rsidR="00A02135" w:rsidRPr="00712D17" w:rsidRDefault="00A02135" w:rsidP="00A02135">
            <w:pPr>
              <w:spacing w:after="0" w:line="240" w:lineRule="auto"/>
              <w:jc w:val="center"/>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6=4-3</w:t>
            </w:r>
          </w:p>
        </w:tc>
      </w:tr>
      <w:tr w:rsidR="00A02135" w:rsidRPr="00712D17" w14:paraId="655FE9DF" w14:textId="77777777" w:rsidTr="00712D17">
        <w:trPr>
          <w:trHeight w:val="282"/>
        </w:trPr>
        <w:tc>
          <w:tcPr>
            <w:tcW w:w="2410" w:type="dxa"/>
            <w:tcBorders>
              <w:top w:val="nil"/>
              <w:left w:val="nil"/>
              <w:bottom w:val="nil"/>
              <w:right w:val="nil"/>
            </w:tcBorders>
            <w:shd w:val="clear" w:color="auto" w:fill="auto"/>
            <w:vAlign w:val="center"/>
            <w:hideMark/>
          </w:tcPr>
          <w:p w14:paraId="48EA8B6E" w14:textId="77777777" w:rsidR="00A02135" w:rsidRPr="00712D17" w:rsidRDefault="00A02135" w:rsidP="00A02135">
            <w:pPr>
              <w:spacing w:after="0" w:line="240" w:lineRule="auto"/>
              <w:jc w:val="left"/>
              <w:rPr>
                <w:rFonts w:eastAsia="Times New Roman" w:cs="Times New Roman"/>
                <w:color w:val="000000"/>
                <w:sz w:val="18"/>
                <w:szCs w:val="18"/>
                <w:lang w:eastAsia="sk-SK"/>
              </w:rPr>
            </w:pPr>
            <w:r w:rsidRPr="00712D17">
              <w:rPr>
                <w:rFonts w:eastAsia="Times New Roman" w:cs="Times New Roman"/>
                <w:color w:val="000000"/>
                <w:sz w:val="18"/>
                <w:szCs w:val="18"/>
                <w:lang w:eastAsia="sk-SK"/>
              </w:rPr>
              <w:t>Sociálne zabezpečenie</w:t>
            </w:r>
          </w:p>
        </w:tc>
        <w:tc>
          <w:tcPr>
            <w:tcW w:w="1132" w:type="dxa"/>
            <w:tcBorders>
              <w:top w:val="nil"/>
              <w:left w:val="nil"/>
              <w:bottom w:val="nil"/>
              <w:right w:val="nil"/>
            </w:tcBorders>
            <w:shd w:val="clear" w:color="auto" w:fill="auto"/>
            <w:noWrap/>
            <w:vAlign w:val="center"/>
            <w:hideMark/>
          </w:tcPr>
          <w:p w14:paraId="68F3C523"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3 489 088</w:t>
            </w:r>
          </w:p>
        </w:tc>
        <w:tc>
          <w:tcPr>
            <w:tcW w:w="1134" w:type="dxa"/>
            <w:tcBorders>
              <w:top w:val="nil"/>
              <w:left w:val="nil"/>
              <w:bottom w:val="nil"/>
              <w:right w:val="nil"/>
            </w:tcBorders>
            <w:shd w:val="clear" w:color="auto" w:fill="auto"/>
            <w:noWrap/>
            <w:vAlign w:val="center"/>
            <w:hideMark/>
          </w:tcPr>
          <w:p w14:paraId="6ADEC92C"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3 681 041</w:t>
            </w:r>
          </w:p>
        </w:tc>
        <w:tc>
          <w:tcPr>
            <w:tcW w:w="1134" w:type="dxa"/>
            <w:tcBorders>
              <w:top w:val="nil"/>
              <w:left w:val="nil"/>
              <w:bottom w:val="nil"/>
              <w:right w:val="nil"/>
            </w:tcBorders>
            <w:shd w:val="clear" w:color="000000" w:fill="FFFFFF"/>
            <w:noWrap/>
            <w:vAlign w:val="center"/>
            <w:hideMark/>
          </w:tcPr>
          <w:p w14:paraId="7FD887AE"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4 151 824</w:t>
            </w:r>
          </w:p>
        </w:tc>
        <w:tc>
          <w:tcPr>
            <w:tcW w:w="1276" w:type="dxa"/>
            <w:tcBorders>
              <w:top w:val="nil"/>
              <w:left w:val="nil"/>
              <w:bottom w:val="nil"/>
              <w:right w:val="nil"/>
            </w:tcBorders>
            <w:shd w:val="clear" w:color="000000" w:fill="BFBFBF"/>
            <w:noWrap/>
            <w:vAlign w:val="center"/>
            <w:hideMark/>
          </w:tcPr>
          <w:p w14:paraId="30DA113A"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5 281 817</w:t>
            </w:r>
          </w:p>
        </w:tc>
        <w:tc>
          <w:tcPr>
            <w:tcW w:w="1134" w:type="dxa"/>
            <w:tcBorders>
              <w:top w:val="nil"/>
              <w:left w:val="nil"/>
              <w:bottom w:val="nil"/>
              <w:right w:val="nil"/>
            </w:tcBorders>
            <w:shd w:val="clear" w:color="000000" w:fill="FFFFFF"/>
            <w:vAlign w:val="center"/>
            <w:hideMark/>
          </w:tcPr>
          <w:p w14:paraId="38D3B104"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1 129 993</w:t>
            </w:r>
          </w:p>
        </w:tc>
        <w:tc>
          <w:tcPr>
            <w:tcW w:w="992" w:type="dxa"/>
            <w:tcBorders>
              <w:top w:val="nil"/>
              <w:left w:val="nil"/>
              <w:bottom w:val="nil"/>
              <w:right w:val="nil"/>
            </w:tcBorders>
            <w:shd w:val="clear" w:color="000000" w:fill="FFFFFF"/>
            <w:vAlign w:val="center"/>
            <w:hideMark/>
          </w:tcPr>
          <w:p w14:paraId="2C3AC337"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27,22</w:t>
            </w:r>
          </w:p>
        </w:tc>
      </w:tr>
      <w:tr w:rsidR="00A02135" w:rsidRPr="00712D17" w14:paraId="4DEFE7D6" w14:textId="77777777" w:rsidTr="00712D17">
        <w:trPr>
          <w:trHeight w:val="282"/>
        </w:trPr>
        <w:tc>
          <w:tcPr>
            <w:tcW w:w="2410" w:type="dxa"/>
            <w:tcBorders>
              <w:top w:val="nil"/>
              <w:left w:val="nil"/>
              <w:bottom w:val="nil"/>
              <w:right w:val="nil"/>
            </w:tcBorders>
            <w:shd w:val="clear" w:color="auto" w:fill="auto"/>
            <w:vAlign w:val="center"/>
            <w:hideMark/>
          </w:tcPr>
          <w:p w14:paraId="2B9C087F" w14:textId="77777777" w:rsidR="00A02135" w:rsidRPr="00712D17" w:rsidRDefault="00A02135" w:rsidP="00A02135">
            <w:pPr>
              <w:spacing w:after="0" w:line="240" w:lineRule="auto"/>
              <w:rPr>
                <w:rFonts w:eastAsia="Times New Roman" w:cs="Times New Roman"/>
                <w:color w:val="000000"/>
                <w:sz w:val="18"/>
                <w:szCs w:val="18"/>
                <w:lang w:eastAsia="sk-SK"/>
              </w:rPr>
            </w:pPr>
            <w:r w:rsidRPr="00712D17">
              <w:rPr>
                <w:rFonts w:eastAsia="Times New Roman" w:cs="Times New Roman"/>
                <w:color w:val="000000"/>
                <w:sz w:val="18"/>
                <w:szCs w:val="18"/>
                <w:lang w:eastAsia="sk-SK"/>
              </w:rPr>
              <w:t>Všeobecné verejné služby</w:t>
            </w:r>
          </w:p>
        </w:tc>
        <w:tc>
          <w:tcPr>
            <w:tcW w:w="1132" w:type="dxa"/>
            <w:tcBorders>
              <w:top w:val="nil"/>
              <w:left w:val="nil"/>
              <w:bottom w:val="nil"/>
              <w:right w:val="nil"/>
            </w:tcBorders>
            <w:shd w:val="clear" w:color="auto" w:fill="auto"/>
            <w:noWrap/>
            <w:vAlign w:val="center"/>
            <w:hideMark/>
          </w:tcPr>
          <w:p w14:paraId="1BFECCFA"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3 243 931</w:t>
            </w:r>
          </w:p>
        </w:tc>
        <w:tc>
          <w:tcPr>
            <w:tcW w:w="1134" w:type="dxa"/>
            <w:tcBorders>
              <w:top w:val="nil"/>
              <w:left w:val="nil"/>
              <w:bottom w:val="nil"/>
              <w:right w:val="nil"/>
            </w:tcBorders>
            <w:shd w:val="clear" w:color="auto" w:fill="auto"/>
            <w:noWrap/>
            <w:vAlign w:val="center"/>
            <w:hideMark/>
          </w:tcPr>
          <w:p w14:paraId="190A4852"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3 369 586</w:t>
            </w:r>
          </w:p>
        </w:tc>
        <w:tc>
          <w:tcPr>
            <w:tcW w:w="1134" w:type="dxa"/>
            <w:tcBorders>
              <w:top w:val="nil"/>
              <w:left w:val="nil"/>
              <w:bottom w:val="nil"/>
              <w:right w:val="nil"/>
            </w:tcBorders>
            <w:shd w:val="clear" w:color="000000" w:fill="FFFFFF"/>
            <w:noWrap/>
            <w:vAlign w:val="center"/>
            <w:hideMark/>
          </w:tcPr>
          <w:p w14:paraId="3A853FCA"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11 850 355</w:t>
            </w:r>
          </w:p>
        </w:tc>
        <w:tc>
          <w:tcPr>
            <w:tcW w:w="1276" w:type="dxa"/>
            <w:tcBorders>
              <w:top w:val="nil"/>
              <w:left w:val="nil"/>
              <w:bottom w:val="nil"/>
              <w:right w:val="nil"/>
            </w:tcBorders>
            <w:shd w:val="clear" w:color="000000" w:fill="BFBFBF"/>
            <w:noWrap/>
            <w:vAlign w:val="center"/>
            <w:hideMark/>
          </w:tcPr>
          <w:p w14:paraId="24ED0598"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5 169 293</w:t>
            </w:r>
          </w:p>
        </w:tc>
        <w:tc>
          <w:tcPr>
            <w:tcW w:w="1134" w:type="dxa"/>
            <w:tcBorders>
              <w:top w:val="nil"/>
              <w:left w:val="nil"/>
              <w:bottom w:val="nil"/>
              <w:right w:val="nil"/>
            </w:tcBorders>
            <w:shd w:val="clear" w:color="000000" w:fill="FFFFFF"/>
            <w:vAlign w:val="center"/>
            <w:hideMark/>
          </w:tcPr>
          <w:p w14:paraId="33FC708F"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-6 681 062</w:t>
            </w:r>
          </w:p>
        </w:tc>
        <w:tc>
          <w:tcPr>
            <w:tcW w:w="992" w:type="dxa"/>
            <w:tcBorders>
              <w:top w:val="nil"/>
              <w:left w:val="nil"/>
              <w:bottom w:val="nil"/>
              <w:right w:val="nil"/>
            </w:tcBorders>
            <w:shd w:val="clear" w:color="000000" w:fill="FFFFFF"/>
            <w:vAlign w:val="center"/>
            <w:hideMark/>
          </w:tcPr>
          <w:p w14:paraId="7676FDB4"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-56,4</w:t>
            </w:r>
          </w:p>
        </w:tc>
      </w:tr>
      <w:tr w:rsidR="00A02135" w:rsidRPr="00712D17" w14:paraId="7146133C" w14:textId="77777777" w:rsidTr="00712D17">
        <w:trPr>
          <w:trHeight w:val="282"/>
        </w:trPr>
        <w:tc>
          <w:tcPr>
            <w:tcW w:w="2410" w:type="dxa"/>
            <w:tcBorders>
              <w:top w:val="nil"/>
              <w:left w:val="nil"/>
              <w:bottom w:val="nil"/>
              <w:right w:val="nil"/>
            </w:tcBorders>
            <w:shd w:val="clear" w:color="auto" w:fill="auto"/>
            <w:vAlign w:val="center"/>
            <w:hideMark/>
          </w:tcPr>
          <w:p w14:paraId="079DE9EB" w14:textId="77777777" w:rsidR="00A02135" w:rsidRPr="00712D17" w:rsidRDefault="00A02135" w:rsidP="00A02135">
            <w:pPr>
              <w:spacing w:after="0" w:line="240" w:lineRule="auto"/>
              <w:jc w:val="left"/>
              <w:rPr>
                <w:rFonts w:eastAsia="Times New Roman" w:cs="Times New Roman"/>
                <w:color w:val="000000"/>
                <w:sz w:val="18"/>
                <w:szCs w:val="18"/>
                <w:lang w:eastAsia="sk-SK"/>
              </w:rPr>
            </w:pPr>
            <w:r w:rsidRPr="00712D17">
              <w:rPr>
                <w:rFonts w:eastAsia="Times New Roman" w:cs="Times New Roman"/>
                <w:color w:val="000000"/>
                <w:sz w:val="18"/>
                <w:szCs w:val="18"/>
                <w:lang w:eastAsia="sk-SK"/>
              </w:rPr>
              <w:t>Ekonomická oblasť</w:t>
            </w:r>
          </w:p>
        </w:tc>
        <w:tc>
          <w:tcPr>
            <w:tcW w:w="1132" w:type="dxa"/>
            <w:tcBorders>
              <w:top w:val="nil"/>
              <w:left w:val="nil"/>
              <w:bottom w:val="nil"/>
              <w:right w:val="nil"/>
            </w:tcBorders>
            <w:shd w:val="clear" w:color="auto" w:fill="auto"/>
            <w:noWrap/>
            <w:vAlign w:val="center"/>
            <w:hideMark/>
          </w:tcPr>
          <w:p w14:paraId="5023826F"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3 425 054</w:t>
            </w:r>
          </w:p>
        </w:tc>
        <w:tc>
          <w:tcPr>
            <w:tcW w:w="1134" w:type="dxa"/>
            <w:tcBorders>
              <w:top w:val="nil"/>
              <w:left w:val="nil"/>
              <w:bottom w:val="nil"/>
              <w:right w:val="nil"/>
            </w:tcBorders>
            <w:shd w:val="clear" w:color="auto" w:fill="auto"/>
            <w:noWrap/>
            <w:vAlign w:val="center"/>
            <w:hideMark/>
          </w:tcPr>
          <w:p w14:paraId="7D4FC0A6"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3 396 094</w:t>
            </w:r>
          </w:p>
        </w:tc>
        <w:tc>
          <w:tcPr>
            <w:tcW w:w="1134" w:type="dxa"/>
            <w:tcBorders>
              <w:top w:val="nil"/>
              <w:left w:val="nil"/>
              <w:bottom w:val="nil"/>
              <w:right w:val="nil"/>
            </w:tcBorders>
            <w:shd w:val="clear" w:color="000000" w:fill="FFFFFF"/>
            <w:noWrap/>
            <w:vAlign w:val="center"/>
            <w:hideMark/>
          </w:tcPr>
          <w:p w14:paraId="779EA8D2"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2 902 274</w:t>
            </w:r>
          </w:p>
        </w:tc>
        <w:tc>
          <w:tcPr>
            <w:tcW w:w="1276" w:type="dxa"/>
            <w:tcBorders>
              <w:top w:val="nil"/>
              <w:left w:val="nil"/>
              <w:bottom w:val="nil"/>
              <w:right w:val="nil"/>
            </w:tcBorders>
            <w:shd w:val="clear" w:color="000000" w:fill="BFBFBF"/>
            <w:noWrap/>
            <w:vAlign w:val="center"/>
            <w:hideMark/>
          </w:tcPr>
          <w:p w14:paraId="1CBF7EB2"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4 859 360</w:t>
            </w:r>
          </w:p>
        </w:tc>
        <w:tc>
          <w:tcPr>
            <w:tcW w:w="1134" w:type="dxa"/>
            <w:tcBorders>
              <w:top w:val="nil"/>
              <w:left w:val="nil"/>
              <w:bottom w:val="nil"/>
              <w:right w:val="nil"/>
            </w:tcBorders>
            <w:shd w:val="clear" w:color="000000" w:fill="FFFFFF"/>
            <w:vAlign w:val="center"/>
            <w:hideMark/>
          </w:tcPr>
          <w:p w14:paraId="796C369F"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1 957 086</w:t>
            </w:r>
          </w:p>
        </w:tc>
        <w:tc>
          <w:tcPr>
            <w:tcW w:w="992" w:type="dxa"/>
            <w:tcBorders>
              <w:top w:val="nil"/>
              <w:left w:val="nil"/>
              <w:bottom w:val="nil"/>
              <w:right w:val="nil"/>
            </w:tcBorders>
            <w:shd w:val="clear" w:color="000000" w:fill="FFFFFF"/>
            <w:vAlign w:val="center"/>
            <w:hideMark/>
          </w:tcPr>
          <w:p w14:paraId="4778684C"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67,43</w:t>
            </w:r>
          </w:p>
        </w:tc>
      </w:tr>
      <w:tr w:rsidR="00A02135" w:rsidRPr="00712D17" w14:paraId="29CF6314" w14:textId="77777777" w:rsidTr="00712D17">
        <w:trPr>
          <w:trHeight w:val="282"/>
        </w:trPr>
        <w:tc>
          <w:tcPr>
            <w:tcW w:w="2410" w:type="dxa"/>
            <w:tcBorders>
              <w:top w:val="nil"/>
              <w:left w:val="nil"/>
              <w:bottom w:val="nil"/>
              <w:right w:val="nil"/>
            </w:tcBorders>
            <w:shd w:val="clear" w:color="auto" w:fill="auto"/>
            <w:vAlign w:val="center"/>
            <w:hideMark/>
          </w:tcPr>
          <w:p w14:paraId="285CC6A8" w14:textId="77777777" w:rsidR="00A02135" w:rsidRPr="00712D17" w:rsidRDefault="00A02135" w:rsidP="00A02135">
            <w:pPr>
              <w:spacing w:after="0" w:line="240" w:lineRule="auto"/>
              <w:jc w:val="left"/>
              <w:rPr>
                <w:rFonts w:eastAsia="Times New Roman" w:cs="Times New Roman"/>
                <w:color w:val="000000"/>
                <w:sz w:val="18"/>
                <w:szCs w:val="18"/>
                <w:lang w:eastAsia="sk-SK"/>
              </w:rPr>
            </w:pPr>
            <w:r w:rsidRPr="00712D17">
              <w:rPr>
                <w:rFonts w:eastAsia="Times New Roman" w:cs="Times New Roman"/>
                <w:color w:val="000000"/>
                <w:sz w:val="18"/>
                <w:szCs w:val="18"/>
                <w:lang w:eastAsia="sk-SK"/>
              </w:rPr>
              <w:t>Vzdelávanie</w:t>
            </w:r>
          </w:p>
        </w:tc>
        <w:tc>
          <w:tcPr>
            <w:tcW w:w="1132" w:type="dxa"/>
            <w:tcBorders>
              <w:top w:val="nil"/>
              <w:left w:val="nil"/>
              <w:bottom w:val="nil"/>
              <w:right w:val="nil"/>
            </w:tcBorders>
            <w:shd w:val="clear" w:color="auto" w:fill="auto"/>
            <w:noWrap/>
            <w:vAlign w:val="center"/>
            <w:hideMark/>
          </w:tcPr>
          <w:p w14:paraId="0A3DD734"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2 230 541</w:t>
            </w:r>
          </w:p>
        </w:tc>
        <w:tc>
          <w:tcPr>
            <w:tcW w:w="1134" w:type="dxa"/>
            <w:tcBorders>
              <w:top w:val="nil"/>
              <w:left w:val="nil"/>
              <w:bottom w:val="nil"/>
              <w:right w:val="nil"/>
            </w:tcBorders>
            <w:shd w:val="clear" w:color="auto" w:fill="auto"/>
            <w:noWrap/>
            <w:vAlign w:val="center"/>
            <w:hideMark/>
          </w:tcPr>
          <w:p w14:paraId="017593E7"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2 489 719</w:t>
            </w:r>
          </w:p>
        </w:tc>
        <w:tc>
          <w:tcPr>
            <w:tcW w:w="1134" w:type="dxa"/>
            <w:tcBorders>
              <w:top w:val="nil"/>
              <w:left w:val="nil"/>
              <w:bottom w:val="nil"/>
              <w:right w:val="nil"/>
            </w:tcBorders>
            <w:shd w:val="clear" w:color="000000" w:fill="FFFFFF"/>
            <w:noWrap/>
            <w:vAlign w:val="center"/>
            <w:hideMark/>
          </w:tcPr>
          <w:p w14:paraId="16B7A644"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2 707 683</w:t>
            </w:r>
          </w:p>
        </w:tc>
        <w:tc>
          <w:tcPr>
            <w:tcW w:w="1276" w:type="dxa"/>
            <w:tcBorders>
              <w:top w:val="nil"/>
              <w:left w:val="nil"/>
              <w:bottom w:val="nil"/>
              <w:right w:val="nil"/>
            </w:tcBorders>
            <w:shd w:val="clear" w:color="000000" w:fill="BFBFBF"/>
            <w:noWrap/>
            <w:vAlign w:val="center"/>
            <w:hideMark/>
          </w:tcPr>
          <w:p w14:paraId="1E722BAA"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2 790 385</w:t>
            </w:r>
          </w:p>
        </w:tc>
        <w:tc>
          <w:tcPr>
            <w:tcW w:w="1134" w:type="dxa"/>
            <w:tcBorders>
              <w:top w:val="nil"/>
              <w:left w:val="nil"/>
              <w:bottom w:val="nil"/>
              <w:right w:val="nil"/>
            </w:tcBorders>
            <w:shd w:val="clear" w:color="000000" w:fill="FFFFFF"/>
            <w:vAlign w:val="center"/>
            <w:hideMark/>
          </w:tcPr>
          <w:p w14:paraId="1D01D723"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82 702</w:t>
            </w:r>
          </w:p>
        </w:tc>
        <w:tc>
          <w:tcPr>
            <w:tcW w:w="992" w:type="dxa"/>
            <w:tcBorders>
              <w:top w:val="nil"/>
              <w:left w:val="nil"/>
              <w:bottom w:val="nil"/>
              <w:right w:val="nil"/>
            </w:tcBorders>
            <w:shd w:val="clear" w:color="000000" w:fill="FFFFFF"/>
            <w:vAlign w:val="center"/>
            <w:hideMark/>
          </w:tcPr>
          <w:p w14:paraId="6AA728A6"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3,05</w:t>
            </w:r>
          </w:p>
        </w:tc>
      </w:tr>
      <w:tr w:rsidR="00A02135" w:rsidRPr="00712D17" w14:paraId="4F604094" w14:textId="77777777" w:rsidTr="00712D17">
        <w:trPr>
          <w:trHeight w:val="282"/>
        </w:trPr>
        <w:tc>
          <w:tcPr>
            <w:tcW w:w="2410" w:type="dxa"/>
            <w:tcBorders>
              <w:top w:val="nil"/>
              <w:left w:val="nil"/>
              <w:bottom w:val="nil"/>
              <w:right w:val="nil"/>
            </w:tcBorders>
            <w:shd w:val="clear" w:color="auto" w:fill="auto"/>
            <w:vAlign w:val="center"/>
            <w:hideMark/>
          </w:tcPr>
          <w:p w14:paraId="1418AE51" w14:textId="77777777" w:rsidR="00A02135" w:rsidRPr="00712D17" w:rsidRDefault="00A02135" w:rsidP="00A02135">
            <w:pPr>
              <w:spacing w:after="0" w:line="240" w:lineRule="auto"/>
              <w:jc w:val="left"/>
              <w:rPr>
                <w:rFonts w:eastAsia="Times New Roman" w:cs="Times New Roman"/>
                <w:color w:val="000000"/>
                <w:sz w:val="18"/>
                <w:szCs w:val="18"/>
                <w:lang w:eastAsia="sk-SK"/>
              </w:rPr>
            </w:pPr>
            <w:r w:rsidRPr="00712D17">
              <w:rPr>
                <w:rFonts w:eastAsia="Times New Roman" w:cs="Times New Roman"/>
                <w:color w:val="000000"/>
                <w:sz w:val="18"/>
                <w:szCs w:val="18"/>
                <w:lang w:eastAsia="sk-SK"/>
              </w:rPr>
              <w:t>Verejný poriadok a bezpečnosť</w:t>
            </w:r>
          </w:p>
        </w:tc>
        <w:tc>
          <w:tcPr>
            <w:tcW w:w="1132" w:type="dxa"/>
            <w:tcBorders>
              <w:top w:val="nil"/>
              <w:left w:val="nil"/>
              <w:bottom w:val="nil"/>
              <w:right w:val="nil"/>
            </w:tcBorders>
            <w:shd w:val="clear" w:color="auto" w:fill="auto"/>
            <w:noWrap/>
            <w:vAlign w:val="center"/>
            <w:hideMark/>
          </w:tcPr>
          <w:p w14:paraId="11E407CF"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1 968 630</w:t>
            </w:r>
          </w:p>
        </w:tc>
        <w:tc>
          <w:tcPr>
            <w:tcW w:w="1134" w:type="dxa"/>
            <w:tcBorders>
              <w:top w:val="nil"/>
              <w:left w:val="nil"/>
              <w:bottom w:val="nil"/>
              <w:right w:val="nil"/>
            </w:tcBorders>
            <w:shd w:val="clear" w:color="auto" w:fill="auto"/>
            <w:noWrap/>
            <w:vAlign w:val="center"/>
            <w:hideMark/>
          </w:tcPr>
          <w:p w14:paraId="740C5462"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2 124 826</w:t>
            </w:r>
          </w:p>
        </w:tc>
        <w:tc>
          <w:tcPr>
            <w:tcW w:w="1134" w:type="dxa"/>
            <w:tcBorders>
              <w:top w:val="nil"/>
              <w:left w:val="nil"/>
              <w:bottom w:val="nil"/>
              <w:right w:val="nil"/>
            </w:tcBorders>
            <w:shd w:val="clear" w:color="000000" w:fill="FFFFFF"/>
            <w:noWrap/>
            <w:vAlign w:val="center"/>
            <w:hideMark/>
          </w:tcPr>
          <w:p w14:paraId="180E18AF"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2 015 833</w:t>
            </w:r>
          </w:p>
        </w:tc>
        <w:tc>
          <w:tcPr>
            <w:tcW w:w="1276" w:type="dxa"/>
            <w:tcBorders>
              <w:top w:val="nil"/>
              <w:left w:val="nil"/>
              <w:bottom w:val="nil"/>
              <w:right w:val="nil"/>
            </w:tcBorders>
            <w:shd w:val="clear" w:color="000000" w:fill="BFBFBF"/>
            <w:noWrap/>
            <w:vAlign w:val="center"/>
            <w:hideMark/>
          </w:tcPr>
          <w:p w14:paraId="6FD5A665"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2 251 808</w:t>
            </w:r>
          </w:p>
        </w:tc>
        <w:tc>
          <w:tcPr>
            <w:tcW w:w="1134" w:type="dxa"/>
            <w:tcBorders>
              <w:top w:val="nil"/>
              <w:left w:val="nil"/>
              <w:bottom w:val="nil"/>
              <w:right w:val="nil"/>
            </w:tcBorders>
            <w:shd w:val="clear" w:color="000000" w:fill="FFFFFF"/>
            <w:vAlign w:val="center"/>
            <w:hideMark/>
          </w:tcPr>
          <w:p w14:paraId="725D7310"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235 975</w:t>
            </w:r>
          </w:p>
        </w:tc>
        <w:tc>
          <w:tcPr>
            <w:tcW w:w="992" w:type="dxa"/>
            <w:tcBorders>
              <w:top w:val="nil"/>
              <w:left w:val="nil"/>
              <w:bottom w:val="nil"/>
              <w:right w:val="nil"/>
            </w:tcBorders>
            <w:shd w:val="clear" w:color="000000" w:fill="FFFFFF"/>
            <w:vAlign w:val="center"/>
            <w:hideMark/>
          </w:tcPr>
          <w:p w14:paraId="06142F1E"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5,41</w:t>
            </w:r>
          </w:p>
        </w:tc>
      </w:tr>
      <w:tr w:rsidR="00A02135" w:rsidRPr="00712D17" w14:paraId="3E9802AF" w14:textId="77777777" w:rsidTr="00712D17">
        <w:trPr>
          <w:trHeight w:val="282"/>
        </w:trPr>
        <w:tc>
          <w:tcPr>
            <w:tcW w:w="2410" w:type="dxa"/>
            <w:tcBorders>
              <w:top w:val="nil"/>
              <w:left w:val="nil"/>
              <w:bottom w:val="nil"/>
              <w:right w:val="nil"/>
            </w:tcBorders>
            <w:shd w:val="clear" w:color="auto" w:fill="auto"/>
            <w:vAlign w:val="center"/>
            <w:hideMark/>
          </w:tcPr>
          <w:p w14:paraId="3A9A4DD3" w14:textId="77777777" w:rsidR="00A02135" w:rsidRPr="00712D17" w:rsidRDefault="00A02135" w:rsidP="00A02135">
            <w:pPr>
              <w:spacing w:after="0" w:line="240" w:lineRule="auto"/>
              <w:jc w:val="left"/>
              <w:rPr>
                <w:rFonts w:eastAsia="Times New Roman" w:cs="Times New Roman"/>
                <w:color w:val="000000"/>
                <w:sz w:val="18"/>
                <w:szCs w:val="18"/>
                <w:lang w:eastAsia="sk-SK"/>
              </w:rPr>
            </w:pPr>
            <w:r w:rsidRPr="00712D17">
              <w:rPr>
                <w:rFonts w:eastAsia="Times New Roman" w:cs="Times New Roman"/>
                <w:color w:val="000000"/>
                <w:sz w:val="18"/>
                <w:szCs w:val="18"/>
                <w:lang w:eastAsia="sk-SK"/>
              </w:rPr>
              <w:t>Obrana</w:t>
            </w:r>
          </w:p>
        </w:tc>
        <w:tc>
          <w:tcPr>
            <w:tcW w:w="1132" w:type="dxa"/>
            <w:tcBorders>
              <w:top w:val="nil"/>
              <w:left w:val="nil"/>
              <w:bottom w:val="nil"/>
              <w:right w:val="nil"/>
            </w:tcBorders>
            <w:shd w:val="clear" w:color="auto" w:fill="auto"/>
            <w:noWrap/>
            <w:vAlign w:val="center"/>
            <w:hideMark/>
          </w:tcPr>
          <w:p w14:paraId="4CA86C3F"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988 363</w:t>
            </w:r>
          </w:p>
        </w:tc>
        <w:tc>
          <w:tcPr>
            <w:tcW w:w="1134" w:type="dxa"/>
            <w:tcBorders>
              <w:top w:val="nil"/>
              <w:left w:val="nil"/>
              <w:bottom w:val="nil"/>
              <w:right w:val="nil"/>
            </w:tcBorders>
            <w:shd w:val="clear" w:color="auto" w:fill="auto"/>
            <w:noWrap/>
            <w:vAlign w:val="center"/>
            <w:hideMark/>
          </w:tcPr>
          <w:p w14:paraId="744D897F"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1 508 816</w:t>
            </w:r>
          </w:p>
        </w:tc>
        <w:tc>
          <w:tcPr>
            <w:tcW w:w="1134" w:type="dxa"/>
            <w:tcBorders>
              <w:top w:val="nil"/>
              <w:left w:val="nil"/>
              <w:bottom w:val="nil"/>
              <w:right w:val="nil"/>
            </w:tcBorders>
            <w:shd w:val="clear" w:color="000000" w:fill="FFFFFF"/>
            <w:noWrap/>
            <w:vAlign w:val="center"/>
            <w:hideMark/>
          </w:tcPr>
          <w:p w14:paraId="5DA0BA75"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1 508 852</w:t>
            </w:r>
          </w:p>
        </w:tc>
        <w:tc>
          <w:tcPr>
            <w:tcW w:w="1276" w:type="dxa"/>
            <w:tcBorders>
              <w:top w:val="nil"/>
              <w:left w:val="nil"/>
              <w:bottom w:val="nil"/>
              <w:right w:val="nil"/>
            </w:tcBorders>
            <w:shd w:val="clear" w:color="000000" w:fill="BFBFBF"/>
            <w:noWrap/>
            <w:vAlign w:val="center"/>
            <w:hideMark/>
          </w:tcPr>
          <w:p w14:paraId="7A1DF4F0"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1 691 586</w:t>
            </w:r>
          </w:p>
        </w:tc>
        <w:tc>
          <w:tcPr>
            <w:tcW w:w="1134" w:type="dxa"/>
            <w:tcBorders>
              <w:top w:val="nil"/>
              <w:left w:val="nil"/>
              <w:bottom w:val="nil"/>
              <w:right w:val="nil"/>
            </w:tcBorders>
            <w:shd w:val="clear" w:color="000000" w:fill="FFFFFF"/>
            <w:vAlign w:val="center"/>
            <w:hideMark/>
          </w:tcPr>
          <w:p w14:paraId="6A4AA49B"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182 734</w:t>
            </w:r>
          </w:p>
        </w:tc>
        <w:tc>
          <w:tcPr>
            <w:tcW w:w="992" w:type="dxa"/>
            <w:tcBorders>
              <w:top w:val="nil"/>
              <w:left w:val="nil"/>
              <w:bottom w:val="nil"/>
              <w:right w:val="nil"/>
            </w:tcBorders>
            <w:shd w:val="clear" w:color="000000" w:fill="FFFFFF"/>
            <w:vAlign w:val="center"/>
            <w:hideMark/>
          </w:tcPr>
          <w:p w14:paraId="4C99AD3E"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12,11</w:t>
            </w:r>
          </w:p>
        </w:tc>
      </w:tr>
      <w:tr w:rsidR="00A02135" w:rsidRPr="00712D17" w14:paraId="23804F8F" w14:textId="77777777" w:rsidTr="00712D17">
        <w:trPr>
          <w:trHeight w:val="282"/>
        </w:trPr>
        <w:tc>
          <w:tcPr>
            <w:tcW w:w="2410" w:type="dxa"/>
            <w:tcBorders>
              <w:top w:val="nil"/>
              <w:left w:val="nil"/>
              <w:bottom w:val="nil"/>
              <w:right w:val="nil"/>
            </w:tcBorders>
            <w:shd w:val="clear" w:color="auto" w:fill="auto"/>
            <w:vAlign w:val="center"/>
            <w:hideMark/>
          </w:tcPr>
          <w:p w14:paraId="68ABC146" w14:textId="77777777" w:rsidR="00A02135" w:rsidRPr="00712D17" w:rsidRDefault="00A02135" w:rsidP="00A02135">
            <w:pPr>
              <w:spacing w:after="0" w:line="240" w:lineRule="auto"/>
              <w:jc w:val="left"/>
              <w:rPr>
                <w:rFonts w:eastAsia="Times New Roman" w:cs="Times New Roman"/>
                <w:color w:val="000000"/>
                <w:sz w:val="18"/>
                <w:szCs w:val="18"/>
                <w:lang w:eastAsia="sk-SK"/>
              </w:rPr>
            </w:pPr>
            <w:r w:rsidRPr="00712D17">
              <w:rPr>
                <w:rFonts w:eastAsia="Times New Roman" w:cs="Times New Roman"/>
                <w:color w:val="000000"/>
                <w:sz w:val="18"/>
                <w:szCs w:val="18"/>
                <w:lang w:eastAsia="sk-SK"/>
              </w:rPr>
              <w:t>Rekreácia, kultúra a náboženstvo</w:t>
            </w:r>
          </w:p>
        </w:tc>
        <w:tc>
          <w:tcPr>
            <w:tcW w:w="1132" w:type="dxa"/>
            <w:tcBorders>
              <w:top w:val="nil"/>
              <w:left w:val="nil"/>
              <w:bottom w:val="nil"/>
              <w:right w:val="nil"/>
            </w:tcBorders>
            <w:shd w:val="clear" w:color="auto" w:fill="auto"/>
            <w:noWrap/>
            <w:vAlign w:val="center"/>
            <w:hideMark/>
          </w:tcPr>
          <w:p w14:paraId="20228222"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401 622</w:t>
            </w:r>
          </w:p>
        </w:tc>
        <w:tc>
          <w:tcPr>
            <w:tcW w:w="1134" w:type="dxa"/>
            <w:tcBorders>
              <w:top w:val="nil"/>
              <w:left w:val="nil"/>
              <w:bottom w:val="nil"/>
              <w:right w:val="nil"/>
            </w:tcBorders>
            <w:shd w:val="clear" w:color="auto" w:fill="auto"/>
            <w:noWrap/>
            <w:vAlign w:val="center"/>
            <w:hideMark/>
          </w:tcPr>
          <w:p w14:paraId="66E714D0"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508 000</w:t>
            </w:r>
          </w:p>
        </w:tc>
        <w:tc>
          <w:tcPr>
            <w:tcW w:w="1134" w:type="dxa"/>
            <w:tcBorders>
              <w:top w:val="nil"/>
              <w:left w:val="nil"/>
              <w:bottom w:val="nil"/>
              <w:right w:val="nil"/>
            </w:tcBorders>
            <w:shd w:val="clear" w:color="000000" w:fill="FFFFFF"/>
            <w:noWrap/>
            <w:vAlign w:val="center"/>
            <w:hideMark/>
          </w:tcPr>
          <w:p w14:paraId="4A164DD2"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462 356</w:t>
            </w:r>
          </w:p>
        </w:tc>
        <w:tc>
          <w:tcPr>
            <w:tcW w:w="1276" w:type="dxa"/>
            <w:tcBorders>
              <w:top w:val="nil"/>
              <w:left w:val="nil"/>
              <w:bottom w:val="nil"/>
              <w:right w:val="nil"/>
            </w:tcBorders>
            <w:shd w:val="clear" w:color="000000" w:fill="BFBFBF"/>
            <w:noWrap/>
            <w:vAlign w:val="center"/>
            <w:hideMark/>
          </w:tcPr>
          <w:p w14:paraId="54B45E75"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580 572</w:t>
            </w:r>
          </w:p>
        </w:tc>
        <w:tc>
          <w:tcPr>
            <w:tcW w:w="1134" w:type="dxa"/>
            <w:tcBorders>
              <w:top w:val="nil"/>
              <w:left w:val="nil"/>
              <w:bottom w:val="nil"/>
              <w:right w:val="nil"/>
            </w:tcBorders>
            <w:shd w:val="clear" w:color="000000" w:fill="FFFFFF"/>
            <w:vAlign w:val="center"/>
            <w:hideMark/>
          </w:tcPr>
          <w:p w14:paraId="2698A14C"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118 216</w:t>
            </w:r>
          </w:p>
        </w:tc>
        <w:tc>
          <w:tcPr>
            <w:tcW w:w="992" w:type="dxa"/>
            <w:tcBorders>
              <w:top w:val="nil"/>
              <w:left w:val="nil"/>
              <w:bottom w:val="nil"/>
              <w:right w:val="nil"/>
            </w:tcBorders>
            <w:shd w:val="clear" w:color="000000" w:fill="FFFFFF"/>
            <w:vAlign w:val="center"/>
            <w:hideMark/>
          </w:tcPr>
          <w:p w14:paraId="48709E93"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9,87</w:t>
            </w:r>
          </w:p>
        </w:tc>
      </w:tr>
      <w:tr w:rsidR="00A02135" w:rsidRPr="00712D17" w14:paraId="42F2CFBD" w14:textId="77777777" w:rsidTr="00712D17">
        <w:trPr>
          <w:trHeight w:val="282"/>
        </w:trPr>
        <w:tc>
          <w:tcPr>
            <w:tcW w:w="2410" w:type="dxa"/>
            <w:tcBorders>
              <w:top w:val="nil"/>
              <w:left w:val="nil"/>
              <w:bottom w:val="nil"/>
              <w:right w:val="nil"/>
            </w:tcBorders>
            <w:shd w:val="clear" w:color="auto" w:fill="auto"/>
            <w:vAlign w:val="center"/>
            <w:hideMark/>
          </w:tcPr>
          <w:p w14:paraId="0C78F8D8" w14:textId="77777777" w:rsidR="00A02135" w:rsidRPr="00712D17" w:rsidRDefault="00A02135" w:rsidP="00A02135">
            <w:pPr>
              <w:spacing w:after="0" w:line="240" w:lineRule="auto"/>
              <w:jc w:val="left"/>
              <w:rPr>
                <w:rFonts w:eastAsia="Times New Roman" w:cs="Times New Roman"/>
                <w:color w:val="000000"/>
                <w:sz w:val="18"/>
                <w:szCs w:val="18"/>
                <w:lang w:eastAsia="sk-SK"/>
              </w:rPr>
            </w:pPr>
            <w:r w:rsidRPr="00712D17">
              <w:rPr>
                <w:rFonts w:eastAsia="Times New Roman" w:cs="Times New Roman"/>
                <w:color w:val="000000"/>
                <w:sz w:val="18"/>
                <w:szCs w:val="18"/>
                <w:lang w:eastAsia="sk-SK"/>
              </w:rPr>
              <w:t>Ochrana životného prostredia</w:t>
            </w:r>
          </w:p>
        </w:tc>
        <w:tc>
          <w:tcPr>
            <w:tcW w:w="1132" w:type="dxa"/>
            <w:tcBorders>
              <w:top w:val="nil"/>
              <w:left w:val="nil"/>
              <w:bottom w:val="nil"/>
              <w:right w:val="nil"/>
            </w:tcBorders>
            <w:shd w:val="clear" w:color="auto" w:fill="auto"/>
            <w:noWrap/>
            <w:vAlign w:val="center"/>
            <w:hideMark/>
          </w:tcPr>
          <w:p w14:paraId="17EF2C6B"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472 392</w:t>
            </w:r>
          </w:p>
        </w:tc>
        <w:tc>
          <w:tcPr>
            <w:tcW w:w="1134" w:type="dxa"/>
            <w:tcBorders>
              <w:top w:val="nil"/>
              <w:left w:val="nil"/>
              <w:bottom w:val="nil"/>
              <w:right w:val="nil"/>
            </w:tcBorders>
            <w:shd w:val="clear" w:color="auto" w:fill="auto"/>
            <w:noWrap/>
            <w:vAlign w:val="center"/>
            <w:hideMark/>
          </w:tcPr>
          <w:p w14:paraId="4D87D651"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502 447</w:t>
            </w:r>
          </w:p>
        </w:tc>
        <w:tc>
          <w:tcPr>
            <w:tcW w:w="1134" w:type="dxa"/>
            <w:tcBorders>
              <w:top w:val="nil"/>
              <w:left w:val="nil"/>
              <w:bottom w:val="nil"/>
              <w:right w:val="nil"/>
            </w:tcBorders>
            <w:shd w:val="clear" w:color="000000" w:fill="FFFFFF"/>
            <w:noWrap/>
            <w:vAlign w:val="center"/>
            <w:hideMark/>
          </w:tcPr>
          <w:p w14:paraId="6F35CC45"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417 825</w:t>
            </w:r>
          </w:p>
        </w:tc>
        <w:tc>
          <w:tcPr>
            <w:tcW w:w="1276" w:type="dxa"/>
            <w:tcBorders>
              <w:top w:val="nil"/>
              <w:left w:val="nil"/>
              <w:bottom w:val="nil"/>
              <w:right w:val="nil"/>
            </w:tcBorders>
            <w:shd w:val="clear" w:color="000000" w:fill="BFBFBF"/>
            <w:noWrap/>
            <w:vAlign w:val="center"/>
            <w:hideMark/>
          </w:tcPr>
          <w:p w14:paraId="7DEA7404"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422 987</w:t>
            </w:r>
          </w:p>
        </w:tc>
        <w:tc>
          <w:tcPr>
            <w:tcW w:w="1134" w:type="dxa"/>
            <w:tcBorders>
              <w:top w:val="nil"/>
              <w:left w:val="nil"/>
              <w:bottom w:val="nil"/>
              <w:right w:val="nil"/>
            </w:tcBorders>
            <w:shd w:val="clear" w:color="000000" w:fill="FFFFFF"/>
            <w:vAlign w:val="center"/>
            <w:hideMark/>
          </w:tcPr>
          <w:p w14:paraId="2671AE86"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5 162</w:t>
            </w:r>
          </w:p>
        </w:tc>
        <w:tc>
          <w:tcPr>
            <w:tcW w:w="992" w:type="dxa"/>
            <w:tcBorders>
              <w:top w:val="nil"/>
              <w:left w:val="nil"/>
              <w:bottom w:val="nil"/>
              <w:right w:val="nil"/>
            </w:tcBorders>
            <w:shd w:val="clear" w:color="000000" w:fill="FFFFFF"/>
            <w:vAlign w:val="center"/>
            <w:hideMark/>
          </w:tcPr>
          <w:p w14:paraId="724101E6"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1,24</w:t>
            </w:r>
          </w:p>
        </w:tc>
      </w:tr>
      <w:tr w:rsidR="00A02135" w:rsidRPr="00712D17" w14:paraId="18D30404" w14:textId="77777777" w:rsidTr="00712D17">
        <w:trPr>
          <w:trHeight w:val="282"/>
        </w:trPr>
        <w:tc>
          <w:tcPr>
            <w:tcW w:w="2410" w:type="dxa"/>
            <w:tcBorders>
              <w:top w:val="nil"/>
              <w:left w:val="nil"/>
              <w:bottom w:val="nil"/>
              <w:right w:val="nil"/>
            </w:tcBorders>
            <w:shd w:val="clear" w:color="auto" w:fill="auto"/>
            <w:vAlign w:val="center"/>
            <w:hideMark/>
          </w:tcPr>
          <w:p w14:paraId="781850CF" w14:textId="77777777" w:rsidR="00A02135" w:rsidRPr="00712D17" w:rsidRDefault="00A02135" w:rsidP="00A02135">
            <w:pPr>
              <w:spacing w:after="0" w:line="240" w:lineRule="auto"/>
              <w:jc w:val="left"/>
              <w:rPr>
                <w:rFonts w:eastAsia="Times New Roman" w:cs="Times New Roman"/>
                <w:color w:val="000000"/>
                <w:sz w:val="18"/>
                <w:szCs w:val="18"/>
                <w:lang w:eastAsia="sk-SK"/>
              </w:rPr>
            </w:pPr>
            <w:r w:rsidRPr="00712D17">
              <w:rPr>
                <w:rFonts w:eastAsia="Times New Roman" w:cs="Times New Roman"/>
                <w:color w:val="000000"/>
                <w:sz w:val="18"/>
                <w:szCs w:val="18"/>
                <w:lang w:eastAsia="sk-SK"/>
              </w:rPr>
              <w:t>Zdravotníctvo</w:t>
            </w:r>
          </w:p>
        </w:tc>
        <w:tc>
          <w:tcPr>
            <w:tcW w:w="1132" w:type="dxa"/>
            <w:tcBorders>
              <w:top w:val="nil"/>
              <w:left w:val="nil"/>
              <w:bottom w:val="nil"/>
              <w:right w:val="nil"/>
            </w:tcBorders>
            <w:shd w:val="clear" w:color="auto" w:fill="auto"/>
            <w:noWrap/>
            <w:vAlign w:val="center"/>
            <w:hideMark/>
          </w:tcPr>
          <w:p w14:paraId="57E11C85"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197 279</w:t>
            </w:r>
          </w:p>
        </w:tc>
        <w:tc>
          <w:tcPr>
            <w:tcW w:w="1134" w:type="dxa"/>
            <w:tcBorders>
              <w:top w:val="nil"/>
              <w:left w:val="nil"/>
              <w:bottom w:val="nil"/>
              <w:right w:val="nil"/>
            </w:tcBorders>
            <w:shd w:val="clear" w:color="auto" w:fill="auto"/>
            <w:noWrap/>
            <w:vAlign w:val="center"/>
            <w:hideMark/>
          </w:tcPr>
          <w:p w14:paraId="720FF5F3"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298 145</w:t>
            </w:r>
          </w:p>
        </w:tc>
        <w:tc>
          <w:tcPr>
            <w:tcW w:w="1134" w:type="dxa"/>
            <w:tcBorders>
              <w:top w:val="nil"/>
              <w:left w:val="nil"/>
              <w:bottom w:val="nil"/>
              <w:right w:val="nil"/>
            </w:tcBorders>
            <w:shd w:val="clear" w:color="000000" w:fill="FFFFFF"/>
            <w:noWrap/>
            <w:vAlign w:val="center"/>
            <w:hideMark/>
          </w:tcPr>
          <w:p w14:paraId="695B7119"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205 534</w:t>
            </w:r>
          </w:p>
        </w:tc>
        <w:tc>
          <w:tcPr>
            <w:tcW w:w="1276" w:type="dxa"/>
            <w:tcBorders>
              <w:top w:val="nil"/>
              <w:left w:val="nil"/>
              <w:bottom w:val="nil"/>
              <w:right w:val="nil"/>
            </w:tcBorders>
            <w:shd w:val="clear" w:color="000000" w:fill="BFBFBF"/>
            <w:noWrap/>
            <w:vAlign w:val="center"/>
            <w:hideMark/>
          </w:tcPr>
          <w:p w14:paraId="740EB5CE"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371 336</w:t>
            </w:r>
          </w:p>
        </w:tc>
        <w:tc>
          <w:tcPr>
            <w:tcW w:w="1134" w:type="dxa"/>
            <w:tcBorders>
              <w:top w:val="nil"/>
              <w:left w:val="nil"/>
              <w:bottom w:val="nil"/>
              <w:right w:val="nil"/>
            </w:tcBorders>
            <w:shd w:val="clear" w:color="000000" w:fill="FFFFFF"/>
            <w:vAlign w:val="center"/>
            <w:hideMark/>
          </w:tcPr>
          <w:p w14:paraId="736184FD"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165 802</w:t>
            </w:r>
          </w:p>
        </w:tc>
        <w:tc>
          <w:tcPr>
            <w:tcW w:w="992" w:type="dxa"/>
            <w:tcBorders>
              <w:top w:val="nil"/>
              <w:left w:val="nil"/>
              <w:bottom w:val="nil"/>
              <w:right w:val="nil"/>
            </w:tcBorders>
            <w:shd w:val="clear" w:color="000000" w:fill="FFFFFF"/>
            <w:vAlign w:val="center"/>
            <w:hideMark/>
          </w:tcPr>
          <w:p w14:paraId="7F37C023"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80,67</w:t>
            </w:r>
          </w:p>
        </w:tc>
      </w:tr>
      <w:tr w:rsidR="00A02135" w:rsidRPr="00712D17" w14:paraId="7B0F9B34" w14:textId="77777777" w:rsidTr="00712D17">
        <w:trPr>
          <w:trHeight w:val="296"/>
        </w:trPr>
        <w:tc>
          <w:tcPr>
            <w:tcW w:w="2410" w:type="dxa"/>
            <w:tcBorders>
              <w:top w:val="nil"/>
              <w:left w:val="nil"/>
              <w:bottom w:val="single" w:sz="8" w:space="0" w:color="auto"/>
              <w:right w:val="nil"/>
            </w:tcBorders>
            <w:shd w:val="clear" w:color="auto" w:fill="auto"/>
            <w:vAlign w:val="center"/>
            <w:hideMark/>
          </w:tcPr>
          <w:p w14:paraId="724DC652" w14:textId="77777777" w:rsidR="00A02135" w:rsidRPr="00712D17" w:rsidRDefault="00A02135" w:rsidP="00A02135">
            <w:pPr>
              <w:spacing w:after="0" w:line="240" w:lineRule="auto"/>
              <w:jc w:val="left"/>
              <w:rPr>
                <w:rFonts w:eastAsia="Times New Roman" w:cs="Times New Roman"/>
                <w:color w:val="000000"/>
                <w:sz w:val="18"/>
                <w:szCs w:val="18"/>
                <w:lang w:eastAsia="sk-SK"/>
              </w:rPr>
            </w:pPr>
            <w:r w:rsidRPr="00712D17">
              <w:rPr>
                <w:rFonts w:eastAsia="Times New Roman" w:cs="Times New Roman"/>
                <w:color w:val="000000"/>
                <w:sz w:val="18"/>
                <w:szCs w:val="18"/>
                <w:lang w:eastAsia="sk-SK"/>
              </w:rPr>
              <w:t>Bývanie a občianska vybavenosť</w:t>
            </w:r>
          </w:p>
        </w:tc>
        <w:tc>
          <w:tcPr>
            <w:tcW w:w="1132" w:type="dxa"/>
            <w:tcBorders>
              <w:top w:val="nil"/>
              <w:left w:val="nil"/>
              <w:bottom w:val="nil"/>
              <w:right w:val="nil"/>
            </w:tcBorders>
            <w:shd w:val="clear" w:color="auto" w:fill="auto"/>
            <w:noWrap/>
            <w:vAlign w:val="center"/>
            <w:hideMark/>
          </w:tcPr>
          <w:p w14:paraId="2CBE32D3"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146 354</w:t>
            </w:r>
          </w:p>
        </w:tc>
        <w:tc>
          <w:tcPr>
            <w:tcW w:w="1134" w:type="dxa"/>
            <w:tcBorders>
              <w:top w:val="nil"/>
              <w:left w:val="nil"/>
              <w:bottom w:val="nil"/>
              <w:right w:val="nil"/>
            </w:tcBorders>
            <w:shd w:val="clear" w:color="auto" w:fill="auto"/>
            <w:noWrap/>
            <w:vAlign w:val="center"/>
            <w:hideMark/>
          </w:tcPr>
          <w:p w14:paraId="17B08605"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148 342</w:t>
            </w:r>
          </w:p>
        </w:tc>
        <w:tc>
          <w:tcPr>
            <w:tcW w:w="1134" w:type="dxa"/>
            <w:tcBorders>
              <w:top w:val="nil"/>
              <w:left w:val="nil"/>
              <w:bottom w:val="nil"/>
              <w:right w:val="nil"/>
            </w:tcBorders>
            <w:shd w:val="clear" w:color="000000" w:fill="FFFFFF"/>
            <w:noWrap/>
            <w:vAlign w:val="center"/>
            <w:hideMark/>
          </w:tcPr>
          <w:p w14:paraId="6A123E96"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96 545</w:t>
            </w:r>
          </w:p>
        </w:tc>
        <w:tc>
          <w:tcPr>
            <w:tcW w:w="1276" w:type="dxa"/>
            <w:tcBorders>
              <w:top w:val="nil"/>
              <w:left w:val="nil"/>
              <w:bottom w:val="nil"/>
              <w:right w:val="nil"/>
            </w:tcBorders>
            <w:shd w:val="clear" w:color="000000" w:fill="BFBFBF"/>
            <w:noWrap/>
            <w:vAlign w:val="center"/>
            <w:hideMark/>
          </w:tcPr>
          <w:p w14:paraId="58F7F95A"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89 912</w:t>
            </w:r>
          </w:p>
        </w:tc>
        <w:tc>
          <w:tcPr>
            <w:tcW w:w="1134" w:type="dxa"/>
            <w:tcBorders>
              <w:top w:val="nil"/>
              <w:left w:val="nil"/>
              <w:bottom w:val="nil"/>
              <w:right w:val="nil"/>
            </w:tcBorders>
            <w:shd w:val="clear" w:color="000000" w:fill="FFFFFF"/>
            <w:vAlign w:val="center"/>
            <w:hideMark/>
          </w:tcPr>
          <w:p w14:paraId="3C25CB03"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-6 633</w:t>
            </w:r>
          </w:p>
        </w:tc>
        <w:tc>
          <w:tcPr>
            <w:tcW w:w="992" w:type="dxa"/>
            <w:tcBorders>
              <w:top w:val="nil"/>
              <w:left w:val="nil"/>
              <w:bottom w:val="nil"/>
              <w:right w:val="nil"/>
            </w:tcBorders>
            <w:shd w:val="clear" w:color="000000" w:fill="FFFFFF"/>
            <w:vAlign w:val="center"/>
            <w:hideMark/>
          </w:tcPr>
          <w:p w14:paraId="10E9F95A" w14:textId="77777777" w:rsidR="00A02135" w:rsidRPr="00712D17" w:rsidRDefault="00A02135" w:rsidP="00A02135">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-6,87</w:t>
            </w:r>
          </w:p>
        </w:tc>
      </w:tr>
      <w:tr w:rsidR="00A02135" w:rsidRPr="00712D17" w14:paraId="1CA87258" w14:textId="77777777" w:rsidTr="00712D17">
        <w:trPr>
          <w:trHeight w:val="296"/>
        </w:trPr>
        <w:tc>
          <w:tcPr>
            <w:tcW w:w="2410" w:type="dxa"/>
            <w:tcBorders>
              <w:top w:val="nil"/>
              <w:left w:val="nil"/>
              <w:bottom w:val="single" w:sz="8" w:space="0" w:color="auto"/>
              <w:right w:val="nil"/>
            </w:tcBorders>
            <w:shd w:val="clear" w:color="000000" w:fill="FFFFFF"/>
            <w:noWrap/>
            <w:vAlign w:val="center"/>
            <w:hideMark/>
          </w:tcPr>
          <w:p w14:paraId="20C20BDC" w14:textId="77777777" w:rsidR="00A02135" w:rsidRPr="00712D17" w:rsidRDefault="00A02135" w:rsidP="00A02135">
            <w:pPr>
              <w:spacing w:after="0" w:line="240" w:lineRule="auto"/>
              <w:jc w:val="left"/>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Spolu</w:t>
            </w:r>
          </w:p>
        </w:tc>
        <w:tc>
          <w:tcPr>
            <w:tcW w:w="1132" w:type="dxa"/>
            <w:tcBorders>
              <w:top w:val="single" w:sz="8" w:space="0" w:color="auto"/>
              <w:left w:val="nil"/>
              <w:bottom w:val="single" w:sz="8" w:space="0" w:color="auto"/>
              <w:right w:val="nil"/>
            </w:tcBorders>
            <w:shd w:val="clear" w:color="auto" w:fill="auto"/>
            <w:noWrap/>
            <w:vAlign w:val="center"/>
            <w:hideMark/>
          </w:tcPr>
          <w:p w14:paraId="4F4DB509" w14:textId="77777777" w:rsidR="00A02135" w:rsidRPr="00712D17" w:rsidRDefault="00A02135" w:rsidP="00A02135">
            <w:pPr>
              <w:spacing w:after="0" w:line="240" w:lineRule="auto"/>
              <w:jc w:val="right"/>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15 747 229</w:t>
            </w:r>
          </w:p>
        </w:tc>
        <w:tc>
          <w:tcPr>
            <w:tcW w:w="1134" w:type="dxa"/>
            <w:tcBorders>
              <w:top w:val="single" w:sz="8" w:space="0" w:color="auto"/>
              <w:left w:val="nil"/>
              <w:bottom w:val="single" w:sz="8" w:space="0" w:color="auto"/>
              <w:right w:val="nil"/>
            </w:tcBorders>
            <w:shd w:val="clear" w:color="auto" w:fill="auto"/>
            <w:noWrap/>
            <w:vAlign w:val="center"/>
            <w:hideMark/>
          </w:tcPr>
          <w:p w14:paraId="73270A5C" w14:textId="77777777" w:rsidR="00A02135" w:rsidRPr="00712D17" w:rsidRDefault="00A02135" w:rsidP="00A02135">
            <w:pPr>
              <w:spacing w:after="0" w:line="240" w:lineRule="auto"/>
              <w:jc w:val="right"/>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17 078 082</w:t>
            </w:r>
          </w:p>
        </w:tc>
        <w:tc>
          <w:tcPr>
            <w:tcW w:w="1134" w:type="dxa"/>
            <w:tcBorders>
              <w:top w:val="single" w:sz="8" w:space="0" w:color="auto"/>
              <w:left w:val="nil"/>
              <w:bottom w:val="single" w:sz="8" w:space="0" w:color="auto"/>
              <w:right w:val="nil"/>
            </w:tcBorders>
            <w:shd w:val="clear" w:color="000000" w:fill="FFFFFF"/>
            <w:noWrap/>
            <w:vAlign w:val="center"/>
            <w:hideMark/>
          </w:tcPr>
          <w:p w14:paraId="3BC5616F" w14:textId="77777777" w:rsidR="00A02135" w:rsidRPr="00712D17" w:rsidRDefault="00A02135" w:rsidP="00A02135">
            <w:pPr>
              <w:spacing w:after="0" w:line="240" w:lineRule="auto"/>
              <w:jc w:val="right"/>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26 319 081</w:t>
            </w:r>
          </w:p>
        </w:tc>
        <w:tc>
          <w:tcPr>
            <w:tcW w:w="1276" w:type="dxa"/>
            <w:tcBorders>
              <w:top w:val="single" w:sz="8" w:space="0" w:color="auto"/>
              <w:left w:val="nil"/>
              <w:bottom w:val="single" w:sz="8" w:space="0" w:color="auto"/>
              <w:right w:val="nil"/>
            </w:tcBorders>
            <w:shd w:val="clear" w:color="000000" w:fill="BFBFBF"/>
            <w:noWrap/>
            <w:vAlign w:val="center"/>
            <w:hideMark/>
          </w:tcPr>
          <w:p w14:paraId="1E37BC76" w14:textId="77777777" w:rsidR="00A02135" w:rsidRPr="00712D17" w:rsidRDefault="00A02135" w:rsidP="00A02135">
            <w:pPr>
              <w:spacing w:after="0" w:line="240" w:lineRule="auto"/>
              <w:jc w:val="right"/>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23 509 056</w:t>
            </w:r>
          </w:p>
        </w:tc>
        <w:tc>
          <w:tcPr>
            <w:tcW w:w="1134" w:type="dxa"/>
            <w:tcBorders>
              <w:top w:val="single" w:sz="8" w:space="0" w:color="auto"/>
              <w:left w:val="nil"/>
              <w:bottom w:val="single" w:sz="8" w:space="0" w:color="auto"/>
              <w:right w:val="nil"/>
            </w:tcBorders>
            <w:shd w:val="clear" w:color="000000" w:fill="FFFFFF"/>
            <w:noWrap/>
            <w:vAlign w:val="center"/>
            <w:hideMark/>
          </w:tcPr>
          <w:p w14:paraId="5B45CC3D" w14:textId="77777777" w:rsidR="00A02135" w:rsidRPr="00712D17" w:rsidRDefault="00A02135" w:rsidP="00A02135">
            <w:pPr>
              <w:spacing w:after="0" w:line="240" w:lineRule="auto"/>
              <w:jc w:val="right"/>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-2 810 025</w:t>
            </w:r>
          </w:p>
        </w:tc>
        <w:tc>
          <w:tcPr>
            <w:tcW w:w="992" w:type="dxa"/>
            <w:tcBorders>
              <w:top w:val="single" w:sz="8" w:space="0" w:color="auto"/>
              <w:left w:val="nil"/>
              <w:bottom w:val="single" w:sz="8" w:space="0" w:color="auto"/>
              <w:right w:val="nil"/>
            </w:tcBorders>
            <w:shd w:val="clear" w:color="000000" w:fill="FFFFFF"/>
            <w:noWrap/>
            <w:vAlign w:val="center"/>
            <w:hideMark/>
          </w:tcPr>
          <w:p w14:paraId="1FB9240B" w14:textId="77777777" w:rsidR="00A02135" w:rsidRPr="00712D17" w:rsidRDefault="00A02135" w:rsidP="00A02135">
            <w:pPr>
              <w:spacing w:after="0" w:line="240" w:lineRule="auto"/>
              <w:jc w:val="right"/>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-11</w:t>
            </w:r>
          </w:p>
        </w:tc>
      </w:tr>
    </w:tbl>
    <w:p w14:paraId="3311022E" w14:textId="266D5997" w:rsidR="006A729A" w:rsidRPr="006901AC" w:rsidRDefault="006A729A" w:rsidP="006A729A">
      <w:pPr>
        <w:rPr>
          <w:sz w:val="18"/>
          <w:szCs w:val="18"/>
        </w:rPr>
      </w:pPr>
      <w:r w:rsidRPr="006901AC">
        <w:rPr>
          <w:sz w:val="18"/>
          <w:szCs w:val="18"/>
        </w:rPr>
        <w:t>Oddiely funkčnej klasifikácie sú zoradené podľa hodnoty za skutočnosť 2020</w:t>
      </w:r>
      <w:r w:rsidRPr="006901AC">
        <w:rPr>
          <w:sz w:val="18"/>
          <w:szCs w:val="18"/>
        </w:rPr>
        <w:tab/>
      </w:r>
      <w:r w:rsidRPr="006901AC">
        <w:rPr>
          <w:sz w:val="18"/>
          <w:szCs w:val="18"/>
        </w:rPr>
        <w:tab/>
      </w:r>
      <w:r w:rsidRPr="006901AC">
        <w:rPr>
          <w:sz w:val="18"/>
          <w:szCs w:val="18"/>
        </w:rPr>
        <w:tab/>
        <w:t xml:space="preserve">         </w:t>
      </w:r>
      <w:r w:rsidR="00712D17">
        <w:rPr>
          <w:sz w:val="18"/>
          <w:szCs w:val="18"/>
        </w:rPr>
        <w:t xml:space="preserve">         </w:t>
      </w:r>
      <w:r w:rsidR="00613E7F">
        <w:rPr>
          <w:sz w:val="18"/>
          <w:szCs w:val="18"/>
        </w:rPr>
        <w:t xml:space="preserve">  </w:t>
      </w:r>
      <w:r w:rsidR="00712D17">
        <w:rPr>
          <w:sz w:val="18"/>
          <w:szCs w:val="18"/>
        </w:rPr>
        <w:t xml:space="preserve">   </w:t>
      </w:r>
      <w:r w:rsidRPr="006901AC">
        <w:rPr>
          <w:sz w:val="18"/>
          <w:szCs w:val="18"/>
        </w:rPr>
        <w:t>Zdroj: MF SR</w:t>
      </w:r>
    </w:p>
    <w:p w14:paraId="3AA65D67" w14:textId="77777777" w:rsidR="0078085C" w:rsidRPr="00D715AF" w:rsidRDefault="0078085C" w:rsidP="001665F3">
      <w:pPr>
        <w:spacing w:line="240" w:lineRule="auto"/>
        <w:rPr>
          <w:sz w:val="24"/>
          <w:szCs w:val="24"/>
        </w:rPr>
      </w:pPr>
      <w:r w:rsidRPr="00D715AF">
        <w:rPr>
          <w:sz w:val="24"/>
          <w:szCs w:val="24"/>
        </w:rPr>
        <w:t>Celkové výdavky podľa funkčnej klasifikácie sú zhodné s výdavkami podľa ekonomickej klasifikácie, sú však opisované z pohľadu činnosti, ktoré financujú rozpočtové organizácie štátnej správy. V prípade metodicky správneho uplatňovania tejto klasifikácie sú zdôvodnenia plnenia alebo prekročenia schváleného rozpočtu totožné s tými, ktoré sú uvedené v kapitole 3.2.1.</w:t>
      </w:r>
    </w:p>
    <w:p w14:paraId="6B330BDC" w14:textId="77777777" w:rsidR="0078085C" w:rsidRPr="00D715AF" w:rsidRDefault="0078085C" w:rsidP="001665F3">
      <w:pPr>
        <w:tabs>
          <w:tab w:val="left" w:pos="284"/>
        </w:tabs>
        <w:spacing w:line="240" w:lineRule="auto"/>
        <w:rPr>
          <w:b/>
          <w:sz w:val="24"/>
          <w:szCs w:val="24"/>
        </w:rPr>
      </w:pPr>
      <w:r w:rsidRPr="00D715AF">
        <w:rPr>
          <w:b/>
          <w:sz w:val="24"/>
          <w:szCs w:val="24"/>
        </w:rPr>
        <w:t>Všeobecné verejné služby</w:t>
      </w:r>
    </w:p>
    <w:p w14:paraId="205AE5F8" w14:textId="77777777" w:rsidR="0078085C" w:rsidRPr="00D715AF" w:rsidRDefault="0078085C" w:rsidP="001665F3">
      <w:pPr>
        <w:spacing w:line="240" w:lineRule="auto"/>
        <w:rPr>
          <w:sz w:val="24"/>
          <w:szCs w:val="24"/>
        </w:rPr>
      </w:pPr>
      <w:r w:rsidRPr="00D715AF">
        <w:rPr>
          <w:sz w:val="24"/>
          <w:szCs w:val="24"/>
        </w:rPr>
        <w:t>Výdavky na všeobecné verejné služby tvorili 22,0% podiel z celkových výdavkov štátneho rozpočtu. Tieto výdavky zahrňujú prostriedky verejnej správy na činnosť vymedzeného okruhu ústredných orgánov štátnej správy, výdavky na správu štátneho dlhu, na základný výskum, na zahraničnú hospodársku pomoc. V porovnaní s minulým rokom došlo k zvýšeniu výdavkov o 1 799 707 tis. eur.</w:t>
      </w:r>
    </w:p>
    <w:p w14:paraId="5A351610" w14:textId="4F1D6032" w:rsidR="0078085C" w:rsidRPr="00D715AF" w:rsidRDefault="0078085C" w:rsidP="001665F3">
      <w:pPr>
        <w:spacing w:line="240" w:lineRule="auto"/>
        <w:rPr>
          <w:sz w:val="24"/>
          <w:szCs w:val="24"/>
        </w:rPr>
      </w:pPr>
      <w:r w:rsidRPr="00D715AF">
        <w:rPr>
          <w:sz w:val="24"/>
          <w:szCs w:val="24"/>
        </w:rPr>
        <w:t xml:space="preserve">Najviac finančných prostriedkov bolo čerpaných v oblasti </w:t>
      </w:r>
      <w:r w:rsidRPr="00D715AF">
        <w:rPr>
          <w:i/>
          <w:sz w:val="24"/>
          <w:szCs w:val="24"/>
        </w:rPr>
        <w:t>Výkonné a zákonodarné orgány, finančné a rozpočtové záležitosti, zahraničné vzťahy</w:t>
      </w:r>
      <w:r w:rsidRPr="00D715AF">
        <w:rPr>
          <w:sz w:val="24"/>
          <w:szCs w:val="24"/>
        </w:rPr>
        <w:t xml:space="preserve"> (3 768 665 tis. eur). V rámci </w:t>
      </w:r>
      <w:r w:rsidRPr="00D715AF">
        <w:rPr>
          <w:i/>
          <w:sz w:val="24"/>
          <w:szCs w:val="24"/>
        </w:rPr>
        <w:t>finančných a rozpočtových záležitostí</w:t>
      </w:r>
      <w:r w:rsidRPr="00D715AF">
        <w:rPr>
          <w:sz w:val="24"/>
          <w:szCs w:val="24"/>
        </w:rPr>
        <w:t xml:space="preserve"> vykazuje kapitola Všeobecná pokladničná správa sumu 1 887 498 tis. eur (2019: žiadne prostriedky), ide o výdavky zo ŠR</w:t>
      </w:r>
      <w:r w:rsidR="00BB3BED">
        <w:rPr>
          <w:sz w:val="24"/>
          <w:szCs w:val="24"/>
        </w:rPr>
        <w:t>,</w:t>
      </w:r>
      <w:r w:rsidRPr="00D715AF">
        <w:rPr>
          <w:sz w:val="24"/>
          <w:szCs w:val="24"/>
        </w:rPr>
        <w:t xml:space="preserve"> </w:t>
      </w:r>
      <w:r w:rsidR="00BB3BED" w:rsidRPr="00BB3BED">
        <w:rPr>
          <w:sz w:val="24"/>
          <w:szCs w:val="24"/>
        </w:rPr>
        <w:t>ktorým bol posilnený samostatný účet</w:t>
      </w:r>
      <w:r w:rsidRPr="00D715AF">
        <w:rPr>
          <w:sz w:val="24"/>
          <w:szCs w:val="24"/>
        </w:rPr>
        <w:t xml:space="preserve"> návrat</w:t>
      </w:r>
      <w:r w:rsidR="00F20525">
        <w:rPr>
          <w:sz w:val="24"/>
          <w:szCs w:val="24"/>
        </w:rPr>
        <w:t>ných finančných výpomocí vo VPS,</w:t>
      </w:r>
      <w:r w:rsidRPr="00D715AF">
        <w:rPr>
          <w:sz w:val="24"/>
          <w:szCs w:val="24"/>
        </w:rPr>
        <w:t xml:space="preserve"> na finančnú stabilizáciu zdravotníckych zariadení (575 000 tis. eur), na zabezpečenie dostatočných finančných prostriedkov pre poskytovateľov finančnej pomoci na udržanie zamestnanosti a prevádzky v malých alebo stredných podnikoch a na zabezpečenie likvidity malých, stredných a veľkých podnikov (500 000 tis. eur), na návratné finančné výpomoci obciam a VÚC ako kompenzácia výpadku dane z príjmov (151 919 tis. eur), na vklad majetku štátu do kapitálového fondu Slovenskej elektrizačnej a prenosovej sústavy (130 000 tis. eur). </w:t>
      </w:r>
    </w:p>
    <w:p w14:paraId="419C3BC7" w14:textId="77777777" w:rsidR="0078085C" w:rsidRPr="00D715AF" w:rsidRDefault="0078085C" w:rsidP="001665F3">
      <w:pPr>
        <w:spacing w:line="240" w:lineRule="auto"/>
        <w:rPr>
          <w:sz w:val="24"/>
          <w:szCs w:val="24"/>
        </w:rPr>
      </w:pPr>
      <w:r w:rsidRPr="00D715AF">
        <w:rPr>
          <w:sz w:val="24"/>
          <w:szCs w:val="24"/>
        </w:rPr>
        <w:t>Odvody do rozpočtu Európskej únie založené na dani z pridanej hodnoty a hrubom národnom produkte dosiahli v kapitole Všeobecná pokladničná správa sumu 877 392 tis. eur. Výdavky Ministerstva financií SR predstavovali 456 492 tis. eur.</w:t>
      </w:r>
    </w:p>
    <w:p w14:paraId="21AE2493" w14:textId="77777777" w:rsidR="0078085C" w:rsidRPr="00D715AF" w:rsidRDefault="0078085C" w:rsidP="001665F3">
      <w:pPr>
        <w:tabs>
          <w:tab w:val="left" w:pos="284"/>
        </w:tabs>
        <w:spacing w:line="240" w:lineRule="auto"/>
        <w:rPr>
          <w:sz w:val="24"/>
          <w:szCs w:val="24"/>
        </w:rPr>
      </w:pPr>
      <w:r w:rsidRPr="00D715AF">
        <w:rPr>
          <w:b/>
          <w:sz w:val="24"/>
          <w:szCs w:val="24"/>
        </w:rPr>
        <w:t>Ekonomická oblasť</w:t>
      </w:r>
    </w:p>
    <w:p w14:paraId="30BDE8BB" w14:textId="77777777" w:rsidR="0078085C" w:rsidRPr="00D715AF" w:rsidRDefault="0078085C" w:rsidP="001665F3">
      <w:pPr>
        <w:spacing w:line="240" w:lineRule="auto"/>
        <w:rPr>
          <w:sz w:val="24"/>
          <w:szCs w:val="24"/>
        </w:rPr>
      </w:pPr>
      <w:r w:rsidRPr="00D715AF">
        <w:rPr>
          <w:sz w:val="24"/>
          <w:szCs w:val="24"/>
        </w:rPr>
        <w:t>Výdavky v tomto oddiele tvorili 20,6 % z celkových výdavkov. V rámci ekonomickej oblasti sa triedia výdavky súvisiace s rôznymi druhmi dopravy a budovaním dopravnej infraštruktúry, s poľnohospodárstvom, lesníctvom, odvetviami palív a energií, ťažbou nerastných surovín a pod. Najvyššie výdavky v tejto oblasti malo Ministerstvo dopravy a výstavby SR (1 788 930 tis. eur) Ministerstvo práce, sociálnych vecí a rodiny SR (1 136 888 tis. eur) a Ministerstvo pôdohospodárstva a rozvoja vidieka SR (1 030 676 tis. eur).</w:t>
      </w:r>
    </w:p>
    <w:p w14:paraId="009612CC" w14:textId="77777777" w:rsidR="0078085C" w:rsidRPr="00D715AF" w:rsidRDefault="0078085C" w:rsidP="001665F3">
      <w:pPr>
        <w:spacing w:line="240" w:lineRule="auto"/>
        <w:rPr>
          <w:sz w:val="24"/>
          <w:szCs w:val="24"/>
        </w:rPr>
      </w:pPr>
      <w:r w:rsidRPr="00D715AF">
        <w:rPr>
          <w:sz w:val="24"/>
          <w:szCs w:val="24"/>
        </w:rPr>
        <w:t xml:space="preserve">V skupine </w:t>
      </w:r>
      <w:r w:rsidRPr="00D715AF">
        <w:rPr>
          <w:i/>
          <w:sz w:val="24"/>
          <w:szCs w:val="24"/>
        </w:rPr>
        <w:t>Doprava</w:t>
      </w:r>
      <w:r w:rsidRPr="00D715AF">
        <w:rPr>
          <w:sz w:val="24"/>
          <w:szCs w:val="24"/>
        </w:rPr>
        <w:t xml:space="preserve"> dosiahli skutočné výdavky 1 729 826 tis. eur (2019: 1 501 012 tis. eur), a v porovnaní so schváleným rozpočtom došlo k nárastu o 718 493 tis. eur, v súvislosti s výstavbou, rekonštrukciou a modernizáciou cestnej a železničnej infraštruktúry.</w:t>
      </w:r>
    </w:p>
    <w:p w14:paraId="185BCCD1" w14:textId="77777777" w:rsidR="0078085C" w:rsidRPr="00D715AF" w:rsidRDefault="0078085C" w:rsidP="001665F3">
      <w:pPr>
        <w:spacing w:line="240" w:lineRule="auto"/>
        <w:rPr>
          <w:sz w:val="24"/>
          <w:szCs w:val="24"/>
        </w:rPr>
      </w:pPr>
      <w:r w:rsidRPr="00D715AF">
        <w:rPr>
          <w:sz w:val="24"/>
          <w:szCs w:val="24"/>
        </w:rPr>
        <w:t xml:space="preserve">V skupine </w:t>
      </w:r>
      <w:r w:rsidRPr="00D715AF">
        <w:rPr>
          <w:i/>
          <w:sz w:val="24"/>
          <w:szCs w:val="24"/>
        </w:rPr>
        <w:t>Všeobecná ekonomická, obchodná a pracovná oblasť</w:t>
      </w:r>
      <w:r w:rsidRPr="00D715AF">
        <w:rPr>
          <w:sz w:val="24"/>
          <w:szCs w:val="24"/>
        </w:rPr>
        <w:t xml:space="preserve"> došlo k zvýšeniu skutočnosti (1 735 589 tis. eur) v porovnaní so schváleným rozpočtom o 903 120 tis. eur. Najväčšie zvýšenie nastalo u Ministerstva práce, sociálnych vecí a rodiny SR vo výške 914 211 tis. eur, spôsobené nárastom výdavkov za </w:t>
      </w:r>
      <w:r w:rsidRPr="00D715AF">
        <w:rPr>
          <w:i/>
          <w:sz w:val="24"/>
          <w:szCs w:val="24"/>
        </w:rPr>
        <w:t>Všeobecnú pracovnú oblasť</w:t>
      </w:r>
      <w:r w:rsidRPr="00D715AF">
        <w:rPr>
          <w:sz w:val="24"/>
          <w:szCs w:val="24"/>
        </w:rPr>
        <w:t>, išlo o peňažné príspevky pre zamestnávateľov a pre samostatne zárobkovo činné osoby na podporu udržania zamestnanosti v čase vyhlásenej mimoriadnej situácie, núdzového stavu alebo výnimočného stavu a odstránením ich následkov, projekt s názvom Prvá pomoc.</w:t>
      </w:r>
    </w:p>
    <w:p w14:paraId="14CD23F4" w14:textId="77777777" w:rsidR="0078085C" w:rsidRPr="00D715AF" w:rsidRDefault="0078085C" w:rsidP="001665F3">
      <w:pPr>
        <w:spacing w:line="240" w:lineRule="auto"/>
        <w:rPr>
          <w:sz w:val="24"/>
          <w:szCs w:val="24"/>
        </w:rPr>
      </w:pPr>
      <w:r w:rsidRPr="00D715AF">
        <w:rPr>
          <w:sz w:val="24"/>
          <w:szCs w:val="24"/>
        </w:rPr>
        <w:t xml:space="preserve">V skupine </w:t>
      </w:r>
      <w:r w:rsidRPr="00D715AF">
        <w:rPr>
          <w:i/>
          <w:sz w:val="24"/>
          <w:szCs w:val="24"/>
        </w:rPr>
        <w:t>Poľnohospodárstvo, lesníctvo, rybárstvo a poľovníctvo</w:t>
      </w:r>
      <w:r w:rsidRPr="00D715AF">
        <w:rPr>
          <w:sz w:val="24"/>
          <w:szCs w:val="24"/>
        </w:rPr>
        <w:t xml:space="preserve"> bola dosiahnutá skutočnosť 925 501 tis. eur (2019: 991 746 tis. eur), pričom ide najmä o financovanie operačných programov v oblasti poľnohospodárstva zo zdrojov EÚ.</w:t>
      </w:r>
    </w:p>
    <w:p w14:paraId="1CE90532" w14:textId="77777777" w:rsidR="0078085C" w:rsidRPr="00D715AF" w:rsidRDefault="0078085C" w:rsidP="001665F3">
      <w:pPr>
        <w:tabs>
          <w:tab w:val="left" w:pos="284"/>
        </w:tabs>
        <w:spacing w:line="240" w:lineRule="auto"/>
        <w:rPr>
          <w:b/>
          <w:sz w:val="24"/>
          <w:szCs w:val="24"/>
        </w:rPr>
      </w:pPr>
      <w:r w:rsidRPr="00D715AF">
        <w:rPr>
          <w:b/>
          <w:sz w:val="24"/>
          <w:szCs w:val="24"/>
        </w:rPr>
        <w:t>Sociálne zabezpečenie</w:t>
      </w:r>
    </w:p>
    <w:p w14:paraId="32791E2D" w14:textId="77777777" w:rsidR="0078085C" w:rsidRPr="00D715AF" w:rsidRDefault="0078085C" w:rsidP="001665F3">
      <w:pPr>
        <w:spacing w:line="240" w:lineRule="auto"/>
        <w:rPr>
          <w:sz w:val="24"/>
          <w:szCs w:val="24"/>
        </w:rPr>
      </w:pPr>
      <w:r w:rsidRPr="00D715AF">
        <w:rPr>
          <w:sz w:val="24"/>
          <w:szCs w:val="24"/>
        </w:rPr>
        <w:t xml:space="preserve">Výdavky v oddiele sociálne zabezpečenie tvorili 22,5 % z celkových výdavkov. Ide o prostriedky štátneho rozpočtu, ktoré sa vynakladajú na poskytovanie sociálnej ochrany v starobe, na podporu rodiny a detí, na sociálnu pomoc občanom v hmotnej a sociálnej núdzi, na chorobu, invaliditu a ťažké zdravotné postihnutie a pod. V kapitole Všeobecná pokladničná správa bolo najväčšie čerpanie v skupine </w:t>
      </w:r>
      <w:r w:rsidRPr="00D715AF">
        <w:rPr>
          <w:i/>
          <w:sz w:val="24"/>
          <w:szCs w:val="24"/>
        </w:rPr>
        <w:t xml:space="preserve">Staroba </w:t>
      </w:r>
      <w:r w:rsidRPr="00D715AF">
        <w:rPr>
          <w:sz w:val="24"/>
          <w:szCs w:val="24"/>
        </w:rPr>
        <w:t>970 095 tis. eur, nárast oproti schválenému rozpočtu o 760 499 tis. eur bol z dôvodu vyplatenia transferu Sociálnej poisťovni.</w:t>
      </w:r>
    </w:p>
    <w:p w14:paraId="6B877FB8" w14:textId="77777777" w:rsidR="0078085C" w:rsidRPr="00D715AF" w:rsidRDefault="0078085C" w:rsidP="001665F3">
      <w:pPr>
        <w:spacing w:line="240" w:lineRule="auto"/>
        <w:rPr>
          <w:sz w:val="24"/>
          <w:szCs w:val="24"/>
        </w:rPr>
      </w:pPr>
      <w:r w:rsidRPr="00D715AF">
        <w:rPr>
          <w:sz w:val="24"/>
          <w:szCs w:val="24"/>
        </w:rPr>
        <w:t xml:space="preserve">Najvyššou úsporou oproti schválenému rozpočtu v sume 23 709 tis. eur boli výdavky v skupine </w:t>
      </w:r>
      <w:r w:rsidRPr="00D715AF">
        <w:rPr>
          <w:i/>
          <w:sz w:val="24"/>
          <w:szCs w:val="24"/>
        </w:rPr>
        <w:t>Sociálna pomoc občanom v hmotnej a sociálnej núdzi</w:t>
      </w:r>
      <w:r w:rsidRPr="00D715AF">
        <w:rPr>
          <w:sz w:val="24"/>
          <w:szCs w:val="24"/>
        </w:rPr>
        <w:t>. Nižšie výdavky ako plánované, boli z dôvodu počtu poberateľov najmä dávky v hmotnej núdzi.</w:t>
      </w:r>
    </w:p>
    <w:p w14:paraId="483BB675" w14:textId="77777777" w:rsidR="0078085C" w:rsidRPr="00D715AF" w:rsidRDefault="0078085C" w:rsidP="001665F3">
      <w:pPr>
        <w:spacing w:line="240" w:lineRule="auto"/>
        <w:rPr>
          <w:b/>
          <w:sz w:val="24"/>
          <w:szCs w:val="24"/>
        </w:rPr>
      </w:pPr>
      <w:r w:rsidRPr="00D715AF">
        <w:rPr>
          <w:b/>
          <w:sz w:val="24"/>
          <w:szCs w:val="24"/>
        </w:rPr>
        <w:t>Vzdelávanie</w:t>
      </w:r>
    </w:p>
    <w:p w14:paraId="35D38B6F" w14:textId="77777777" w:rsidR="0078085C" w:rsidRPr="00D715AF" w:rsidRDefault="0078085C" w:rsidP="001665F3">
      <w:pPr>
        <w:spacing w:line="240" w:lineRule="auto"/>
        <w:rPr>
          <w:sz w:val="24"/>
          <w:szCs w:val="24"/>
        </w:rPr>
      </w:pPr>
      <w:r w:rsidRPr="00D715AF">
        <w:rPr>
          <w:sz w:val="24"/>
          <w:szCs w:val="24"/>
        </w:rPr>
        <w:t>Výdavky na vzdelávanie v roku 2020 predstavovali 11,9 % z celkových výdavkov. Okrem financovania všetkých stupňov vzdelávania sa výdavky vynaložili aj na služby v školstve, napr. v oblasti stravovania, dopravy, lekárskej starostlivosti a na činnosť orgánov a organizácií, ktoré vzdelávanie zabezpečujú. Oproti minulému roku výdavky vzrástli o 300 666 tis. eur. Najvyššie celkové výdavky určené na vzdelávanie boli na kapitole Ministerstva vnútra SR (1 640 761 tis. eur) a kapitole Ministerstva školstva, vedy, výskumu a športu SR (1 124 618 tis. eur). Medziročný nárast tvorili najmä zvýšené výdavky na úhradu preneseného výkonu štátnej správy obciam ako aj bežné výdavky pre príspevkové organizácie. V oblasti vzdelávania boli výdavky vynaložené najmä na v</w:t>
      </w:r>
      <w:r w:rsidRPr="00D715AF">
        <w:rPr>
          <w:i/>
          <w:sz w:val="24"/>
          <w:szCs w:val="24"/>
        </w:rPr>
        <w:t>zdelávanie inde neklasifikované</w:t>
      </w:r>
      <w:r w:rsidRPr="00D715AF">
        <w:rPr>
          <w:sz w:val="24"/>
          <w:szCs w:val="24"/>
        </w:rPr>
        <w:t xml:space="preserve"> vo výške 1 474 966 tis. eur, na </w:t>
      </w:r>
      <w:r w:rsidRPr="00D715AF">
        <w:rPr>
          <w:i/>
          <w:sz w:val="24"/>
          <w:szCs w:val="24"/>
        </w:rPr>
        <w:t>sekundárne vzdelávanie</w:t>
      </w:r>
      <w:r w:rsidRPr="00D715AF">
        <w:rPr>
          <w:sz w:val="24"/>
          <w:szCs w:val="24"/>
        </w:rPr>
        <w:t xml:space="preserve"> vo výške 629 348 tis. eur a na </w:t>
      </w:r>
      <w:r w:rsidRPr="00D715AF">
        <w:rPr>
          <w:i/>
          <w:sz w:val="24"/>
          <w:szCs w:val="24"/>
        </w:rPr>
        <w:t>terciárne vzdelávanie</w:t>
      </w:r>
      <w:r w:rsidRPr="00D715AF">
        <w:rPr>
          <w:sz w:val="24"/>
          <w:szCs w:val="24"/>
        </w:rPr>
        <w:t xml:space="preserve"> vo výške 409 723 tis. eur.</w:t>
      </w:r>
    </w:p>
    <w:p w14:paraId="0F98EE81" w14:textId="77777777" w:rsidR="0078085C" w:rsidRPr="00D715AF" w:rsidRDefault="0078085C" w:rsidP="001665F3">
      <w:pPr>
        <w:spacing w:line="240" w:lineRule="auto"/>
        <w:rPr>
          <w:b/>
          <w:sz w:val="24"/>
          <w:szCs w:val="24"/>
        </w:rPr>
      </w:pPr>
      <w:r w:rsidRPr="00D715AF">
        <w:rPr>
          <w:b/>
          <w:sz w:val="24"/>
          <w:szCs w:val="24"/>
        </w:rPr>
        <w:t>Verejný poriadok a bezpečnosť</w:t>
      </w:r>
    </w:p>
    <w:p w14:paraId="790281C8" w14:textId="77777777" w:rsidR="0078085C" w:rsidRPr="00D715AF" w:rsidRDefault="0078085C" w:rsidP="001665F3">
      <w:pPr>
        <w:spacing w:line="240" w:lineRule="auto"/>
        <w:rPr>
          <w:sz w:val="24"/>
          <w:szCs w:val="24"/>
        </w:rPr>
      </w:pPr>
      <w:r w:rsidRPr="00D715AF">
        <w:rPr>
          <w:sz w:val="24"/>
          <w:szCs w:val="24"/>
        </w:rPr>
        <w:t>Výdavky predstavovali 9,6 % z celkových výdavkov. Ide o oblasť činností štátnej polície, súdov, potreby väzenstva, ochranu pred požiarmi ako aj financovanie ústredných orgánov, ktoré tieto činnosti kompetenčne zabezpečujú. Výdavky oproti minulému roku vzrástli o 126 982 tis. eur. Na celkovom prekročení schváleného rozpočtu o 235 976 tis. eur sa podieľali najmä výdavky na</w:t>
      </w:r>
      <w:r w:rsidRPr="00D715AF">
        <w:rPr>
          <w:i/>
          <w:sz w:val="24"/>
          <w:szCs w:val="24"/>
        </w:rPr>
        <w:t xml:space="preserve"> verejný poriadok a bezpečnosť</w:t>
      </w:r>
      <w:r w:rsidRPr="00D715AF">
        <w:rPr>
          <w:sz w:val="24"/>
          <w:szCs w:val="24"/>
        </w:rPr>
        <w:t xml:space="preserve"> </w:t>
      </w:r>
      <w:r w:rsidRPr="00D715AF">
        <w:rPr>
          <w:i/>
          <w:sz w:val="24"/>
          <w:szCs w:val="24"/>
        </w:rPr>
        <w:t xml:space="preserve">inde neklasifikované </w:t>
      </w:r>
      <w:r w:rsidRPr="00D715AF">
        <w:rPr>
          <w:sz w:val="24"/>
          <w:szCs w:val="24"/>
        </w:rPr>
        <w:t xml:space="preserve">(o 159 032 tis. eur) a na </w:t>
      </w:r>
      <w:r w:rsidRPr="00D715AF">
        <w:rPr>
          <w:i/>
          <w:sz w:val="24"/>
          <w:szCs w:val="24"/>
        </w:rPr>
        <w:t xml:space="preserve">ochranu pred požiarmi </w:t>
      </w:r>
      <w:r w:rsidRPr="00D715AF">
        <w:rPr>
          <w:sz w:val="24"/>
          <w:szCs w:val="24"/>
        </w:rPr>
        <w:t>(o 36 488 tis. eur). Jedným z dôvodov nárastu skutočnosti bol napr. nákup pracovných odevov, obuvi a pracovných pomôcok (37 667 tis. eur) a nákup komunikačnej infraštruktúry (o 28 030 tis. eur) predovšetkým na kapitole Ministerstva vnútra SR.</w:t>
      </w:r>
    </w:p>
    <w:p w14:paraId="7039DB53" w14:textId="77777777" w:rsidR="0078085C" w:rsidRPr="00D715AF" w:rsidRDefault="0078085C" w:rsidP="001665F3">
      <w:pPr>
        <w:spacing w:line="240" w:lineRule="auto"/>
        <w:rPr>
          <w:b/>
          <w:sz w:val="24"/>
          <w:szCs w:val="24"/>
        </w:rPr>
      </w:pPr>
      <w:r w:rsidRPr="00D715AF">
        <w:rPr>
          <w:b/>
          <w:sz w:val="24"/>
          <w:szCs w:val="24"/>
        </w:rPr>
        <w:t>Obrana</w:t>
      </w:r>
    </w:p>
    <w:p w14:paraId="76A00126" w14:textId="77777777" w:rsidR="0078085C" w:rsidRPr="00D715AF" w:rsidRDefault="0078085C" w:rsidP="001665F3">
      <w:pPr>
        <w:spacing w:line="240" w:lineRule="auto"/>
        <w:rPr>
          <w:sz w:val="24"/>
          <w:szCs w:val="24"/>
          <w:highlight w:val="green"/>
        </w:rPr>
      </w:pPr>
      <w:r w:rsidRPr="00D715AF">
        <w:rPr>
          <w:sz w:val="24"/>
          <w:szCs w:val="24"/>
        </w:rPr>
        <w:t xml:space="preserve">Výdavky v oddiele Obrana tvoria 7,2 % z celkových výdavkov. Ide hlavne o výdavky na vojenskú a civilnú ochranu a zahraničnú vojenskú pomoc. Výdavky na </w:t>
      </w:r>
      <w:r w:rsidRPr="00D715AF">
        <w:rPr>
          <w:i/>
          <w:sz w:val="24"/>
          <w:szCs w:val="24"/>
        </w:rPr>
        <w:t>vojenskú obranu</w:t>
      </w:r>
      <w:r w:rsidRPr="00D715AF">
        <w:rPr>
          <w:sz w:val="24"/>
          <w:szCs w:val="24"/>
        </w:rPr>
        <w:t xml:space="preserve"> dosiahli 1 604 050 tis. eur, z toho výdavky Ministerstva obrany SR boli v celkovej hodnote 1 586 551 tis. eur, z toho na mzdové prostriedky sa použilo 554 939 tis. eur a na obstaranie tovarov a služieb 529 670 tis. eur, išlo predovšetkým o projekt viacúčelové taktické lietadlá.</w:t>
      </w:r>
      <w:r w:rsidRPr="00D715AF" w:rsidDel="005553E6">
        <w:rPr>
          <w:sz w:val="24"/>
          <w:szCs w:val="24"/>
        </w:rPr>
        <w:t xml:space="preserve"> </w:t>
      </w:r>
    </w:p>
    <w:p w14:paraId="735914B3" w14:textId="77777777" w:rsidR="0078085C" w:rsidRPr="00D715AF" w:rsidRDefault="0078085C" w:rsidP="001665F3">
      <w:pPr>
        <w:spacing w:line="240" w:lineRule="auto"/>
        <w:rPr>
          <w:b/>
          <w:sz w:val="24"/>
          <w:szCs w:val="24"/>
        </w:rPr>
      </w:pPr>
      <w:r w:rsidRPr="00D715AF">
        <w:rPr>
          <w:b/>
          <w:sz w:val="24"/>
          <w:szCs w:val="24"/>
        </w:rPr>
        <w:t>Ochrana životného prostredia</w:t>
      </w:r>
    </w:p>
    <w:p w14:paraId="3B7C07A5" w14:textId="77777777" w:rsidR="0078085C" w:rsidRPr="00D715AF" w:rsidRDefault="0078085C" w:rsidP="001665F3">
      <w:pPr>
        <w:spacing w:line="240" w:lineRule="auto"/>
        <w:rPr>
          <w:sz w:val="24"/>
          <w:szCs w:val="24"/>
        </w:rPr>
      </w:pPr>
      <w:r w:rsidRPr="00D715AF">
        <w:rPr>
          <w:sz w:val="24"/>
          <w:szCs w:val="24"/>
        </w:rPr>
        <w:t xml:space="preserve">Výdavky v tomto oddiele tvoria 1,8 % z celkových výdavkov. V tomto odvetví boli výdavky v hodnote 422 987 tis. eur rovnako ako v predchádzajúcich rozpočtových obdobiach vynaložené najmä na </w:t>
      </w:r>
      <w:r w:rsidRPr="00D715AF">
        <w:rPr>
          <w:i/>
          <w:sz w:val="24"/>
          <w:szCs w:val="24"/>
        </w:rPr>
        <w:t xml:space="preserve">znižovanie znečisťovania </w:t>
      </w:r>
      <w:r w:rsidRPr="00D715AF">
        <w:rPr>
          <w:sz w:val="24"/>
          <w:szCs w:val="24"/>
        </w:rPr>
        <w:t>(194 838 tis. eur)</w:t>
      </w:r>
      <w:r w:rsidRPr="00D715AF">
        <w:rPr>
          <w:i/>
          <w:sz w:val="24"/>
          <w:szCs w:val="24"/>
        </w:rPr>
        <w:t xml:space="preserve"> </w:t>
      </w:r>
      <w:r w:rsidRPr="00D715AF">
        <w:rPr>
          <w:sz w:val="24"/>
          <w:szCs w:val="24"/>
        </w:rPr>
        <w:t>a na</w:t>
      </w:r>
      <w:r w:rsidRPr="00D715AF">
        <w:rPr>
          <w:i/>
          <w:sz w:val="24"/>
          <w:szCs w:val="24"/>
        </w:rPr>
        <w:t xml:space="preserve"> nakladanie s odpadmi</w:t>
      </w:r>
      <w:r w:rsidRPr="00D715AF">
        <w:rPr>
          <w:sz w:val="24"/>
          <w:szCs w:val="24"/>
        </w:rPr>
        <w:t xml:space="preserve"> (90 763 tis. eur). Najvyšší medziročný pokles nastal v skupine </w:t>
      </w:r>
      <w:r w:rsidRPr="00D715AF">
        <w:rPr>
          <w:i/>
          <w:sz w:val="24"/>
          <w:szCs w:val="24"/>
        </w:rPr>
        <w:t xml:space="preserve">nakladanie s odpadmi, </w:t>
      </w:r>
      <w:r w:rsidRPr="00D715AF">
        <w:rPr>
          <w:sz w:val="24"/>
          <w:szCs w:val="24"/>
        </w:rPr>
        <w:t>a to o 26 402 tis. eur.</w:t>
      </w:r>
    </w:p>
    <w:p w14:paraId="203E1F15" w14:textId="0D0DF882" w:rsidR="0078085C" w:rsidRPr="00D715AF" w:rsidRDefault="0078085C" w:rsidP="001665F3">
      <w:pPr>
        <w:tabs>
          <w:tab w:val="left" w:pos="284"/>
        </w:tabs>
        <w:spacing w:line="240" w:lineRule="auto"/>
        <w:rPr>
          <w:b/>
          <w:sz w:val="24"/>
          <w:szCs w:val="24"/>
        </w:rPr>
      </w:pPr>
      <w:r w:rsidRPr="00D715AF">
        <w:rPr>
          <w:b/>
          <w:sz w:val="24"/>
          <w:szCs w:val="24"/>
        </w:rPr>
        <w:t>Rekreácia, kultúra a náboženstvo</w:t>
      </w:r>
    </w:p>
    <w:p w14:paraId="0A3B2FD0" w14:textId="77777777" w:rsidR="0078085C" w:rsidRPr="00D715AF" w:rsidRDefault="0078085C" w:rsidP="001665F3">
      <w:pPr>
        <w:spacing w:line="240" w:lineRule="auto"/>
        <w:rPr>
          <w:sz w:val="24"/>
          <w:szCs w:val="24"/>
        </w:rPr>
      </w:pPr>
      <w:r w:rsidRPr="00D715AF">
        <w:rPr>
          <w:sz w:val="24"/>
          <w:szCs w:val="24"/>
        </w:rPr>
        <w:t xml:space="preserve">Výdavky na rekreácie, kultúru a náboženstvo boli realizované vo výške 580 572 tis. eur. Najväčšia časť výdavkov bola v kapitole Ministerstva kultúry SR (337 585 tis. eur). Celkovo boli najvyššie výdavky v skupine </w:t>
      </w:r>
      <w:r w:rsidRPr="00D715AF">
        <w:rPr>
          <w:i/>
          <w:sz w:val="24"/>
          <w:szCs w:val="24"/>
        </w:rPr>
        <w:t>kultúrnych služieb</w:t>
      </w:r>
      <w:r w:rsidRPr="00D715AF">
        <w:rPr>
          <w:sz w:val="24"/>
          <w:szCs w:val="24"/>
        </w:rPr>
        <w:t xml:space="preserve"> v celkovej výške 241 486 tis. eur a v skupine </w:t>
      </w:r>
      <w:r w:rsidRPr="00D715AF">
        <w:rPr>
          <w:i/>
          <w:sz w:val="24"/>
          <w:szCs w:val="24"/>
        </w:rPr>
        <w:t xml:space="preserve">rekreačné a športové služby </w:t>
      </w:r>
      <w:r w:rsidRPr="00D715AF">
        <w:rPr>
          <w:sz w:val="24"/>
          <w:szCs w:val="24"/>
        </w:rPr>
        <w:t xml:space="preserve">171 029 tis. eur. Medziročný nárast bol najvyšší </w:t>
      </w:r>
      <w:r w:rsidRPr="00D715AF">
        <w:rPr>
          <w:i/>
          <w:sz w:val="24"/>
          <w:szCs w:val="24"/>
        </w:rPr>
        <w:t>v kultúrnych službách</w:t>
      </w:r>
      <w:r w:rsidRPr="00D715AF">
        <w:rPr>
          <w:sz w:val="24"/>
          <w:szCs w:val="24"/>
        </w:rPr>
        <w:t xml:space="preserve"> o 29 281 tis. eur.</w:t>
      </w:r>
    </w:p>
    <w:p w14:paraId="1BA60778" w14:textId="77777777" w:rsidR="0078085C" w:rsidRPr="00D715AF" w:rsidRDefault="0078085C" w:rsidP="001665F3">
      <w:pPr>
        <w:tabs>
          <w:tab w:val="left" w:pos="284"/>
        </w:tabs>
        <w:spacing w:line="240" w:lineRule="auto"/>
        <w:rPr>
          <w:b/>
          <w:sz w:val="24"/>
          <w:szCs w:val="24"/>
        </w:rPr>
      </w:pPr>
      <w:r w:rsidRPr="00D715AF">
        <w:rPr>
          <w:b/>
          <w:sz w:val="24"/>
          <w:szCs w:val="24"/>
        </w:rPr>
        <w:t>Zdravotníctvo</w:t>
      </w:r>
    </w:p>
    <w:p w14:paraId="4B795651" w14:textId="77777777" w:rsidR="0078085C" w:rsidRPr="00D715AF" w:rsidRDefault="0078085C" w:rsidP="001665F3">
      <w:pPr>
        <w:spacing w:line="240" w:lineRule="auto"/>
        <w:rPr>
          <w:sz w:val="24"/>
          <w:szCs w:val="24"/>
        </w:rPr>
      </w:pPr>
      <w:r w:rsidRPr="00D715AF">
        <w:rPr>
          <w:sz w:val="24"/>
          <w:szCs w:val="24"/>
        </w:rPr>
        <w:t>Výdavky v tomto oddiele tvorili 1,6 % z celkových výdavkov. Patria sem výdavky, ktoré zahŕňajú činnosti ako je ústavná a ambulantná zdravotná starostlivosť, verejné zdravotné služby (prevádzka krvnej banky, zisťovanie chorôb, zber epidemiologických údajov). Na výdavkoch sa najväčšou mierou podieľalo Ministerstvo zdravotníctva SR (274 524 tis. eur), ktoré v skupine z</w:t>
      </w:r>
      <w:r w:rsidRPr="00D715AF">
        <w:rPr>
          <w:i/>
          <w:sz w:val="24"/>
          <w:szCs w:val="24"/>
        </w:rPr>
        <w:t>dravotníctvo inde neklasifikované</w:t>
      </w:r>
      <w:r w:rsidRPr="00D715AF">
        <w:rPr>
          <w:sz w:val="24"/>
          <w:szCs w:val="24"/>
        </w:rPr>
        <w:t xml:space="preserve"> čerpalo výdavky vo výške 126 076 tis. eur (2019: 71 586 tis. eur), kde bol zaznamenaný aj najvyšší medziročný nárast o 54 491 tis. eur. Išlo napr. o dotácie určené príspevkovým organizáciám, ostatným právnickým osobám, ale aj realizáciu nových stavieb.</w:t>
      </w:r>
    </w:p>
    <w:p w14:paraId="08F14575" w14:textId="77777777" w:rsidR="0078085C" w:rsidRPr="00D715AF" w:rsidRDefault="0078085C" w:rsidP="001665F3">
      <w:pPr>
        <w:spacing w:line="240" w:lineRule="auto"/>
        <w:rPr>
          <w:sz w:val="24"/>
          <w:szCs w:val="24"/>
        </w:rPr>
      </w:pPr>
      <w:r w:rsidRPr="00D715AF">
        <w:rPr>
          <w:sz w:val="24"/>
          <w:szCs w:val="24"/>
        </w:rPr>
        <w:t>V skupine</w:t>
      </w:r>
      <w:r w:rsidRPr="00D715AF">
        <w:rPr>
          <w:b/>
          <w:sz w:val="24"/>
          <w:szCs w:val="24"/>
        </w:rPr>
        <w:t xml:space="preserve"> </w:t>
      </w:r>
      <w:r w:rsidRPr="00D715AF">
        <w:rPr>
          <w:i/>
          <w:sz w:val="24"/>
          <w:szCs w:val="24"/>
        </w:rPr>
        <w:t>ústavná zdravotná starostlivosť</w:t>
      </w:r>
      <w:r w:rsidRPr="00D715AF">
        <w:rPr>
          <w:sz w:val="24"/>
          <w:szCs w:val="24"/>
        </w:rPr>
        <w:t xml:space="preserve"> realizovalo Ministerstvo zdravotníctva SR výdavky vo výške 80 059 tis. eur, najmä na zdravotnú starostlivosť poskytovanú vo všeobecných nemocniciach napr. v oblasti dotácií príspevkovým organizáciám napr. aj na riešenie drogovej problematiky, farmácie, informatiky, na činnosť Inšpektorátu kúpeľov a žriediel Ministerstva zdravotníctva SR, pre Národné monitorovacie centrum pre drogy a na zabezpečenie zdravotnej starostlivosti v zmysle § 9 zákona č. 580/2004 Z. z. </w:t>
      </w:r>
    </w:p>
    <w:p w14:paraId="287EA422" w14:textId="77777777" w:rsidR="00564010" w:rsidRDefault="00564010">
      <w:pPr>
        <w:spacing w:after="160" w:line="259" w:lineRule="auto"/>
        <w:jc w:val="left"/>
        <w:rPr>
          <w:b/>
          <w:sz w:val="24"/>
          <w:szCs w:val="24"/>
        </w:rPr>
      </w:pPr>
      <w:r>
        <w:rPr>
          <w:b/>
          <w:sz w:val="24"/>
          <w:szCs w:val="24"/>
        </w:rPr>
        <w:br w:type="page"/>
      </w:r>
    </w:p>
    <w:p w14:paraId="2B025FCA" w14:textId="33BE598F" w:rsidR="0078085C" w:rsidRPr="00D715AF" w:rsidRDefault="0078085C" w:rsidP="001665F3">
      <w:pPr>
        <w:tabs>
          <w:tab w:val="left" w:pos="284"/>
        </w:tabs>
        <w:spacing w:line="240" w:lineRule="auto"/>
        <w:rPr>
          <w:sz w:val="24"/>
          <w:szCs w:val="24"/>
        </w:rPr>
      </w:pPr>
      <w:r w:rsidRPr="00D715AF">
        <w:rPr>
          <w:b/>
          <w:sz w:val="24"/>
          <w:szCs w:val="24"/>
        </w:rPr>
        <w:t>Bývanie a občianska vybavenosť</w:t>
      </w:r>
    </w:p>
    <w:p w14:paraId="15218A66" w14:textId="77777777" w:rsidR="0078085C" w:rsidRPr="00D715AF" w:rsidRDefault="0078085C" w:rsidP="001665F3">
      <w:pPr>
        <w:spacing w:line="240" w:lineRule="auto"/>
        <w:rPr>
          <w:b/>
          <w:sz w:val="24"/>
          <w:szCs w:val="24"/>
        </w:rPr>
      </w:pPr>
      <w:r w:rsidRPr="00D715AF">
        <w:rPr>
          <w:sz w:val="24"/>
          <w:szCs w:val="24"/>
        </w:rPr>
        <w:t>Výdavky v tomto oddiele dosiahli výšku 89 912 tis. eur a v rozhodujúcej miere sa na nich podieľalo Ministerstvo dopravy a výstavby SR (60 773 tis. eur). Výdavky boli použité na výstavbu a obnovu bytového fondu, pre Štátny fond rozvoja bývania na štátnu prémiu k stavebnému sporeniu, na poskytnutie štátneho príspevku a štátneho príspevku pre mladých k hypotekárnym úverom, na náhradné nájomné byty.</w:t>
      </w:r>
    </w:p>
    <w:p w14:paraId="2C096E66" w14:textId="3B0B7065" w:rsidR="0007053F" w:rsidRDefault="0078085C" w:rsidP="001665F3">
      <w:pPr>
        <w:spacing w:line="240" w:lineRule="auto"/>
        <w:rPr>
          <w:b/>
          <w:i/>
        </w:rPr>
      </w:pPr>
      <w:r w:rsidRPr="00935B24">
        <w:rPr>
          <w:b/>
          <w:i/>
        </w:rPr>
        <w:t>Podrobný prehľad o výdavkov štátneho rozpočtu podľa funkčnej klasifikácie je uvedený v tab. č. 11 tabuľkovej prílohy štátneho záverečného účtu.</w:t>
      </w:r>
      <w:bookmarkStart w:id="51" w:name="_Toc6415648"/>
    </w:p>
    <w:p w14:paraId="22622F0B" w14:textId="77777777" w:rsidR="00935B24" w:rsidRPr="00935B24" w:rsidRDefault="00935B24" w:rsidP="001665F3">
      <w:pPr>
        <w:spacing w:line="240" w:lineRule="auto"/>
        <w:rPr>
          <w:b/>
          <w:i/>
        </w:rPr>
      </w:pPr>
    </w:p>
    <w:p w14:paraId="32C59042" w14:textId="3A517AC8" w:rsidR="00151F12" w:rsidRPr="00935B24" w:rsidRDefault="00151F12" w:rsidP="00151F12">
      <w:pPr>
        <w:keepNext/>
        <w:keepLines/>
        <w:numPr>
          <w:ilvl w:val="2"/>
          <w:numId w:val="0"/>
        </w:numPr>
        <w:spacing w:before="120"/>
        <w:jc w:val="center"/>
        <w:outlineLvl w:val="2"/>
        <w:rPr>
          <w:rFonts w:eastAsiaTheme="majorEastAsia" w:cstheme="majorBidi"/>
          <w:b/>
          <w:sz w:val="24"/>
          <w:szCs w:val="24"/>
        </w:rPr>
      </w:pPr>
      <w:bookmarkStart w:id="52" w:name="_Toc70026101"/>
      <w:r w:rsidRPr="00935B24">
        <w:rPr>
          <w:rFonts w:eastAsiaTheme="majorEastAsia" w:cstheme="majorBidi"/>
          <w:b/>
          <w:sz w:val="24"/>
          <w:szCs w:val="24"/>
        </w:rPr>
        <w:t>3.2.3 Vzťahy štátneho rozpočtu k obciam</w:t>
      </w:r>
      <w:bookmarkEnd w:id="51"/>
      <w:bookmarkEnd w:id="52"/>
    </w:p>
    <w:p w14:paraId="603C03EC" w14:textId="77777777" w:rsidR="00151F12" w:rsidRPr="00D715AF" w:rsidRDefault="00151F12" w:rsidP="001665F3">
      <w:pPr>
        <w:suppressAutoHyphens/>
        <w:spacing w:line="240" w:lineRule="auto"/>
        <w:rPr>
          <w:color w:val="000000" w:themeColor="text1"/>
          <w:sz w:val="24"/>
          <w:szCs w:val="24"/>
        </w:rPr>
      </w:pPr>
      <w:r w:rsidRPr="00D715AF">
        <w:rPr>
          <w:color w:val="000000" w:themeColor="text1"/>
          <w:sz w:val="24"/>
          <w:szCs w:val="24"/>
        </w:rPr>
        <w:t>V roku 2020 bolo do rozpočtov obcí poskytnutých celkovo 1 756 998 tis. eur vo forme bežných a kapitálových grantov a transferov, čo je za ostatné tri roky najvyššia suma. Bežné granty a transfery tvorili sumu 1 431 724 tis. eur a kapitálové granty a transfery čiastku 325 274 tis. eur. V porovnaní so skutočnosťou 2019 je to v úhrne za všetky zdroje výdavkov (vrátane EÚ a mimorozpočtových zdrojov) viac o 251 362 tis. eur, zo zdroja 111 (štátny rozpočet) o 227 582 tis. eur viac.</w:t>
      </w:r>
    </w:p>
    <w:p w14:paraId="796F6DAA" w14:textId="709B4906" w:rsidR="00151F12" w:rsidRPr="00D715AF" w:rsidRDefault="00151F12" w:rsidP="001665F3">
      <w:pPr>
        <w:suppressAutoHyphens/>
        <w:spacing w:line="240" w:lineRule="auto"/>
        <w:rPr>
          <w:color w:val="000000" w:themeColor="text1"/>
          <w:sz w:val="24"/>
          <w:szCs w:val="24"/>
        </w:rPr>
      </w:pPr>
      <w:r w:rsidRPr="00D715AF">
        <w:rPr>
          <w:color w:val="000000" w:themeColor="text1"/>
          <w:sz w:val="24"/>
          <w:szCs w:val="24"/>
        </w:rPr>
        <w:t xml:space="preserve">Granty a transfery zo zdroja 111 boli poskytnuté v sume 1 418 916 tis. eur. Z toho bežné granty a transfery tvorili čiastku 1 367 998 tis. eur a kapitálové granty a transfery sumu 50 918 tis. eur. Na financovanie kompetencií preneseného výkonu štátnej správy bolo poskytnutých 1 143 357 tis. eur (2019: 1 008 541 tis. eur) len v rámci bežných transferov, a to v kapitole Ministerstva vnútra SR 1 122 863 tis. eur (2019: 1 000 033 tis. eur), Štatistického úradu SR suma 11 136 tis. eur a Ministerstva dopravy a výstavby SR suma 9 358 tis. eur (2019: 8 508 tis. eur). </w:t>
      </w:r>
    </w:p>
    <w:p w14:paraId="42CF1967" w14:textId="77777777" w:rsidR="00151F12" w:rsidRPr="00B93968" w:rsidRDefault="00151F12" w:rsidP="001665F3">
      <w:pPr>
        <w:suppressAutoHyphens/>
        <w:spacing w:line="240" w:lineRule="auto"/>
      </w:pPr>
      <w:r w:rsidRPr="00D715AF">
        <w:rPr>
          <w:sz w:val="24"/>
          <w:szCs w:val="24"/>
        </w:rPr>
        <w:t>Súhrnný prehľad grantov a transferov poskytnutých obciam podľa funkčnej klasifikácie poskytuje</w:t>
      </w:r>
      <w:r w:rsidRPr="00D715AF" w:rsidDel="00DB13BF">
        <w:rPr>
          <w:sz w:val="24"/>
          <w:szCs w:val="24"/>
        </w:rPr>
        <w:t xml:space="preserve"> </w:t>
      </w:r>
      <w:r w:rsidRPr="00D715AF">
        <w:rPr>
          <w:sz w:val="24"/>
          <w:szCs w:val="24"/>
        </w:rPr>
        <w:t>nasledovná tabuľka:</w:t>
      </w:r>
    </w:p>
    <w:tbl>
      <w:tblPr>
        <w:tblW w:w="9235" w:type="dxa"/>
        <w:tblInd w:w="-10" w:type="dxa"/>
        <w:tblCellMar>
          <w:left w:w="70" w:type="dxa"/>
          <w:right w:w="70" w:type="dxa"/>
        </w:tblCellMar>
        <w:tblLook w:val="04A0" w:firstRow="1" w:lastRow="0" w:firstColumn="1" w:lastColumn="0" w:noHBand="0" w:noVBand="1"/>
      </w:tblPr>
      <w:tblGrid>
        <w:gridCol w:w="2552"/>
        <w:gridCol w:w="980"/>
        <w:gridCol w:w="940"/>
        <w:gridCol w:w="940"/>
        <w:gridCol w:w="967"/>
        <w:gridCol w:w="1000"/>
        <w:gridCol w:w="1005"/>
        <w:gridCol w:w="851"/>
      </w:tblGrid>
      <w:tr w:rsidR="00151F12" w:rsidRPr="00712D17" w14:paraId="1DB425BC" w14:textId="77777777" w:rsidTr="00712D17">
        <w:trPr>
          <w:trHeight w:val="330"/>
        </w:trPr>
        <w:tc>
          <w:tcPr>
            <w:tcW w:w="8384" w:type="dxa"/>
            <w:gridSpan w:val="7"/>
            <w:tcBorders>
              <w:top w:val="nil"/>
              <w:left w:val="single" w:sz="8" w:space="0" w:color="auto"/>
              <w:bottom w:val="nil"/>
              <w:right w:val="nil"/>
            </w:tcBorders>
            <w:shd w:val="clear" w:color="000000" w:fill="000000"/>
            <w:vAlign w:val="center"/>
            <w:hideMark/>
          </w:tcPr>
          <w:p w14:paraId="1E0E6DFF" w14:textId="77777777" w:rsidR="00151F12" w:rsidRPr="00712D17" w:rsidRDefault="00151F12" w:rsidP="00151F12">
            <w:pPr>
              <w:spacing w:after="0" w:line="240" w:lineRule="auto"/>
              <w:rPr>
                <w:rFonts w:eastAsia="Times New Roman" w:cs="Times New Roman"/>
                <w:b/>
                <w:bCs/>
                <w:color w:val="FFFFFF"/>
                <w:sz w:val="18"/>
                <w:szCs w:val="18"/>
                <w:lang w:eastAsia="sk-SK"/>
              </w:rPr>
            </w:pPr>
            <w:bookmarkStart w:id="53" w:name="RANGE!B5:I18"/>
            <w:r w:rsidRPr="00712D17">
              <w:rPr>
                <w:rFonts w:eastAsia="Times New Roman" w:cs="Times New Roman"/>
                <w:b/>
                <w:bCs/>
                <w:color w:val="FFFFFF"/>
                <w:sz w:val="18"/>
                <w:szCs w:val="18"/>
                <w:lang w:eastAsia="sk-SK"/>
              </w:rPr>
              <w:t>Granty a transfery poskytnuté obciam podľa oddielov funkčnej klasifikácie</w:t>
            </w:r>
            <w:bookmarkEnd w:id="53"/>
          </w:p>
        </w:tc>
        <w:tc>
          <w:tcPr>
            <w:tcW w:w="851" w:type="dxa"/>
            <w:tcBorders>
              <w:top w:val="nil"/>
              <w:left w:val="nil"/>
              <w:bottom w:val="nil"/>
              <w:right w:val="nil"/>
            </w:tcBorders>
            <w:shd w:val="clear" w:color="000000" w:fill="000000"/>
            <w:noWrap/>
            <w:vAlign w:val="bottom"/>
            <w:hideMark/>
          </w:tcPr>
          <w:p w14:paraId="2A9E807E" w14:textId="77777777" w:rsidR="00151F12" w:rsidRPr="00712D17" w:rsidRDefault="00151F12" w:rsidP="00151F12">
            <w:pPr>
              <w:spacing w:after="0" w:line="240" w:lineRule="auto"/>
              <w:rPr>
                <w:rFonts w:eastAsia="Times New Roman" w:cs="Times New Roman"/>
                <w:b/>
                <w:bCs/>
                <w:color w:val="FFFFFF"/>
                <w:sz w:val="18"/>
                <w:szCs w:val="18"/>
                <w:lang w:eastAsia="sk-SK"/>
              </w:rPr>
            </w:pPr>
            <w:r w:rsidRPr="00712D17">
              <w:rPr>
                <w:rFonts w:eastAsia="Times New Roman" w:cs="Times New Roman"/>
                <w:b/>
                <w:bCs/>
                <w:color w:val="FFFFFF"/>
                <w:sz w:val="18"/>
                <w:szCs w:val="18"/>
                <w:lang w:eastAsia="sk-SK"/>
              </w:rPr>
              <w:t>v tis. eur</w:t>
            </w:r>
          </w:p>
        </w:tc>
      </w:tr>
      <w:tr w:rsidR="00151F12" w:rsidRPr="00712D17" w14:paraId="33C51D59" w14:textId="77777777" w:rsidTr="00712D17">
        <w:trPr>
          <w:trHeight w:val="510"/>
        </w:trPr>
        <w:tc>
          <w:tcPr>
            <w:tcW w:w="2552" w:type="dxa"/>
            <w:tcBorders>
              <w:top w:val="nil"/>
              <w:left w:val="nil"/>
              <w:bottom w:val="nil"/>
              <w:right w:val="nil"/>
            </w:tcBorders>
            <w:shd w:val="clear" w:color="000000" w:fill="BFBFBF"/>
            <w:vAlign w:val="center"/>
            <w:hideMark/>
          </w:tcPr>
          <w:p w14:paraId="23186D79" w14:textId="77777777" w:rsidR="00151F12" w:rsidRPr="00712D17" w:rsidRDefault="00151F12" w:rsidP="00151F12">
            <w:pPr>
              <w:spacing w:after="0" w:line="240" w:lineRule="auto"/>
              <w:rPr>
                <w:rFonts w:eastAsia="Times New Roman" w:cs="Times New Roman"/>
                <w:b/>
                <w:bCs/>
                <w:color w:val="FFFFFF"/>
                <w:sz w:val="18"/>
                <w:szCs w:val="18"/>
                <w:lang w:eastAsia="sk-SK"/>
              </w:rPr>
            </w:pPr>
            <w:r w:rsidRPr="00712D17">
              <w:rPr>
                <w:rFonts w:eastAsia="Times New Roman" w:cs="Times New Roman"/>
                <w:b/>
                <w:bCs/>
                <w:color w:val="FFFFFF"/>
                <w:sz w:val="18"/>
                <w:szCs w:val="18"/>
                <w:lang w:eastAsia="sk-SK"/>
              </w:rPr>
              <w:t> </w:t>
            </w:r>
          </w:p>
        </w:tc>
        <w:tc>
          <w:tcPr>
            <w:tcW w:w="1920" w:type="dxa"/>
            <w:gridSpan w:val="2"/>
            <w:tcBorders>
              <w:top w:val="nil"/>
              <w:left w:val="nil"/>
              <w:bottom w:val="nil"/>
              <w:right w:val="nil"/>
            </w:tcBorders>
            <w:shd w:val="clear" w:color="000000" w:fill="BFBFBF"/>
            <w:vAlign w:val="center"/>
            <w:hideMark/>
          </w:tcPr>
          <w:p w14:paraId="7B2C7C11" w14:textId="77777777" w:rsidR="00151F12" w:rsidRPr="00712D17" w:rsidRDefault="00151F12" w:rsidP="00151F12">
            <w:pPr>
              <w:spacing w:after="0" w:line="240" w:lineRule="auto"/>
              <w:jc w:val="center"/>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Skutočnosť</w:t>
            </w:r>
          </w:p>
        </w:tc>
        <w:tc>
          <w:tcPr>
            <w:tcW w:w="940" w:type="dxa"/>
            <w:tcBorders>
              <w:top w:val="nil"/>
              <w:left w:val="nil"/>
              <w:bottom w:val="nil"/>
              <w:right w:val="nil"/>
            </w:tcBorders>
            <w:shd w:val="clear" w:color="000000" w:fill="BFBFBF"/>
            <w:vAlign w:val="center"/>
            <w:hideMark/>
          </w:tcPr>
          <w:p w14:paraId="74A09275" w14:textId="77777777" w:rsidR="00151F12" w:rsidRPr="00712D17" w:rsidRDefault="00151F12" w:rsidP="00151F12">
            <w:pPr>
              <w:spacing w:after="0" w:line="240" w:lineRule="auto"/>
              <w:jc w:val="center"/>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Rozpočet</w:t>
            </w:r>
          </w:p>
        </w:tc>
        <w:tc>
          <w:tcPr>
            <w:tcW w:w="1967" w:type="dxa"/>
            <w:gridSpan w:val="2"/>
            <w:tcBorders>
              <w:top w:val="nil"/>
              <w:left w:val="nil"/>
              <w:bottom w:val="nil"/>
              <w:right w:val="nil"/>
            </w:tcBorders>
            <w:shd w:val="clear" w:color="000000" w:fill="BFBFBF"/>
            <w:vAlign w:val="center"/>
            <w:hideMark/>
          </w:tcPr>
          <w:p w14:paraId="4F1F7D20" w14:textId="77777777" w:rsidR="00151F12" w:rsidRPr="00712D17" w:rsidRDefault="00151F12" w:rsidP="00151F12">
            <w:pPr>
              <w:spacing w:after="0" w:line="240" w:lineRule="auto"/>
              <w:jc w:val="center"/>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Skutočnosť</w:t>
            </w:r>
          </w:p>
        </w:tc>
        <w:tc>
          <w:tcPr>
            <w:tcW w:w="1856" w:type="dxa"/>
            <w:gridSpan w:val="2"/>
            <w:tcBorders>
              <w:top w:val="nil"/>
              <w:left w:val="nil"/>
              <w:bottom w:val="nil"/>
              <w:right w:val="nil"/>
            </w:tcBorders>
            <w:shd w:val="clear" w:color="000000" w:fill="BFBFBF"/>
            <w:vAlign w:val="center"/>
            <w:hideMark/>
          </w:tcPr>
          <w:p w14:paraId="061020C0" w14:textId="77777777" w:rsidR="00151F12" w:rsidRPr="00712D17" w:rsidRDefault="00151F12" w:rsidP="00151F12">
            <w:pPr>
              <w:spacing w:after="0" w:line="240" w:lineRule="auto"/>
              <w:jc w:val="center"/>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Rozdiel</w:t>
            </w:r>
          </w:p>
        </w:tc>
      </w:tr>
      <w:tr w:rsidR="00151F12" w:rsidRPr="00712D17" w14:paraId="1B8D044C" w14:textId="77777777" w:rsidTr="00712D17">
        <w:trPr>
          <w:trHeight w:val="510"/>
        </w:trPr>
        <w:tc>
          <w:tcPr>
            <w:tcW w:w="2552" w:type="dxa"/>
            <w:tcBorders>
              <w:top w:val="nil"/>
              <w:left w:val="nil"/>
              <w:bottom w:val="nil"/>
              <w:right w:val="nil"/>
            </w:tcBorders>
            <w:shd w:val="clear" w:color="000000" w:fill="BFBFBF"/>
            <w:vAlign w:val="center"/>
            <w:hideMark/>
          </w:tcPr>
          <w:p w14:paraId="2C03B0A1" w14:textId="77777777" w:rsidR="00151F12" w:rsidRPr="00712D17" w:rsidRDefault="00151F12" w:rsidP="00151F12">
            <w:pPr>
              <w:spacing w:after="0" w:line="240" w:lineRule="auto"/>
              <w:jc w:val="center"/>
              <w:rPr>
                <w:rFonts w:eastAsia="Times New Roman" w:cs="Times New Roman"/>
                <w:b/>
                <w:bCs/>
                <w:sz w:val="18"/>
                <w:szCs w:val="18"/>
                <w:lang w:eastAsia="sk-SK"/>
              </w:rPr>
            </w:pPr>
            <w:r w:rsidRPr="00712D17">
              <w:rPr>
                <w:rFonts w:eastAsia="Times New Roman" w:cs="Times New Roman"/>
                <w:b/>
                <w:bCs/>
                <w:sz w:val="18"/>
                <w:szCs w:val="18"/>
                <w:lang w:eastAsia="sk-SK"/>
              </w:rPr>
              <w:t> </w:t>
            </w:r>
          </w:p>
        </w:tc>
        <w:tc>
          <w:tcPr>
            <w:tcW w:w="980" w:type="dxa"/>
            <w:tcBorders>
              <w:top w:val="nil"/>
              <w:left w:val="nil"/>
              <w:bottom w:val="nil"/>
              <w:right w:val="nil"/>
            </w:tcBorders>
            <w:shd w:val="clear" w:color="000000" w:fill="BFBFBF"/>
            <w:vAlign w:val="center"/>
            <w:hideMark/>
          </w:tcPr>
          <w:p w14:paraId="249BED67" w14:textId="77777777" w:rsidR="00151F12" w:rsidRPr="00712D17" w:rsidRDefault="00151F12" w:rsidP="00151F12">
            <w:pPr>
              <w:spacing w:after="0" w:line="240" w:lineRule="auto"/>
              <w:jc w:val="center"/>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2018</w:t>
            </w:r>
          </w:p>
        </w:tc>
        <w:tc>
          <w:tcPr>
            <w:tcW w:w="940" w:type="dxa"/>
            <w:tcBorders>
              <w:top w:val="nil"/>
              <w:left w:val="nil"/>
              <w:bottom w:val="nil"/>
              <w:right w:val="nil"/>
            </w:tcBorders>
            <w:shd w:val="clear" w:color="000000" w:fill="BFBFBF"/>
            <w:vAlign w:val="center"/>
            <w:hideMark/>
          </w:tcPr>
          <w:p w14:paraId="0CEF44E3" w14:textId="77777777" w:rsidR="00151F12" w:rsidRPr="00712D17" w:rsidRDefault="00151F12" w:rsidP="00151F12">
            <w:pPr>
              <w:spacing w:after="0" w:line="240" w:lineRule="auto"/>
              <w:jc w:val="center"/>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2019</w:t>
            </w:r>
          </w:p>
        </w:tc>
        <w:tc>
          <w:tcPr>
            <w:tcW w:w="940" w:type="dxa"/>
            <w:tcBorders>
              <w:top w:val="nil"/>
              <w:left w:val="nil"/>
              <w:bottom w:val="nil"/>
              <w:right w:val="nil"/>
            </w:tcBorders>
            <w:shd w:val="clear" w:color="000000" w:fill="BFBFBF"/>
            <w:vAlign w:val="center"/>
            <w:hideMark/>
          </w:tcPr>
          <w:p w14:paraId="52328258" w14:textId="77777777" w:rsidR="00151F12" w:rsidRPr="00712D17" w:rsidRDefault="00151F12" w:rsidP="00151F12">
            <w:pPr>
              <w:spacing w:after="0" w:line="240" w:lineRule="auto"/>
              <w:jc w:val="center"/>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2020</w:t>
            </w:r>
          </w:p>
        </w:tc>
        <w:tc>
          <w:tcPr>
            <w:tcW w:w="967" w:type="dxa"/>
            <w:tcBorders>
              <w:top w:val="nil"/>
              <w:left w:val="nil"/>
              <w:bottom w:val="nil"/>
              <w:right w:val="nil"/>
            </w:tcBorders>
            <w:shd w:val="clear" w:color="000000" w:fill="BFBFBF"/>
            <w:vAlign w:val="center"/>
            <w:hideMark/>
          </w:tcPr>
          <w:p w14:paraId="76BF478D" w14:textId="77777777" w:rsidR="00151F12" w:rsidRPr="00712D17" w:rsidRDefault="00151F12" w:rsidP="00151F12">
            <w:pPr>
              <w:spacing w:after="0" w:line="240" w:lineRule="auto"/>
              <w:jc w:val="center"/>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2020</w:t>
            </w:r>
          </w:p>
        </w:tc>
        <w:tc>
          <w:tcPr>
            <w:tcW w:w="1000" w:type="dxa"/>
            <w:tcBorders>
              <w:top w:val="nil"/>
              <w:left w:val="nil"/>
              <w:bottom w:val="nil"/>
              <w:right w:val="nil"/>
            </w:tcBorders>
            <w:shd w:val="clear" w:color="000000" w:fill="BFBFBF"/>
            <w:vAlign w:val="center"/>
            <w:hideMark/>
          </w:tcPr>
          <w:p w14:paraId="2328E768" w14:textId="77777777" w:rsidR="00151F12" w:rsidRPr="00712D17" w:rsidRDefault="00151F12" w:rsidP="00151F12">
            <w:pPr>
              <w:spacing w:after="0" w:line="240" w:lineRule="auto"/>
              <w:jc w:val="center"/>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z toho: zdroj 111</w:t>
            </w:r>
            <w:r w:rsidRPr="00712D17">
              <w:rPr>
                <w:rFonts w:ascii="Arial Narrow" w:eastAsia="Times New Roman" w:hAnsi="Arial Narrow" w:cs="Times New Roman"/>
                <w:b/>
                <w:bCs/>
                <w:color w:val="000000"/>
                <w:sz w:val="18"/>
                <w:szCs w:val="18"/>
                <w:lang w:eastAsia="sk-SK"/>
              </w:rPr>
              <w:t>*</w:t>
            </w:r>
          </w:p>
        </w:tc>
        <w:tc>
          <w:tcPr>
            <w:tcW w:w="1005" w:type="dxa"/>
            <w:tcBorders>
              <w:top w:val="nil"/>
              <w:left w:val="nil"/>
              <w:bottom w:val="nil"/>
              <w:right w:val="nil"/>
            </w:tcBorders>
            <w:shd w:val="clear" w:color="000000" w:fill="BFBFBF"/>
            <w:vAlign w:val="center"/>
            <w:hideMark/>
          </w:tcPr>
          <w:p w14:paraId="73424BEE" w14:textId="0310BA58" w:rsidR="00151F12" w:rsidRPr="00712D17" w:rsidRDefault="00151F12" w:rsidP="00CA1B5D">
            <w:pPr>
              <w:spacing w:after="0" w:line="240" w:lineRule="auto"/>
              <w:jc w:val="center"/>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 xml:space="preserve"> v tis. </w:t>
            </w:r>
            <w:r w:rsidR="00CA1B5D" w:rsidRPr="00712D17">
              <w:rPr>
                <w:rFonts w:eastAsia="Times New Roman" w:cs="Times New Roman"/>
                <w:b/>
                <w:bCs/>
                <w:color w:val="000000"/>
                <w:sz w:val="18"/>
                <w:szCs w:val="18"/>
                <w:lang w:eastAsia="sk-SK"/>
              </w:rPr>
              <w:t>e</w:t>
            </w:r>
            <w:r w:rsidRPr="00712D17">
              <w:rPr>
                <w:rFonts w:eastAsia="Times New Roman" w:cs="Times New Roman"/>
                <w:b/>
                <w:bCs/>
                <w:color w:val="000000"/>
                <w:sz w:val="18"/>
                <w:szCs w:val="18"/>
                <w:lang w:eastAsia="sk-SK"/>
              </w:rPr>
              <w:t>ur</w:t>
            </w:r>
          </w:p>
        </w:tc>
        <w:tc>
          <w:tcPr>
            <w:tcW w:w="851" w:type="dxa"/>
            <w:tcBorders>
              <w:top w:val="nil"/>
              <w:left w:val="nil"/>
              <w:bottom w:val="nil"/>
              <w:right w:val="nil"/>
            </w:tcBorders>
            <w:shd w:val="clear" w:color="000000" w:fill="BFBFBF"/>
            <w:vAlign w:val="center"/>
            <w:hideMark/>
          </w:tcPr>
          <w:p w14:paraId="5167F0C8" w14:textId="77777777" w:rsidR="00151F12" w:rsidRPr="00712D17" w:rsidRDefault="00151F12" w:rsidP="00151F12">
            <w:pPr>
              <w:spacing w:after="0" w:line="240" w:lineRule="auto"/>
              <w:jc w:val="center"/>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v %</w:t>
            </w:r>
          </w:p>
        </w:tc>
      </w:tr>
      <w:tr w:rsidR="00151F12" w:rsidRPr="00712D17" w14:paraId="00628040" w14:textId="77777777" w:rsidTr="00712D17">
        <w:trPr>
          <w:trHeight w:val="345"/>
        </w:trPr>
        <w:tc>
          <w:tcPr>
            <w:tcW w:w="2552" w:type="dxa"/>
            <w:tcBorders>
              <w:top w:val="nil"/>
              <w:left w:val="nil"/>
              <w:bottom w:val="single" w:sz="8" w:space="0" w:color="auto"/>
              <w:right w:val="nil"/>
            </w:tcBorders>
            <w:shd w:val="clear" w:color="000000" w:fill="BFBFBF"/>
            <w:vAlign w:val="center"/>
            <w:hideMark/>
          </w:tcPr>
          <w:p w14:paraId="0BEA90B5" w14:textId="77777777" w:rsidR="00151F12" w:rsidRPr="00712D17" w:rsidRDefault="00151F12" w:rsidP="00151F12">
            <w:pPr>
              <w:spacing w:after="0" w:line="240" w:lineRule="auto"/>
              <w:rPr>
                <w:rFonts w:eastAsia="Times New Roman" w:cs="Times New Roman"/>
                <w:b/>
                <w:bCs/>
                <w:color w:val="FFFFFF"/>
                <w:sz w:val="18"/>
                <w:szCs w:val="18"/>
                <w:lang w:eastAsia="sk-SK"/>
              </w:rPr>
            </w:pPr>
            <w:r w:rsidRPr="00712D17">
              <w:rPr>
                <w:rFonts w:eastAsia="Times New Roman" w:cs="Times New Roman"/>
                <w:b/>
                <w:bCs/>
                <w:color w:val="FFFFFF"/>
                <w:sz w:val="18"/>
                <w:szCs w:val="18"/>
                <w:lang w:eastAsia="sk-SK"/>
              </w:rPr>
              <w:t> </w:t>
            </w:r>
          </w:p>
        </w:tc>
        <w:tc>
          <w:tcPr>
            <w:tcW w:w="980" w:type="dxa"/>
            <w:tcBorders>
              <w:top w:val="nil"/>
              <w:left w:val="nil"/>
              <w:bottom w:val="single" w:sz="8" w:space="0" w:color="auto"/>
              <w:right w:val="nil"/>
            </w:tcBorders>
            <w:shd w:val="clear" w:color="000000" w:fill="BFBFBF"/>
            <w:vAlign w:val="center"/>
            <w:hideMark/>
          </w:tcPr>
          <w:p w14:paraId="40BE32F7" w14:textId="77777777" w:rsidR="00151F12" w:rsidRPr="00712D17" w:rsidRDefault="00151F12" w:rsidP="00151F12">
            <w:pPr>
              <w:spacing w:after="0" w:line="240" w:lineRule="auto"/>
              <w:jc w:val="center"/>
              <w:rPr>
                <w:rFonts w:eastAsia="Times New Roman" w:cs="Times New Roman"/>
                <w:b/>
                <w:bCs/>
                <w:sz w:val="18"/>
                <w:szCs w:val="18"/>
                <w:lang w:eastAsia="sk-SK"/>
              </w:rPr>
            </w:pPr>
            <w:r w:rsidRPr="00712D17">
              <w:rPr>
                <w:rFonts w:eastAsia="Times New Roman" w:cs="Times New Roman"/>
                <w:b/>
                <w:bCs/>
                <w:sz w:val="18"/>
                <w:szCs w:val="18"/>
                <w:lang w:eastAsia="sk-SK"/>
              </w:rPr>
              <w:t>1</w:t>
            </w:r>
          </w:p>
        </w:tc>
        <w:tc>
          <w:tcPr>
            <w:tcW w:w="940" w:type="dxa"/>
            <w:tcBorders>
              <w:top w:val="nil"/>
              <w:left w:val="nil"/>
              <w:bottom w:val="single" w:sz="8" w:space="0" w:color="auto"/>
              <w:right w:val="nil"/>
            </w:tcBorders>
            <w:shd w:val="clear" w:color="000000" w:fill="BFBFBF"/>
            <w:vAlign w:val="center"/>
            <w:hideMark/>
          </w:tcPr>
          <w:p w14:paraId="5BB604F2" w14:textId="77777777" w:rsidR="00151F12" w:rsidRPr="00712D17" w:rsidRDefault="00151F12" w:rsidP="00151F12">
            <w:pPr>
              <w:spacing w:after="0" w:line="240" w:lineRule="auto"/>
              <w:jc w:val="center"/>
              <w:rPr>
                <w:rFonts w:eastAsia="Times New Roman" w:cs="Times New Roman"/>
                <w:b/>
                <w:bCs/>
                <w:sz w:val="18"/>
                <w:szCs w:val="18"/>
                <w:lang w:eastAsia="sk-SK"/>
              </w:rPr>
            </w:pPr>
            <w:r w:rsidRPr="00712D17">
              <w:rPr>
                <w:rFonts w:eastAsia="Times New Roman" w:cs="Times New Roman"/>
                <w:b/>
                <w:bCs/>
                <w:sz w:val="18"/>
                <w:szCs w:val="18"/>
                <w:lang w:eastAsia="sk-SK"/>
              </w:rPr>
              <w:t>2</w:t>
            </w:r>
          </w:p>
        </w:tc>
        <w:tc>
          <w:tcPr>
            <w:tcW w:w="940" w:type="dxa"/>
            <w:tcBorders>
              <w:top w:val="nil"/>
              <w:left w:val="nil"/>
              <w:bottom w:val="single" w:sz="8" w:space="0" w:color="auto"/>
              <w:right w:val="nil"/>
            </w:tcBorders>
            <w:shd w:val="clear" w:color="000000" w:fill="BFBFBF"/>
            <w:vAlign w:val="center"/>
            <w:hideMark/>
          </w:tcPr>
          <w:p w14:paraId="70E8A23C" w14:textId="77777777" w:rsidR="00151F12" w:rsidRPr="00712D17" w:rsidRDefault="00151F12" w:rsidP="00151F12">
            <w:pPr>
              <w:spacing w:after="0" w:line="240" w:lineRule="auto"/>
              <w:jc w:val="center"/>
              <w:rPr>
                <w:rFonts w:eastAsia="Times New Roman" w:cs="Times New Roman"/>
                <w:b/>
                <w:bCs/>
                <w:sz w:val="18"/>
                <w:szCs w:val="18"/>
                <w:lang w:eastAsia="sk-SK"/>
              </w:rPr>
            </w:pPr>
            <w:r w:rsidRPr="00712D17">
              <w:rPr>
                <w:rFonts w:eastAsia="Times New Roman" w:cs="Times New Roman"/>
                <w:b/>
                <w:bCs/>
                <w:sz w:val="18"/>
                <w:szCs w:val="18"/>
                <w:lang w:eastAsia="sk-SK"/>
              </w:rPr>
              <w:t>3</w:t>
            </w:r>
          </w:p>
        </w:tc>
        <w:tc>
          <w:tcPr>
            <w:tcW w:w="967" w:type="dxa"/>
            <w:tcBorders>
              <w:top w:val="nil"/>
              <w:left w:val="nil"/>
              <w:bottom w:val="single" w:sz="8" w:space="0" w:color="auto"/>
              <w:right w:val="nil"/>
            </w:tcBorders>
            <w:shd w:val="clear" w:color="000000" w:fill="BFBFBF"/>
            <w:vAlign w:val="center"/>
            <w:hideMark/>
          </w:tcPr>
          <w:p w14:paraId="27A4CE56" w14:textId="77777777" w:rsidR="00151F12" w:rsidRPr="00712D17" w:rsidRDefault="00151F12" w:rsidP="00151F12">
            <w:pPr>
              <w:spacing w:after="0" w:line="240" w:lineRule="auto"/>
              <w:jc w:val="center"/>
              <w:rPr>
                <w:rFonts w:eastAsia="Times New Roman" w:cs="Times New Roman"/>
                <w:b/>
                <w:bCs/>
                <w:sz w:val="18"/>
                <w:szCs w:val="18"/>
                <w:lang w:eastAsia="sk-SK"/>
              </w:rPr>
            </w:pPr>
            <w:r w:rsidRPr="00712D17">
              <w:rPr>
                <w:rFonts w:eastAsia="Times New Roman" w:cs="Times New Roman"/>
                <w:b/>
                <w:bCs/>
                <w:sz w:val="18"/>
                <w:szCs w:val="18"/>
                <w:lang w:eastAsia="sk-SK"/>
              </w:rPr>
              <w:t>4</w:t>
            </w:r>
          </w:p>
        </w:tc>
        <w:tc>
          <w:tcPr>
            <w:tcW w:w="1000" w:type="dxa"/>
            <w:tcBorders>
              <w:top w:val="nil"/>
              <w:left w:val="nil"/>
              <w:bottom w:val="single" w:sz="8" w:space="0" w:color="auto"/>
              <w:right w:val="nil"/>
            </w:tcBorders>
            <w:shd w:val="clear" w:color="000000" w:fill="BFBFBF"/>
            <w:vAlign w:val="center"/>
            <w:hideMark/>
          </w:tcPr>
          <w:p w14:paraId="788C7A80" w14:textId="77777777" w:rsidR="00151F12" w:rsidRPr="00712D17" w:rsidRDefault="00151F12" w:rsidP="00151F12">
            <w:pPr>
              <w:spacing w:after="0" w:line="240" w:lineRule="auto"/>
              <w:jc w:val="center"/>
              <w:rPr>
                <w:rFonts w:eastAsia="Times New Roman" w:cs="Times New Roman"/>
                <w:b/>
                <w:bCs/>
                <w:sz w:val="18"/>
                <w:szCs w:val="18"/>
                <w:lang w:eastAsia="sk-SK"/>
              </w:rPr>
            </w:pPr>
            <w:r w:rsidRPr="00712D17">
              <w:rPr>
                <w:rFonts w:eastAsia="Times New Roman" w:cs="Times New Roman"/>
                <w:b/>
                <w:bCs/>
                <w:sz w:val="18"/>
                <w:szCs w:val="18"/>
                <w:lang w:eastAsia="sk-SK"/>
              </w:rPr>
              <w:t>5</w:t>
            </w:r>
          </w:p>
        </w:tc>
        <w:tc>
          <w:tcPr>
            <w:tcW w:w="1005" w:type="dxa"/>
            <w:tcBorders>
              <w:top w:val="nil"/>
              <w:left w:val="nil"/>
              <w:bottom w:val="single" w:sz="8" w:space="0" w:color="auto"/>
              <w:right w:val="nil"/>
            </w:tcBorders>
            <w:shd w:val="clear" w:color="000000" w:fill="BFBFBF"/>
            <w:vAlign w:val="center"/>
            <w:hideMark/>
          </w:tcPr>
          <w:p w14:paraId="404488B8" w14:textId="77777777" w:rsidR="00151F12" w:rsidRPr="00712D17" w:rsidRDefault="00151F12" w:rsidP="00151F12">
            <w:pPr>
              <w:spacing w:after="0" w:line="240" w:lineRule="auto"/>
              <w:jc w:val="center"/>
              <w:rPr>
                <w:rFonts w:eastAsia="Times New Roman" w:cs="Times New Roman"/>
                <w:b/>
                <w:bCs/>
                <w:sz w:val="18"/>
                <w:szCs w:val="18"/>
                <w:lang w:eastAsia="sk-SK"/>
              </w:rPr>
            </w:pPr>
            <w:r w:rsidRPr="00712D17">
              <w:rPr>
                <w:rFonts w:eastAsia="Times New Roman" w:cs="Times New Roman"/>
                <w:b/>
                <w:bCs/>
                <w:sz w:val="18"/>
                <w:szCs w:val="18"/>
                <w:lang w:eastAsia="sk-SK"/>
              </w:rPr>
              <w:t>6=4-3</w:t>
            </w:r>
          </w:p>
        </w:tc>
        <w:tc>
          <w:tcPr>
            <w:tcW w:w="851" w:type="dxa"/>
            <w:tcBorders>
              <w:top w:val="nil"/>
              <w:left w:val="nil"/>
              <w:bottom w:val="single" w:sz="8" w:space="0" w:color="auto"/>
              <w:right w:val="nil"/>
            </w:tcBorders>
            <w:shd w:val="clear" w:color="000000" w:fill="BFBFBF"/>
            <w:vAlign w:val="center"/>
            <w:hideMark/>
          </w:tcPr>
          <w:p w14:paraId="203DDD60" w14:textId="77777777" w:rsidR="00151F12" w:rsidRPr="00712D17" w:rsidRDefault="00151F12" w:rsidP="00151F12">
            <w:pPr>
              <w:spacing w:after="0" w:line="240" w:lineRule="auto"/>
              <w:jc w:val="center"/>
              <w:rPr>
                <w:rFonts w:eastAsia="Times New Roman" w:cs="Times New Roman"/>
                <w:b/>
                <w:bCs/>
                <w:sz w:val="18"/>
                <w:szCs w:val="18"/>
                <w:lang w:eastAsia="sk-SK"/>
              </w:rPr>
            </w:pPr>
            <w:r w:rsidRPr="00712D17">
              <w:rPr>
                <w:rFonts w:eastAsia="Times New Roman" w:cs="Times New Roman"/>
                <w:b/>
                <w:bCs/>
                <w:sz w:val="18"/>
                <w:szCs w:val="18"/>
                <w:lang w:eastAsia="sk-SK"/>
              </w:rPr>
              <w:t>7=4-3</w:t>
            </w:r>
          </w:p>
        </w:tc>
      </w:tr>
      <w:tr w:rsidR="00151F12" w:rsidRPr="00712D17" w14:paraId="2C33AFF3" w14:textId="77777777" w:rsidTr="00712D17">
        <w:trPr>
          <w:trHeight w:val="330"/>
        </w:trPr>
        <w:tc>
          <w:tcPr>
            <w:tcW w:w="2552" w:type="dxa"/>
            <w:tcBorders>
              <w:top w:val="nil"/>
              <w:left w:val="nil"/>
              <w:bottom w:val="nil"/>
              <w:right w:val="nil"/>
            </w:tcBorders>
            <w:shd w:val="clear" w:color="000000" w:fill="FFFFFF"/>
            <w:vAlign w:val="center"/>
            <w:hideMark/>
          </w:tcPr>
          <w:p w14:paraId="5DDEB897" w14:textId="77777777" w:rsidR="00151F12" w:rsidRPr="00712D17" w:rsidRDefault="00151F12" w:rsidP="00151F12">
            <w:pPr>
              <w:spacing w:after="0" w:line="240" w:lineRule="auto"/>
              <w:rPr>
                <w:rFonts w:eastAsia="Times New Roman" w:cs="Times New Roman"/>
                <w:color w:val="000000"/>
                <w:sz w:val="18"/>
                <w:szCs w:val="18"/>
                <w:lang w:eastAsia="sk-SK"/>
              </w:rPr>
            </w:pPr>
            <w:r w:rsidRPr="00712D17">
              <w:rPr>
                <w:rFonts w:eastAsia="Times New Roman" w:cs="Times New Roman"/>
                <w:color w:val="000000"/>
                <w:sz w:val="18"/>
                <w:szCs w:val="18"/>
                <w:lang w:eastAsia="sk-SK"/>
              </w:rPr>
              <w:t>Vzdelávanie</w:t>
            </w:r>
          </w:p>
        </w:tc>
        <w:tc>
          <w:tcPr>
            <w:tcW w:w="980" w:type="dxa"/>
            <w:tcBorders>
              <w:top w:val="nil"/>
              <w:left w:val="nil"/>
              <w:bottom w:val="nil"/>
              <w:right w:val="nil"/>
            </w:tcBorders>
            <w:shd w:val="clear" w:color="000000" w:fill="FFFFFF"/>
            <w:noWrap/>
            <w:vAlign w:val="center"/>
            <w:hideMark/>
          </w:tcPr>
          <w:p w14:paraId="445C728A"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900 572</w:t>
            </w:r>
          </w:p>
        </w:tc>
        <w:tc>
          <w:tcPr>
            <w:tcW w:w="940" w:type="dxa"/>
            <w:tcBorders>
              <w:top w:val="nil"/>
              <w:left w:val="nil"/>
              <w:bottom w:val="nil"/>
              <w:right w:val="nil"/>
            </w:tcBorders>
            <w:shd w:val="clear" w:color="000000" w:fill="FFFFFF"/>
            <w:noWrap/>
            <w:vAlign w:val="center"/>
            <w:hideMark/>
          </w:tcPr>
          <w:p w14:paraId="29A2FFC3"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1 020 641</w:t>
            </w:r>
          </w:p>
        </w:tc>
        <w:tc>
          <w:tcPr>
            <w:tcW w:w="940" w:type="dxa"/>
            <w:tcBorders>
              <w:top w:val="nil"/>
              <w:left w:val="nil"/>
              <w:bottom w:val="nil"/>
              <w:right w:val="nil"/>
            </w:tcBorders>
            <w:shd w:val="clear" w:color="000000" w:fill="FFFFFF"/>
            <w:noWrap/>
            <w:vAlign w:val="center"/>
            <w:hideMark/>
          </w:tcPr>
          <w:p w14:paraId="6D3A9755"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1 005 190</w:t>
            </w:r>
          </w:p>
        </w:tc>
        <w:tc>
          <w:tcPr>
            <w:tcW w:w="967" w:type="dxa"/>
            <w:tcBorders>
              <w:top w:val="nil"/>
              <w:left w:val="nil"/>
              <w:bottom w:val="nil"/>
              <w:right w:val="nil"/>
            </w:tcBorders>
            <w:shd w:val="clear" w:color="000000" w:fill="BFBFBF"/>
            <w:noWrap/>
            <w:vAlign w:val="center"/>
            <w:hideMark/>
          </w:tcPr>
          <w:p w14:paraId="7BCC7A42"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1 147 803</w:t>
            </w:r>
          </w:p>
        </w:tc>
        <w:tc>
          <w:tcPr>
            <w:tcW w:w="1000" w:type="dxa"/>
            <w:tcBorders>
              <w:top w:val="nil"/>
              <w:left w:val="nil"/>
              <w:bottom w:val="nil"/>
              <w:right w:val="nil"/>
            </w:tcBorders>
            <w:shd w:val="clear" w:color="000000" w:fill="BFBFBF"/>
            <w:noWrap/>
            <w:vAlign w:val="center"/>
            <w:hideMark/>
          </w:tcPr>
          <w:p w14:paraId="6E7B22D8"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1 105 188</w:t>
            </w:r>
          </w:p>
        </w:tc>
        <w:tc>
          <w:tcPr>
            <w:tcW w:w="1005" w:type="dxa"/>
            <w:tcBorders>
              <w:top w:val="nil"/>
              <w:left w:val="nil"/>
              <w:bottom w:val="nil"/>
              <w:right w:val="nil"/>
            </w:tcBorders>
            <w:shd w:val="clear" w:color="000000" w:fill="FFFFFF"/>
            <w:vAlign w:val="center"/>
            <w:hideMark/>
          </w:tcPr>
          <w:p w14:paraId="04F4B5D4"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142 613</w:t>
            </w:r>
          </w:p>
        </w:tc>
        <w:tc>
          <w:tcPr>
            <w:tcW w:w="851" w:type="dxa"/>
            <w:tcBorders>
              <w:top w:val="nil"/>
              <w:left w:val="nil"/>
              <w:bottom w:val="nil"/>
              <w:right w:val="nil"/>
            </w:tcBorders>
            <w:shd w:val="clear" w:color="000000" w:fill="FFFFFF"/>
            <w:vAlign w:val="center"/>
            <w:hideMark/>
          </w:tcPr>
          <w:p w14:paraId="3AF03525"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14,2</w:t>
            </w:r>
          </w:p>
        </w:tc>
      </w:tr>
      <w:tr w:rsidR="00151F12" w:rsidRPr="00712D17" w14:paraId="0FA2B57D" w14:textId="77777777" w:rsidTr="00712D17">
        <w:trPr>
          <w:trHeight w:val="330"/>
        </w:trPr>
        <w:tc>
          <w:tcPr>
            <w:tcW w:w="2552" w:type="dxa"/>
            <w:tcBorders>
              <w:top w:val="nil"/>
              <w:left w:val="nil"/>
              <w:bottom w:val="nil"/>
              <w:right w:val="nil"/>
            </w:tcBorders>
            <w:shd w:val="clear" w:color="000000" w:fill="FFFFFF"/>
            <w:noWrap/>
            <w:vAlign w:val="center"/>
            <w:hideMark/>
          </w:tcPr>
          <w:p w14:paraId="55F1B925" w14:textId="77777777" w:rsidR="00151F12" w:rsidRPr="00712D17" w:rsidRDefault="00151F12" w:rsidP="00151F12">
            <w:pPr>
              <w:spacing w:after="0" w:line="240" w:lineRule="auto"/>
              <w:rPr>
                <w:rFonts w:eastAsia="Times New Roman" w:cs="Times New Roman"/>
                <w:color w:val="000000"/>
                <w:sz w:val="18"/>
                <w:szCs w:val="18"/>
                <w:lang w:eastAsia="sk-SK"/>
              </w:rPr>
            </w:pPr>
            <w:r w:rsidRPr="00712D17">
              <w:rPr>
                <w:rFonts w:eastAsia="Times New Roman" w:cs="Times New Roman"/>
                <w:color w:val="000000"/>
                <w:sz w:val="18"/>
                <w:szCs w:val="18"/>
                <w:lang w:eastAsia="sk-SK"/>
              </w:rPr>
              <w:t>Ekonomická oblasť</w:t>
            </w:r>
          </w:p>
        </w:tc>
        <w:tc>
          <w:tcPr>
            <w:tcW w:w="980" w:type="dxa"/>
            <w:tcBorders>
              <w:top w:val="nil"/>
              <w:left w:val="nil"/>
              <w:bottom w:val="nil"/>
              <w:right w:val="nil"/>
            </w:tcBorders>
            <w:shd w:val="clear" w:color="000000" w:fill="FFFFFF"/>
            <w:noWrap/>
            <w:vAlign w:val="center"/>
            <w:hideMark/>
          </w:tcPr>
          <w:p w14:paraId="35589F4D"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104 412</w:t>
            </w:r>
          </w:p>
        </w:tc>
        <w:tc>
          <w:tcPr>
            <w:tcW w:w="940" w:type="dxa"/>
            <w:tcBorders>
              <w:top w:val="nil"/>
              <w:left w:val="nil"/>
              <w:bottom w:val="nil"/>
              <w:right w:val="nil"/>
            </w:tcBorders>
            <w:shd w:val="clear" w:color="000000" w:fill="FFFFFF"/>
            <w:noWrap/>
            <w:vAlign w:val="center"/>
            <w:hideMark/>
          </w:tcPr>
          <w:p w14:paraId="23E4252A"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111 897</w:t>
            </w:r>
          </w:p>
        </w:tc>
        <w:tc>
          <w:tcPr>
            <w:tcW w:w="940" w:type="dxa"/>
            <w:tcBorders>
              <w:top w:val="nil"/>
              <w:left w:val="nil"/>
              <w:bottom w:val="nil"/>
              <w:right w:val="nil"/>
            </w:tcBorders>
            <w:shd w:val="clear" w:color="000000" w:fill="FFFFFF"/>
            <w:noWrap/>
            <w:vAlign w:val="center"/>
            <w:hideMark/>
          </w:tcPr>
          <w:p w14:paraId="02728E15"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10 019</w:t>
            </w:r>
          </w:p>
        </w:tc>
        <w:tc>
          <w:tcPr>
            <w:tcW w:w="967" w:type="dxa"/>
            <w:tcBorders>
              <w:top w:val="nil"/>
              <w:left w:val="nil"/>
              <w:bottom w:val="nil"/>
              <w:right w:val="nil"/>
            </w:tcBorders>
            <w:shd w:val="clear" w:color="000000" w:fill="BFBFBF"/>
            <w:noWrap/>
            <w:vAlign w:val="center"/>
            <w:hideMark/>
          </w:tcPr>
          <w:p w14:paraId="7FC17C97"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235 586</w:t>
            </w:r>
          </w:p>
        </w:tc>
        <w:tc>
          <w:tcPr>
            <w:tcW w:w="1000" w:type="dxa"/>
            <w:tcBorders>
              <w:top w:val="nil"/>
              <w:left w:val="nil"/>
              <w:bottom w:val="nil"/>
              <w:right w:val="nil"/>
            </w:tcBorders>
            <w:shd w:val="clear" w:color="000000" w:fill="BFBFBF"/>
            <w:noWrap/>
            <w:vAlign w:val="center"/>
            <w:hideMark/>
          </w:tcPr>
          <w:p w14:paraId="3CD59934"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81 773</w:t>
            </w:r>
          </w:p>
        </w:tc>
        <w:tc>
          <w:tcPr>
            <w:tcW w:w="1005" w:type="dxa"/>
            <w:tcBorders>
              <w:top w:val="nil"/>
              <w:left w:val="nil"/>
              <w:bottom w:val="nil"/>
              <w:right w:val="nil"/>
            </w:tcBorders>
            <w:shd w:val="clear" w:color="000000" w:fill="FFFFFF"/>
            <w:vAlign w:val="center"/>
            <w:hideMark/>
          </w:tcPr>
          <w:p w14:paraId="69634378"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225 567</w:t>
            </w:r>
          </w:p>
        </w:tc>
        <w:tc>
          <w:tcPr>
            <w:tcW w:w="851" w:type="dxa"/>
            <w:tcBorders>
              <w:top w:val="nil"/>
              <w:left w:val="nil"/>
              <w:bottom w:val="nil"/>
              <w:right w:val="nil"/>
            </w:tcBorders>
            <w:shd w:val="clear" w:color="000000" w:fill="FFFFFF"/>
            <w:vAlign w:val="center"/>
            <w:hideMark/>
          </w:tcPr>
          <w:p w14:paraId="20203BCC"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2 251,4</w:t>
            </w:r>
          </w:p>
        </w:tc>
      </w:tr>
      <w:tr w:rsidR="00151F12" w:rsidRPr="00712D17" w14:paraId="0AAABB90" w14:textId="77777777" w:rsidTr="00712D17">
        <w:trPr>
          <w:trHeight w:val="330"/>
        </w:trPr>
        <w:tc>
          <w:tcPr>
            <w:tcW w:w="2552" w:type="dxa"/>
            <w:tcBorders>
              <w:top w:val="nil"/>
              <w:left w:val="nil"/>
              <w:bottom w:val="nil"/>
              <w:right w:val="nil"/>
            </w:tcBorders>
            <w:shd w:val="clear" w:color="000000" w:fill="FFFFFF"/>
            <w:noWrap/>
            <w:vAlign w:val="center"/>
            <w:hideMark/>
          </w:tcPr>
          <w:p w14:paraId="70192E9C" w14:textId="77777777" w:rsidR="00151F12" w:rsidRPr="00712D17" w:rsidRDefault="00151F12" w:rsidP="00151F12">
            <w:pPr>
              <w:spacing w:after="0" w:line="240" w:lineRule="auto"/>
              <w:rPr>
                <w:rFonts w:eastAsia="Times New Roman" w:cs="Times New Roman"/>
                <w:color w:val="000000"/>
                <w:sz w:val="18"/>
                <w:szCs w:val="18"/>
                <w:lang w:eastAsia="sk-SK"/>
              </w:rPr>
            </w:pPr>
            <w:r w:rsidRPr="00712D17">
              <w:rPr>
                <w:rFonts w:eastAsia="Times New Roman" w:cs="Times New Roman"/>
                <w:color w:val="000000"/>
                <w:sz w:val="18"/>
                <w:szCs w:val="18"/>
                <w:lang w:eastAsia="sk-SK"/>
              </w:rPr>
              <w:t>Sociálne zabezpečenie</w:t>
            </w:r>
          </w:p>
        </w:tc>
        <w:tc>
          <w:tcPr>
            <w:tcW w:w="980" w:type="dxa"/>
            <w:tcBorders>
              <w:top w:val="nil"/>
              <w:left w:val="nil"/>
              <w:bottom w:val="nil"/>
              <w:right w:val="nil"/>
            </w:tcBorders>
            <w:shd w:val="clear" w:color="000000" w:fill="FFFFFF"/>
            <w:noWrap/>
            <w:vAlign w:val="center"/>
            <w:hideMark/>
          </w:tcPr>
          <w:p w14:paraId="111E0B57"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65 524</w:t>
            </w:r>
          </w:p>
        </w:tc>
        <w:tc>
          <w:tcPr>
            <w:tcW w:w="940" w:type="dxa"/>
            <w:tcBorders>
              <w:top w:val="nil"/>
              <w:left w:val="nil"/>
              <w:bottom w:val="nil"/>
              <w:right w:val="nil"/>
            </w:tcBorders>
            <w:shd w:val="clear" w:color="000000" w:fill="FFFFFF"/>
            <w:noWrap/>
            <w:vAlign w:val="center"/>
            <w:hideMark/>
          </w:tcPr>
          <w:p w14:paraId="48A5B50A"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122 471</w:t>
            </w:r>
          </w:p>
        </w:tc>
        <w:tc>
          <w:tcPr>
            <w:tcW w:w="940" w:type="dxa"/>
            <w:tcBorders>
              <w:top w:val="nil"/>
              <w:left w:val="nil"/>
              <w:bottom w:val="nil"/>
              <w:right w:val="nil"/>
            </w:tcBorders>
            <w:shd w:val="clear" w:color="000000" w:fill="FFFFFF"/>
            <w:noWrap/>
            <w:vAlign w:val="center"/>
            <w:hideMark/>
          </w:tcPr>
          <w:p w14:paraId="181F0F76"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67 984</w:t>
            </w:r>
          </w:p>
        </w:tc>
        <w:tc>
          <w:tcPr>
            <w:tcW w:w="967" w:type="dxa"/>
            <w:tcBorders>
              <w:top w:val="nil"/>
              <w:left w:val="nil"/>
              <w:bottom w:val="nil"/>
              <w:right w:val="nil"/>
            </w:tcBorders>
            <w:shd w:val="clear" w:color="000000" w:fill="BFBFBF"/>
            <w:noWrap/>
            <w:vAlign w:val="center"/>
            <w:hideMark/>
          </w:tcPr>
          <w:p w14:paraId="7AA0D8A3"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157 051</w:t>
            </w:r>
          </w:p>
        </w:tc>
        <w:tc>
          <w:tcPr>
            <w:tcW w:w="1000" w:type="dxa"/>
            <w:tcBorders>
              <w:top w:val="nil"/>
              <w:left w:val="nil"/>
              <w:bottom w:val="nil"/>
              <w:right w:val="nil"/>
            </w:tcBorders>
            <w:shd w:val="clear" w:color="000000" w:fill="BFBFBF"/>
            <w:noWrap/>
            <w:vAlign w:val="center"/>
            <w:hideMark/>
          </w:tcPr>
          <w:p w14:paraId="07A3DCF4"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139 578</w:t>
            </w:r>
          </w:p>
        </w:tc>
        <w:tc>
          <w:tcPr>
            <w:tcW w:w="1005" w:type="dxa"/>
            <w:tcBorders>
              <w:top w:val="nil"/>
              <w:left w:val="nil"/>
              <w:bottom w:val="nil"/>
              <w:right w:val="nil"/>
            </w:tcBorders>
            <w:shd w:val="clear" w:color="000000" w:fill="FFFFFF"/>
            <w:vAlign w:val="center"/>
            <w:hideMark/>
          </w:tcPr>
          <w:p w14:paraId="34603A4F"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89 067</w:t>
            </w:r>
          </w:p>
        </w:tc>
        <w:tc>
          <w:tcPr>
            <w:tcW w:w="851" w:type="dxa"/>
            <w:tcBorders>
              <w:top w:val="nil"/>
              <w:left w:val="nil"/>
              <w:bottom w:val="nil"/>
              <w:right w:val="nil"/>
            </w:tcBorders>
            <w:shd w:val="clear" w:color="000000" w:fill="FFFFFF"/>
            <w:vAlign w:val="center"/>
            <w:hideMark/>
          </w:tcPr>
          <w:p w14:paraId="6AA9AEFB"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131,0</w:t>
            </w:r>
          </w:p>
        </w:tc>
      </w:tr>
      <w:tr w:rsidR="00151F12" w:rsidRPr="00712D17" w14:paraId="014FDAA7" w14:textId="77777777" w:rsidTr="00712D17">
        <w:trPr>
          <w:trHeight w:val="330"/>
        </w:trPr>
        <w:tc>
          <w:tcPr>
            <w:tcW w:w="2552" w:type="dxa"/>
            <w:tcBorders>
              <w:top w:val="nil"/>
              <w:left w:val="nil"/>
              <w:bottom w:val="nil"/>
              <w:right w:val="nil"/>
            </w:tcBorders>
            <w:shd w:val="clear" w:color="000000" w:fill="FFFFFF"/>
            <w:vAlign w:val="center"/>
            <w:hideMark/>
          </w:tcPr>
          <w:p w14:paraId="52EA37C3" w14:textId="77777777" w:rsidR="00151F12" w:rsidRPr="00712D17" w:rsidRDefault="00151F12" w:rsidP="00151F12">
            <w:pPr>
              <w:spacing w:after="0" w:line="240" w:lineRule="auto"/>
              <w:rPr>
                <w:rFonts w:eastAsia="Times New Roman" w:cs="Times New Roman"/>
                <w:color w:val="000000"/>
                <w:sz w:val="18"/>
                <w:szCs w:val="18"/>
                <w:lang w:eastAsia="sk-SK"/>
              </w:rPr>
            </w:pPr>
            <w:r w:rsidRPr="00712D17">
              <w:rPr>
                <w:rFonts w:eastAsia="Times New Roman" w:cs="Times New Roman"/>
                <w:color w:val="000000"/>
                <w:sz w:val="18"/>
                <w:szCs w:val="18"/>
                <w:lang w:eastAsia="sk-SK"/>
              </w:rPr>
              <w:t>Ochrana životného prostredia</w:t>
            </w:r>
          </w:p>
        </w:tc>
        <w:tc>
          <w:tcPr>
            <w:tcW w:w="980" w:type="dxa"/>
            <w:tcBorders>
              <w:top w:val="nil"/>
              <w:left w:val="nil"/>
              <w:bottom w:val="nil"/>
              <w:right w:val="nil"/>
            </w:tcBorders>
            <w:shd w:val="clear" w:color="000000" w:fill="FFFFFF"/>
            <w:noWrap/>
            <w:vAlign w:val="center"/>
            <w:hideMark/>
          </w:tcPr>
          <w:p w14:paraId="7E6A135F"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130 150</w:t>
            </w:r>
          </w:p>
        </w:tc>
        <w:tc>
          <w:tcPr>
            <w:tcW w:w="940" w:type="dxa"/>
            <w:tcBorders>
              <w:top w:val="nil"/>
              <w:left w:val="nil"/>
              <w:bottom w:val="nil"/>
              <w:right w:val="nil"/>
            </w:tcBorders>
            <w:shd w:val="clear" w:color="000000" w:fill="FFFFFF"/>
            <w:noWrap/>
            <w:vAlign w:val="center"/>
            <w:hideMark/>
          </w:tcPr>
          <w:p w14:paraId="4676140E"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108 786</w:t>
            </w:r>
          </w:p>
        </w:tc>
        <w:tc>
          <w:tcPr>
            <w:tcW w:w="940" w:type="dxa"/>
            <w:tcBorders>
              <w:top w:val="nil"/>
              <w:left w:val="nil"/>
              <w:bottom w:val="nil"/>
              <w:right w:val="nil"/>
            </w:tcBorders>
            <w:shd w:val="clear" w:color="000000" w:fill="FFFFFF"/>
            <w:noWrap/>
            <w:vAlign w:val="center"/>
            <w:hideMark/>
          </w:tcPr>
          <w:p w14:paraId="3AEC3055"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0</w:t>
            </w:r>
          </w:p>
        </w:tc>
        <w:tc>
          <w:tcPr>
            <w:tcW w:w="967" w:type="dxa"/>
            <w:tcBorders>
              <w:top w:val="nil"/>
              <w:left w:val="nil"/>
              <w:bottom w:val="nil"/>
              <w:right w:val="nil"/>
            </w:tcBorders>
            <w:shd w:val="clear" w:color="000000" w:fill="BFBFBF"/>
            <w:noWrap/>
            <w:vAlign w:val="center"/>
            <w:hideMark/>
          </w:tcPr>
          <w:p w14:paraId="1206FF27"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92 425</w:t>
            </w:r>
          </w:p>
        </w:tc>
        <w:tc>
          <w:tcPr>
            <w:tcW w:w="1000" w:type="dxa"/>
            <w:tcBorders>
              <w:top w:val="nil"/>
              <w:left w:val="nil"/>
              <w:bottom w:val="nil"/>
              <w:right w:val="nil"/>
            </w:tcBorders>
            <w:shd w:val="clear" w:color="000000" w:fill="BFBFBF"/>
            <w:noWrap/>
            <w:vAlign w:val="center"/>
            <w:hideMark/>
          </w:tcPr>
          <w:p w14:paraId="31773F94"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0</w:t>
            </w:r>
          </w:p>
        </w:tc>
        <w:tc>
          <w:tcPr>
            <w:tcW w:w="1005" w:type="dxa"/>
            <w:tcBorders>
              <w:top w:val="nil"/>
              <w:left w:val="nil"/>
              <w:bottom w:val="nil"/>
              <w:right w:val="nil"/>
            </w:tcBorders>
            <w:shd w:val="clear" w:color="000000" w:fill="FFFFFF"/>
            <w:vAlign w:val="center"/>
            <w:hideMark/>
          </w:tcPr>
          <w:p w14:paraId="46CEE463"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92 425</w:t>
            </w:r>
          </w:p>
        </w:tc>
        <w:tc>
          <w:tcPr>
            <w:tcW w:w="851" w:type="dxa"/>
            <w:tcBorders>
              <w:top w:val="nil"/>
              <w:left w:val="nil"/>
              <w:bottom w:val="nil"/>
              <w:right w:val="nil"/>
            </w:tcBorders>
            <w:shd w:val="clear" w:color="000000" w:fill="FFFFFF"/>
            <w:vAlign w:val="center"/>
            <w:hideMark/>
          </w:tcPr>
          <w:p w14:paraId="0A1C78B8"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x</w:t>
            </w:r>
          </w:p>
        </w:tc>
      </w:tr>
      <w:tr w:rsidR="00151F12" w:rsidRPr="00712D17" w14:paraId="7890E713" w14:textId="77777777" w:rsidTr="00712D17">
        <w:trPr>
          <w:trHeight w:val="330"/>
        </w:trPr>
        <w:tc>
          <w:tcPr>
            <w:tcW w:w="2552" w:type="dxa"/>
            <w:tcBorders>
              <w:top w:val="nil"/>
              <w:left w:val="nil"/>
              <w:bottom w:val="nil"/>
              <w:right w:val="nil"/>
            </w:tcBorders>
            <w:shd w:val="clear" w:color="000000" w:fill="FFFFFF"/>
            <w:noWrap/>
            <w:vAlign w:val="center"/>
            <w:hideMark/>
          </w:tcPr>
          <w:p w14:paraId="6F83E7CC" w14:textId="77777777" w:rsidR="00151F12" w:rsidRPr="00712D17" w:rsidRDefault="00151F12" w:rsidP="00151F12">
            <w:pPr>
              <w:spacing w:after="0" w:line="240" w:lineRule="auto"/>
              <w:rPr>
                <w:rFonts w:eastAsia="Times New Roman" w:cs="Times New Roman"/>
                <w:color w:val="000000"/>
                <w:sz w:val="18"/>
                <w:szCs w:val="18"/>
                <w:lang w:eastAsia="sk-SK"/>
              </w:rPr>
            </w:pPr>
            <w:r w:rsidRPr="00712D17">
              <w:rPr>
                <w:rFonts w:eastAsia="Times New Roman" w:cs="Times New Roman"/>
                <w:color w:val="000000"/>
                <w:sz w:val="18"/>
                <w:szCs w:val="18"/>
                <w:lang w:eastAsia="sk-SK"/>
              </w:rPr>
              <w:t>Všeobecné verejné služby</w:t>
            </w:r>
          </w:p>
        </w:tc>
        <w:tc>
          <w:tcPr>
            <w:tcW w:w="980" w:type="dxa"/>
            <w:tcBorders>
              <w:top w:val="nil"/>
              <w:left w:val="nil"/>
              <w:bottom w:val="nil"/>
              <w:right w:val="nil"/>
            </w:tcBorders>
            <w:shd w:val="clear" w:color="000000" w:fill="FFFFFF"/>
            <w:noWrap/>
            <w:vAlign w:val="center"/>
            <w:hideMark/>
          </w:tcPr>
          <w:p w14:paraId="3260609E"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33 000</w:t>
            </w:r>
          </w:p>
        </w:tc>
        <w:tc>
          <w:tcPr>
            <w:tcW w:w="940" w:type="dxa"/>
            <w:tcBorders>
              <w:top w:val="nil"/>
              <w:left w:val="nil"/>
              <w:bottom w:val="nil"/>
              <w:right w:val="nil"/>
            </w:tcBorders>
            <w:shd w:val="clear" w:color="000000" w:fill="FFFFFF"/>
            <w:noWrap/>
            <w:vAlign w:val="center"/>
            <w:hideMark/>
          </w:tcPr>
          <w:p w14:paraId="366754CE"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50 530</w:t>
            </w:r>
          </w:p>
        </w:tc>
        <w:tc>
          <w:tcPr>
            <w:tcW w:w="940" w:type="dxa"/>
            <w:tcBorders>
              <w:top w:val="nil"/>
              <w:left w:val="nil"/>
              <w:bottom w:val="nil"/>
              <w:right w:val="nil"/>
            </w:tcBorders>
            <w:shd w:val="clear" w:color="000000" w:fill="FFFFFF"/>
            <w:noWrap/>
            <w:vAlign w:val="center"/>
            <w:hideMark/>
          </w:tcPr>
          <w:p w14:paraId="352D40A6"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22 227</w:t>
            </w:r>
          </w:p>
        </w:tc>
        <w:tc>
          <w:tcPr>
            <w:tcW w:w="967" w:type="dxa"/>
            <w:tcBorders>
              <w:top w:val="nil"/>
              <w:left w:val="nil"/>
              <w:bottom w:val="nil"/>
              <w:right w:val="nil"/>
            </w:tcBorders>
            <w:shd w:val="clear" w:color="000000" w:fill="BFBFBF"/>
            <w:noWrap/>
            <w:vAlign w:val="center"/>
            <w:hideMark/>
          </w:tcPr>
          <w:p w14:paraId="2415E3AB"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65 096</w:t>
            </w:r>
          </w:p>
        </w:tc>
        <w:tc>
          <w:tcPr>
            <w:tcW w:w="1000" w:type="dxa"/>
            <w:tcBorders>
              <w:top w:val="nil"/>
              <w:left w:val="nil"/>
              <w:bottom w:val="nil"/>
              <w:right w:val="nil"/>
            </w:tcBorders>
            <w:shd w:val="clear" w:color="000000" w:fill="BFBFBF"/>
            <w:noWrap/>
            <w:vAlign w:val="center"/>
            <w:hideMark/>
          </w:tcPr>
          <w:p w14:paraId="76CBD5E8"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59 216</w:t>
            </w:r>
          </w:p>
        </w:tc>
        <w:tc>
          <w:tcPr>
            <w:tcW w:w="1005" w:type="dxa"/>
            <w:tcBorders>
              <w:top w:val="nil"/>
              <w:left w:val="nil"/>
              <w:bottom w:val="nil"/>
              <w:right w:val="nil"/>
            </w:tcBorders>
            <w:shd w:val="clear" w:color="000000" w:fill="FFFFFF"/>
            <w:vAlign w:val="center"/>
            <w:hideMark/>
          </w:tcPr>
          <w:p w14:paraId="04DA2DBB"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42 869</w:t>
            </w:r>
          </w:p>
        </w:tc>
        <w:tc>
          <w:tcPr>
            <w:tcW w:w="851" w:type="dxa"/>
            <w:tcBorders>
              <w:top w:val="nil"/>
              <w:left w:val="nil"/>
              <w:bottom w:val="nil"/>
              <w:right w:val="nil"/>
            </w:tcBorders>
            <w:shd w:val="clear" w:color="000000" w:fill="FFFFFF"/>
            <w:vAlign w:val="center"/>
            <w:hideMark/>
          </w:tcPr>
          <w:p w14:paraId="41190991"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192,9</w:t>
            </w:r>
          </w:p>
        </w:tc>
      </w:tr>
      <w:tr w:rsidR="00151F12" w:rsidRPr="00712D17" w14:paraId="1322291B" w14:textId="77777777" w:rsidTr="00712D17">
        <w:trPr>
          <w:trHeight w:val="330"/>
        </w:trPr>
        <w:tc>
          <w:tcPr>
            <w:tcW w:w="2552" w:type="dxa"/>
            <w:tcBorders>
              <w:top w:val="nil"/>
              <w:left w:val="nil"/>
              <w:bottom w:val="nil"/>
              <w:right w:val="nil"/>
            </w:tcBorders>
            <w:shd w:val="clear" w:color="000000" w:fill="FFFFFF"/>
            <w:vAlign w:val="center"/>
            <w:hideMark/>
          </w:tcPr>
          <w:p w14:paraId="69FDB737" w14:textId="77777777" w:rsidR="00151F12" w:rsidRPr="00712D17" w:rsidRDefault="00151F12" w:rsidP="00151F12">
            <w:pPr>
              <w:spacing w:after="0" w:line="240" w:lineRule="auto"/>
              <w:rPr>
                <w:rFonts w:eastAsia="Times New Roman" w:cs="Times New Roman"/>
                <w:color w:val="000000"/>
                <w:sz w:val="18"/>
                <w:szCs w:val="18"/>
                <w:lang w:eastAsia="sk-SK"/>
              </w:rPr>
            </w:pPr>
            <w:r w:rsidRPr="00712D17">
              <w:rPr>
                <w:rFonts w:eastAsia="Times New Roman" w:cs="Times New Roman"/>
                <w:color w:val="000000"/>
                <w:sz w:val="18"/>
                <w:szCs w:val="18"/>
                <w:lang w:eastAsia="sk-SK"/>
              </w:rPr>
              <w:t>Rekreácia, kultúra a náboženstvo</w:t>
            </w:r>
          </w:p>
        </w:tc>
        <w:tc>
          <w:tcPr>
            <w:tcW w:w="980" w:type="dxa"/>
            <w:tcBorders>
              <w:top w:val="nil"/>
              <w:left w:val="nil"/>
              <w:bottom w:val="nil"/>
              <w:right w:val="nil"/>
            </w:tcBorders>
            <w:shd w:val="clear" w:color="000000" w:fill="FFFFFF"/>
            <w:noWrap/>
            <w:vAlign w:val="center"/>
            <w:hideMark/>
          </w:tcPr>
          <w:p w14:paraId="456AA7CD"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13 593</w:t>
            </w:r>
          </w:p>
        </w:tc>
        <w:tc>
          <w:tcPr>
            <w:tcW w:w="940" w:type="dxa"/>
            <w:tcBorders>
              <w:top w:val="nil"/>
              <w:left w:val="nil"/>
              <w:bottom w:val="nil"/>
              <w:right w:val="nil"/>
            </w:tcBorders>
            <w:shd w:val="clear" w:color="000000" w:fill="FFFFFF"/>
            <w:noWrap/>
            <w:vAlign w:val="center"/>
            <w:hideMark/>
          </w:tcPr>
          <w:p w14:paraId="27B42FC0"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19 204</w:t>
            </w:r>
          </w:p>
        </w:tc>
        <w:tc>
          <w:tcPr>
            <w:tcW w:w="940" w:type="dxa"/>
            <w:tcBorders>
              <w:top w:val="nil"/>
              <w:left w:val="nil"/>
              <w:bottom w:val="nil"/>
              <w:right w:val="nil"/>
            </w:tcBorders>
            <w:shd w:val="clear" w:color="000000" w:fill="FFFFFF"/>
            <w:noWrap/>
            <w:vAlign w:val="center"/>
            <w:hideMark/>
          </w:tcPr>
          <w:p w14:paraId="4698AF24"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15 380</w:t>
            </w:r>
          </w:p>
        </w:tc>
        <w:tc>
          <w:tcPr>
            <w:tcW w:w="967" w:type="dxa"/>
            <w:tcBorders>
              <w:top w:val="nil"/>
              <w:left w:val="nil"/>
              <w:bottom w:val="nil"/>
              <w:right w:val="nil"/>
            </w:tcBorders>
            <w:shd w:val="clear" w:color="000000" w:fill="BFBFBF"/>
            <w:noWrap/>
            <w:vAlign w:val="center"/>
            <w:hideMark/>
          </w:tcPr>
          <w:p w14:paraId="6A83E279"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27 997</w:t>
            </w:r>
          </w:p>
        </w:tc>
        <w:tc>
          <w:tcPr>
            <w:tcW w:w="1000" w:type="dxa"/>
            <w:tcBorders>
              <w:top w:val="nil"/>
              <w:left w:val="nil"/>
              <w:bottom w:val="nil"/>
              <w:right w:val="nil"/>
            </w:tcBorders>
            <w:shd w:val="clear" w:color="000000" w:fill="BFBFBF"/>
            <w:noWrap/>
            <w:vAlign w:val="center"/>
            <w:hideMark/>
          </w:tcPr>
          <w:p w14:paraId="60943976"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20 133</w:t>
            </w:r>
          </w:p>
        </w:tc>
        <w:tc>
          <w:tcPr>
            <w:tcW w:w="1005" w:type="dxa"/>
            <w:tcBorders>
              <w:top w:val="nil"/>
              <w:left w:val="nil"/>
              <w:bottom w:val="nil"/>
              <w:right w:val="nil"/>
            </w:tcBorders>
            <w:shd w:val="clear" w:color="000000" w:fill="FFFFFF"/>
            <w:vAlign w:val="center"/>
            <w:hideMark/>
          </w:tcPr>
          <w:p w14:paraId="316D4739"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12 617</w:t>
            </w:r>
          </w:p>
        </w:tc>
        <w:tc>
          <w:tcPr>
            <w:tcW w:w="851" w:type="dxa"/>
            <w:tcBorders>
              <w:top w:val="nil"/>
              <w:left w:val="nil"/>
              <w:bottom w:val="nil"/>
              <w:right w:val="nil"/>
            </w:tcBorders>
            <w:shd w:val="clear" w:color="000000" w:fill="FFFFFF"/>
            <w:vAlign w:val="center"/>
            <w:hideMark/>
          </w:tcPr>
          <w:p w14:paraId="48522A00"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82,0</w:t>
            </w:r>
          </w:p>
        </w:tc>
      </w:tr>
      <w:tr w:rsidR="00151F12" w:rsidRPr="00712D17" w14:paraId="03C2F4CF" w14:textId="77777777" w:rsidTr="00712D17">
        <w:trPr>
          <w:trHeight w:val="330"/>
        </w:trPr>
        <w:tc>
          <w:tcPr>
            <w:tcW w:w="2552" w:type="dxa"/>
            <w:tcBorders>
              <w:top w:val="nil"/>
              <w:left w:val="nil"/>
              <w:bottom w:val="nil"/>
              <w:right w:val="nil"/>
            </w:tcBorders>
            <w:shd w:val="clear" w:color="000000" w:fill="FFFFFF"/>
            <w:vAlign w:val="center"/>
            <w:hideMark/>
          </w:tcPr>
          <w:p w14:paraId="208FA1E4" w14:textId="77777777" w:rsidR="00151F12" w:rsidRPr="00712D17" w:rsidRDefault="00151F12" w:rsidP="00151F12">
            <w:pPr>
              <w:spacing w:after="0" w:line="240" w:lineRule="auto"/>
              <w:rPr>
                <w:rFonts w:eastAsia="Times New Roman" w:cs="Times New Roman"/>
                <w:color w:val="000000"/>
                <w:sz w:val="18"/>
                <w:szCs w:val="18"/>
                <w:lang w:eastAsia="sk-SK"/>
              </w:rPr>
            </w:pPr>
            <w:r w:rsidRPr="00712D17">
              <w:rPr>
                <w:rFonts w:eastAsia="Times New Roman" w:cs="Times New Roman"/>
                <w:color w:val="000000"/>
                <w:sz w:val="18"/>
                <w:szCs w:val="18"/>
                <w:lang w:eastAsia="sk-SK"/>
              </w:rPr>
              <w:t>Bývanie a občianska vybavenosť</w:t>
            </w:r>
          </w:p>
        </w:tc>
        <w:tc>
          <w:tcPr>
            <w:tcW w:w="980" w:type="dxa"/>
            <w:tcBorders>
              <w:top w:val="nil"/>
              <w:left w:val="nil"/>
              <w:bottom w:val="nil"/>
              <w:right w:val="nil"/>
            </w:tcBorders>
            <w:shd w:val="clear" w:color="000000" w:fill="FFFFFF"/>
            <w:noWrap/>
            <w:vAlign w:val="center"/>
            <w:hideMark/>
          </w:tcPr>
          <w:p w14:paraId="41425A54"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62 653</w:t>
            </w:r>
          </w:p>
        </w:tc>
        <w:tc>
          <w:tcPr>
            <w:tcW w:w="940" w:type="dxa"/>
            <w:tcBorders>
              <w:top w:val="nil"/>
              <w:left w:val="nil"/>
              <w:bottom w:val="nil"/>
              <w:right w:val="nil"/>
            </w:tcBorders>
            <w:shd w:val="clear" w:color="000000" w:fill="FFFFFF"/>
            <w:noWrap/>
            <w:vAlign w:val="center"/>
            <w:hideMark/>
          </w:tcPr>
          <w:p w14:paraId="299032B1"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66 384</w:t>
            </w:r>
          </w:p>
        </w:tc>
        <w:tc>
          <w:tcPr>
            <w:tcW w:w="940" w:type="dxa"/>
            <w:tcBorders>
              <w:top w:val="nil"/>
              <w:left w:val="nil"/>
              <w:bottom w:val="nil"/>
              <w:right w:val="nil"/>
            </w:tcBorders>
            <w:shd w:val="clear" w:color="000000" w:fill="FFFFFF"/>
            <w:noWrap/>
            <w:vAlign w:val="center"/>
            <w:hideMark/>
          </w:tcPr>
          <w:p w14:paraId="1BF5728A"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2 700</w:t>
            </w:r>
          </w:p>
        </w:tc>
        <w:tc>
          <w:tcPr>
            <w:tcW w:w="967" w:type="dxa"/>
            <w:tcBorders>
              <w:top w:val="nil"/>
              <w:left w:val="nil"/>
              <w:bottom w:val="nil"/>
              <w:right w:val="nil"/>
            </w:tcBorders>
            <w:shd w:val="clear" w:color="000000" w:fill="BFBFBF"/>
            <w:noWrap/>
            <w:vAlign w:val="center"/>
            <w:hideMark/>
          </w:tcPr>
          <w:p w14:paraId="3237E17D"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17 982</w:t>
            </w:r>
          </w:p>
        </w:tc>
        <w:tc>
          <w:tcPr>
            <w:tcW w:w="1000" w:type="dxa"/>
            <w:tcBorders>
              <w:top w:val="nil"/>
              <w:left w:val="nil"/>
              <w:bottom w:val="nil"/>
              <w:right w:val="nil"/>
            </w:tcBorders>
            <w:shd w:val="clear" w:color="000000" w:fill="BFBFBF"/>
            <w:noWrap/>
            <w:vAlign w:val="center"/>
            <w:hideMark/>
          </w:tcPr>
          <w:p w14:paraId="24D24B95"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0</w:t>
            </w:r>
          </w:p>
        </w:tc>
        <w:tc>
          <w:tcPr>
            <w:tcW w:w="1005" w:type="dxa"/>
            <w:tcBorders>
              <w:top w:val="nil"/>
              <w:left w:val="nil"/>
              <w:bottom w:val="nil"/>
              <w:right w:val="nil"/>
            </w:tcBorders>
            <w:shd w:val="clear" w:color="000000" w:fill="FFFFFF"/>
            <w:vAlign w:val="center"/>
            <w:hideMark/>
          </w:tcPr>
          <w:p w14:paraId="32AA5E6F"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15 282</w:t>
            </w:r>
          </w:p>
        </w:tc>
        <w:tc>
          <w:tcPr>
            <w:tcW w:w="851" w:type="dxa"/>
            <w:tcBorders>
              <w:top w:val="nil"/>
              <w:left w:val="nil"/>
              <w:bottom w:val="nil"/>
              <w:right w:val="nil"/>
            </w:tcBorders>
            <w:shd w:val="clear" w:color="000000" w:fill="FFFFFF"/>
            <w:vAlign w:val="center"/>
            <w:hideMark/>
          </w:tcPr>
          <w:p w14:paraId="4CF590DB"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566,0</w:t>
            </w:r>
          </w:p>
        </w:tc>
      </w:tr>
      <w:tr w:rsidR="00151F12" w:rsidRPr="00712D17" w14:paraId="7431C588" w14:textId="77777777" w:rsidTr="00712D17">
        <w:trPr>
          <w:trHeight w:val="330"/>
        </w:trPr>
        <w:tc>
          <w:tcPr>
            <w:tcW w:w="2552" w:type="dxa"/>
            <w:tcBorders>
              <w:top w:val="nil"/>
              <w:left w:val="nil"/>
              <w:bottom w:val="nil"/>
              <w:right w:val="nil"/>
            </w:tcBorders>
            <w:shd w:val="clear" w:color="000000" w:fill="FFFFFF"/>
            <w:noWrap/>
            <w:vAlign w:val="center"/>
            <w:hideMark/>
          </w:tcPr>
          <w:p w14:paraId="6936551B" w14:textId="77777777" w:rsidR="00151F12" w:rsidRPr="00712D17" w:rsidRDefault="00151F12" w:rsidP="00151F12">
            <w:pPr>
              <w:spacing w:after="0" w:line="240" w:lineRule="auto"/>
              <w:rPr>
                <w:rFonts w:eastAsia="Times New Roman" w:cs="Times New Roman"/>
                <w:color w:val="000000"/>
                <w:sz w:val="18"/>
                <w:szCs w:val="18"/>
                <w:lang w:eastAsia="sk-SK"/>
              </w:rPr>
            </w:pPr>
            <w:r w:rsidRPr="00712D17">
              <w:rPr>
                <w:rFonts w:eastAsia="Times New Roman" w:cs="Times New Roman"/>
                <w:color w:val="000000"/>
                <w:sz w:val="18"/>
                <w:szCs w:val="18"/>
                <w:lang w:eastAsia="sk-SK"/>
              </w:rPr>
              <w:t>Verejný poriadok a bezpečnosť</w:t>
            </w:r>
          </w:p>
        </w:tc>
        <w:tc>
          <w:tcPr>
            <w:tcW w:w="980" w:type="dxa"/>
            <w:tcBorders>
              <w:top w:val="nil"/>
              <w:left w:val="nil"/>
              <w:bottom w:val="nil"/>
              <w:right w:val="nil"/>
            </w:tcBorders>
            <w:shd w:val="clear" w:color="000000" w:fill="FFFFFF"/>
            <w:noWrap/>
            <w:vAlign w:val="center"/>
            <w:hideMark/>
          </w:tcPr>
          <w:p w14:paraId="646BD794"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35 615</w:t>
            </w:r>
          </w:p>
        </w:tc>
        <w:tc>
          <w:tcPr>
            <w:tcW w:w="940" w:type="dxa"/>
            <w:tcBorders>
              <w:top w:val="nil"/>
              <w:left w:val="nil"/>
              <w:bottom w:val="nil"/>
              <w:right w:val="nil"/>
            </w:tcBorders>
            <w:shd w:val="clear" w:color="000000" w:fill="FFFFFF"/>
            <w:noWrap/>
            <w:vAlign w:val="center"/>
            <w:hideMark/>
          </w:tcPr>
          <w:p w14:paraId="183A42C0"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5 700</w:t>
            </w:r>
          </w:p>
        </w:tc>
        <w:tc>
          <w:tcPr>
            <w:tcW w:w="940" w:type="dxa"/>
            <w:tcBorders>
              <w:top w:val="nil"/>
              <w:left w:val="nil"/>
              <w:bottom w:val="nil"/>
              <w:right w:val="nil"/>
            </w:tcBorders>
            <w:shd w:val="clear" w:color="000000" w:fill="FFFFFF"/>
            <w:noWrap/>
            <w:vAlign w:val="center"/>
            <w:hideMark/>
          </w:tcPr>
          <w:p w14:paraId="0E1F8E81"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565</w:t>
            </w:r>
          </w:p>
        </w:tc>
        <w:tc>
          <w:tcPr>
            <w:tcW w:w="967" w:type="dxa"/>
            <w:tcBorders>
              <w:top w:val="nil"/>
              <w:left w:val="nil"/>
              <w:bottom w:val="nil"/>
              <w:right w:val="nil"/>
            </w:tcBorders>
            <w:shd w:val="clear" w:color="000000" w:fill="BFBFBF"/>
            <w:noWrap/>
            <w:vAlign w:val="center"/>
            <w:hideMark/>
          </w:tcPr>
          <w:p w14:paraId="6BAA9AAA"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13 058</w:t>
            </w:r>
          </w:p>
        </w:tc>
        <w:tc>
          <w:tcPr>
            <w:tcW w:w="1000" w:type="dxa"/>
            <w:tcBorders>
              <w:top w:val="nil"/>
              <w:left w:val="nil"/>
              <w:bottom w:val="nil"/>
              <w:right w:val="nil"/>
            </w:tcBorders>
            <w:shd w:val="clear" w:color="000000" w:fill="BFBFBF"/>
            <w:noWrap/>
            <w:vAlign w:val="center"/>
            <w:hideMark/>
          </w:tcPr>
          <w:p w14:paraId="0AFC679E"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13 028</w:t>
            </w:r>
          </w:p>
        </w:tc>
        <w:tc>
          <w:tcPr>
            <w:tcW w:w="1005" w:type="dxa"/>
            <w:tcBorders>
              <w:top w:val="nil"/>
              <w:left w:val="nil"/>
              <w:bottom w:val="nil"/>
              <w:right w:val="nil"/>
            </w:tcBorders>
            <w:shd w:val="clear" w:color="000000" w:fill="FFFFFF"/>
            <w:vAlign w:val="center"/>
            <w:hideMark/>
          </w:tcPr>
          <w:p w14:paraId="101FD59E"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12 493</w:t>
            </w:r>
          </w:p>
        </w:tc>
        <w:tc>
          <w:tcPr>
            <w:tcW w:w="851" w:type="dxa"/>
            <w:tcBorders>
              <w:top w:val="nil"/>
              <w:left w:val="nil"/>
              <w:bottom w:val="nil"/>
              <w:right w:val="nil"/>
            </w:tcBorders>
            <w:shd w:val="clear" w:color="000000" w:fill="FFFFFF"/>
            <w:vAlign w:val="center"/>
            <w:hideMark/>
          </w:tcPr>
          <w:p w14:paraId="3052D13C"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2 211,2</w:t>
            </w:r>
          </w:p>
        </w:tc>
      </w:tr>
      <w:tr w:rsidR="00151F12" w:rsidRPr="00712D17" w14:paraId="622079B5" w14:textId="77777777" w:rsidTr="00712D17">
        <w:trPr>
          <w:trHeight w:val="330"/>
        </w:trPr>
        <w:tc>
          <w:tcPr>
            <w:tcW w:w="2552" w:type="dxa"/>
            <w:tcBorders>
              <w:top w:val="nil"/>
              <w:left w:val="nil"/>
              <w:bottom w:val="nil"/>
              <w:right w:val="nil"/>
            </w:tcBorders>
            <w:shd w:val="clear" w:color="000000" w:fill="FFFFFF"/>
            <w:vAlign w:val="center"/>
            <w:hideMark/>
          </w:tcPr>
          <w:p w14:paraId="3473F156" w14:textId="77777777" w:rsidR="00151F12" w:rsidRPr="00712D17" w:rsidRDefault="00151F12" w:rsidP="00151F12">
            <w:pPr>
              <w:spacing w:after="0" w:line="240" w:lineRule="auto"/>
              <w:rPr>
                <w:rFonts w:eastAsia="Times New Roman" w:cs="Times New Roman"/>
                <w:color w:val="000000"/>
                <w:sz w:val="18"/>
                <w:szCs w:val="18"/>
                <w:lang w:eastAsia="sk-SK"/>
              </w:rPr>
            </w:pPr>
            <w:r w:rsidRPr="00712D17">
              <w:rPr>
                <w:rFonts w:eastAsia="Times New Roman" w:cs="Times New Roman"/>
                <w:color w:val="000000"/>
                <w:sz w:val="18"/>
                <w:szCs w:val="18"/>
                <w:lang w:eastAsia="sk-SK"/>
              </w:rPr>
              <w:t>Zdravotníctvo</w:t>
            </w:r>
          </w:p>
        </w:tc>
        <w:tc>
          <w:tcPr>
            <w:tcW w:w="980" w:type="dxa"/>
            <w:tcBorders>
              <w:top w:val="nil"/>
              <w:left w:val="nil"/>
              <w:bottom w:val="nil"/>
              <w:right w:val="nil"/>
            </w:tcBorders>
            <w:shd w:val="clear" w:color="000000" w:fill="FFFFFF"/>
            <w:noWrap/>
            <w:vAlign w:val="center"/>
            <w:hideMark/>
          </w:tcPr>
          <w:p w14:paraId="5EFE3EB1"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20</w:t>
            </w:r>
          </w:p>
        </w:tc>
        <w:tc>
          <w:tcPr>
            <w:tcW w:w="940" w:type="dxa"/>
            <w:tcBorders>
              <w:top w:val="nil"/>
              <w:left w:val="nil"/>
              <w:bottom w:val="nil"/>
              <w:right w:val="nil"/>
            </w:tcBorders>
            <w:shd w:val="clear" w:color="000000" w:fill="FFFFFF"/>
            <w:noWrap/>
            <w:vAlign w:val="center"/>
            <w:hideMark/>
          </w:tcPr>
          <w:p w14:paraId="5AB7ECF5"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23</w:t>
            </w:r>
          </w:p>
        </w:tc>
        <w:tc>
          <w:tcPr>
            <w:tcW w:w="940" w:type="dxa"/>
            <w:tcBorders>
              <w:top w:val="nil"/>
              <w:left w:val="nil"/>
              <w:bottom w:val="nil"/>
              <w:right w:val="nil"/>
            </w:tcBorders>
            <w:shd w:val="clear" w:color="000000" w:fill="FFFFFF"/>
            <w:noWrap/>
            <w:vAlign w:val="center"/>
            <w:hideMark/>
          </w:tcPr>
          <w:p w14:paraId="5D0A58FB"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0</w:t>
            </w:r>
          </w:p>
        </w:tc>
        <w:tc>
          <w:tcPr>
            <w:tcW w:w="967" w:type="dxa"/>
            <w:tcBorders>
              <w:top w:val="nil"/>
              <w:left w:val="nil"/>
              <w:bottom w:val="nil"/>
              <w:right w:val="nil"/>
            </w:tcBorders>
            <w:shd w:val="clear" w:color="000000" w:fill="BFBFBF"/>
            <w:noWrap/>
            <w:vAlign w:val="center"/>
            <w:hideMark/>
          </w:tcPr>
          <w:p w14:paraId="71047730"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0</w:t>
            </w:r>
          </w:p>
        </w:tc>
        <w:tc>
          <w:tcPr>
            <w:tcW w:w="1000" w:type="dxa"/>
            <w:tcBorders>
              <w:top w:val="nil"/>
              <w:left w:val="nil"/>
              <w:bottom w:val="nil"/>
              <w:right w:val="nil"/>
            </w:tcBorders>
            <w:shd w:val="clear" w:color="000000" w:fill="BFBFBF"/>
            <w:noWrap/>
            <w:vAlign w:val="center"/>
            <w:hideMark/>
          </w:tcPr>
          <w:p w14:paraId="535D5CC1"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0</w:t>
            </w:r>
          </w:p>
        </w:tc>
        <w:tc>
          <w:tcPr>
            <w:tcW w:w="1005" w:type="dxa"/>
            <w:tcBorders>
              <w:top w:val="nil"/>
              <w:left w:val="nil"/>
              <w:bottom w:val="nil"/>
              <w:right w:val="nil"/>
            </w:tcBorders>
            <w:shd w:val="clear" w:color="000000" w:fill="FFFFFF"/>
            <w:vAlign w:val="center"/>
            <w:hideMark/>
          </w:tcPr>
          <w:p w14:paraId="3FBC3CBE"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0</w:t>
            </w:r>
          </w:p>
        </w:tc>
        <w:tc>
          <w:tcPr>
            <w:tcW w:w="851" w:type="dxa"/>
            <w:tcBorders>
              <w:top w:val="nil"/>
              <w:left w:val="nil"/>
              <w:bottom w:val="nil"/>
              <w:right w:val="nil"/>
            </w:tcBorders>
            <w:shd w:val="clear" w:color="000000" w:fill="FFFFFF"/>
            <w:vAlign w:val="center"/>
            <w:hideMark/>
          </w:tcPr>
          <w:p w14:paraId="33731CB1"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x</w:t>
            </w:r>
          </w:p>
        </w:tc>
      </w:tr>
      <w:tr w:rsidR="00151F12" w:rsidRPr="00712D17" w14:paraId="08D6EF11" w14:textId="77777777" w:rsidTr="00712D17">
        <w:trPr>
          <w:trHeight w:val="345"/>
        </w:trPr>
        <w:tc>
          <w:tcPr>
            <w:tcW w:w="2552" w:type="dxa"/>
            <w:tcBorders>
              <w:top w:val="single" w:sz="4" w:space="0" w:color="auto"/>
              <w:left w:val="nil"/>
              <w:bottom w:val="single" w:sz="8" w:space="0" w:color="auto"/>
              <w:right w:val="nil"/>
            </w:tcBorders>
            <w:shd w:val="clear" w:color="000000" w:fill="FFFFFF"/>
            <w:noWrap/>
            <w:vAlign w:val="center"/>
            <w:hideMark/>
          </w:tcPr>
          <w:p w14:paraId="12E9F291" w14:textId="77777777" w:rsidR="00151F12" w:rsidRPr="00712D17" w:rsidRDefault="00151F12" w:rsidP="00151F12">
            <w:pPr>
              <w:spacing w:after="0" w:line="240" w:lineRule="auto"/>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Spolu</w:t>
            </w:r>
          </w:p>
        </w:tc>
        <w:tc>
          <w:tcPr>
            <w:tcW w:w="980" w:type="dxa"/>
            <w:tcBorders>
              <w:top w:val="single" w:sz="4" w:space="0" w:color="auto"/>
              <w:left w:val="nil"/>
              <w:bottom w:val="single" w:sz="8" w:space="0" w:color="auto"/>
              <w:right w:val="nil"/>
            </w:tcBorders>
            <w:shd w:val="clear" w:color="000000" w:fill="FFFFFF"/>
            <w:noWrap/>
            <w:vAlign w:val="center"/>
            <w:hideMark/>
          </w:tcPr>
          <w:p w14:paraId="340B680A" w14:textId="77777777" w:rsidR="00151F12" w:rsidRPr="00712D17" w:rsidRDefault="00151F12" w:rsidP="00151F12">
            <w:pPr>
              <w:spacing w:after="0" w:line="240" w:lineRule="auto"/>
              <w:jc w:val="right"/>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1 345 539</w:t>
            </w:r>
          </w:p>
        </w:tc>
        <w:tc>
          <w:tcPr>
            <w:tcW w:w="940" w:type="dxa"/>
            <w:tcBorders>
              <w:top w:val="single" w:sz="4" w:space="0" w:color="auto"/>
              <w:left w:val="nil"/>
              <w:bottom w:val="single" w:sz="8" w:space="0" w:color="auto"/>
              <w:right w:val="nil"/>
            </w:tcBorders>
            <w:shd w:val="clear" w:color="000000" w:fill="FFFFFF"/>
            <w:noWrap/>
            <w:vAlign w:val="center"/>
            <w:hideMark/>
          </w:tcPr>
          <w:p w14:paraId="34A3066C" w14:textId="77777777" w:rsidR="00151F12" w:rsidRPr="00712D17" w:rsidRDefault="00151F12" w:rsidP="00151F12">
            <w:pPr>
              <w:spacing w:after="0" w:line="240" w:lineRule="auto"/>
              <w:jc w:val="right"/>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1 505 636</w:t>
            </w:r>
          </w:p>
        </w:tc>
        <w:tc>
          <w:tcPr>
            <w:tcW w:w="940" w:type="dxa"/>
            <w:tcBorders>
              <w:top w:val="single" w:sz="4" w:space="0" w:color="auto"/>
              <w:left w:val="nil"/>
              <w:bottom w:val="single" w:sz="8" w:space="0" w:color="auto"/>
              <w:right w:val="nil"/>
            </w:tcBorders>
            <w:shd w:val="clear" w:color="000000" w:fill="FFFFFF"/>
            <w:noWrap/>
            <w:vAlign w:val="center"/>
            <w:hideMark/>
          </w:tcPr>
          <w:p w14:paraId="6D3A3F50" w14:textId="77777777" w:rsidR="00151F12" w:rsidRPr="00712D17" w:rsidRDefault="00151F12" w:rsidP="00151F12">
            <w:pPr>
              <w:spacing w:after="0" w:line="240" w:lineRule="auto"/>
              <w:jc w:val="right"/>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1 124 065</w:t>
            </w:r>
          </w:p>
        </w:tc>
        <w:tc>
          <w:tcPr>
            <w:tcW w:w="967" w:type="dxa"/>
            <w:tcBorders>
              <w:top w:val="single" w:sz="4" w:space="0" w:color="auto"/>
              <w:left w:val="nil"/>
              <w:bottom w:val="single" w:sz="8" w:space="0" w:color="auto"/>
              <w:right w:val="nil"/>
            </w:tcBorders>
            <w:shd w:val="clear" w:color="000000" w:fill="BFBFBF"/>
            <w:noWrap/>
            <w:vAlign w:val="center"/>
            <w:hideMark/>
          </w:tcPr>
          <w:p w14:paraId="6E9BD759" w14:textId="77777777" w:rsidR="00151F12" w:rsidRPr="00712D17" w:rsidRDefault="00151F12" w:rsidP="00151F12">
            <w:pPr>
              <w:spacing w:after="0" w:line="240" w:lineRule="auto"/>
              <w:jc w:val="right"/>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1 756 998</w:t>
            </w:r>
          </w:p>
        </w:tc>
        <w:tc>
          <w:tcPr>
            <w:tcW w:w="1000" w:type="dxa"/>
            <w:tcBorders>
              <w:top w:val="single" w:sz="4" w:space="0" w:color="auto"/>
              <w:left w:val="nil"/>
              <w:bottom w:val="single" w:sz="8" w:space="0" w:color="auto"/>
              <w:right w:val="nil"/>
            </w:tcBorders>
            <w:shd w:val="clear" w:color="000000" w:fill="BFBFBF"/>
            <w:noWrap/>
            <w:vAlign w:val="center"/>
            <w:hideMark/>
          </w:tcPr>
          <w:p w14:paraId="6BA151C3" w14:textId="77777777" w:rsidR="00151F12" w:rsidRPr="00712D17" w:rsidRDefault="00151F12" w:rsidP="00151F12">
            <w:pPr>
              <w:spacing w:after="0" w:line="240" w:lineRule="auto"/>
              <w:jc w:val="right"/>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1 418 916</w:t>
            </w:r>
          </w:p>
        </w:tc>
        <w:tc>
          <w:tcPr>
            <w:tcW w:w="1005" w:type="dxa"/>
            <w:tcBorders>
              <w:top w:val="single" w:sz="4" w:space="0" w:color="auto"/>
              <w:left w:val="nil"/>
              <w:bottom w:val="single" w:sz="8" w:space="0" w:color="auto"/>
              <w:right w:val="nil"/>
            </w:tcBorders>
            <w:shd w:val="clear" w:color="000000" w:fill="FFFFFF"/>
            <w:noWrap/>
            <w:vAlign w:val="center"/>
            <w:hideMark/>
          </w:tcPr>
          <w:p w14:paraId="26CA9D5A" w14:textId="77777777" w:rsidR="00151F12" w:rsidRPr="00712D17" w:rsidRDefault="00151F12" w:rsidP="00151F12">
            <w:pPr>
              <w:spacing w:after="0" w:line="240" w:lineRule="auto"/>
              <w:jc w:val="right"/>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632 933</w:t>
            </w:r>
          </w:p>
        </w:tc>
        <w:tc>
          <w:tcPr>
            <w:tcW w:w="851" w:type="dxa"/>
            <w:tcBorders>
              <w:top w:val="single" w:sz="4" w:space="0" w:color="auto"/>
              <w:left w:val="nil"/>
              <w:bottom w:val="single" w:sz="8" w:space="0" w:color="auto"/>
              <w:right w:val="nil"/>
            </w:tcBorders>
            <w:shd w:val="clear" w:color="000000" w:fill="FFFFFF"/>
            <w:noWrap/>
            <w:vAlign w:val="center"/>
            <w:hideMark/>
          </w:tcPr>
          <w:p w14:paraId="460354BF" w14:textId="77777777" w:rsidR="00151F12" w:rsidRPr="00712D17" w:rsidRDefault="00151F12" w:rsidP="00151F12">
            <w:pPr>
              <w:spacing w:after="0" w:line="240" w:lineRule="auto"/>
              <w:jc w:val="right"/>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56,3</w:t>
            </w:r>
          </w:p>
        </w:tc>
      </w:tr>
    </w:tbl>
    <w:p w14:paraId="389E242F" w14:textId="32F8AE0B" w:rsidR="00151F12" w:rsidRPr="00B93968" w:rsidRDefault="00151F12" w:rsidP="00151F12">
      <w:r w:rsidRPr="00B93968">
        <w:rPr>
          <w:sz w:val="18"/>
          <w:szCs w:val="18"/>
        </w:rPr>
        <w:t xml:space="preserve">Poznámka: * len prostriedky </w:t>
      </w:r>
      <w:r>
        <w:rPr>
          <w:sz w:val="18"/>
          <w:szCs w:val="18"/>
        </w:rPr>
        <w:t xml:space="preserve">štátneho rozpočtu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712D17">
        <w:rPr>
          <w:sz w:val="18"/>
          <w:szCs w:val="18"/>
        </w:rPr>
        <w:t xml:space="preserve">           </w:t>
      </w:r>
      <w:r w:rsidR="00F031B1">
        <w:rPr>
          <w:sz w:val="18"/>
          <w:szCs w:val="18"/>
        </w:rPr>
        <w:t xml:space="preserve">  </w:t>
      </w:r>
      <w:r w:rsidR="00712D17">
        <w:rPr>
          <w:sz w:val="18"/>
          <w:szCs w:val="18"/>
        </w:rPr>
        <w:t xml:space="preserve">  </w:t>
      </w:r>
      <w:r w:rsidRPr="00B93968">
        <w:rPr>
          <w:sz w:val="18"/>
          <w:szCs w:val="18"/>
        </w:rPr>
        <w:t>Zdroj: MF SR</w:t>
      </w:r>
    </w:p>
    <w:p w14:paraId="25DF0414" w14:textId="104D616B" w:rsidR="00151F12" w:rsidRPr="00D715AF" w:rsidRDefault="00151F12" w:rsidP="001665F3">
      <w:pPr>
        <w:suppressAutoHyphens/>
        <w:spacing w:before="120" w:line="240" w:lineRule="auto"/>
        <w:rPr>
          <w:color w:val="FF0000"/>
          <w:sz w:val="24"/>
          <w:szCs w:val="24"/>
        </w:rPr>
      </w:pPr>
      <w:r w:rsidRPr="00D715AF">
        <w:rPr>
          <w:color w:val="000000" w:themeColor="text1"/>
          <w:sz w:val="24"/>
          <w:szCs w:val="24"/>
        </w:rPr>
        <w:t>Najväčšie pozitívne rozdiely medzi schváleným rozpočtom a skutočnosťou boli zaznamenané v ekonomickej oblasti o 225 567 tis. eur, z toho u Ministerstva pôdohospodárstva SR o 69 587 tis. eur, Ministerstva práce, sociálnych vecí a rodiny SR o 59 440 tis. eur a Ministerstva dopravy a výstavby SR o 55 223 tis. eur. Vo vzdelávaní bol rozdiel 142 613 tis. eur, z toho u Ministerstva vnútra 126 738 tis. eur, v ochrane životného prostredia o 92 425 tis. eur, z toho u Ministerstva životného prostredia SR 91 602 tis. eur.</w:t>
      </w:r>
    </w:p>
    <w:p w14:paraId="77AC4768" w14:textId="77777777" w:rsidR="00151F12" w:rsidRDefault="00151F12" w:rsidP="001665F3">
      <w:pPr>
        <w:suppressAutoHyphens/>
        <w:spacing w:line="240" w:lineRule="auto"/>
      </w:pPr>
      <w:r w:rsidRPr="00D715AF">
        <w:rPr>
          <w:sz w:val="24"/>
          <w:szCs w:val="24"/>
        </w:rPr>
        <w:t>Do rozpočtov obcí boli poskytnuté granty a transfery z jednotlivých rozpočtových kapitol v nasledovnom členení:</w:t>
      </w:r>
    </w:p>
    <w:tbl>
      <w:tblPr>
        <w:tblW w:w="9769" w:type="dxa"/>
        <w:tblInd w:w="-10" w:type="dxa"/>
        <w:tblLayout w:type="fixed"/>
        <w:tblCellMar>
          <w:left w:w="70" w:type="dxa"/>
          <w:right w:w="70" w:type="dxa"/>
        </w:tblCellMar>
        <w:tblLook w:val="04A0" w:firstRow="1" w:lastRow="0" w:firstColumn="1" w:lastColumn="0" w:noHBand="0" w:noVBand="1"/>
      </w:tblPr>
      <w:tblGrid>
        <w:gridCol w:w="3544"/>
        <w:gridCol w:w="940"/>
        <w:gridCol w:w="940"/>
        <w:gridCol w:w="980"/>
        <w:gridCol w:w="940"/>
        <w:gridCol w:w="980"/>
        <w:gridCol w:w="736"/>
        <w:gridCol w:w="709"/>
      </w:tblGrid>
      <w:tr w:rsidR="00E23F29" w:rsidRPr="00712D17" w14:paraId="1F66C576" w14:textId="77777777" w:rsidTr="00070A80">
        <w:trPr>
          <w:trHeight w:val="330"/>
        </w:trPr>
        <w:tc>
          <w:tcPr>
            <w:tcW w:w="9769" w:type="dxa"/>
            <w:gridSpan w:val="8"/>
            <w:tcBorders>
              <w:top w:val="nil"/>
              <w:left w:val="single" w:sz="8" w:space="0" w:color="auto"/>
              <w:bottom w:val="nil"/>
              <w:right w:val="nil"/>
            </w:tcBorders>
            <w:shd w:val="clear" w:color="000000" w:fill="000000"/>
            <w:vAlign w:val="center"/>
            <w:hideMark/>
          </w:tcPr>
          <w:p w14:paraId="52479688" w14:textId="0E608688" w:rsidR="00E23F29" w:rsidRPr="00712D17" w:rsidRDefault="00E23F29" w:rsidP="00E23F29">
            <w:pPr>
              <w:spacing w:after="0" w:line="240" w:lineRule="auto"/>
              <w:rPr>
                <w:rFonts w:eastAsia="Times New Roman" w:cs="Times New Roman"/>
                <w:b/>
                <w:bCs/>
                <w:color w:val="FFFFFF"/>
                <w:sz w:val="18"/>
                <w:szCs w:val="18"/>
                <w:lang w:eastAsia="sk-SK"/>
              </w:rPr>
            </w:pPr>
            <w:r w:rsidRPr="00712D17">
              <w:rPr>
                <w:rFonts w:eastAsia="Times New Roman" w:cs="Times New Roman"/>
                <w:b/>
                <w:bCs/>
                <w:color w:val="FFFFFF"/>
                <w:sz w:val="18"/>
                <w:szCs w:val="18"/>
                <w:lang w:eastAsia="sk-SK"/>
              </w:rPr>
              <w:t>Granty a transfery poskytnuté obciam podľa kapitol ŠR</w:t>
            </w:r>
            <w:r>
              <w:rPr>
                <w:rFonts w:eastAsia="Times New Roman" w:cs="Times New Roman"/>
                <w:b/>
                <w:bCs/>
                <w:color w:val="FFFFFF"/>
                <w:sz w:val="18"/>
                <w:szCs w:val="18"/>
                <w:lang w:eastAsia="sk-SK"/>
              </w:rPr>
              <w:t xml:space="preserve">                                                                                                        </w:t>
            </w:r>
            <w:r w:rsidRPr="00712D17">
              <w:rPr>
                <w:rFonts w:eastAsia="Times New Roman" w:cs="Times New Roman"/>
                <w:b/>
                <w:bCs/>
                <w:color w:val="FFFFFF"/>
                <w:sz w:val="18"/>
                <w:szCs w:val="18"/>
                <w:lang w:eastAsia="sk-SK"/>
              </w:rPr>
              <w:t>v tis. eur</w:t>
            </w:r>
          </w:p>
        </w:tc>
      </w:tr>
      <w:tr w:rsidR="00151F12" w:rsidRPr="00712D17" w14:paraId="7198F268" w14:textId="77777777" w:rsidTr="00070A80">
        <w:trPr>
          <w:trHeight w:val="330"/>
        </w:trPr>
        <w:tc>
          <w:tcPr>
            <w:tcW w:w="3544" w:type="dxa"/>
            <w:tcBorders>
              <w:top w:val="nil"/>
              <w:left w:val="nil"/>
              <w:bottom w:val="nil"/>
              <w:right w:val="nil"/>
            </w:tcBorders>
            <w:shd w:val="clear" w:color="000000" w:fill="BFBFBF"/>
            <w:vAlign w:val="center"/>
            <w:hideMark/>
          </w:tcPr>
          <w:p w14:paraId="44B2027A" w14:textId="77777777" w:rsidR="00151F12" w:rsidRPr="00712D17" w:rsidRDefault="00151F12" w:rsidP="00151F12">
            <w:pPr>
              <w:spacing w:after="0" w:line="240" w:lineRule="auto"/>
              <w:rPr>
                <w:rFonts w:eastAsia="Times New Roman" w:cs="Times New Roman"/>
                <w:b/>
                <w:bCs/>
                <w:color w:val="FFFFFF"/>
                <w:sz w:val="18"/>
                <w:szCs w:val="18"/>
                <w:lang w:eastAsia="sk-SK"/>
              </w:rPr>
            </w:pPr>
            <w:r w:rsidRPr="00712D17">
              <w:rPr>
                <w:rFonts w:eastAsia="Times New Roman" w:cs="Times New Roman"/>
                <w:b/>
                <w:bCs/>
                <w:color w:val="FFFFFF"/>
                <w:sz w:val="18"/>
                <w:szCs w:val="18"/>
                <w:lang w:eastAsia="sk-SK"/>
              </w:rPr>
              <w:t> </w:t>
            </w:r>
          </w:p>
        </w:tc>
        <w:tc>
          <w:tcPr>
            <w:tcW w:w="1880" w:type="dxa"/>
            <w:gridSpan w:val="2"/>
            <w:tcBorders>
              <w:top w:val="nil"/>
              <w:left w:val="nil"/>
              <w:bottom w:val="nil"/>
              <w:right w:val="nil"/>
            </w:tcBorders>
            <w:shd w:val="clear" w:color="000000" w:fill="BFBFBF"/>
            <w:vAlign w:val="center"/>
            <w:hideMark/>
          </w:tcPr>
          <w:p w14:paraId="7C15EE83" w14:textId="77777777" w:rsidR="00151F12" w:rsidRPr="00712D17" w:rsidRDefault="00151F12" w:rsidP="00151F12">
            <w:pPr>
              <w:spacing w:after="0" w:line="240" w:lineRule="auto"/>
              <w:jc w:val="center"/>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Skutočnosť</w:t>
            </w:r>
          </w:p>
        </w:tc>
        <w:tc>
          <w:tcPr>
            <w:tcW w:w="980" w:type="dxa"/>
            <w:tcBorders>
              <w:top w:val="nil"/>
              <w:left w:val="nil"/>
              <w:bottom w:val="nil"/>
              <w:right w:val="nil"/>
            </w:tcBorders>
            <w:shd w:val="clear" w:color="000000" w:fill="BFBFBF"/>
            <w:vAlign w:val="center"/>
            <w:hideMark/>
          </w:tcPr>
          <w:p w14:paraId="706C22E1" w14:textId="77777777" w:rsidR="00151F12" w:rsidRPr="00712D17" w:rsidRDefault="00151F12" w:rsidP="00151F12">
            <w:pPr>
              <w:spacing w:after="0" w:line="240" w:lineRule="auto"/>
              <w:jc w:val="center"/>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Rozpočet</w:t>
            </w:r>
          </w:p>
        </w:tc>
        <w:tc>
          <w:tcPr>
            <w:tcW w:w="1920" w:type="dxa"/>
            <w:gridSpan w:val="2"/>
            <w:tcBorders>
              <w:top w:val="nil"/>
              <w:left w:val="nil"/>
              <w:bottom w:val="nil"/>
              <w:right w:val="nil"/>
            </w:tcBorders>
            <w:shd w:val="clear" w:color="000000" w:fill="BFBFBF"/>
            <w:vAlign w:val="center"/>
            <w:hideMark/>
          </w:tcPr>
          <w:p w14:paraId="7F830559" w14:textId="77777777" w:rsidR="00151F12" w:rsidRPr="00712D17" w:rsidRDefault="00151F12" w:rsidP="00151F12">
            <w:pPr>
              <w:spacing w:after="0" w:line="240" w:lineRule="auto"/>
              <w:jc w:val="center"/>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Skutočnosť</w:t>
            </w:r>
          </w:p>
        </w:tc>
        <w:tc>
          <w:tcPr>
            <w:tcW w:w="1445" w:type="dxa"/>
            <w:gridSpan w:val="2"/>
            <w:tcBorders>
              <w:top w:val="nil"/>
              <w:left w:val="nil"/>
              <w:bottom w:val="nil"/>
              <w:right w:val="nil"/>
            </w:tcBorders>
            <w:shd w:val="clear" w:color="000000" w:fill="BFBFBF"/>
            <w:vAlign w:val="center"/>
            <w:hideMark/>
          </w:tcPr>
          <w:p w14:paraId="60713206" w14:textId="77777777" w:rsidR="00151F12" w:rsidRPr="00712D17" w:rsidRDefault="00151F12" w:rsidP="00151F12">
            <w:pPr>
              <w:spacing w:after="0" w:line="240" w:lineRule="auto"/>
              <w:jc w:val="center"/>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Rozdiel</w:t>
            </w:r>
          </w:p>
        </w:tc>
      </w:tr>
      <w:tr w:rsidR="00151F12" w:rsidRPr="00712D17" w14:paraId="66011FF3" w14:textId="77777777" w:rsidTr="00070A80">
        <w:trPr>
          <w:trHeight w:val="510"/>
        </w:trPr>
        <w:tc>
          <w:tcPr>
            <w:tcW w:w="3544" w:type="dxa"/>
            <w:tcBorders>
              <w:top w:val="nil"/>
              <w:left w:val="nil"/>
              <w:bottom w:val="nil"/>
              <w:right w:val="nil"/>
            </w:tcBorders>
            <w:shd w:val="clear" w:color="000000" w:fill="BFBFBF"/>
            <w:vAlign w:val="center"/>
            <w:hideMark/>
          </w:tcPr>
          <w:p w14:paraId="13988502" w14:textId="77777777" w:rsidR="00151F12" w:rsidRPr="00712D17" w:rsidRDefault="00151F12" w:rsidP="00151F12">
            <w:pPr>
              <w:spacing w:after="0" w:line="240" w:lineRule="auto"/>
              <w:jc w:val="center"/>
              <w:rPr>
                <w:rFonts w:eastAsia="Times New Roman" w:cs="Times New Roman"/>
                <w:b/>
                <w:bCs/>
                <w:sz w:val="18"/>
                <w:szCs w:val="18"/>
                <w:lang w:eastAsia="sk-SK"/>
              </w:rPr>
            </w:pPr>
            <w:r w:rsidRPr="00712D17">
              <w:rPr>
                <w:rFonts w:eastAsia="Times New Roman" w:cs="Times New Roman"/>
                <w:b/>
                <w:bCs/>
                <w:sz w:val="18"/>
                <w:szCs w:val="18"/>
                <w:lang w:eastAsia="sk-SK"/>
              </w:rPr>
              <w:t> </w:t>
            </w:r>
          </w:p>
        </w:tc>
        <w:tc>
          <w:tcPr>
            <w:tcW w:w="940" w:type="dxa"/>
            <w:tcBorders>
              <w:top w:val="nil"/>
              <w:left w:val="nil"/>
              <w:bottom w:val="nil"/>
              <w:right w:val="nil"/>
            </w:tcBorders>
            <w:shd w:val="clear" w:color="000000" w:fill="BFBFBF"/>
            <w:vAlign w:val="center"/>
            <w:hideMark/>
          </w:tcPr>
          <w:p w14:paraId="5D334FB4" w14:textId="77777777" w:rsidR="00151F12" w:rsidRPr="00712D17" w:rsidRDefault="00151F12" w:rsidP="00151F12">
            <w:pPr>
              <w:spacing w:after="0" w:line="240" w:lineRule="auto"/>
              <w:jc w:val="center"/>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2018</w:t>
            </w:r>
          </w:p>
        </w:tc>
        <w:tc>
          <w:tcPr>
            <w:tcW w:w="940" w:type="dxa"/>
            <w:tcBorders>
              <w:top w:val="nil"/>
              <w:left w:val="nil"/>
              <w:bottom w:val="nil"/>
              <w:right w:val="nil"/>
            </w:tcBorders>
            <w:shd w:val="clear" w:color="000000" w:fill="BFBFBF"/>
            <w:vAlign w:val="center"/>
            <w:hideMark/>
          </w:tcPr>
          <w:p w14:paraId="14858C27" w14:textId="77777777" w:rsidR="00151F12" w:rsidRPr="00712D17" w:rsidRDefault="00151F12" w:rsidP="00151F12">
            <w:pPr>
              <w:spacing w:after="0" w:line="240" w:lineRule="auto"/>
              <w:jc w:val="center"/>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2019</w:t>
            </w:r>
          </w:p>
        </w:tc>
        <w:tc>
          <w:tcPr>
            <w:tcW w:w="980" w:type="dxa"/>
            <w:tcBorders>
              <w:top w:val="nil"/>
              <w:left w:val="nil"/>
              <w:bottom w:val="nil"/>
              <w:right w:val="nil"/>
            </w:tcBorders>
            <w:shd w:val="clear" w:color="000000" w:fill="BFBFBF"/>
            <w:vAlign w:val="center"/>
            <w:hideMark/>
          </w:tcPr>
          <w:p w14:paraId="625E6CE3" w14:textId="77777777" w:rsidR="00151F12" w:rsidRPr="00712D17" w:rsidRDefault="00151F12" w:rsidP="00151F12">
            <w:pPr>
              <w:spacing w:after="0" w:line="240" w:lineRule="auto"/>
              <w:jc w:val="center"/>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2020</w:t>
            </w:r>
          </w:p>
        </w:tc>
        <w:tc>
          <w:tcPr>
            <w:tcW w:w="940" w:type="dxa"/>
            <w:tcBorders>
              <w:top w:val="nil"/>
              <w:left w:val="nil"/>
              <w:bottom w:val="nil"/>
              <w:right w:val="nil"/>
            </w:tcBorders>
            <w:shd w:val="clear" w:color="000000" w:fill="BFBFBF"/>
            <w:vAlign w:val="center"/>
            <w:hideMark/>
          </w:tcPr>
          <w:p w14:paraId="5B842D8F" w14:textId="77777777" w:rsidR="00151F12" w:rsidRPr="00712D17" w:rsidRDefault="00151F12" w:rsidP="00151F12">
            <w:pPr>
              <w:spacing w:after="0" w:line="240" w:lineRule="auto"/>
              <w:jc w:val="center"/>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2020</w:t>
            </w:r>
          </w:p>
        </w:tc>
        <w:tc>
          <w:tcPr>
            <w:tcW w:w="980" w:type="dxa"/>
            <w:tcBorders>
              <w:top w:val="nil"/>
              <w:left w:val="nil"/>
              <w:bottom w:val="nil"/>
              <w:right w:val="nil"/>
            </w:tcBorders>
            <w:shd w:val="clear" w:color="000000" w:fill="BFBFBF"/>
            <w:vAlign w:val="center"/>
            <w:hideMark/>
          </w:tcPr>
          <w:p w14:paraId="78D4B2C5" w14:textId="77777777" w:rsidR="00151F12" w:rsidRPr="00712D17" w:rsidRDefault="00151F12" w:rsidP="00151F12">
            <w:pPr>
              <w:spacing w:after="0" w:line="240" w:lineRule="auto"/>
              <w:jc w:val="center"/>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z toho: zdroj 111</w:t>
            </w:r>
            <w:r w:rsidRPr="00712D17">
              <w:rPr>
                <w:rFonts w:ascii="Arial Narrow" w:eastAsia="Times New Roman" w:hAnsi="Arial Narrow" w:cs="Times New Roman"/>
                <w:b/>
                <w:bCs/>
                <w:color w:val="000000"/>
                <w:sz w:val="18"/>
                <w:szCs w:val="18"/>
                <w:lang w:eastAsia="sk-SK"/>
              </w:rPr>
              <w:t>*</w:t>
            </w:r>
          </w:p>
        </w:tc>
        <w:tc>
          <w:tcPr>
            <w:tcW w:w="736" w:type="dxa"/>
            <w:tcBorders>
              <w:top w:val="nil"/>
              <w:left w:val="nil"/>
              <w:bottom w:val="nil"/>
              <w:right w:val="nil"/>
            </w:tcBorders>
            <w:shd w:val="clear" w:color="000000" w:fill="BFBFBF"/>
            <w:vAlign w:val="center"/>
            <w:hideMark/>
          </w:tcPr>
          <w:p w14:paraId="12DB1805" w14:textId="77777777" w:rsidR="00151F12" w:rsidRPr="00712D17" w:rsidRDefault="00151F12" w:rsidP="00151F12">
            <w:pPr>
              <w:spacing w:after="0" w:line="240" w:lineRule="auto"/>
              <w:jc w:val="center"/>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 xml:space="preserve"> v tis. eur</w:t>
            </w:r>
          </w:p>
        </w:tc>
        <w:tc>
          <w:tcPr>
            <w:tcW w:w="709" w:type="dxa"/>
            <w:tcBorders>
              <w:top w:val="nil"/>
              <w:left w:val="nil"/>
              <w:bottom w:val="nil"/>
              <w:right w:val="nil"/>
            </w:tcBorders>
            <w:shd w:val="clear" w:color="000000" w:fill="BFBFBF"/>
            <w:vAlign w:val="center"/>
            <w:hideMark/>
          </w:tcPr>
          <w:p w14:paraId="7A353362" w14:textId="77777777" w:rsidR="00151F12" w:rsidRPr="00712D17" w:rsidRDefault="00151F12" w:rsidP="00151F12">
            <w:pPr>
              <w:spacing w:after="0" w:line="240" w:lineRule="auto"/>
              <w:jc w:val="center"/>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v %</w:t>
            </w:r>
          </w:p>
        </w:tc>
      </w:tr>
      <w:tr w:rsidR="00151F12" w:rsidRPr="00712D17" w14:paraId="007595DD" w14:textId="77777777" w:rsidTr="00070A80">
        <w:trPr>
          <w:trHeight w:val="345"/>
        </w:trPr>
        <w:tc>
          <w:tcPr>
            <w:tcW w:w="3544" w:type="dxa"/>
            <w:tcBorders>
              <w:top w:val="nil"/>
              <w:left w:val="nil"/>
              <w:bottom w:val="single" w:sz="8" w:space="0" w:color="auto"/>
              <w:right w:val="nil"/>
            </w:tcBorders>
            <w:shd w:val="clear" w:color="000000" w:fill="BFBFBF"/>
            <w:vAlign w:val="center"/>
            <w:hideMark/>
          </w:tcPr>
          <w:p w14:paraId="5433961A" w14:textId="77777777" w:rsidR="00151F12" w:rsidRPr="00712D17" w:rsidRDefault="00151F12" w:rsidP="00151F12">
            <w:pPr>
              <w:spacing w:after="0" w:line="240" w:lineRule="auto"/>
              <w:rPr>
                <w:rFonts w:eastAsia="Times New Roman" w:cs="Times New Roman"/>
                <w:b/>
                <w:bCs/>
                <w:color w:val="FFFFFF"/>
                <w:sz w:val="18"/>
                <w:szCs w:val="18"/>
                <w:lang w:eastAsia="sk-SK"/>
              </w:rPr>
            </w:pPr>
            <w:r w:rsidRPr="00712D17">
              <w:rPr>
                <w:rFonts w:eastAsia="Times New Roman" w:cs="Times New Roman"/>
                <w:b/>
                <w:bCs/>
                <w:color w:val="FFFFFF"/>
                <w:sz w:val="18"/>
                <w:szCs w:val="18"/>
                <w:lang w:eastAsia="sk-SK"/>
              </w:rPr>
              <w:t> </w:t>
            </w:r>
          </w:p>
        </w:tc>
        <w:tc>
          <w:tcPr>
            <w:tcW w:w="940" w:type="dxa"/>
            <w:tcBorders>
              <w:top w:val="nil"/>
              <w:left w:val="nil"/>
              <w:bottom w:val="single" w:sz="8" w:space="0" w:color="auto"/>
              <w:right w:val="nil"/>
            </w:tcBorders>
            <w:shd w:val="clear" w:color="000000" w:fill="BFBFBF"/>
            <w:vAlign w:val="center"/>
            <w:hideMark/>
          </w:tcPr>
          <w:p w14:paraId="5A1241B4" w14:textId="77777777" w:rsidR="00151F12" w:rsidRPr="00712D17" w:rsidRDefault="00151F12" w:rsidP="00151F12">
            <w:pPr>
              <w:spacing w:after="0" w:line="240" w:lineRule="auto"/>
              <w:jc w:val="center"/>
              <w:rPr>
                <w:rFonts w:eastAsia="Times New Roman" w:cs="Times New Roman"/>
                <w:b/>
                <w:bCs/>
                <w:sz w:val="18"/>
                <w:szCs w:val="18"/>
                <w:lang w:eastAsia="sk-SK"/>
              </w:rPr>
            </w:pPr>
            <w:r w:rsidRPr="00712D17">
              <w:rPr>
                <w:rFonts w:eastAsia="Times New Roman" w:cs="Times New Roman"/>
                <w:b/>
                <w:bCs/>
                <w:sz w:val="18"/>
                <w:szCs w:val="18"/>
                <w:lang w:eastAsia="sk-SK"/>
              </w:rPr>
              <w:t>1</w:t>
            </w:r>
          </w:p>
        </w:tc>
        <w:tc>
          <w:tcPr>
            <w:tcW w:w="940" w:type="dxa"/>
            <w:tcBorders>
              <w:top w:val="nil"/>
              <w:left w:val="nil"/>
              <w:bottom w:val="single" w:sz="8" w:space="0" w:color="auto"/>
              <w:right w:val="nil"/>
            </w:tcBorders>
            <w:shd w:val="clear" w:color="000000" w:fill="BFBFBF"/>
            <w:vAlign w:val="center"/>
            <w:hideMark/>
          </w:tcPr>
          <w:p w14:paraId="096F8391" w14:textId="77777777" w:rsidR="00151F12" w:rsidRPr="00712D17" w:rsidRDefault="00151F12" w:rsidP="00151F12">
            <w:pPr>
              <w:spacing w:after="0" w:line="240" w:lineRule="auto"/>
              <w:jc w:val="center"/>
              <w:rPr>
                <w:rFonts w:eastAsia="Times New Roman" w:cs="Times New Roman"/>
                <w:b/>
                <w:bCs/>
                <w:sz w:val="18"/>
                <w:szCs w:val="18"/>
                <w:lang w:eastAsia="sk-SK"/>
              </w:rPr>
            </w:pPr>
            <w:r w:rsidRPr="00712D17">
              <w:rPr>
                <w:rFonts w:eastAsia="Times New Roman" w:cs="Times New Roman"/>
                <w:b/>
                <w:bCs/>
                <w:sz w:val="18"/>
                <w:szCs w:val="18"/>
                <w:lang w:eastAsia="sk-SK"/>
              </w:rPr>
              <w:t>2</w:t>
            </w:r>
          </w:p>
        </w:tc>
        <w:tc>
          <w:tcPr>
            <w:tcW w:w="980" w:type="dxa"/>
            <w:tcBorders>
              <w:top w:val="nil"/>
              <w:left w:val="nil"/>
              <w:bottom w:val="single" w:sz="8" w:space="0" w:color="auto"/>
              <w:right w:val="nil"/>
            </w:tcBorders>
            <w:shd w:val="clear" w:color="000000" w:fill="BFBFBF"/>
            <w:vAlign w:val="center"/>
            <w:hideMark/>
          </w:tcPr>
          <w:p w14:paraId="1616F7BE" w14:textId="77777777" w:rsidR="00151F12" w:rsidRPr="00712D17" w:rsidRDefault="00151F12" w:rsidP="00151F12">
            <w:pPr>
              <w:spacing w:after="0" w:line="240" w:lineRule="auto"/>
              <w:jc w:val="center"/>
              <w:rPr>
                <w:rFonts w:eastAsia="Times New Roman" w:cs="Times New Roman"/>
                <w:b/>
                <w:bCs/>
                <w:sz w:val="18"/>
                <w:szCs w:val="18"/>
                <w:lang w:eastAsia="sk-SK"/>
              </w:rPr>
            </w:pPr>
            <w:r w:rsidRPr="00712D17">
              <w:rPr>
                <w:rFonts w:eastAsia="Times New Roman" w:cs="Times New Roman"/>
                <w:b/>
                <w:bCs/>
                <w:sz w:val="18"/>
                <w:szCs w:val="18"/>
                <w:lang w:eastAsia="sk-SK"/>
              </w:rPr>
              <w:t>3</w:t>
            </w:r>
          </w:p>
        </w:tc>
        <w:tc>
          <w:tcPr>
            <w:tcW w:w="940" w:type="dxa"/>
            <w:tcBorders>
              <w:top w:val="nil"/>
              <w:left w:val="nil"/>
              <w:bottom w:val="single" w:sz="8" w:space="0" w:color="auto"/>
              <w:right w:val="nil"/>
            </w:tcBorders>
            <w:shd w:val="clear" w:color="000000" w:fill="BFBFBF"/>
            <w:vAlign w:val="center"/>
            <w:hideMark/>
          </w:tcPr>
          <w:p w14:paraId="0A2AF1FE" w14:textId="77777777" w:rsidR="00151F12" w:rsidRPr="00712D17" w:rsidRDefault="00151F12" w:rsidP="00151F12">
            <w:pPr>
              <w:spacing w:after="0" w:line="240" w:lineRule="auto"/>
              <w:jc w:val="center"/>
              <w:rPr>
                <w:rFonts w:eastAsia="Times New Roman" w:cs="Times New Roman"/>
                <w:b/>
                <w:bCs/>
                <w:sz w:val="18"/>
                <w:szCs w:val="18"/>
                <w:lang w:eastAsia="sk-SK"/>
              </w:rPr>
            </w:pPr>
            <w:r w:rsidRPr="00712D17">
              <w:rPr>
                <w:rFonts w:eastAsia="Times New Roman" w:cs="Times New Roman"/>
                <w:b/>
                <w:bCs/>
                <w:sz w:val="18"/>
                <w:szCs w:val="18"/>
                <w:lang w:eastAsia="sk-SK"/>
              </w:rPr>
              <w:t>4</w:t>
            </w:r>
          </w:p>
        </w:tc>
        <w:tc>
          <w:tcPr>
            <w:tcW w:w="980" w:type="dxa"/>
            <w:tcBorders>
              <w:top w:val="nil"/>
              <w:left w:val="nil"/>
              <w:bottom w:val="single" w:sz="8" w:space="0" w:color="auto"/>
              <w:right w:val="nil"/>
            </w:tcBorders>
            <w:shd w:val="clear" w:color="000000" w:fill="BFBFBF"/>
            <w:vAlign w:val="center"/>
            <w:hideMark/>
          </w:tcPr>
          <w:p w14:paraId="2C925911" w14:textId="77777777" w:rsidR="00151F12" w:rsidRPr="00712D17" w:rsidRDefault="00151F12" w:rsidP="00151F12">
            <w:pPr>
              <w:spacing w:after="0" w:line="240" w:lineRule="auto"/>
              <w:jc w:val="center"/>
              <w:rPr>
                <w:rFonts w:eastAsia="Times New Roman" w:cs="Times New Roman"/>
                <w:b/>
                <w:bCs/>
                <w:sz w:val="18"/>
                <w:szCs w:val="18"/>
                <w:lang w:eastAsia="sk-SK"/>
              </w:rPr>
            </w:pPr>
            <w:r w:rsidRPr="00712D17">
              <w:rPr>
                <w:rFonts w:eastAsia="Times New Roman" w:cs="Times New Roman"/>
                <w:b/>
                <w:bCs/>
                <w:sz w:val="18"/>
                <w:szCs w:val="18"/>
                <w:lang w:eastAsia="sk-SK"/>
              </w:rPr>
              <w:t>5</w:t>
            </w:r>
          </w:p>
        </w:tc>
        <w:tc>
          <w:tcPr>
            <w:tcW w:w="736" w:type="dxa"/>
            <w:tcBorders>
              <w:top w:val="nil"/>
              <w:left w:val="nil"/>
              <w:bottom w:val="single" w:sz="8" w:space="0" w:color="auto"/>
              <w:right w:val="nil"/>
            </w:tcBorders>
            <w:shd w:val="clear" w:color="000000" w:fill="BFBFBF"/>
            <w:vAlign w:val="center"/>
            <w:hideMark/>
          </w:tcPr>
          <w:p w14:paraId="056FB912" w14:textId="77777777" w:rsidR="00151F12" w:rsidRPr="00712D17" w:rsidRDefault="00151F12" w:rsidP="00151F12">
            <w:pPr>
              <w:spacing w:after="0" w:line="240" w:lineRule="auto"/>
              <w:jc w:val="center"/>
              <w:rPr>
                <w:rFonts w:eastAsia="Times New Roman" w:cs="Times New Roman"/>
                <w:b/>
                <w:bCs/>
                <w:sz w:val="18"/>
                <w:szCs w:val="18"/>
                <w:lang w:eastAsia="sk-SK"/>
              </w:rPr>
            </w:pPr>
            <w:r w:rsidRPr="00712D17">
              <w:rPr>
                <w:rFonts w:eastAsia="Times New Roman" w:cs="Times New Roman"/>
                <w:b/>
                <w:bCs/>
                <w:sz w:val="18"/>
                <w:szCs w:val="18"/>
                <w:lang w:eastAsia="sk-SK"/>
              </w:rPr>
              <w:t>6=4-3</w:t>
            </w:r>
          </w:p>
        </w:tc>
        <w:tc>
          <w:tcPr>
            <w:tcW w:w="709" w:type="dxa"/>
            <w:tcBorders>
              <w:top w:val="nil"/>
              <w:left w:val="nil"/>
              <w:bottom w:val="single" w:sz="8" w:space="0" w:color="auto"/>
              <w:right w:val="nil"/>
            </w:tcBorders>
            <w:shd w:val="clear" w:color="000000" w:fill="BFBFBF"/>
            <w:vAlign w:val="center"/>
            <w:hideMark/>
          </w:tcPr>
          <w:p w14:paraId="2A1B9D7D" w14:textId="77777777" w:rsidR="00151F12" w:rsidRPr="00712D17" w:rsidRDefault="00151F12" w:rsidP="00151F12">
            <w:pPr>
              <w:spacing w:after="0" w:line="240" w:lineRule="auto"/>
              <w:jc w:val="center"/>
              <w:rPr>
                <w:rFonts w:eastAsia="Times New Roman" w:cs="Times New Roman"/>
                <w:b/>
                <w:bCs/>
                <w:sz w:val="18"/>
                <w:szCs w:val="18"/>
                <w:lang w:eastAsia="sk-SK"/>
              </w:rPr>
            </w:pPr>
            <w:r w:rsidRPr="00712D17">
              <w:rPr>
                <w:rFonts w:eastAsia="Times New Roman" w:cs="Times New Roman"/>
                <w:b/>
                <w:bCs/>
                <w:sz w:val="18"/>
                <w:szCs w:val="18"/>
                <w:lang w:eastAsia="sk-SK"/>
              </w:rPr>
              <w:t>7=4-3</w:t>
            </w:r>
          </w:p>
        </w:tc>
      </w:tr>
      <w:tr w:rsidR="00151F12" w:rsidRPr="00712D17" w14:paraId="597FFC4F" w14:textId="77777777" w:rsidTr="00070A80">
        <w:trPr>
          <w:trHeight w:val="330"/>
        </w:trPr>
        <w:tc>
          <w:tcPr>
            <w:tcW w:w="3544" w:type="dxa"/>
            <w:tcBorders>
              <w:top w:val="nil"/>
              <w:left w:val="nil"/>
              <w:bottom w:val="nil"/>
              <w:right w:val="nil"/>
            </w:tcBorders>
            <w:shd w:val="clear" w:color="000000" w:fill="FFFFFF"/>
            <w:noWrap/>
            <w:vAlign w:val="center"/>
            <w:hideMark/>
          </w:tcPr>
          <w:p w14:paraId="3A02DD68" w14:textId="77777777" w:rsidR="00151F12" w:rsidRPr="00712D17" w:rsidRDefault="00151F12" w:rsidP="00E23F29">
            <w:pPr>
              <w:spacing w:after="0" w:line="240" w:lineRule="auto"/>
              <w:jc w:val="left"/>
              <w:rPr>
                <w:rFonts w:eastAsia="Times New Roman" w:cs="Times New Roman"/>
                <w:color w:val="000000"/>
                <w:sz w:val="18"/>
                <w:szCs w:val="18"/>
                <w:lang w:eastAsia="sk-SK"/>
              </w:rPr>
            </w:pPr>
            <w:r w:rsidRPr="00712D17">
              <w:rPr>
                <w:rFonts w:eastAsia="Times New Roman" w:cs="Times New Roman"/>
                <w:color w:val="000000"/>
                <w:sz w:val="18"/>
                <w:szCs w:val="18"/>
                <w:lang w:eastAsia="sk-SK"/>
              </w:rPr>
              <w:t>Ministerstvo vnútra SR</w:t>
            </w:r>
          </w:p>
        </w:tc>
        <w:tc>
          <w:tcPr>
            <w:tcW w:w="940" w:type="dxa"/>
            <w:tcBorders>
              <w:top w:val="nil"/>
              <w:left w:val="nil"/>
              <w:bottom w:val="nil"/>
              <w:right w:val="nil"/>
            </w:tcBorders>
            <w:shd w:val="clear" w:color="000000" w:fill="FFFFFF"/>
            <w:noWrap/>
            <w:vAlign w:val="center"/>
            <w:hideMark/>
          </w:tcPr>
          <w:p w14:paraId="1AF4B960"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951 259</w:t>
            </w:r>
          </w:p>
        </w:tc>
        <w:tc>
          <w:tcPr>
            <w:tcW w:w="940" w:type="dxa"/>
            <w:tcBorders>
              <w:top w:val="nil"/>
              <w:left w:val="nil"/>
              <w:bottom w:val="nil"/>
              <w:right w:val="nil"/>
            </w:tcBorders>
            <w:shd w:val="clear" w:color="000000" w:fill="FFFFFF"/>
            <w:noWrap/>
            <w:vAlign w:val="center"/>
            <w:hideMark/>
          </w:tcPr>
          <w:p w14:paraId="3978479B"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1 046 728</w:t>
            </w:r>
          </w:p>
        </w:tc>
        <w:tc>
          <w:tcPr>
            <w:tcW w:w="980" w:type="dxa"/>
            <w:tcBorders>
              <w:top w:val="nil"/>
              <w:left w:val="nil"/>
              <w:bottom w:val="nil"/>
              <w:right w:val="nil"/>
            </w:tcBorders>
            <w:shd w:val="clear" w:color="000000" w:fill="FFFFFF"/>
            <w:noWrap/>
            <w:vAlign w:val="center"/>
            <w:hideMark/>
          </w:tcPr>
          <w:p w14:paraId="565FD3D5"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1 026 460</w:t>
            </w:r>
          </w:p>
        </w:tc>
        <w:tc>
          <w:tcPr>
            <w:tcW w:w="940" w:type="dxa"/>
            <w:tcBorders>
              <w:top w:val="nil"/>
              <w:left w:val="nil"/>
              <w:bottom w:val="nil"/>
              <w:right w:val="nil"/>
            </w:tcBorders>
            <w:shd w:val="clear" w:color="000000" w:fill="BFBFBF"/>
            <w:noWrap/>
            <w:vAlign w:val="center"/>
            <w:hideMark/>
          </w:tcPr>
          <w:p w14:paraId="354E7A01"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1 198 579</w:t>
            </w:r>
          </w:p>
        </w:tc>
        <w:tc>
          <w:tcPr>
            <w:tcW w:w="980" w:type="dxa"/>
            <w:tcBorders>
              <w:top w:val="nil"/>
              <w:left w:val="nil"/>
              <w:bottom w:val="nil"/>
              <w:right w:val="nil"/>
            </w:tcBorders>
            <w:shd w:val="clear" w:color="000000" w:fill="BFBFBF"/>
            <w:noWrap/>
            <w:vAlign w:val="center"/>
            <w:hideMark/>
          </w:tcPr>
          <w:p w14:paraId="1EAB5A39"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1 160 086</w:t>
            </w:r>
          </w:p>
        </w:tc>
        <w:tc>
          <w:tcPr>
            <w:tcW w:w="736" w:type="dxa"/>
            <w:tcBorders>
              <w:top w:val="nil"/>
              <w:left w:val="nil"/>
              <w:bottom w:val="nil"/>
              <w:right w:val="nil"/>
            </w:tcBorders>
            <w:shd w:val="clear" w:color="000000" w:fill="FFFFFF"/>
            <w:vAlign w:val="center"/>
            <w:hideMark/>
          </w:tcPr>
          <w:p w14:paraId="2EB0F8BA"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172 119</w:t>
            </w:r>
          </w:p>
        </w:tc>
        <w:tc>
          <w:tcPr>
            <w:tcW w:w="709" w:type="dxa"/>
            <w:tcBorders>
              <w:top w:val="nil"/>
              <w:left w:val="nil"/>
              <w:bottom w:val="nil"/>
              <w:right w:val="nil"/>
            </w:tcBorders>
            <w:shd w:val="clear" w:color="000000" w:fill="FFFFFF"/>
            <w:vAlign w:val="center"/>
            <w:hideMark/>
          </w:tcPr>
          <w:p w14:paraId="5642BE00"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16,8</w:t>
            </w:r>
          </w:p>
        </w:tc>
      </w:tr>
      <w:tr w:rsidR="00151F12" w:rsidRPr="00712D17" w14:paraId="6DD7A4AE" w14:textId="77777777" w:rsidTr="00070A80">
        <w:trPr>
          <w:trHeight w:val="330"/>
        </w:trPr>
        <w:tc>
          <w:tcPr>
            <w:tcW w:w="3544" w:type="dxa"/>
            <w:tcBorders>
              <w:top w:val="nil"/>
              <w:left w:val="nil"/>
              <w:bottom w:val="nil"/>
              <w:right w:val="nil"/>
            </w:tcBorders>
            <w:shd w:val="clear" w:color="000000" w:fill="FFFFFF"/>
            <w:vAlign w:val="center"/>
            <w:hideMark/>
          </w:tcPr>
          <w:p w14:paraId="1DFF5BA3" w14:textId="77777777" w:rsidR="00151F12" w:rsidRPr="00712D17" w:rsidRDefault="00151F12" w:rsidP="00E23F29">
            <w:pPr>
              <w:spacing w:after="0" w:line="240" w:lineRule="auto"/>
              <w:jc w:val="left"/>
              <w:rPr>
                <w:rFonts w:eastAsia="Times New Roman" w:cs="Times New Roman"/>
                <w:color w:val="000000"/>
                <w:sz w:val="18"/>
                <w:szCs w:val="18"/>
                <w:lang w:eastAsia="sk-SK"/>
              </w:rPr>
            </w:pPr>
            <w:r w:rsidRPr="00712D17">
              <w:rPr>
                <w:rFonts w:eastAsia="Times New Roman" w:cs="Times New Roman"/>
                <w:color w:val="000000"/>
                <w:sz w:val="18"/>
                <w:szCs w:val="18"/>
                <w:lang w:eastAsia="sk-SK"/>
              </w:rPr>
              <w:t xml:space="preserve">Ministerstvo práce, </w:t>
            </w:r>
            <w:proofErr w:type="spellStart"/>
            <w:r w:rsidRPr="00712D17">
              <w:rPr>
                <w:rFonts w:eastAsia="Times New Roman" w:cs="Times New Roman"/>
                <w:color w:val="000000"/>
                <w:sz w:val="18"/>
                <w:szCs w:val="18"/>
                <w:lang w:eastAsia="sk-SK"/>
              </w:rPr>
              <w:t>soc.vecí</w:t>
            </w:r>
            <w:proofErr w:type="spellEnd"/>
            <w:r w:rsidRPr="00712D17">
              <w:rPr>
                <w:rFonts w:eastAsia="Times New Roman" w:cs="Times New Roman"/>
                <w:color w:val="000000"/>
                <w:sz w:val="18"/>
                <w:szCs w:val="18"/>
                <w:lang w:eastAsia="sk-SK"/>
              </w:rPr>
              <w:t xml:space="preserve"> a rodiny SR</w:t>
            </w:r>
          </w:p>
        </w:tc>
        <w:tc>
          <w:tcPr>
            <w:tcW w:w="940" w:type="dxa"/>
            <w:tcBorders>
              <w:top w:val="nil"/>
              <w:left w:val="nil"/>
              <w:bottom w:val="nil"/>
              <w:right w:val="nil"/>
            </w:tcBorders>
            <w:shd w:val="clear" w:color="000000" w:fill="FFFFFF"/>
            <w:noWrap/>
            <w:vAlign w:val="center"/>
            <w:hideMark/>
          </w:tcPr>
          <w:p w14:paraId="686B3622"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65 546</w:t>
            </w:r>
          </w:p>
        </w:tc>
        <w:tc>
          <w:tcPr>
            <w:tcW w:w="940" w:type="dxa"/>
            <w:tcBorders>
              <w:top w:val="nil"/>
              <w:left w:val="nil"/>
              <w:bottom w:val="nil"/>
              <w:right w:val="nil"/>
            </w:tcBorders>
            <w:shd w:val="clear" w:color="000000" w:fill="FFFFFF"/>
            <w:noWrap/>
            <w:vAlign w:val="center"/>
            <w:hideMark/>
          </w:tcPr>
          <w:p w14:paraId="74089FD9"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122 504</w:t>
            </w:r>
          </w:p>
        </w:tc>
        <w:tc>
          <w:tcPr>
            <w:tcW w:w="980" w:type="dxa"/>
            <w:tcBorders>
              <w:top w:val="nil"/>
              <w:left w:val="nil"/>
              <w:bottom w:val="nil"/>
              <w:right w:val="nil"/>
            </w:tcBorders>
            <w:shd w:val="clear" w:color="000000" w:fill="FFFFFF"/>
            <w:noWrap/>
            <w:vAlign w:val="center"/>
            <w:hideMark/>
          </w:tcPr>
          <w:p w14:paraId="09E93E72"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67 982</w:t>
            </w:r>
          </w:p>
        </w:tc>
        <w:tc>
          <w:tcPr>
            <w:tcW w:w="940" w:type="dxa"/>
            <w:tcBorders>
              <w:top w:val="nil"/>
              <w:left w:val="nil"/>
              <w:bottom w:val="nil"/>
              <w:right w:val="nil"/>
            </w:tcBorders>
            <w:shd w:val="clear" w:color="000000" w:fill="BFBFBF"/>
            <w:noWrap/>
            <w:vAlign w:val="center"/>
            <w:hideMark/>
          </w:tcPr>
          <w:p w14:paraId="540D6392"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216 089</w:t>
            </w:r>
          </w:p>
        </w:tc>
        <w:tc>
          <w:tcPr>
            <w:tcW w:w="980" w:type="dxa"/>
            <w:tcBorders>
              <w:top w:val="nil"/>
              <w:left w:val="nil"/>
              <w:bottom w:val="nil"/>
              <w:right w:val="nil"/>
            </w:tcBorders>
            <w:shd w:val="clear" w:color="000000" w:fill="BFBFBF"/>
            <w:noWrap/>
            <w:vAlign w:val="center"/>
            <w:hideMark/>
          </w:tcPr>
          <w:p w14:paraId="20B1AECF"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198 920</w:t>
            </w:r>
          </w:p>
        </w:tc>
        <w:tc>
          <w:tcPr>
            <w:tcW w:w="736" w:type="dxa"/>
            <w:tcBorders>
              <w:top w:val="nil"/>
              <w:left w:val="nil"/>
              <w:bottom w:val="nil"/>
              <w:right w:val="nil"/>
            </w:tcBorders>
            <w:shd w:val="clear" w:color="000000" w:fill="FFFFFF"/>
            <w:vAlign w:val="center"/>
            <w:hideMark/>
          </w:tcPr>
          <w:p w14:paraId="5B8BFBB6"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148 107</w:t>
            </w:r>
          </w:p>
        </w:tc>
        <w:tc>
          <w:tcPr>
            <w:tcW w:w="709" w:type="dxa"/>
            <w:tcBorders>
              <w:top w:val="nil"/>
              <w:left w:val="nil"/>
              <w:bottom w:val="nil"/>
              <w:right w:val="nil"/>
            </w:tcBorders>
            <w:shd w:val="clear" w:color="000000" w:fill="FFFFFF"/>
            <w:vAlign w:val="center"/>
            <w:hideMark/>
          </w:tcPr>
          <w:p w14:paraId="24445E05"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217,9</w:t>
            </w:r>
          </w:p>
        </w:tc>
      </w:tr>
      <w:tr w:rsidR="00151F12" w:rsidRPr="00712D17" w14:paraId="75827867" w14:textId="77777777" w:rsidTr="00070A80">
        <w:trPr>
          <w:trHeight w:val="330"/>
        </w:trPr>
        <w:tc>
          <w:tcPr>
            <w:tcW w:w="3544" w:type="dxa"/>
            <w:tcBorders>
              <w:top w:val="nil"/>
              <w:left w:val="nil"/>
              <w:bottom w:val="nil"/>
              <w:right w:val="nil"/>
            </w:tcBorders>
            <w:shd w:val="clear" w:color="000000" w:fill="FFFFFF"/>
            <w:vAlign w:val="center"/>
            <w:hideMark/>
          </w:tcPr>
          <w:p w14:paraId="04D59044" w14:textId="77777777" w:rsidR="00151F12" w:rsidRPr="00712D17" w:rsidRDefault="00151F12" w:rsidP="00E23F29">
            <w:pPr>
              <w:spacing w:after="0" w:line="240" w:lineRule="auto"/>
              <w:jc w:val="left"/>
              <w:rPr>
                <w:rFonts w:eastAsia="Times New Roman" w:cs="Times New Roman"/>
                <w:color w:val="000000"/>
                <w:sz w:val="18"/>
                <w:szCs w:val="18"/>
                <w:lang w:eastAsia="sk-SK"/>
              </w:rPr>
            </w:pPr>
            <w:r w:rsidRPr="00712D17">
              <w:rPr>
                <w:rFonts w:eastAsia="Times New Roman" w:cs="Times New Roman"/>
                <w:color w:val="000000"/>
                <w:sz w:val="18"/>
                <w:szCs w:val="18"/>
                <w:lang w:eastAsia="sk-SK"/>
              </w:rPr>
              <w:t>Ministerstvo životného prostredia SR</w:t>
            </w:r>
          </w:p>
        </w:tc>
        <w:tc>
          <w:tcPr>
            <w:tcW w:w="940" w:type="dxa"/>
            <w:tcBorders>
              <w:top w:val="nil"/>
              <w:left w:val="nil"/>
              <w:bottom w:val="nil"/>
              <w:right w:val="nil"/>
            </w:tcBorders>
            <w:shd w:val="clear" w:color="000000" w:fill="FFFFFF"/>
            <w:noWrap/>
            <w:vAlign w:val="center"/>
            <w:hideMark/>
          </w:tcPr>
          <w:p w14:paraId="100C274B"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128 816</w:t>
            </w:r>
          </w:p>
        </w:tc>
        <w:tc>
          <w:tcPr>
            <w:tcW w:w="940" w:type="dxa"/>
            <w:tcBorders>
              <w:top w:val="nil"/>
              <w:left w:val="nil"/>
              <w:bottom w:val="nil"/>
              <w:right w:val="nil"/>
            </w:tcBorders>
            <w:shd w:val="clear" w:color="000000" w:fill="FFFFFF"/>
            <w:noWrap/>
            <w:vAlign w:val="center"/>
            <w:hideMark/>
          </w:tcPr>
          <w:p w14:paraId="3D4C30A1"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107 992</w:t>
            </w:r>
          </w:p>
        </w:tc>
        <w:tc>
          <w:tcPr>
            <w:tcW w:w="980" w:type="dxa"/>
            <w:tcBorders>
              <w:top w:val="nil"/>
              <w:left w:val="nil"/>
              <w:bottom w:val="nil"/>
              <w:right w:val="nil"/>
            </w:tcBorders>
            <w:shd w:val="clear" w:color="000000" w:fill="FFFFFF"/>
            <w:noWrap/>
            <w:vAlign w:val="center"/>
            <w:hideMark/>
          </w:tcPr>
          <w:p w14:paraId="2EF255CC"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0</w:t>
            </w:r>
          </w:p>
        </w:tc>
        <w:tc>
          <w:tcPr>
            <w:tcW w:w="940" w:type="dxa"/>
            <w:tcBorders>
              <w:top w:val="nil"/>
              <w:left w:val="nil"/>
              <w:bottom w:val="nil"/>
              <w:right w:val="nil"/>
            </w:tcBorders>
            <w:shd w:val="clear" w:color="000000" w:fill="BFBFBF"/>
            <w:noWrap/>
            <w:vAlign w:val="center"/>
            <w:hideMark/>
          </w:tcPr>
          <w:p w14:paraId="21D24DA0"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94 512</w:t>
            </w:r>
          </w:p>
        </w:tc>
        <w:tc>
          <w:tcPr>
            <w:tcW w:w="980" w:type="dxa"/>
            <w:tcBorders>
              <w:top w:val="nil"/>
              <w:left w:val="nil"/>
              <w:bottom w:val="nil"/>
              <w:right w:val="nil"/>
            </w:tcBorders>
            <w:shd w:val="clear" w:color="000000" w:fill="BFBFBF"/>
            <w:noWrap/>
            <w:vAlign w:val="center"/>
            <w:hideMark/>
          </w:tcPr>
          <w:p w14:paraId="1BF8B6CA"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0</w:t>
            </w:r>
          </w:p>
        </w:tc>
        <w:tc>
          <w:tcPr>
            <w:tcW w:w="736" w:type="dxa"/>
            <w:tcBorders>
              <w:top w:val="nil"/>
              <w:left w:val="nil"/>
              <w:bottom w:val="nil"/>
              <w:right w:val="nil"/>
            </w:tcBorders>
            <w:shd w:val="clear" w:color="000000" w:fill="FFFFFF"/>
            <w:vAlign w:val="center"/>
            <w:hideMark/>
          </w:tcPr>
          <w:p w14:paraId="2F8917AF"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94 512</w:t>
            </w:r>
          </w:p>
        </w:tc>
        <w:tc>
          <w:tcPr>
            <w:tcW w:w="709" w:type="dxa"/>
            <w:tcBorders>
              <w:top w:val="nil"/>
              <w:left w:val="nil"/>
              <w:bottom w:val="nil"/>
              <w:right w:val="nil"/>
            </w:tcBorders>
            <w:shd w:val="clear" w:color="000000" w:fill="FFFFFF"/>
            <w:vAlign w:val="center"/>
            <w:hideMark/>
          </w:tcPr>
          <w:p w14:paraId="395E662C"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x</w:t>
            </w:r>
          </w:p>
        </w:tc>
      </w:tr>
      <w:tr w:rsidR="00151F12" w:rsidRPr="00712D17" w14:paraId="3D630A74" w14:textId="77777777" w:rsidTr="00070A80">
        <w:trPr>
          <w:trHeight w:val="330"/>
        </w:trPr>
        <w:tc>
          <w:tcPr>
            <w:tcW w:w="3544" w:type="dxa"/>
            <w:tcBorders>
              <w:top w:val="nil"/>
              <w:left w:val="nil"/>
              <w:bottom w:val="nil"/>
              <w:right w:val="nil"/>
            </w:tcBorders>
            <w:shd w:val="clear" w:color="000000" w:fill="FFFFFF"/>
            <w:vAlign w:val="center"/>
            <w:hideMark/>
          </w:tcPr>
          <w:p w14:paraId="29520021" w14:textId="77777777" w:rsidR="00151F12" w:rsidRPr="00712D17" w:rsidRDefault="00151F12" w:rsidP="00E23F29">
            <w:pPr>
              <w:spacing w:after="0" w:line="240" w:lineRule="auto"/>
              <w:jc w:val="left"/>
              <w:rPr>
                <w:rFonts w:eastAsia="Times New Roman" w:cs="Times New Roman"/>
                <w:color w:val="000000"/>
                <w:sz w:val="18"/>
                <w:szCs w:val="18"/>
                <w:lang w:eastAsia="sk-SK"/>
              </w:rPr>
            </w:pPr>
            <w:r w:rsidRPr="00712D17">
              <w:rPr>
                <w:rFonts w:eastAsia="Times New Roman" w:cs="Times New Roman"/>
                <w:color w:val="000000"/>
                <w:sz w:val="18"/>
                <w:szCs w:val="18"/>
                <w:lang w:eastAsia="sk-SK"/>
              </w:rPr>
              <w:t xml:space="preserve">Ministerstvo </w:t>
            </w:r>
            <w:proofErr w:type="spellStart"/>
            <w:r w:rsidRPr="00712D17">
              <w:rPr>
                <w:rFonts w:eastAsia="Times New Roman" w:cs="Times New Roman"/>
                <w:color w:val="000000"/>
                <w:sz w:val="18"/>
                <w:szCs w:val="18"/>
                <w:lang w:eastAsia="sk-SK"/>
              </w:rPr>
              <w:t>pôdohospod</w:t>
            </w:r>
            <w:proofErr w:type="spellEnd"/>
            <w:r w:rsidRPr="00712D17">
              <w:rPr>
                <w:rFonts w:eastAsia="Times New Roman" w:cs="Times New Roman"/>
                <w:color w:val="000000"/>
                <w:sz w:val="18"/>
                <w:szCs w:val="18"/>
                <w:lang w:eastAsia="sk-SK"/>
              </w:rPr>
              <w:t>. a rozvoja vidieka SR</w:t>
            </w:r>
          </w:p>
        </w:tc>
        <w:tc>
          <w:tcPr>
            <w:tcW w:w="940" w:type="dxa"/>
            <w:tcBorders>
              <w:top w:val="nil"/>
              <w:left w:val="nil"/>
              <w:bottom w:val="nil"/>
              <w:right w:val="nil"/>
            </w:tcBorders>
            <w:shd w:val="clear" w:color="000000" w:fill="FFFFFF"/>
            <w:noWrap/>
            <w:vAlign w:val="center"/>
            <w:hideMark/>
          </w:tcPr>
          <w:p w14:paraId="49DBBD71"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44 670</w:t>
            </w:r>
          </w:p>
        </w:tc>
        <w:tc>
          <w:tcPr>
            <w:tcW w:w="940" w:type="dxa"/>
            <w:tcBorders>
              <w:top w:val="nil"/>
              <w:left w:val="nil"/>
              <w:bottom w:val="nil"/>
              <w:right w:val="nil"/>
            </w:tcBorders>
            <w:shd w:val="clear" w:color="000000" w:fill="FFFFFF"/>
            <w:noWrap/>
            <w:vAlign w:val="center"/>
            <w:hideMark/>
          </w:tcPr>
          <w:p w14:paraId="0DFF6E85"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84 458</w:t>
            </w:r>
          </w:p>
        </w:tc>
        <w:tc>
          <w:tcPr>
            <w:tcW w:w="980" w:type="dxa"/>
            <w:tcBorders>
              <w:top w:val="nil"/>
              <w:left w:val="nil"/>
              <w:bottom w:val="nil"/>
              <w:right w:val="nil"/>
            </w:tcBorders>
            <w:shd w:val="clear" w:color="000000" w:fill="FFFFFF"/>
            <w:noWrap/>
            <w:vAlign w:val="center"/>
            <w:hideMark/>
          </w:tcPr>
          <w:p w14:paraId="1B3FAF52"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0</w:t>
            </w:r>
          </w:p>
        </w:tc>
        <w:tc>
          <w:tcPr>
            <w:tcW w:w="940" w:type="dxa"/>
            <w:tcBorders>
              <w:top w:val="nil"/>
              <w:left w:val="nil"/>
              <w:bottom w:val="nil"/>
              <w:right w:val="nil"/>
            </w:tcBorders>
            <w:shd w:val="clear" w:color="000000" w:fill="BFBFBF"/>
            <w:noWrap/>
            <w:vAlign w:val="center"/>
            <w:hideMark/>
          </w:tcPr>
          <w:p w14:paraId="7535AFCF"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69 587</w:t>
            </w:r>
          </w:p>
        </w:tc>
        <w:tc>
          <w:tcPr>
            <w:tcW w:w="980" w:type="dxa"/>
            <w:tcBorders>
              <w:top w:val="nil"/>
              <w:left w:val="nil"/>
              <w:bottom w:val="nil"/>
              <w:right w:val="nil"/>
            </w:tcBorders>
            <w:shd w:val="clear" w:color="000000" w:fill="BFBFBF"/>
            <w:noWrap/>
            <w:vAlign w:val="center"/>
            <w:hideMark/>
          </w:tcPr>
          <w:p w14:paraId="27A67BEE"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0</w:t>
            </w:r>
          </w:p>
        </w:tc>
        <w:tc>
          <w:tcPr>
            <w:tcW w:w="736" w:type="dxa"/>
            <w:tcBorders>
              <w:top w:val="nil"/>
              <w:left w:val="nil"/>
              <w:bottom w:val="nil"/>
              <w:right w:val="nil"/>
            </w:tcBorders>
            <w:shd w:val="clear" w:color="000000" w:fill="FFFFFF"/>
            <w:vAlign w:val="center"/>
            <w:hideMark/>
          </w:tcPr>
          <w:p w14:paraId="38ED2A4F"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69 587</w:t>
            </w:r>
          </w:p>
        </w:tc>
        <w:tc>
          <w:tcPr>
            <w:tcW w:w="709" w:type="dxa"/>
            <w:tcBorders>
              <w:top w:val="nil"/>
              <w:left w:val="nil"/>
              <w:bottom w:val="nil"/>
              <w:right w:val="nil"/>
            </w:tcBorders>
            <w:shd w:val="clear" w:color="000000" w:fill="FFFFFF"/>
            <w:vAlign w:val="center"/>
            <w:hideMark/>
          </w:tcPr>
          <w:p w14:paraId="7D7CF229"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x</w:t>
            </w:r>
          </w:p>
        </w:tc>
      </w:tr>
      <w:tr w:rsidR="00151F12" w:rsidRPr="00712D17" w14:paraId="6B67EC34" w14:textId="77777777" w:rsidTr="00070A80">
        <w:trPr>
          <w:trHeight w:val="330"/>
        </w:trPr>
        <w:tc>
          <w:tcPr>
            <w:tcW w:w="3544" w:type="dxa"/>
            <w:tcBorders>
              <w:top w:val="nil"/>
              <w:left w:val="nil"/>
              <w:bottom w:val="nil"/>
              <w:right w:val="nil"/>
            </w:tcBorders>
            <w:shd w:val="clear" w:color="000000" w:fill="FFFFFF"/>
            <w:vAlign w:val="center"/>
            <w:hideMark/>
          </w:tcPr>
          <w:p w14:paraId="1B94CBD9" w14:textId="77777777" w:rsidR="00151F12" w:rsidRPr="00712D17" w:rsidRDefault="00151F12" w:rsidP="00E23F29">
            <w:pPr>
              <w:spacing w:after="0" w:line="240" w:lineRule="auto"/>
              <w:jc w:val="left"/>
              <w:rPr>
                <w:rFonts w:eastAsia="Times New Roman" w:cs="Times New Roman"/>
                <w:color w:val="000000"/>
                <w:sz w:val="18"/>
                <w:szCs w:val="18"/>
                <w:lang w:eastAsia="sk-SK"/>
              </w:rPr>
            </w:pPr>
            <w:r w:rsidRPr="00712D17">
              <w:rPr>
                <w:rFonts w:eastAsia="Times New Roman" w:cs="Times New Roman"/>
                <w:color w:val="000000"/>
                <w:sz w:val="18"/>
                <w:szCs w:val="18"/>
                <w:lang w:eastAsia="sk-SK"/>
              </w:rPr>
              <w:t>Ministerstvo dopravy a výstavby  SR</w:t>
            </w:r>
          </w:p>
        </w:tc>
        <w:tc>
          <w:tcPr>
            <w:tcW w:w="940" w:type="dxa"/>
            <w:tcBorders>
              <w:top w:val="nil"/>
              <w:left w:val="nil"/>
              <w:bottom w:val="nil"/>
              <w:right w:val="nil"/>
            </w:tcBorders>
            <w:shd w:val="clear" w:color="000000" w:fill="FFFFFF"/>
            <w:noWrap/>
            <w:vAlign w:val="center"/>
            <w:hideMark/>
          </w:tcPr>
          <w:p w14:paraId="365D1727"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71 312</w:t>
            </w:r>
          </w:p>
        </w:tc>
        <w:tc>
          <w:tcPr>
            <w:tcW w:w="940" w:type="dxa"/>
            <w:tcBorders>
              <w:top w:val="nil"/>
              <w:left w:val="nil"/>
              <w:bottom w:val="nil"/>
              <w:right w:val="nil"/>
            </w:tcBorders>
            <w:shd w:val="clear" w:color="000000" w:fill="FFFFFF"/>
            <w:noWrap/>
            <w:vAlign w:val="center"/>
            <w:hideMark/>
          </w:tcPr>
          <w:p w14:paraId="2C4E0C69"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42 513</w:t>
            </w:r>
          </w:p>
        </w:tc>
        <w:tc>
          <w:tcPr>
            <w:tcW w:w="980" w:type="dxa"/>
            <w:tcBorders>
              <w:top w:val="nil"/>
              <w:left w:val="nil"/>
              <w:bottom w:val="nil"/>
              <w:right w:val="nil"/>
            </w:tcBorders>
            <w:shd w:val="clear" w:color="000000" w:fill="FFFFFF"/>
            <w:noWrap/>
            <w:vAlign w:val="center"/>
            <w:hideMark/>
          </w:tcPr>
          <w:p w14:paraId="493ED86F"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10 019</w:t>
            </w:r>
          </w:p>
        </w:tc>
        <w:tc>
          <w:tcPr>
            <w:tcW w:w="940" w:type="dxa"/>
            <w:tcBorders>
              <w:top w:val="nil"/>
              <w:left w:val="nil"/>
              <w:bottom w:val="nil"/>
              <w:right w:val="nil"/>
            </w:tcBorders>
            <w:shd w:val="clear" w:color="000000" w:fill="BFBFBF"/>
            <w:noWrap/>
            <w:vAlign w:val="center"/>
            <w:hideMark/>
          </w:tcPr>
          <w:p w14:paraId="0B01EE53"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68 566</w:t>
            </w:r>
          </w:p>
        </w:tc>
        <w:tc>
          <w:tcPr>
            <w:tcW w:w="980" w:type="dxa"/>
            <w:tcBorders>
              <w:top w:val="nil"/>
              <w:left w:val="nil"/>
              <w:bottom w:val="nil"/>
              <w:right w:val="nil"/>
            </w:tcBorders>
            <w:shd w:val="clear" w:color="000000" w:fill="BFBFBF"/>
            <w:noWrap/>
            <w:vAlign w:val="center"/>
            <w:hideMark/>
          </w:tcPr>
          <w:p w14:paraId="64208B04"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22 048</w:t>
            </w:r>
          </w:p>
        </w:tc>
        <w:tc>
          <w:tcPr>
            <w:tcW w:w="736" w:type="dxa"/>
            <w:tcBorders>
              <w:top w:val="nil"/>
              <w:left w:val="nil"/>
              <w:bottom w:val="nil"/>
              <w:right w:val="nil"/>
            </w:tcBorders>
            <w:shd w:val="clear" w:color="000000" w:fill="FFFFFF"/>
            <w:vAlign w:val="center"/>
            <w:hideMark/>
          </w:tcPr>
          <w:p w14:paraId="4F820061"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58 547</w:t>
            </w:r>
          </w:p>
        </w:tc>
        <w:tc>
          <w:tcPr>
            <w:tcW w:w="709" w:type="dxa"/>
            <w:tcBorders>
              <w:top w:val="nil"/>
              <w:left w:val="nil"/>
              <w:bottom w:val="nil"/>
              <w:right w:val="nil"/>
            </w:tcBorders>
            <w:shd w:val="clear" w:color="000000" w:fill="FFFFFF"/>
            <w:vAlign w:val="center"/>
            <w:hideMark/>
          </w:tcPr>
          <w:p w14:paraId="4955609B"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584,4</w:t>
            </w:r>
          </w:p>
        </w:tc>
      </w:tr>
      <w:tr w:rsidR="00151F12" w:rsidRPr="00712D17" w14:paraId="0FF670D7" w14:textId="77777777" w:rsidTr="00070A80">
        <w:trPr>
          <w:trHeight w:val="330"/>
        </w:trPr>
        <w:tc>
          <w:tcPr>
            <w:tcW w:w="3544" w:type="dxa"/>
            <w:tcBorders>
              <w:top w:val="nil"/>
              <w:left w:val="nil"/>
              <w:bottom w:val="nil"/>
              <w:right w:val="nil"/>
            </w:tcBorders>
            <w:shd w:val="clear" w:color="000000" w:fill="FFFFFF"/>
            <w:vAlign w:val="center"/>
            <w:hideMark/>
          </w:tcPr>
          <w:p w14:paraId="0CDD7530" w14:textId="77777777" w:rsidR="00151F12" w:rsidRPr="00712D17" w:rsidRDefault="00151F12" w:rsidP="00E23F29">
            <w:pPr>
              <w:spacing w:after="0" w:line="240" w:lineRule="auto"/>
              <w:jc w:val="left"/>
              <w:rPr>
                <w:rFonts w:eastAsia="Times New Roman" w:cs="Times New Roman"/>
                <w:color w:val="000000"/>
                <w:sz w:val="18"/>
                <w:szCs w:val="18"/>
                <w:lang w:eastAsia="sk-SK"/>
              </w:rPr>
            </w:pPr>
            <w:r w:rsidRPr="00712D17">
              <w:rPr>
                <w:rFonts w:eastAsia="Times New Roman" w:cs="Times New Roman"/>
                <w:color w:val="000000"/>
                <w:sz w:val="18"/>
                <w:szCs w:val="18"/>
                <w:lang w:eastAsia="sk-SK"/>
              </w:rPr>
              <w:t xml:space="preserve">Ministerstvo investícií, </w:t>
            </w:r>
            <w:proofErr w:type="spellStart"/>
            <w:r w:rsidRPr="00712D17">
              <w:rPr>
                <w:rFonts w:eastAsia="Times New Roman" w:cs="Times New Roman"/>
                <w:color w:val="000000"/>
                <w:sz w:val="18"/>
                <w:szCs w:val="18"/>
                <w:lang w:eastAsia="sk-SK"/>
              </w:rPr>
              <w:t>reg.rozvoja</w:t>
            </w:r>
            <w:proofErr w:type="spellEnd"/>
            <w:r w:rsidRPr="00712D17">
              <w:rPr>
                <w:rFonts w:eastAsia="Times New Roman" w:cs="Times New Roman"/>
                <w:color w:val="000000"/>
                <w:sz w:val="18"/>
                <w:szCs w:val="18"/>
                <w:lang w:eastAsia="sk-SK"/>
              </w:rPr>
              <w:t xml:space="preserve"> a infor.SR </w:t>
            </w:r>
          </w:p>
        </w:tc>
        <w:tc>
          <w:tcPr>
            <w:tcW w:w="940" w:type="dxa"/>
            <w:tcBorders>
              <w:top w:val="nil"/>
              <w:left w:val="nil"/>
              <w:bottom w:val="nil"/>
              <w:right w:val="nil"/>
            </w:tcBorders>
            <w:shd w:val="clear" w:color="000000" w:fill="FFFFFF"/>
            <w:noWrap/>
            <w:vAlign w:val="center"/>
            <w:hideMark/>
          </w:tcPr>
          <w:p w14:paraId="26E5744D"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x</w:t>
            </w:r>
          </w:p>
        </w:tc>
        <w:tc>
          <w:tcPr>
            <w:tcW w:w="940" w:type="dxa"/>
            <w:tcBorders>
              <w:top w:val="nil"/>
              <w:left w:val="nil"/>
              <w:bottom w:val="nil"/>
              <w:right w:val="nil"/>
            </w:tcBorders>
            <w:shd w:val="clear" w:color="000000" w:fill="FFFFFF"/>
            <w:noWrap/>
            <w:vAlign w:val="center"/>
            <w:hideMark/>
          </w:tcPr>
          <w:p w14:paraId="4BAB7AD9"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5 187</w:t>
            </w:r>
          </w:p>
        </w:tc>
        <w:tc>
          <w:tcPr>
            <w:tcW w:w="980" w:type="dxa"/>
            <w:tcBorders>
              <w:top w:val="nil"/>
              <w:left w:val="nil"/>
              <w:bottom w:val="nil"/>
              <w:right w:val="nil"/>
            </w:tcBorders>
            <w:shd w:val="clear" w:color="000000" w:fill="FFFFFF"/>
            <w:noWrap/>
            <w:vAlign w:val="center"/>
            <w:hideMark/>
          </w:tcPr>
          <w:p w14:paraId="0C94BE9C"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0</w:t>
            </w:r>
          </w:p>
        </w:tc>
        <w:tc>
          <w:tcPr>
            <w:tcW w:w="940" w:type="dxa"/>
            <w:tcBorders>
              <w:top w:val="nil"/>
              <w:left w:val="nil"/>
              <w:bottom w:val="nil"/>
              <w:right w:val="nil"/>
            </w:tcBorders>
            <w:shd w:val="clear" w:color="000000" w:fill="BFBFBF"/>
            <w:noWrap/>
            <w:vAlign w:val="center"/>
            <w:hideMark/>
          </w:tcPr>
          <w:p w14:paraId="4161301A"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42 214</w:t>
            </w:r>
          </w:p>
        </w:tc>
        <w:tc>
          <w:tcPr>
            <w:tcW w:w="980" w:type="dxa"/>
            <w:tcBorders>
              <w:top w:val="nil"/>
              <w:left w:val="nil"/>
              <w:bottom w:val="nil"/>
              <w:right w:val="nil"/>
            </w:tcBorders>
            <w:shd w:val="clear" w:color="000000" w:fill="BFBFBF"/>
            <w:noWrap/>
            <w:vAlign w:val="center"/>
            <w:hideMark/>
          </w:tcPr>
          <w:p w14:paraId="487F2F95"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4 334</w:t>
            </w:r>
          </w:p>
        </w:tc>
        <w:tc>
          <w:tcPr>
            <w:tcW w:w="736" w:type="dxa"/>
            <w:tcBorders>
              <w:top w:val="nil"/>
              <w:left w:val="nil"/>
              <w:bottom w:val="nil"/>
              <w:right w:val="nil"/>
            </w:tcBorders>
            <w:shd w:val="clear" w:color="000000" w:fill="FFFFFF"/>
            <w:vAlign w:val="center"/>
            <w:hideMark/>
          </w:tcPr>
          <w:p w14:paraId="525154AC"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42 214</w:t>
            </w:r>
          </w:p>
        </w:tc>
        <w:tc>
          <w:tcPr>
            <w:tcW w:w="709" w:type="dxa"/>
            <w:tcBorders>
              <w:top w:val="nil"/>
              <w:left w:val="nil"/>
              <w:bottom w:val="nil"/>
              <w:right w:val="nil"/>
            </w:tcBorders>
            <w:shd w:val="clear" w:color="000000" w:fill="FFFFFF"/>
            <w:vAlign w:val="center"/>
            <w:hideMark/>
          </w:tcPr>
          <w:p w14:paraId="152A39C1"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x</w:t>
            </w:r>
          </w:p>
        </w:tc>
      </w:tr>
      <w:tr w:rsidR="00151F12" w:rsidRPr="00712D17" w14:paraId="3338C9D1" w14:textId="77777777" w:rsidTr="00070A80">
        <w:trPr>
          <w:trHeight w:val="390"/>
        </w:trPr>
        <w:tc>
          <w:tcPr>
            <w:tcW w:w="3544" w:type="dxa"/>
            <w:tcBorders>
              <w:top w:val="nil"/>
              <w:left w:val="nil"/>
              <w:bottom w:val="nil"/>
              <w:right w:val="nil"/>
            </w:tcBorders>
            <w:shd w:val="clear" w:color="000000" w:fill="FFFFFF"/>
            <w:noWrap/>
            <w:vAlign w:val="center"/>
            <w:hideMark/>
          </w:tcPr>
          <w:p w14:paraId="7C53A5C5" w14:textId="77777777" w:rsidR="00151F12" w:rsidRPr="00712D17" w:rsidRDefault="00151F12" w:rsidP="00E23F29">
            <w:pPr>
              <w:spacing w:after="0" w:line="240" w:lineRule="auto"/>
              <w:jc w:val="left"/>
              <w:rPr>
                <w:rFonts w:eastAsia="Times New Roman" w:cs="Times New Roman"/>
                <w:color w:val="000000"/>
                <w:sz w:val="18"/>
                <w:szCs w:val="18"/>
                <w:lang w:eastAsia="sk-SK"/>
              </w:rPr>
            </w:pPr>
            <w:r w:rsidRPr="00712D17">
              <w:rPr>
                <w:rFonts w:eastAsia="Times New Roman" w:cs="Times New Roman"/>
                <w:color w:val="000000"/>
                <w:sz w:val="18"/>
                <w:szCs w:val="18"/>
                <w:lang w:eastAsia="sk-SK"/>
              </w:rPr>
              <w:t>Všeobecná pokladničná správa</w:t>
            </w:r>
          </w:p>
        </w:tc>
        <w:tc>
          <w:tcPr>
            <w:tcW w:w="940" w:type="dxa"/>
            <w:tcBorders>
              <w:top w:val="nil"/>
              <w:left w:val="nil"/>
              <w:bottom w:val="nil"/>
              <w:right w:val="nil"/>
            </w:tcBorders>
            <w:shd w:val="clear" w:color="000000" w:fill="FFFFFF"/>
            <w:noWrap/>
            <w:vAlign w:val="center"/>
            <w:hideMark/>
          </w:tcPr>
          <w:p w14:paraId="300B6337"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42 742</w:t>
            </w:r>
          </w:p>
        </w:tc>
        <w:tc>
          <w:tcPr>
            <w:tcW w:w="940" w:type="dxa"/>
            <w:tcBorders>
              <w:top w:val="nil"/>
              <w:left w:val="nil"/>
              <w:bottom w:val="nil"/>
              <w:right w:val="nil"/>
            </w:tcBorders>
            <w:shd w:val="clear" w:color="000000" w:fill="FFFFFF"/>
            <w:noWrap/>
            <w:vAlign w:val="center"/>
            <w:hideMark/>
          </w:tcPr>
          <w:p w14:paraId="3FE9F724"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54 451</w:t>
            </w:r>
          </w:p>
        </w:tc>
        <w:tc>
          <w:tcPr>
            <w:tcW w:w="980" w:type="dxa"/>
            <w:tcBorders>
              <w:top w:val="nil"/>
              <w:left w:val="nil"/>
              <w:bottom w:val="nil"/>
              <w:right w:val="nil"/>
            </w:tcBorders>
            <w:shd w:val="clear" w:color="000000" w:fill="FFFFFF"/>
            <w:noWrap/>
            <w:vAlign w:val="center"/>
            <w:hideMark/>
          </w:tcPr>
          <w:p w14:paraId="0DBB08D5"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18 080</w:t>
            </w:r>
          </w:p>
        </w:tc>
        <w:tc>
          <w:tcPr>
            <w:tcW w:w="940" w:type="dxa"/>
            <w:tcBorders>
              <w:top w:val="nil"/>
              <w:left w:val="nil"/>
              <w:bottom w:val="nil"/>
              <w:right w:val="nil"/>
            </w:tcBorders>
            <w:shd w:val="clear" w:color="000000" w:fill="BFBFBF"/>
            <w:noWrap/>
            <w:vAlign w:val="center"/>
            <w:hideMark/>
          </w:tcPr>
          <w:p w14:paraId="5B4E844E"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29 831</w:t>
            </w:r>
          </w:p>
        </w:tc>
        <w:tc>
          <w:tcPr>
            <w:tcW w:w="980" w:type="dxa"/>
            <w:tcBorders>
              <w:top w:val="nil"/>
              <w:left w:val="nil"/>
              <w:bottom w:val="nil"/>
              <w:right w:val="nil"/>
            </w:tcBorders>
            <w:shd w:val="clear" w:color="000000" w:fill="BFBFBF"/>
            <w:noWrap/>
            <w:vAlign w:val="center"/>
            <w:hideMark/>
          </w:tcPr>
          <w:p w14:paraId="6E3695A0"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16 837</w:t>
            </w:r>
          </w:p>
        </w:tc>
        <w:tc>
          <w:tcPr>
            <w:tcW w:w="736" w:type="dxa"/>
            <w:tcBorders>
              <w:top w:val="nil"/>
              <w:left w:val="nil"/>
              <w:bottom w:val="nil"/>
              <w:right w:val="nil"/>
            </w:tcBorders>
            <w:shd w:val="clear" w:color="000000" w:fill="FFFFFF"/>
            <w:vAlign w:val="center"/>
            <w:hideMark/>
          </w:tcPr>
          <w:p w14:paraId="3F170D8A"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11 751</w:t>
            </w:r>
          </w:p>
        </w:tc>
        <w:tc>
          <w:tcPr>
            <w:tcW w:w="709" w:type="dxa"/>
            <w:tcBorders>
              <w:top w:val="nil"/>
              <w:left w:val="nil"/>
              <w:bottom w:val="nil"/>
              <w:right w:val="nil"/>
            </w:tcBorders>
            <w:shd w:val="clear" w:color="000000" w:fill="FFFFFF"/>
            <w:vAlign w:val="center"/>
            <w:hideMark/>
          </w:tcPr>
          <w:p w14:paraId="726F4F0E"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65,0</w:t>
            </w:r>
          </w:p>
        </w:tc>
      </w:tr>
      <w:tr w:rsidR="00151F12" w:rsidRPr="00712D17" w14:paraId="743874B6" w14:textId="77777777" w:rsidTr="00070A80">
        <w:trPr>
          <w:trHeight w:val="375"/>
        </w:trPr>
        <w:tc>
          <w:tcPr>
            <w:tcW w:w="3544" w:type="dxa"/>
            <w:tcBorders>
              <w:top w:val="nil"/>
              <w:left w:val="nil"/>
              <w:bottom w:val="nil"/>
              <w:right w:val="nil"/>
            </w:tcBorders>
            <w:shd w:val="clear" w:color="000000" w:fill="FFFFFF"/>
            <w:vAlign w:val="center"/>
            <w:hideMark/>
          </w:tcPr>
          <w:p w14:paraId="24A328F9" w14:textId="354E9AE4" w:rsidR="00151F12" w:rsidRPr="00712D17" w:rsidRDefault="00151F12" w:rsidP="00070A80">
            <w:pPr>
              <w:spacing w:after="0" w:line="240" w:lineRule="auto"/>
              <w:jc w:val="left"/>
              <w:rPr>
                <w:rFonts w:eastAsia="Times New Roman" w:cs="Times New Roman"/>
                <w:color w:val="000000"/>
                <w:sz w:val="18"/>
                <w:szCs w:val="18"/>
                <w:lang w:eastAsia="sk-SK"/>
              </w:rPr>
            </w:pPr>
            <w:r w:rsidRPr="00712D17">
              <w:rPr>
                <w:rFonts w:eastAsia="Times New Roman" w:cs="Times New Roman"/>
                <w:color w:val="000000"/>
                <w:sz w:val="18"/>
                <w:szCs w:val="18"/>
                <w:lang w:eastAsia="sk-SK"/>
              </w:rPr>
              <w:t>Ministerstvo školstva, vedy, výsk</w:t>
            </w:r>
            <w:r w:rsidR="00070A80">
              <w:rPr>
                <w:rFonts w:eastAsia="Times New Roman" w:cs="Times New Roman"/>
                <w:color w:val="000000"/>
                <w:sz w:val="18"/>
                <w:szCs w:val="18"/>
                <w:lang w:eastAsia="sk-SK"/>
              </w:rPr>
              <w:t xml:space="preserve">. </w:t>
            </w:r>
            <w:r w:rsidRPr="00712D17">
              <w:rPr>
                <w:rFonts w:eastAsia="Times New Roman" w:cs="Times New Roman"/>
                <w:color w:val="000000"/>
                <w:sz w:val="18"/>
                <w:szCs w:val="18"/>
                <w:lang w:eastAsia="sk-SK"/>
              </w:rPr>
              <w:t>a športu SR</w:t>
            </w:r>
          </w:p>
        </w:tc>
        <w:tc>
          <w:tcPr>
            <w:tcW w:w="940" w:type="dxa"/>
            <w:tcBorders>
              <w:top w:val="nil"/>
              <w:left w:val="nil"/>
              <w:bottom w:val="nil"/>
              <w:right w:val="nil"/>
            </w:tcBorders>
            <w:shd w:val="clear" w:color="000000" w:fill="FFFFFF"/>
            <w:noWrap/>
            <w:vAlign w:val="center"/>
            <w:hideMark/>
          </w:tcPr>
          <w:p w14:paraId="2267AE54"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16 759</w:t>
            </w:r>
          </w:p>
        </w:tc>
        <w:tc>
          <w:tcPr>
            <w:tcW w:w="940" w:type="dxa"/>
            <w:tcBorders>
              <w:top w:val="nil"/>
              <w:left w:val="nil"/>
              <w:bottom w:val="nil"/>
              <w:right w:val="nil"/>
            </w:tcBorders>
            <w:shd w:val="clear" w:color="000000" w:fill="FFFFFF"/>
            <w:noWrap/>
            <w:vAlign w:val="center"/>
            <w:hideMark/>
          </w:tcPr>
          <w:p w14:paraId="7E978622"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24 464</w:t>
            </w:r>
          </w:p>
        </w:tc>
        <w:tc>
          <w:tcPr>
            <w:tcW w:w="980" w:type="dxa"/>
            <w:tcBorders>
              <w:top w:val="nil"/>
              <w:left w:val="nil"/>
              <w:bottom w:val="nil"/>
              <w:right w:val="nil"/>
            </w:tcBorders>
            <w:shd w:val="clear" w:color="000000" w:fill="FFFFFF"/>
            <w:noWrap/>
            <w:vAlign w:val="center"/>
            <w:hideMark/>
          </w:tcPr>
          <w:p w14:paraId="1601BA58"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924</w:t>
            </w:r>
          </w:p>
        </w:tc>
        <w:tc>
          <w:tcPr>
            <w:tcW w:w="940" w:type="dxa"/>
            <w:tcBorders>
              <w:top w:val="nil"/>
              <w:left w:val="nil"/>
              <w:bottom w:val="nil"/>
              <w:right w:val="nil"/>
            </w:tcBorders>
            <w:shd w:val="clear" w:color="000000" w:fill="BFBFBF"/>
            <w:noWrap/>
            <w:vAlign w:val="center"/>
            <w:hideMark/>
          </w:tcPr>
          <w:p w14:paraId="5B567C56"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16 266</w:t>
            </w:r>
          </w:p>
        </w:tc>
        <w:tc>
          <w:tcPr>
            <w:tcW w:w="980" w:type="dxa"/>
            <w:tcBorders>
              <w:top w:val="nil"/>
              <w:left w:val="nil"/>
              <w:bottom w:val="nil"/>
              <w:right w:val="nil"/>
            </w:tcBorders>
            <w:shd w:val="clear" w:color="000000" w:fill="BFBFBF"/>
            <w:noWrap/>
            <w:vAlign w:val="center"/>
            <w:hideMark/>
          </w:tcPr>
          <w:p w14:paraId="1FECDC31"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640</w:t>
            </w:r>
          </w:p>
        </w:tc>
        <w:tc>
          <w:tcPr>
            <w:tcW w:w="736" w:type="dxa"/>
            <w:tcBorders>
              <w:top w:val="nil"/>
              <w:left w:val="nil"/>
              <w:bottom w:val="nil"/>
              <w:right w:val="nil"/>
            </w:tcBorders>
            <w:shd w:val="clear" w:color="000000" w:fill="FFFFFF"/>
            <w:vAlign w:val="center"/>
            <w:hideMark/>
          </w:tcPr>
          <w:p w14:paraId="5CC7FB52"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15 342</w:t>
            </w:r>
          </w:p>
        </w:tc>
        <w:tc>
          <w:tcPr>
            <w:tcW w:w="709" w:type="dxa"/>
            <w:tcBorders>
              <w:top w:val="nil"/>
              <w:left w:val="nil"/>
              <w:bottom w:val="nil"/>
              <w:right w:val="nil"/>
            </w:tcBorders>
            <w:shd w:val="clear" w:color="000000" w:fill="FFFFFF"/>
            <w:vAlign w:val="center"/>
            <w:hideMark/>
          </w:tcPr>
          <w:p w14:paraId="7F01697A"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1 660,4</w:t>
            </w:r>
          </w:p>
        </w:tc>
      </w:tr>
      <w:tr w:rsidR="00151F12" w:rsidRPr="00712D17" w14:paraId="049B255C" w14:textId="77777777" w:rsidTr="00070A80">
        <w:trPr>
          <w:trHeight w:val="375"/>
        </w:trPr>
        <w:tc>
          <w:tcPr>
            <w:tcW w:w="3544" w:type="dxa"/>
            <w:tcBorders>
              <w:top w:val="nil"/>
              <w:left w:val="nil"/>
              <w:bottom w:val="nil"/>
              <w:right w:val="nil"/>
            </w:tcBorders>
            <w:shd w:val="clear" w:color="000000" w:fill="FFFFFF"/>
            <w:vAlign w:val="center"/>
            <w:hideMark/>
          </w:tcPr>
          <w:p w14:paraId="34E27303" w14:textId="77777777" w:rsidR="00151F12" w:rsidRPr="00712D17" w:rsidRDefault="00151F12" w:rsidP="00E23F29">
            <w:pPr>
              <w:spacing w:after="0" w:line="240" w:lineRule="auto"/>
              <w:jc w:val="left"/>
              <w:rPr>
                <w:rFonts w:eastAsia="Times New Roman" w:cs="Times New Roman"/>
                <w:color w:val="000000"/>
                <w:sz w:val="18"/>
                <w:szCs w:val="18"/>
                <w:lang w:eastAsia="sk-SK"/>
              </w:rPr>
            </w:pPr>
            <w:r w:rsidRPr="00712D17">
              <w:rPr>
                <w:rFonts w:eastAsia="Times New Roman" w:cs="Times New Roman"/>
                <w:color w:val="000000"/>
                <w:sz w:val="18"/>
                <w:szCs w:val="18"/>
                <w:lang w:eastAsia="sk-SK"/>
              </w:rPr>
              <w:t>Štatistický úrad SR</w:t>
            </w:r>
          </w:p>
        </w:tc>
        <w:tc>
          <w:tcPr>
            <w:tcW w:w="940" w:type="dxa"/>
            <w:tcBorders>
              <w:top w:val="nil"/>
              <w:left w:val="nil"/>
              <w:bottom w:val="nil"/>
              <w:right w:val="nil"/>
            </w:tcBorders>
            <w:shd w:val="clear" w:color="000000" w:fill="FFFFFF"/>
            <w:noWrap/>
            <w:vAlign w:val="center"/>
            <w:hideMark/>
          </w:tcPr>
          <w:p w14:paraId="6E630E88"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x</w:t>
            </w:r>
          </w:p>
        </w:tc>
        <w:tc>
          <w:tcPr>
            <w:tcW w:w="940" w:type="dxa"/>
            <w:tcBorders>
              <w:top w:val="nil"/>
              <w:left w:val="nil"/>
              <w:bottom w:val="nil"/>
              <w:right w:val="nil"/>
            </w:tcBorders>
            <w:shd w:val="clear" w:color="000000" w:fill="FFFFFF"/>
            <w:noWrap/>
            <w:vAlign w:val="center"/>
            <w:hideMark/>
          </w:tcPr>
          <w:p w14:paraId="69316C71"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x</w:t>
            </w:r>
          </w:p>
        </w:tc>
        <w:tc>
          <w:tcPr>
            <w:tcW w:w="980" w:type="dxa"/>
            <w:tcBorders>
              <w:top w:val="nil"/>
              <w:left w:val="nil"/>
              <w:bottom w:val="nil"/>
              <w:right w:val="nil"/>
            </w:tcBorders>
            <w:shd w:val="clear" w:color="000000" w:fill="FFFFFF"/>
            <w:noWrap/>
            <w:vAlign w:val="center"/>
            <w:hideMark/>
          </w:tcPr>
          <w:p w14:paraId="281A20C4"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0</w:t>
            </w:r>
          </w:p>
        </w:tc>
        <w:tc>
          <w:tcPr>
            <w:tcW w:w="940" w:type="dxa"/>
            <w:tcBorders>
              <w:top w:val="nil"/>
              <w:left w:val="nil"/>
              <w:bottom w:val="nil"/>
              <w:right w:val="nil"/>
            </w:tcBorders>
            <w:shd w:val="clear" w:color="000000" w:fill="BFBFBF"/>
            <w:noWrap/>
            <w:vAlign w:val="center"/>
            <w:hideMark/>
          </w:tcPr>
          <w:p w14:paraId="0D67C065"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11 136</w:t>
            </w:r>
          </w:p>
        </w:tc>
        <w:tc>
          <w:tcPr>
            <w:tcW w:w="980" w:type="dxa"/>
            <w:tcBorders>
              <w:top w:val="nil"/>
              <w:left w:val="nil"/>
              <w:bottom w:val="nil"/>
              <w:right w:val="nil"/>
            </w:tcBorders>
            <w:shd w:val="clear" w:color="000000" w:fill="BFBFBF"/>
            <w:noWrap/>
            <w:vAlign w:val="center"/>
            <w:hideMark/>
          </w:tcPr>
          <w:p w14:paraId="604C9737"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11 136</w:t>
            </w:r>
          </w:p>
        </w:tc>
        <w:tc>
          <w:tcPr>
            <w:tcW w:w="736" w:type="dxa"/>
            <w:tcBorders>
              <w:top w:val="nil"/>
              <w:left w:val="nil"/>
              <w:bottom w:val="nil"/>
              <w:right w:val="nil"/>
            </w:tcBorders>
            <w:shd w:val="clear" w:color="000000" w:fill="FFFFFF"/>
            <w:vAlign w:val="center"/>
            <w:hideMark/>
          </w:tcPr>
          <w:p w14:paraId="7551FF7B"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11 136</w:t>
            </w:r>
          </w:p>
        </w:tc>
        <w:tc>
          <w:tcPr>
            <w:tcW w:w="709" w:type="dxa"/>
            <w:tcBorders>
              <w:top w:val="nil"/>
              <w:left w:val="nil"/>
              <w:bottom w:val="nil"/>
              <w:right w:val="nil"/>
            </w:tcBorders>
            <w:shd w:val="clear" w:color="000000" w:fill="FFFFFF"/>
            <w:vAlign w:val="center"/>
            <w:hideMark/>
          </w:tcPr>
          <w:p w14:paraId="65C2FE1A"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x</w:t>
            </w:r>
          </w:p>
        </w:tc>
      </w:tr>
      <w:tr w:rsidR="00151F12" w:rsidRPr="00712D17" w14:paraId="64E8BD33" w14:textId="77777777" w:rsidTr="00070A80">
        <w:trPr>
          <w:trHeight w:val="330"/>
        </w:trPr>
        <w:tc>
          <w:tcPr>
            <w:tcW w:w="3544" w:type="dxa"/>
            <w:tcBorders>
              <w:top w:val="nil"/>
              <w:left w:val="nil"/>
              <w:bottom w:val="nil"/>
              <w:right w:val="nil"/>
            </w:tcBorders>
            <w:shd w:val="clear" w:color="000000" w:fill="FFFFFF"/>
            <w:vAlign w:val="center"/>
            <w:hideMark/>
          </w:tcPr>
          <w:p w14:paraId="4EF4DBD7" w14:textId="77777777" w:rsidR="00151F12" w:rsidRPr="00712D17" w:rsidRDefault="00151F12" w:rsidP="00E23F29">
            <w:pPr>
              <w:spacing w:after="0" w:line="240" w:lineRule="auto"/>
              <w:jc w:val="left"/>
              <w:rPr>
                <w:rFonts w:eastAsia="Times New Roman" w:cs="Times New Roman"/>
                <w:color w:val="000000"/>
                <w:sz w:val="18"/>
                <w:szCs w:val="18"/>
                <w:lang w:eastAsia="sk-SK"/>
              </w:rPr>
            </w:pPr>
            <w:r w:rsidRPr="00712D17">
              <w:rPr>
                <w:rFonts w:eastAsia="Times New Roman" w:cs="Times New Roman"/>
                <w:color w:val="000000"/>
                <w:sz w:val="18"/>
                <w:szCs w:val="18"/>
                <w:lang w:eastAsia="sk-SK"/>
              </w:rPr>
              <w:t>Ministerstvo hospodárstva SR</w:t>
            </w:r>
          </w:p>
        </w:tc>
        <w:tc>
          <w:tcPr>
            <w:tcW w:w="940" w:type="dxa"/>
            <w:tcBorders>
              <w:top w:val="nil"/>
              <w:left w:val="nil"/>
              <w:bottom w:val="nil"/>
              <w:right w:val="nil"/>
            </w:tcBorders>
            <w:shd w:val="clear" w:color="000000" w:fill="FFFFFF"/>
            <w:noWrap/>
            <w:vAlign w:val="center"/>
            <w:hideMark/>
          </w:tcPr>
          <w:p w14:paraId="22A2A165"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5 157</w:t>
            </w:r>
          </w:p>
        </w:tc>
        <w:tc>
          <w:tcPr>
            <w:tcW w:w="940" w:type="dxa"/>
            <w:tcBorders>
              <w:top w:val="nil"/>
              <w:left w:val="nil"/>
              <w:bottom w:val="nil"/>
              <w:right w:val="nil"/>
            </w:tcBorders>
            <w:shd w:val="clear" w:color="000000" w:fill="FFFFFF"/>
            <w:noWrap/>
            <w:vAlign w:val="center"/>
            <w:hideMark/>
          </w:tcPr>
          <w:p w14:paraId="541674CF"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2 389</w:t>
            </w:r>
          </w:p>
        </w:tc>
        <w:tc>
          <w:tcPr>
            <w:tcW w:w="980" w:type="dxa"/>
            <w:tcBorders>
              <w:top w:val="nil"/>
              <w:left w:val="nil"/>
              <w:bottom w:val="nil"/>
              <w:right w:val="nil"/>
            </w:tcBorders>
            <w:shd w:val="clear" w:color="000000" w:fill="FFFFFF"/>
            <w:noWrap/>
            <w:vAlign w:val="center"/>
            <w:hideMark/>
          </w:tcPr>
          <w:p w14:paraId="7C8C1039"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0</w:t>
            </w:r>
          </w:p>
        </w:tc>
        <w:tc>
          <w:tcPr>
            <w:tcW w:w="940" w:type="dxa"/>
            <w:tcBorders>
              <w:top w:val="nil"/>
              <w:left w:val="nil"/>
              <w:bottom w:val="nil"/>
              <w:right w:val="nil"/>
            </w:tcBorders>
            <w:shd w:val="clear" w:color="000000" w:fill="BFBFBF"/>
            <w:noWrap/>
            <w:vAlign w:val="center"/>
            <w:hideMark/>
          </w:tcPr>
          <w:p w14:paraId="2457518C"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4 905</w:t>
            </w:r>
          </w:p>
        </w:tc>
        <w:tc>
          <w:tcPr>
            <w:tcW w:w="980" w:type="dxa"/>
            <w:tcBorders>
              <w:top w:val="nil"/>
              <w:left w:val="nil"/>
              <w:bottom w:val="nil"/>
              <w:right w:val="nil"/>
            </w:tcBorders>
            <w:shd w:val="clear" w:color="000000" w:fill="BFBFBF"/>
            <w:noWrap/>
            <w:vAlign w:val="center"/>
            <w:hideMark/>
          </w:tcPr>
          <w:p w14:paraId="44E01EA2"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381</w:t>
            </w:r>
          </w:p>
        </w:tc>
        <w:tc>
          <w:tcPr>
            <w:tcW w:w="736" w:type="dxa"/>
            <w:tcBorders>
              <w:top w:val="nil"/>
              <w:left w:val="nil"/>
              <w:bottom w:val="nil"/>
              <w:right w:val="nil"/>
            </w:tcBorders>
            <w:shd w:val="clear" w:color="000000" w:fill="FFFFFF"/>
            <w:vAlign w:val="center"/>
            <w:hideMark/>
          </w:tcPr>
          <w:p w14:paraId="6503FE39"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4 905</w:t>
            </w:r>
          </w:p>
        </w:tc>
        <w:tc>
          <w:tcPr>
            <w:tcW w:w="709" w:type="dxa"/>
            <w:tcBorders>
              <w:top w:val="nil"/>
              <w:left w:val="nil"/>
              <w:bottom w:val="nil"/>
              <w:right w:val="nil"/>
            </w:tcBorders>
            <w:shd w:val="clear" w:color="000000" w:fill="FFFFFF"/>
            <w:vAlign w:val="center"/>
            <w:hideMark/>
          </w:tcPr>
          <w:p w14:paraId="653CB496"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x</w:t>
            </w:r>
          </w:p>
        </w:tc>
      </w:tr>
      <w:tr w:rsidR="00151F12" w:rsidRPr="00712D17" w14:paraId="2AC46C3F" w14:textId="77777777" w:rsidTr="00070A80">
        <w:trPr>
          <w:trHeight w:val="330"/>
        </w:trPr>
        <w:tc>
          <w:tcPr>
            <w:tcW w:w="3544" w:type="dxa"/>
            <w:tcBorders>
              <w:top w:val="nil"/>
              <w:left w:val="nil"/>
              <w:bottom w:val="nil"/>
              <w:right w:val="nil"/>
            </w:tcBorders>
            <w:shd w:val="clear" w:color="000000" w:fill="FFFFFF"/>
            <w:vAlign w:val="center"/>
            <w:hideMark/>
          </w:tcPr>
          <w:p w14:paraId="4FAF3E25" w14:textId="77777777" w:rsidR="00151F12" w:rsidRPr="00712D17" w:rsidRDefault="00151F12" w:rsidP="00E23F29">
            <w:pPr>
              <w:spacing w:after="0" w:line="240" w:lineRule="auto"/>
              <w:jc w:val="left"/>
              <w:rPr>
                <w:rFonts w:eastAsia="Times New Roman" w:cs="Times New Roman"/>
                <w:color w:val="000000"/>
                <w:sz w:val="18"/>
                <w:szCs w:val="18"/>
                <w:lang w:eastAsia="sk-SK"/>
              </w:rPr>
            </w:pPr>
            <w:r w:rsidRPr="00712D17">
              <w:rPr>
                <w:rFonts w:eastAsia="Times New Roman" w:cs="Times New Roman"/>
                <w:color w:val="000000"/>
                <w:sz w:val="18"/>
                <w:szCs w:val="18"/>
                <w:lang w:eastAsia="sk-SK"/>
              </w:rPr>
              <w:t>Ministerstvo kultúry SR</w:t>
            </w:r>
          </w:p>
        </w:tc>
        <w:tc>
          <w:tcPr>
            <w:tcW w:w="940" w:type="dxa"/>
            <w:tcBorders>
              <w:top w:val="nil"/>
              <w:left w:val="nil"/>
              <w:bottom w:val="nil"/>
              <w:right w:val="nil"/>
            </w:tcBorders>
            <w:shd w:val="clear" w:color="000000" w:fill="FFFFFF"/>
            <w:noWrap/>
            <w:vAlign w:val="center"/>
            <w:hideMark/>
          </w:tcPr>
          <w:p w14:paraId="10EFEB82"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6 422</w:t>
            </w:r>
          </w:p>
        </w:tc>
        <w:tc>
          <w:tcPr>
            <w:tcW w:w="940" w:type="dxa"/>
            <w:tcBorders>
              <w:top w:val="nil"/>
              <w:left w:val="nil"/>
              <w:bottom w:val="nil"/>
              <w:right w:val="nil"/>
            </w:tcBorders>
            <w:shd w:val="clear" w:color="000000" w:fill="FFFFFF"/>
            <w:noWrap/>
            <w:vAlign w:val="center"/>
            <w:hideMark/>
          </w:tcPr>
          <w:p w14:paraId="5F2A9A70"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2 162</w:t>
            </w:r>
          </w:p>
        </w:tc>
        <w:tc>
          <w:tcPr>
            <w:tcW w:w="980" w:type="dxa"/>
            <w:tcBorders>
              <w:top w:val="nil"/>
              <w:left w:val="nil"/>
              <w:bottom w:val="nil"/>
              <w:right w:val="nil"/>
            </w:tcBorders>
            <w:shd w:val="clear" w:color="000000" w:fill="FFFFFF"/>
            <w:noWrap/>
            <w:vAlign w:val="center"/>
            <w:hideMark/>
          </w:tcPr>
          <w:p w14:paraId="0073AE15"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0</w:t>
            </w:r>
          </w:p>
        </w:tc>
        <w:tc>
          <w:tcPr>
            <w:tcW w:w="940" w:type="dxa"/>
            <w:tcBorders>
              <w:top w:val="nil"/>
              <w:left w:val="nil"/>
              <w:bottom w:val="nil"/>
              <w:right w:val="nil"/>
            </w:tcBorders>
            <w:shd w:val="clear" w:color="000000" w:fill="BFBFBF"/>
            <w:noWrap/>
            <w:vAlign w:val="center"/>
            <w:hideMark/>
          </w:tcPr>
          <w:p w14:paraId="70EA049D"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4 091</w:t>
            </w:r>
          </w:p>
        </w:tc>
        <w:tc>
          <w:tcPr>
            <w:tcW w:w="980" w:type="dxa"/>
            <w:tcBorders>
              <w:top w:val="nil"/>
              <w:left w:val="nil"/>
              <w:bottom w:val="nil"/>
              <w:right w:val="nil"/>
            </w:tcBorders>
            <w:shd w:val="clear" w:color="000000" w:fill="BFBFBF"/>
            <w:noWrap/>
            <w:vAlign w:val="center"/>
            <w:hideMark/>
          </w:tcPr>
          <w:p w14:paraId="5CBFE296"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4 091</w:t>
            </w:r>
          </w:p>
        </w:tc>
        <w:tc>
          <w:tcPr>
            <w:tcW w:w="736" w:type="dxa"/>
            <w:tcBorders>
              <w:top w:val="nil"/>
              <w:left w:val="nil"/>
              <w:bottom w:val="nil"/>
              <w:right w:val="nil"/>
            </w:tcBorders>
            <w:shd w:val="clear" w:color="000000" w:fill="FFFFFF"/>
            <w:vAlign w:val="center"/>
            <w:hideMark/>
          </w:tcPr>
          <w:p w14:paraId="48647AEB"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4 091</w:t>
            </w:r>
          </w:p>
        </w:tc>
        <w:tc>
          <w:tcPr>
            <w:tcW w:w="709" w:type="dxa"/>
            <w:tcBorders>
              <w:top w:val="nil"/>
              <w:left w:val="nil"/>
              <w:bottom w:val="nil"/>
              <w:right w:val="nil"/>
            </w:tcBorders>
            <w:shd w:val="clear" w:color="000000" w:fill="FFFFFF"/>
            <w:vAlign w:val="center"/>
            <w:hideMark/>
          </w:tcPr>
          <w:p w14:paraId="51CC6ED3"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x</w:t>
            </w:r>
          </w:p>
        </w:tc>
      </w:tr>
      <w:tr w:rsidR="00151F12" w:rsidRPr="00712D17" w14:paraId="29CB21F0" w14:textId="77777777" w:rsidTr="00070A80">
        <w:trPr>
          <w:trHeight w:val="330"/>
        </w:trPr>
        <w:tc>
          <w:tcPr>
            <w:tcW w:w="3544" w:type="dxa"/>
            <w:tcBorders>
              <w:top w:val="nil"/>
              <w:left w:val="nil"/>
              <w:bottom w:val="nil"/>
              <w:right w:val="nil"/>
            </w:tcBorders>
            <w:shd w:val="clear" w:color="000000" w:fill="FFFFFF"/>
            <w:noWrap/>
            <w:vAlign w:val="center"/>
            <w:hideMark/>
          </w:tcPr>
          <w:p w14:paraId="4C796D53" w14:textId="77777777" w:rsidR="00151F12" w:rsidRPr="00712D17" w:rsidRDefault="00151F12" w:rsidP="00E23F29">
            <w:pPr>
              <w:spacing w:after="0" w:line="240" w:lineRule="auto"/>
              <w:jc w:val="left"/>
              <w:rPr>
                <w:rFonts w:eastAsia="Times New Roman" w:cs="Times New Roman"/>
                <w:color w:val="000000"/>
                <w:sz w:val="18"/>
                <w:szCs w:val="18"/>
                <w:lang w:eastAsia="sk-SK"/>
              </w:rPr>
            </w:pPr>
            <w:r w:rsidRPr="00712D17">
              <w:rPr>
                <w:rFonts w:eastAsia="Times New Roman" w:cs="Times New Roman"/>
                <w:color w:val="000000"/>
                <w:sz w:val="18"/>
                <w:szCs w:val="18"/>
                <w:lang w:eastAsia="sk-SK"/>
              </w:rPr>
              <w:t>Úrad vlády SR</w:t>
            </w:r>
          </w:p>
        </w:tc>
        <w:tc>
          <w:tcPr>
            <w:tcW w:w="940" w:type="dxa"/>
            <w:tcBorders>
              <w:top w:val="nil"/>
              <w:left w:val="nil"/>
              <w:bottom w:val="nil"/>
              <w:right w:val="nil"/>
            </w:tcBorders>
            <w:shd w:val="clear" w:color="000000" w:fill="FFFFFF"/>
            <w:noWrap/>
            <w:vAlign w:val="center"/>
            <w:hideMark/>
          </w:tcPr>
          <w:p w14:paraId="6963EB15"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12 836</w:t>
            </w:r>
          </w:p>
        </w:tc>
        <w:tc>
          <w:tcPr>
            <w:tcW w:w="940" w:type="dxa"/>
            <w:tcBorders>
              <w:top w:val="nil"/>
              <w:left w:val="nil"/>
              <w:bottom w:val="nil"/>
              <w:right w:val="nil"/>
            </w:tcBorders>
            <w:shd w:val="clear" w:color="000000" w:fill="FFFFFF"/>
            <w:noWrap/>
            <w:vAlign w:val="center"/>
            <w:hideMark/>
          </w:tcPr>
          <w:p w14:paraId="393E6DFB"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12 679</w:t>
            </w:r>
          </w:p>
        </w:tc>
        <w:tc>
          <w:tcPr>
            <w:tcW w:w="980" w:type="dxa"/>
            <w:tcBorders>
              <w:top w:val="nil"/>
              <w:left w:val="nil"/>
              <w:bottom w:val="nil"/>
              <w:right w:val="nil"/>
            </w:tcBorders>
            <w:shd w:val="clear" w:color="000000" w:fill="FFFFFF"/>
            <w:noWrap/>
            <w:vAlign w:val="center"/>
            <w:hideMark/>
          </w:tcPr>
          <w:p w14:paraId="2B0DF87F"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600</w:t>
            </w:r>
          </w:p>
        </w:tc>
        <w:tc>
          <w:tcPr>
            <w:tcW w:w="940" w:type="dxa"/>
            <w:tcBorders>
              <w:top w:val="nil"/>
              <w:left w:val="nil"/>
              <w:bottom w:val="nil"/>
              <w:right w:val="nil"/>
            </w:tcBorders>
            <w:shd w:val="clear" w:color="000000" w:fill="BFBFBF"/>
            <w:noWrap/>
            <w:vAlign w:val="center"/>
            <w:hideMark/>
          </w:tcPr>
          <w:p w14:paraId="5202F076"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1 001</w:t>
            </w:r>
          </w:p>
        </w:tc>
        <w:tc>
          <w:tcPr>
            <w:tcW w:w="980" w:type="dxa"/>
            <w:tcBorders>
              <w:top w:val="nil"/>
              <w:left w:val="nil"/>
              <w:bottom w:val="nil"/>
              <w:right w:val="nil"/>
            </w:tcBorders>
            <w:shd w:val="clear" w:color="000000" w:fill="BFBFBF"/>
            <w:noWrap/>
            <w:vAlign w:val="center"/>
            <w:hideMark/>
          </w:tcPr>
          <w:p w14:paraId="55CFADEA"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443</w:t>
            </w:r>
          </w:p>
        </w:tc>
        <w:tc>
          <w:tcPr>
            <w:tcW w:w="736" w:type="dxa"/>
            <w:tcBorders>
              <w:top w:val="nil"/>
              <w:left w:val="nil"/>
              <w:bottom w:val="nil"/>
              <w:right w:val="nil"/>
            </w:tcBorders>
            <w:shd w:val="clear" w:color="000000" w:fill="FFFFFF"/>
            <w:vAlign w:val="center"/>
            <w:hideMark/>
          </w:tcPr>
          <w:p w14:paraId="1B4FDC0D"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401</w:t>
            </w:r>
          </w:p>
        </w:tc>
        <w:tc>
          <w:tcPr>
            <w:tcW w:w="709" w:type="dxa"/>
            <w:tcBorders>
              <w:top w:val="nil"/>
              <w:left w:val="nil"/>
              <w:bottom w:val="nil"/>
              <w:right w:val="nil"/>
            </w:tcBorders>
            <w:shd w:val="clear" w:color="000000" w:fill="FFFFFF"/>
            <w:vAlign w:val="center"/>
            <w:hideMark/>
          </w:tcPr>
          <w:p w14:paraId="61B9A3BB"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x</w:t>
            </w:r>
          </w:p>
        </w:tc>
      </w:tr>
      <w:tr w:rsidR="00151F12" w:rsidRPr="00712D17" w14:paraId="25E78681" w14:textId="77777777" w:rsidTr="00070A80">
        <w:trPr>
          <w:trHeight w:val="330"/>
        </w:trPr>
        <w:tc>
          <w:tcPr>
            <w:tcW w:w="3544" w:type="dxa"/>
            <w:tcBorders>
              <w:top w:val="nil"/>
              <w:left w:val="nil"/>
              <w:bottom w:val="nil"/>
              <w:right w:val="nil"/>
            </w:tcBorders>
            <w:shd w:val="clear" w:color="000000" w:fill="FFFFFF"/>
            <w:noWrap/>
            <w:vAlign w:val="center"/>
            <w:hideMark/>
          </w:tcPr>
          <w:p w14:paraId="70E1C854" w14:textId="77777777" w:rsidR="00151F12" w:rsidRPr="00712D17" w:rsidRDefault="00151F12" w:rsidP="00E23F29">
            <w:pPr>
              <w:spacing w:after="0" w:line="240" w:lineRule="auto"/>
              <w:jc w:val="left"/>
              <w:rPr>
                <w:rFonts w:eastAsia="Times New Roman" w:cs="Times New Roman"/>
                <w:color w:val="000000"/>
                <w:sz w:val="18"/>
                <w:szCs w:val="18"/>
                <w:lang w:eastAsia="sk-SK"/>
              </w:rPr>
            </w:pPr>
            <w:r w:rsidRPr="00712D17">
              <w:rPr>
                <w:rFonts w:eastAsia="Times New Roman" w:cs="Times New Roman"/>
                <w:color w:val="000000"/>
                <w:sz w:val="18"/>
                <w:szCs w:val="18"/>
                <w:lang w:eastAsia="sk-SK"/>
              </w:rPr>
              <w:t>Ministerstvo financií SR</w:t>
            </w:r>
          </w:p>
        </w:tc>
        <w:tc>
          <w:tcPr>
            <w:tcW w:w="940" w:type="dxa"/>
            <w:tcBorders>
              <w:top w:val="nil"/>
              <w:left w:val="nil"/>
              <w:bottom w:val="nil"/>
              <w:right w:val="nil"/>
            </w:tcBorders>
            <w:shd w:val="clear" w:color="000000" w:fill="FFFFFF"/>
            <w:noWrap/>
            <w:vAlign w:val="center"/>
            <w:hideMark/>
          </w:tcPr>
          <w:p w14:paraId="20CF3E0C"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0</w:t>
            </w:r>
          </w:p>
        </w:tc>
        <w:tc>
          <w:tcPr>
            <w:tcW w:w="940" w:type="dxa"/>
            <w:tcBorders>
              <w:top w:val="nil"/>
              <w:left w:val="nil"/>
              <w:bottom w:val="nil"/>
              <w:right w:val="nil"/>
            </w:tcBorders>
            <w:shd w:val="clear" w:color="000000" w:fill="FFFFFF"/>
            <w:noWrap/>
            <w:vAlign w:val="center"/>
            <w:hideMark/>
          </w:tcPr>
          <w:p w14:paraId="498C0BD4"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86</w:t>
            </w:r>
          </w:p>
        </w:tc>
        <w:tc>
          <w:tcPr>
            <w:tcW w:w="980" w:type="dxa"/>
            <w:tcBorders>
              <w:top w:val="nil"/>
              <w:left w:val="nil"/>
              <w:bottom w:val="nil"/>
              <w:right w:val="nil"/>
            </w:tcBorders>
            <w:shd w:val="clear" w:color="000000" w:fill="FFFFFF"/>
            <w:noWrap/>
            <w:vAlign w:val="center"/>
            <w:hideMark/>
          </w:tcPr>
          <w:p w14:paraId="1CAEAA12"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0</w:t>
            </w:r>
          </w:p>
        </w:tc>
        <w:tc>
          <w:tcPr>
            <w:tcW w:w="940" w:type="dxa"/>
            <w:tcBorders>
              <w:top w:val="nil"/>
              <w:left w:val="nil"/>
              <w:bottom w:val="nil"/>
              <w:right w:val="nil"/>
            </w:tcBorders>
            <w:shd w:val="clear" w:color="000000" w:fill="BFBFBF"/>
            <w:noWrap/>
            <w:vAlign w:val="center"/>
            <w:hideMark/>
          </w:tcPr>
          <w:p w14:paraId="73BF3726"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221</w:t>
            </w:r>
          </w:p>
        </w:tc>
        <w:tc>
          <w:tcPr>
            <w:tcW w:w="980" w:type="dxa"/>
            <w:tcBorders>
              <w:top w:val="nil"/>
              <w:left w:val="nil"/>
              <w:bottom w:val="nil"/>
              <w:right w:val="nil"/>
            </w:tcBorders>
            <w:shd w:val="clear" w:color="000000" w:fill="BFBFBF"/>
            <w:noWrap/>
            <w:vAlign w:val="center"/>
            <w:hideMark/>
          </w:tcPr>
          <w:p w14:paraId="09B39901"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0</w:t>
            </w:r>
          </w:p>
        </w:tc>
        <w:tc>
          <w:tcPr>
            <w:tcW w:w="736" w:type="dxa"/>
            <w:tcBorders>
              <w:top w:val="nil"/>
              <w:left w:val="nil"/>
              <w:bottom w:val="nil"/>
              <w:right w:val="nil"/>
            </w:tcBorders>
            <w:shd w:val="clear" w:color="000000" w:fill="FFFFFF"/>
            <w:vAlign w:val="center"/>
            <w:hideMark/>
          </w:tcPr>
          <w:p w14:paraId="4A0179EE"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221</w:t>
            </w:r>
          </w:p>
        </w:tc>
        <w:tc>
          <w:tcPr>
            <w:tcW w:w="709" w:type="dxa"/>
            <w:tcBorders>
              <w:top w:val="nil"/>
              <w:left w:val="nil"/>
              <w:bottom w:val="nil"/>
              <w:right w:val="nil"/>
            </w:tcBorders>
            <w:shd w:val="clear" w:color="000000" w:fill="FFFFFF"/>
            <w:vAlign w:val="center"/>
            <w:hideMark/>
          </w:tcPr>
          <w:p w14:paraId="35AF6CA3"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x</w:t>
            </w:r>
          </w:p>
        </w:tc>
      </w:tr>
      <w:tr w:rsidR="00151F12" w:rsidRPr="00712D17" w14:paraId="21926062" w14:textId="77777777" w:rsidTr="00070A80">
        <w:trPr>
          <w:trHeight w:val="330"/>
        </w:trPr>
        <w:tc>
          <w:tcPr>
            <w:tcW w:w="3544" w:type="dxa"/>
            <w:tcBorders>
              <w:top w:val="nil"/>
              <w:left w:val="nil"/>
              <w:bottom w:val="nil"/>
              <w:right w:val="nil"/>
            </w:tcBorders>
            <w:shd w:val="clear" w:color="000000" w:fill="FFFFFF"/>
            <w:vAlign w:val="center"/>
            <w:hideMark/>
          </w:tcPr>
          <w:p w14:paraId="3E1FBBCF" w14:textId="77777777" w:rsidR="00151F12" w:rsidRPr="00712D17" w:rsidRDefault="00151F12" w:rsidP="00E23F29">
            <w:pPr>
              <w:spacing w:after="0" w:line="240" w:lineRule="auto"/>
              <w:jc w:val="left"/>
              <w:rPr>
                <w:rFonts w:eastAsia="Times New Roman" w:cs="Times New Roman"/>
                <w:color w:val="000000"/>
                <w:sz w:val="18"/>
                <w:szCs w:val="18"/>
                <w:lang w:eastAsia="sk-SK"/>
              </w:rPr>
            </w:pPr>
            <w:r w:rsidRPr="00712D17">
              <w:rPr>
                <w:rFonts w:eastAsia="Times New Roman" w:cs="Times New Roman"/>
                <w:color w:val="000000"/>
                <w:sz w:val="18"/>
                <w:szCs w:val="18"/>
                <w:lang w:eastAsia="sk-SK"/>
              </w:rPr>
              <w:t>Ministerstvo zdravotníctva SR</w:t>
            </w:r>
          </w:p>
        </w:tc>
        <w:tc>
          <w:tcPr>
            <w:tcW w:w="940" w:type="dxa"/>
            <w:tcBorders>
              <w:top w:val="nil"/>
              <w:left w:val="nil"/>
              <w:bottom w:val="nil"/>
              <w:right w:val="nil"/>
            </w:tcBorders>
            <w:shd w:val="clear" w:color="000000" w:fill="FFFFFF"/>
            <w:noWrap/>
            <w:vAlign w:val="center"/>
            <w:hideMark/>
          </w:tcPr>
          <w:p w14:paraId="6274CFD6"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20</w:t>
            </w:r>
          </w:p>
        </w:tc>
        <w:tc>
          <w:tcPr>
            <w:tcW w:w="940" w:type="dxa"/>
            <w:tcBorders>
              <w:top w:val="nil"/>
              <w:left w:val="nil"/>
              <w:bottom w:val="nil"/>
              <w:right w:val="nil"/>
            </w:tcBorders>
            <w:shd w:val="clear" w:color="000000" w:fill="FFFFFF"/>
            <w:noWrap/>
            <w:vAlign w:val="center"/>
            <w:hideMark/>
          </w:tcPr>
          <w:p w14:paraId="36562434"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23</w:t>
            </w:r>
          </w:p>
        </w:tc>
        <w:tc>
          <w:tcPr>
            <w:tcW w:w="980" w:type="dxa"/>
            <w:tcBorders>
              <w:top w:val="nil"/>
              <w:left w:val="nil"/>
              <w:bottom w:val="nil"/>
              <w:right w:val="nil"/>
            </w:tcBorders>
            <w:shd w:val="clear" w:color="000000" w:fill="FFFFFF"/>
            <w:noWrap/>
            <w:vAlign w:val="center"/>
            <w:hideMark/>
          </w:tcPr>
          <w:p w14:paraId="21B7A21A"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x</w:t>
            </w:r>
          </w:p>
        </w:tc>
        <w:tc>
          <w:tcPr>
            <w:tcW w:w="940" w:type="dxa"/>
            <w:tcBorders>
              <w:top w:val="nil"/>
              <w:left w:val="nil"/>
              <w:bottom w:val="nil"/>
              <w:right w:val="nil"/>
            </w:tcBorders>
            <w:shd w:val="clear" w:color="000000" w:fill="BFBFBF"/>
            <w:noWrap/>
            <w:vAlign w:val="center"/>
            <w:hideMark/>
          </w:tcPr>
          <w:p w14:paraId="1CD296AA"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x</w:t>
            </w:r>
          </w:p>
        </w:tc>
        <w:tc>
          <w:tcPr>
            <w:tcW w:w="980" w:type="dxa"/>
            <w:tcBorders>
              <w:top w:val="nil"/>
              <w:left w:val="nil"/>
              <w:bottom w:val="nil"/>
              <w:right w:val="nil"/>
            </w:tcBorders>
            <w:shd w:val="clear" w:color="000000" w:fill="BFBFBF"/>
            <w:noWrap/>
            <w:vAlign w:val="center"/>
            <w:hideMark/>
          </w:tcPr>
          <w:p w14:paraId="55EABBB7"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x</w:t>
            </w:r>
          </w:p>
        </w:tc>
        <w:tc>
          <w:tcPr>
            <w:tcW w:w="736" w:type="dxa"/>
            <w:tcBorders>
              <w:top w:val="nil"/>
              <w:left w:val="nil"/>
              <w:bottom w:val="nil"/>
              <w:right w:val="nil"/>
            </w:tcBorders>
            <w:shd w:val="clear" w:color="000000" w:fill="FFFFFF"/>
            <w:vAlign w:val="center"/>
            <w:hideMark/>
          </w:tcPr>
          <w:p w14:paraId="29305205"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x</w:t>
            </w:r>
          </w:p>
        </w:tc>
        <w:tc>
          <w:tcPr>
            <w:tcW w:w="709" w:type="dxa"/>
            <w:tcBorders>
              <w:top w:val="nil"/>
              <w:left w:val="nil"/>
              <w:bottom w:val="nil"/>
              <w:right w:val="nil"/>
            </w:tcBorders>
            <w:shd w:val="clear" w:color="000000" w:fill="FFFFFF"/>
            <w:vAlign w:val="center"/>
            <w:hideMark/>
          </w:tcPr>
          <w:p w14:paraId="3DC74AEE" w14:textId="77777777" w:rsidR="00151F12" w:rsidRPr="00712D17" w:rsidRDefault="00151F12" w:rsidP="00151F12">
            <w:pPr>
              <w:spacing w:after="0" w:line="240" w:lineRule="auto"/>
              <w:jc w:val="right"/>
              <w:rPr>
                <w:rFonts w:eastAsia="Times New Roman" w:cs="Times New Roman"/>
                <w:color w:val="000000"/>
                <w:sz w:val="18"/>
                <w:szCs w:val="18"/>
                <w:lang w:eastAsia="sk-SK"/>
              </w:rPr>
            </w:pPr>
            <w:r w:rsidRPr="00712D17">
              <w:rPr>
                <w:rFonts w:eastAsia="Times New Roman" w:cs="Times New Roman"/>
                <w:color w:val="000000"/>
                <w:sz w:val="18"/>
                <w:szCs w:val="18"/>
                <w:lang w:eastAsia="sk-SK"/>
              </w:rPr>
              <w:t>x</w:t>
            </w:r>
          </w:p>
        </w:tc>
      </w:tr>
      <w:tr w:rsidR="00151F12" w:rsidRPr="00712D17" w14:paraId="3295C696" w14:textId="77777777" w:rsidTr="00070A80">
        <w:trPr>
          <w:trHeight w:val="345"/>
        </w:trPr>
        <w:tc>
          <w:tcPr>
            <w:tcW w:w="3544" w:type="dxa"/>
            <w:tcBorders>
              <w:top w:val="single" w:sz="4" w:space="0" w:color="auto"/>
              <w:left w:val="nil"/>
              <w:bottom w:val="single" w:sz="8" w:space="0" w:color="auto"/>
              <w:right w:val="nil"/>
            </w:tcBorders>
            <w:shd w:val="clear" w:color="000000" w:fill="FFFFFF"/>
            <w:noWrap/>
            <w:vAlign w:val="center"/>
            <w:hideMark/>
          </w:tcPr>
          <w:p w14:paraId="078853DD" w14:textId="77777777" w:rsidR="00151F12" w:rsidRPr="00712D17" w:rsidRDefault="00151F12" w:rsidP="00151F12">
            <w:pPr>
              <w:spacing w:after="0" w:line="240" w:lineRule="auto"/>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Spolu</w:t>
            </w:r>
          </w:p>
        </w:tc>
        <w:tc>
          <w:tcPr>
            <w:tcW w:w="940" w:type="dxa"/>
            <w:tcBorders>
              <w:top w:val="single" w:sz="4" w:space="0" w:color="auto"/>
              <w:left w:val="nil"/>
              <w:bottom w:val="single" w:sz="8" w:space="0" w:color="auto"/>
              <w:right w:val="nil"/>
            </w:tcBorders>
            <w:shd w:val="clear" w:color="000000" w:fill="FFFFFF"/>
            <w:noWrap/>
            <w:vAlign w:val="center"/>
            <w:hideMark/>
          </w:tcPr>
          <w:p w14:paraId="14060AF9" w14:textId="77777777" w:rsidR="00151F12" w:rsidRPr="00712D17" w:rsidRDefault="00151F12" w:rsidP="00151F12">
            <w:pPr>
              <w:spacing w:after="0" w:line="240" w:lineRule="auto"/>
              <w:jc w:val="right"/>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1 345 539</w:t>
            </w:r>
          </w:p>
        </w:tc>
        <w:tc>
          <w:tcPr>
            <w:tcW w:w="940" w:type="dxa"/>
            <w:tcBorders>
              <w:top w:val="single" w:sz="4" w:space="0" w:color="auto"/>
              <w:left w:val="nil"/>
              <w:bottom w:val="single" w:sz="8" w:space="0" w:color="auto"/>
              <w:right w:val="nil"/>
            </w:tcBorders>
            <w:shd w:val="clear" w:color="000000" w:fill="FFFFFF"/>
            <w:noWrap/>
            <w:vAlign w:val="center"/>
            <w:hideMark/>
          </w:tcPr>
          <w:p w14:paraId="46DFA316" w14:textId="77777777" w:rsidR="00151F12" w:rsidRPr="00712D17" w:rsidRDefault="00151F12" w:rsidP="00151F12">
            <w:pPr>
              <w:spacing w:after="0" w:line="240" w:lineRule="auto"/>
              <w:jc w:val="right"/>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1 505 636</w:t>
            </w:r>
          </w:p>
        </w:tc>
        <w:tc>
          <w:tcPr>
            <w:tcW w:w="980" w:type="dxa"/>
            <w:tcBorders>
              <w:top w:val="single" w:sz="4" w:space="0" w:color="auto"/>
              <w:left w:val="nil"/>
              <w:bottom w:val="single" w:sz="8" w:space="0" w:color="auto"/>
              <w:right w:val="nil"/>
            </w:tcBorders>
            <w:shd w:val="clear" w:color="000000" w:fill="FFFFFF"/>
            <w:noWrap/>
            <w:vAlign w:val="center"/>
            <w:hideMark/>
          </w:tcPr>
          <w:p w14:paraId="0C80586A" w14:textId="77777777" w:rsidR="00151F12" w:rsidRPr="00712D17" w:rsidRDefault="00151F12" w:rsidP="00151F12">
            <w:pPr>
              <w:spacing w:after="0" w:line="240" w:lineRule="auto"/>
              <w:jc w:val="right"/>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1 124 065</w:t>
            </w:r>
          </w:p>
        </w:tc>
        <w:tc>
          <w:tcPr>
            <w:tcW w:w="940" w:type="dxa"/>
            <w:tcBorders>
              <w:top w:val="single" w:sz="4" w:space="0" w:color="auto"/>
              <w:left w:val="nil"/>
              <w:bottom w:val="single" w:sz="8" w:space="0" w:color="auto"/>
              <w:right w:val="nil"/>
            </w:tcBorders>
            <w:shd w:val="clear" w:color="000000" w:fill="BFBFBF"/>
            <w:noWrap/>
            <w:vAlign w:val="center"/>
            <w:hideMark/>
          </w:tcPr>
          <w:p w14:paraId="32CC90AF" w14:textId="77777777" w:rsidR="00151F12" w:rsidRPr="00712D17" w:rsidRDefault="00151F12" w:rsidP="00151F12">
            <w:pPr>
              <w:spacing w:after="0" w:line="240" w:lineRule="auto"/>
              <w:jc w:val="right"/>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1 756 998</w:t>
            </w:r>
          </w:p>
        </w:tc>
        <w:tc>
          <w:tcPr>
            <w:tcW w:w="980" w:type="dxa"/>
            <w:tcBorders>
              <w:top w:val="single" w:sz="4" w:space="0" w:color="auto"/>
              <w:left w:val="nil"/>
              <w:bottom w:val="single" w:sz="8" w:space="0" w:color="auto"/>
              <w:right w:val="nil"/>
            </w:tcBorders>
            <w:shd w:val="clear" w:color="000000" w:fill="BFBFBF"/>
            <w:noWrap/>
            <w:vAlign w:val="center"/>
            <w:hideMark/>
          </w:tcPr>
          <w:p w14:paraId="6CD74990" w14:textId="77777777" w:rsidR="00151F12" w:rsidRPr="00712D17" w:rsidRDefault="00151F12" w:rsidP="00151F12">
            <w:pPr>
              <w:spacing w:after="0" w:line="240" w:lineRule="auto"/>
              <w:jc w:val="right"/>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1 418 916</w:t>
            </w:r>
          </w:p>
        </w:tc>
        <w:tc>
          <w:tcPr>
            <w:tcW w:w="736" w:type="dxa"/>
            <w:tcBorders>
              <w:top w:val="single" w:sz="4" w:space="0" w:color="auto"/>
              <w:left w:val="nil"/>
              <w:bottom w:val="single" w:sz="8" w:space="0" w:color="auto"/>
              <w:right w:val="nil"/>
            </w:tcBorders>
            <w:shd w:val="clear" w:color="000000" w:fill="FFFFFF"/>
            <w:noWrap/>
            <w:vAlign w:val="center"/>
            <w:hideMark/>
          </w:tcPr>
          <w:p w14:paraId="1A2DF7CD" w14:textId="77777777" w:rsidR="00151F12" w:rsidRPr="00712D17" w:rsidRDefault="00151F12" w:rsidP="00151F12">
            <w:pPr>
              <w:spacing w:after="0" w:line="240" w:lineRule="auto"/>
              <w:jc w:val="right"/>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632 933</w:t>
            </w:r>
          </w:p>
        </w:tc>
        <w:tc>
          <w:tcPr>
            <w:tcW w:w="709" w:type="dxa"/>
            <w:tcBorders>
              <w:top w:val="single" w:sz="4" w:space="0" w:color="auto"/>
              <w:left w:val="nil"/>
              <w:bottom w:val="single" w:sz="8" w:space="0" w:color="auto"/>
              <w:right w:val="nil"/>
            </w:tcBorders>
            <w:shd w:val="clear" w:color="000000" w:fill="FFFFFF"/>
            <w:noWrap/>
            <w:vAlign w:val="center"/>
            <w:hideMark/>
          </w:tcPr>
          <w:p w14:paraId="708828E5" w14:textId="77777777" w:rsidR="00151F12" w:rsidRPr="00712D17" w:rsidRDefault="00151F12" w:rsidP="00151F12">
            <w:pPr>
              <w:spacing w:after="0" w:line="240" w:lineRule="auto"/>
              <w:jc w:val="right"/>
              <w:rPr>
                <w:rFonts w:eastAsia="Times New Roman" w:cs="Times New Roman"/>
                <w:b/>
                <w:bCs/>
                <w:color w:val="000000"/>
                <w:sz w:val="18"/>
                <w:szCs w:val="18"/>
                <w:lang w:eastAsia="sk-SK"/>
              </w:rPr>
            </w:pPr>
            <w:r w:rsidRPr="00712D17">
              <w:rPr>
                <w:rFonts w:eastAsia="Times New Roman" w:cs="Times New Roman"/>
                <w:b/>
                <w:bCs/>
                <w:color w:val="000000"/>
                <w:sz w:val="18"/>
                <w:szCs w:val="18"/>
                <w:lang w:eastAsia="sk-SK"/>
              </w:rPr>
              <w:t>56,3</w:t>
            </w:r>
          </w:p>
        </w:tc>
      </w:tr>
    </w:tbl>
    <w:p w14:paraId="634BE368" w14:textId="176609A7" w:rsidR="00151F12" w:rsidRPr="00B93968" w:rsidRDefault="00151F12" w:rsidP="00151F12">
      <w:pPr>
        <w:suppressAutoHyphens/>
        <w:rPr>
          <w:sz w:val="18"/>
          <w:szCs w:val="18"/>
        </w:rPr>
      </w:pPr>
      <w:r w:rsidRPr="00B93968">
        <w:rPr>
          <w:sz w:val="18"/>
          <w:szCs w:val="18"/>
        </w:rPr>
        <w:t xml:space="preserve">Poznámka: * len prostriedky štátneho rozpočtu </w:t>
      </w:r>
      <w:r w:rsidRPr="00B93968">
        <w:rPr>
          <w:sz w:val="18"/>
          <w:szCs w:val="18"/>
        </w:rPr>
        <w:tab/>
      </w:r>
      <w:r w:rsidRPr="00B93968">
        <w:rPr>
          <w:sz w:val="18"/>
          <w:szCs w:val="18"/>
        </w:rPr>
        <w:tab/>
      </w:r>
      <w:r w:rsidRPr="00B93968">
        <w:rPr>
          <w:sz w:val="18"/>
          <w:szCs w:val="18"/>
        </w:rPr>
        <w:tab/>
      </w:r>
      <w:r w:rsidRPr="00B93968">
        <w:rPr>
          <w:sz w:val="18"/>
          <w:szCs w:val="18"/>
        </w:rPr>
        <w:tab/>
      </w:r>
      <w:r w:rsidRPr="00B93968">
        <w:rPr>
          <w:sz w:val="18"/>
          <w:szCs w:val="18"/>
        </w:rPr>
        <w:tab/>
      </w:r>
      <w:r w:rsidRPr="00B93968">
        <w:rPr>
          <w:sz w:val="18"/>
          <w:szCs w:val="18"/>
        </w:rPr>
        <w:tab/>
        <w:t xml:space="preserve">       </w:t>
      </w:r>
      <w:r w:rsidR="00C006CB">
        <w:rPr>
          <w:sz w:val="18"/>
          <w:szCs w:val="18"/>
        </w:rPr>
        <w:t xml:space="preserve"> </w:t>
      </w:r>
      <w:r w:rsidR="00F031B1">
        <w:rPr>
          <w:sz w:val="18"/>
          <w:szCs w:val="18"/>
        </w:rPr>
        <w:tab/>
      </w:r>
      <w:r w:rsidRPr="00B93968">
        <w:rPr>
          <w:sz w:val="18"/>
          <w:szCs w:val="18"/>
        </w:rPr>
        <w:t xml:space="preserve"> Zdroj: MF SR</w:t>
      </w:r>
    </w:p>
    <w:p w14:paraId="09C594EB" w14:textId="3739519C" w:rsidR="00151F12" w:rsidRPr="00D715AF" w:rsidRDefault="00151F12" w:rsidP="001665F3">
      <w:pPr>
        <w:suppressAutoHyphens/>
        <w:spacing w:line="240" w:lineRule="auto"/>
        <w:rPr>
          <w:color w:val="000000" w:themeColor="text1"/>
          <w:sz w:val="24"/>
          <w:szCs w:val="24"/>
        </w:rPr>
      </w:pPr>
      <w:r w:rsidRPr="00D715AF">
        <w:rPr>
          <w:color w:val="000000" w:themeColor="text1"/>
          <w:sz w:val="24"/>
          <w:szCs w:val="24"/>
        </w:rPr>
        <w:t>Okrem kapitol, prostredníctvom ktorých sa každoročne financujú kompetencie preneseného výkonu štátnej správy (najmä Ministerstvo vnútra SR) sa u väčšiny kapitol štátneho rozpočtu schvaľoval rozpočet nulový alebo veľmi nízky oproti dosiahnutej skutočnosti. Je to z dôvodu, že schválený rozpočet prípadne rozpis uvoľnených zdrojov z minulých rokov sa nerozpisuje na konkrétne položky rozpočtu a presun prostriedkov na základe reálne predložených žiadostí o platbu sa zohľadňuje až v upravenom rozpočte. Uvedené malo za následok zvýšenie rozpočtu oproti schválenému rozpočtu väčšinou v celkovej sume skutočného čerpania.</w:t>
      </w:r>
    </w:p>
    <w:p w14:paraId="23218D42" w14:textId="77777777" w:rsidR="005C4AEB" w:rsidRDefault="005C4AEB">
      <w:pPr>
        <w:spacing w:after="160" w:line="259" w:lineRule="auto"/>
        <w:jc w:val="left"/>
        <w:rPr>
          <w:color w:val="000000" w:themeColor="text1"/>
          <w:sz w:val="24"/>
          <w:szCs w:val="24"/>
        </w:rPr>
      </w:pPr>
      <w:r>
        <w:rPr>
          <w:color w:val="000000" w:themeColor="text1"/>
          <w:sz w:val="24"/>
          <w:szCs w:val="24"/>
        </w:rPr>
        <w:br w:type="page"/>
      </w:r>
    </w:p>
    <w:p w14:paraId="7BEEA10F" w14:textId="4B916020" w:rsidR="00151F12" w:rsidRDefault="00151F12" w:rsidP="001665F3">
      <w:pPr>
        <w:suppressAutoHyphens/>
        <w:spacing w:line="240" w:lineRule="auto"/>
        <w:rPr>
          <w:color w:val="000000" w:themeColor="text1"/>
        </w:rPr>
      </w:pPr>
      <w:r w:rsidRPr="00D715AF">
        <w:rPr>
          <w:color w:val="000000" w:themeColor="text1"/>
          <w:sz w:val="24"/>
          <w:szCs w:val="24"/>
        </w:rPr>
        <w:t>Prehľad o poskytnutých kapitálových grantoch a transferoch podľa kapitol</w:t>
      </w:r>
    </w:p>
    <w:tbl>
      <w:tblPr>
        <w:tblW w:w="9771" w:type="dxa"/>
        <w:jc w:val="center"/>
        <w:tblLayout w:type="fixed"/>
        <w:tblCellMar>
          <w:left w:w="70" w:type="dxa"/>
          <w:right w:w="70" w:type="dxa"/>
        </w:tblCellMar>
        <w:tblLook w:val="04A0" w:firstRow="1" w:lastRow="0" w:firstColumn="1" w:lastColumn="0" w:noHBand="0" w:noVBand="1"/>
      </w:tblPr>
      <w:tblGrid>
        <w:gridCol w:w="3710"/>
        <w:gridCol w:w="851"/>
        <w:gridCol w:w="850"/>
        <w:gridCol w:w="851"/>
        <w:gridCol w:w="850"/>
        <w:gridCol w:w="993"/>
        <w:gridCol w:w="850"/>
        <w:gridCol w:w="816"/>
      </w:tblGrid>
      <w:tr w:rsidR="00151F12" w:rsidRPr="00070A80" w14:paraId="24774846" w14:textId="77777777" w:rsidTr="00070A80">
        <w:trPr>
          <w:trHeight w:val="330"/>
          <w:jc w:val="center"/>
        </w:trPr>
        <w:tc>
          <w:tcPr>
            <w:tcW w:w="8955" w:type="dxa"/>
            <w:gridSpan w:val="7"/>
            <w:tcBorders>
              <w:top w:val="nil"/>
              <w:left w:val="single" w:sz="8" w:space="0" w:color="auto"/>
              <w:bottom w:val="nil"/>
              <w:right w:val="nil"/>
            </w:tcBorders>
            <w:shd w:val="clear" w:color="000000" w:fill="000000"/>
            <w:vAlign w:val="center"/>
            <w:hideMark/>
          </w:tcPr>
          <w:p w14:paraId="0CA5A44E" w14:textId="77777777" w:rsidR="00151F12" w:rsidRPr="00070A80" w:rsidRDefault="00151F12" w:rsidP="00151F12">
            <w:pPr>
              <w:spacing w:after="0" w:line="240" w:lineRule="auto"/>
              <w:rPr>
                <w:rFonts w:eastAsia="Times New Roman" w:cs="Times New Roman"/>
                <w:b/>
                <w:bCs/>
                <w:color w:val="FFFFFF"/>
                <w:sz w:val="18"/>
                <w:szCs w:val="18"/>
                <w:lang w:eastAsia="sk-SK"/>
              </w:rPr>
            </w:pPr>
            <w:bookmarkStart w:id="54" w:name="RANGE!B9:I25"/>
            <w:r w:rsidRPr="00070A80">
              <w:rPr>
                <w:rFonts w:eastAsia="Times New Roman" w:cs="Times New Roman"/>
                <w:b/>
                <w:bCs/>
                <w:color w:val="FFFFFF"/>
                <w:sz w:val="18"/>
                <w:szCs w:val="18"/>
                <w:lang w:eastAsia="sk-SK"/>
              </w:rPr>
              <w:t>Kapitálové granty a transfery poskytnuté obciam podľa kapitol ŠR</w:t>
            </w:r>
            <w:bookmarkEnd w:id="54"/>
          </w:p>
        </w:tc>
        <w:tc>
          <w:tcPr>
            <w:tcW w:w="816" w:type="dxa"/>
            <w:tcBorders>
              <w:top w:val="nil"/>
              <w:left w:val="nil"/>
              <w:bottom w:val="nil"/>
              <w:right w:val="nil"/>
            </w:tcBorders>
            <w:shd w:val="clear" w:color="000000" w:fill="000000"/>
            <w:noWrap/>
            <w:vAlign w:val="center"/>
            <w:hideMark/>
          </w:tcPr>
          <w:p w14:paraId="499CEE85" w14:textId="77777777" w:rsidR="00151F12" w:rsidRPr="00070A80" w:rsidRDefault="00151F12" w:rsidP="00870B05">
            <w:pPr>
              <w:spacing w:after="0" w:line="240" w:lineRule="auto"/>
              <w:rPr>
                <w:rFonts w:eastAsia="Times New Roman" w:cs="Times New Roman"/>
                <w:b/>
                <w:bCs/>
                <w:color w:val="FFFFFF"/>
                <w:sz w:val="18"/>
                <w:szCs w:val="18"/>
                <w:lang w:eastAsia="sk-SK"/>
              </w:rPr>
            </w:pPr>
            <w:r w:rsidRPr="00070A80">
              <w:rPr>
                <w:rFonts w:eastAsia="Times New Roman" w:cs="Times New Roman"/>
                <w:b/>
                <w:bCs/>
                <w:color w:val="FFFFFF"/>
                <w:sz w:val="18"/>
                <w:szCs w:val="18"/>
                <w:lang w:eastAsia="sk-SK"/>
              </w:rPr>
              <w:t>v tis. eur</w:t>
            </w:r>
          </w:p>
        </w:tc>
      </w:tr>
      <w:tr w:rsidR="00151F12" w:rsidRPr="00070A80" w14:paraId="30B1EF14" w14:textId="77777777" w:rsidTr="00070A80">
        <w:trPr>
          <w:trHeight w:val="330"/>
          <w:jc w:val="center"/>
        </w:trPr>
        <w:tc>
          <w:tcPr>
            <w:tcW w:w="3710" w:type="dxa"/>
            <w:tcBorders>
              <w:top w:val="nil"/>
              <w:left w:val="nil"/>
              <w:bottom w:val="nil"/>
              <w:right w:val="nil"/>
            </w:tcBorders>
            <w:shd w:val="clear" w:color="000000" w:fill="BFBFBF"/>
            <w:vAlign w:val="center"/>
            <w:hideMark/>
          </w:tcPr>
          <w:p w14:paraId="0F1C64BF" w14:textId="77777777" w:rsidR="00151F12" w:rsidRPr="00070A80" w:rsidRDefault="00151F12" w:rsidP="00151F12">
            <w:pPr>
              <w:spacing w:after="0" w:line="240" w:lineRule="auto"/>
              <w:rPr>
                <w:rFonts w:eastAsia="Times New Roman" w:cs="Times New Roman"/>
                <w:b/>
                <w:bCs/>
                <w:color w:val="FFFFFF"/>
                <w:sz w:val="18"/>
                <w:szCs w:val="18"/>
                <w:lang w:eastAsia="sk-SK"/>
              </w:rPr>
            </w:pPr>
            <w:r w:rsidRPr="00070A80">
              <w:rPr>
                <w:rFonts w:eastAsia="Times New Roman" w:cs="Times New Roman"/>
                <w:b/>
                <w:bCs/>
                <w:color w:val="FFFFFF"/>
                <w:sz w:val="18"/>
                <w:szCs w:val="18"/>
                <w:lang w:eastAsia="sk-SK"/>
              </w:rPr>
              <w:t> </w:t>
            </w:r>
          </w:p>
        </w:tc>
        <w:tc>
          <w:tcPr>
            <w:tcW w:w="1701" w:type="dxa"/>
            <w:gridSpan w:val="2"/>
            <w:tcBorders>
              <w:top w:val="nil"/>
              <w:left w:val="nil"/>
              <w:bottom w:val="nil"/>
              <w:right w:val="nil"/>
            </w:tcBorders>
            <w:shd w:val="clear" w:color="000000" w:fill="BFBFBF"/>
            <w:vAlign w:val="center"/>
            <w:hideMark/>
          </w:tcPr>
          <w:p w14:paraId="4F51B985" w14:textId="77777777" w:rsidR="00151F12" w:rsidRPr="00070A80" w:rsidRDefault="00151F12" w:rsidP="00151F12">
            <w:pPr>
              <w:spacing w:after="0" w:line="240" w:lineRule="auto"/>
              <w:jc w:val="center"/>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Skutočnosť</w:t>
            </w:r>
          </w:p>
        </w:tc>
        <w:tc>
          <w:tcPr>
            <w:tcW w:w="851" w:type="dxa"/>
            <w:tcBorders>
              <w:top w:val="nil"/>
              <w:left w:val="nil"/>
              <w:bottom w:val="nil"/>
              <w:right w:val="nil"/>
            </w:tcBorders>
            <w:shd w:val="clear" w:color="000000" w:fill="BFBFBF"/>
            <w:vAlign w:val="center"/>
            <w:hideMark/>
          </w:tcPr>
          <w:p w14:paraId="0D46FDC2" w14:textId="77777777" w:rsidR="00151F12" w:rsidRPr="00070A80" w:rsidRDefault="00151F12" w:rsidP="00151F12">
            <w:pPr>
              <w:spacing w:after="0" w:line="240" w:lineRule="auto"/>
              <w:jc w:val="center"/>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Rozpočet</w:t>
            </w:r>
          </w:p>
        </w:tc>
        <w:tc>
          <w:tcPr>
            <w:tcW w:w="1843" w:type="dxa"/>
            <w:gridSpan w:val="2"/>
            <w:tcBorders>
              <w:top w:val="nil"/>
              <w:left w:val="nil"/>
              <w:bottom w:val="nil"/>
              <w:right w:val="nil"/>
            </w:tcBorders>
            <w:shd w:val="clear" w:color="000000" w:fill="BFBFBF"/>
            <w:vAlign w:val="center"/>
            <w:hideMark/>
          </w:tcPr>
          <w:p w14:paraId="7781B82A" w14:textId="77777777" w:rsidR="00151F12" w:rsidRPr="00070A80" w:rsidRDefault="00151F12" w:rsidP="00151F12">
            <w:pPr>
              <w:spacing w:after="0" w:line="240" w:lineRule="auto"/>
              <w:jc w:val="center"/>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Skutočnosť</w:t>
            </w:r>
          </w:p>
        </w:tc>
        <w:tc>
          <w:tcPr>
            <w:tcW w:w="1666" w:type="dxa"/>
            <w:gridSpan w:val="2"/>
            <w:tcBorders>
              <w:top w:val="nil"/>
              <w:left w:val="nil"/>
              <w:bottom w:val="nil"/>
              <w:right w:val="nil"/>
            </w:tcBorders>
            <w:shd w:val="clear" w:color="000000" w:fill="BFBFBF"/>
            <w:vAlign w:val="center"/>
            <w:hideMark/>
          </w:tcPr>
          <w:p w14:paraId="46832868" w14:textId="77777777" w:rsidR="00151F12" w:rsidRPr="00070A80" w:rsidRDefault="00151F12" w:rsidP="00151F12">
            <w:pPr>
              <w:spacing w:after="0" w:line="240" w:lineRule="auto"/>
              <w:jc w:val="center"/>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Rozdiel</w:t>
            </w:r>
          </w:p>
        </w:tc>
      </w:tr>
      <w:tr w:rsidR="00870B05" w:rsidRPr="00070A80" w14:paraId="6A3E971D" w14:textId="77777777" w:rsidTr="00070A80">
        <w:trPr>
          <w:trHeight w:val="510"/>
          <w:jc w:val="center"/>
        </w:trPr>
        <w:tc>
          <w:tcPr>
            <w:tcW w:w="3710" w:type="dxa"/>
            <w:tcBorders>
              <w:top w:val="nil"/>
              <w:left w:val="nil"/>
              <w:bottom w:val="nil"/>
              <w:right w:val="nil"/>
            </w:tcBorders>
            <w:shd w:val="clear" w:color="000000" w:fill="BFBFBF"/>
            <w:vAlign w:val="center"/>
            <w:hideMark/>
          </w:tcPr>
          <w:p w14:paraId="352DAF2D" w14:textId="77777777" w:rsidR="00151F12" w:rsidRPr="00070A80" w:rsidRDefault="00151F12" w:rsidP="00151F12">
            <w:pPr>
              <w:spacing w:after="0" w:line="240" w:lineRule="auto"/>
              <w:jc w:val="center"/>
              <w:rPr>
                <w:rFonts w:eastAsia="Times New Roman" w:cs="Times New Roman"/>
                <w:b/>
                <w:bCs/>
                <w:sz w:val="18"/>
                <w:szCs w:val="18"/>
                <w:lang w:eastAsia="sk-SK"/>
              </w:rPr>
            </w:pPr>
            <w:r w:rsidRPr="00070A80">
              <w:rPr>
                <w:rFonts w:eastAsia="Times New Roman" w:cs="Times New Roman"/>
                <w:b/>
                <w:bCs/>
                <w:sz w:val="18"/>
                <w:szCs w:val="18"/>
                <w:lang w:eastAsia="sk-SK"/>
              </w:rPr>
              <w:t> </w:t>
            </w:r>
          </w:p>
        </w:tc>
        <w:tc>
          <w:tcPr>
            <w:tcW w:w="851" w:type="dxa"/>
            <w:tcBorders>
              <w:top w:val="nil"/>
              <w:left w:val="nil"/>
              <w:bottom w:val="nil"/>
              <w:right w:val="nil"/>
            </w:tcBorders>
            <w:shd w:val="clear" w:color="000000" w:fill="BFBFBF"/>
            <w:vAlign w:val="center"/>
            <w:hideMark/>
          </w:tcPr>
          <w:p w14:paraId="34A6342E" w14:textId="77777777" w:rsidR="00151F12" w:rsidRPr="00070A80" w:rsidRDefault="00151F12" w:rsidP="00151F12">
            <w:pPr>
              <w:spacing w:after="0" w:line="240" w:lineRule="auto"/>
              <w:jc w:val="center"/>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2018</w:t>
            </w:r>
          </w:p>
        </w:tc>
        <w:tc>
          <w:tcPr>
            <w:tcW w:w="850" w:type="dxa"/>
            <w:tcBorders>
              <w:top w:val="nil"/>
              <w:left w:val="nil"/>
              <w:bottom w:val="nil"/>
              <w:right w:val="nil"/>
            </w:tcBorders>
            <w:shd w:val="clear" w:color="000000" w:fill="BFBFBF"/>
            <w:vAlign w:val="center"/>
            <w:hideMark/>
          </w:tcPr>
          <w:p w14:paraId="672C9297" w14:textId="77777777" w:rsidR="00151F12" w:rsidRPr="00070A80" w:rsidRDefault="00151F12" w:rsidP="00151F12">
            <w:pPr>
              <w:spacing w:after="0" w:line="240" w:lineRule="auto"/>
              <w:jc w:val="center"/>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2019</w:t>
            </w:r>
          </w:p>
        </w:tc>
        <w:tc>
          <w:tcPr>
            <w:tcW w:w="851" w:type="dxa"/>
            <w:tcBorders>
              <w:top w:val="nil"/>
              <w:left w:val="nil"/>
              <w:bottom w:val="nil"/>
              <w:right w:val="nil"/>
            </w:tcBorders>
            <w:shd w:val="clear" w:color="000000" w:fill="BFBFBF"/>
            <w:vAlign w:val="center"/>
            <w:hideMark/>
          </w:tcPr>
          <w:p w14:paraId="34008871" w14:textId="77777777" w:rsidR="00151F12" w:rsidRPr="00070A80" w:rsidRDefault="00151F12" w:rsidP="00151F12">
            <w:pPr>
              <w:spacing w:after="0" w:line="240" w:lineRule="auto"/>
              <w:jc w:val="center"/>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2020</w:t>
            </w:r>
          </w:p>
        </w:tc>
        <w:tc>
          <w:tcPr>
            <w:tcW w:w="850" w:type="dxa"/>
            <w:tcBorders>
              <w:top w:val="nil"/>
              <w:left w:val="nil"/>
              <w:bottom w:val="nil"/>
              <w:right w:val="nil"/>
            </w:tcBorders>
            <w:shd w:val="clear" w:color="000000" w:fill="BFBFBF"/>
            <w:vAlign w:val="center"/>
            <w:hideMark/>
          </w:tcPr>
          <w:p w14:paraId="137F2BDF" w14:textId="77777777" w:rsidR="00151F12" w:rsidRPr="00070A80" w:rsidRDefault="00151F12" w:rsidP="00151F12">
            <w:pPr>
              <w:spacing w:after="0" w:line="240" w:lineRule="auto"/>
              <w:jc w:val="center"/>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2020</w:t>
            </w:r>
          </w:p>
        </w:tc>
        <w:tc>
          <w:tcPr>
            <w:tcW w:w="993" w:type="dxa"/>
            <w:tcBorders>
              <w:top w:val="nil"/>
              <w:left w:val="nil"/>
              <w:bottom w:val="nil"/>
              <w:right w:val="nil"/>
            </w:tcBorders>
            <w:shd w:val="clear" w:color="000000" w:fill="BFBFBF"/>
            <w:vAlign w:val="center"/>
            <w:hideMark/>
          </w:tcPr>
          <w:p w14:paraId="10C2D52B" w14:textId="77777777" w:rsidR="00151F12" w:rsidRPr="00070A80" w:rsidRDefault="00151F12" w:rsidP="00151F12">
            <w:pPr>
              <w:spacing w:after="0" w:line="240" w:lineRule="auto"/>
              <w:jc w:val="center"/>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z toho: zdroj 111</w:t>
            </w:r>
            <w:r w:rsidRPr="00070A80">
              <w:rPr>
                <w:rFonts w:ascii="Arial Narrow" w:eastAsia="Times New Roman" w:hAnsi="Arial Narrow" w:cs="Times New Roman"/>
                <w:b/>
                <w:bCs/>
                <w:color w:val="000000"/>
                <w:sz w:val="18"/>
                <w:szCs w:val="18"/>
                <w:lang w:eastAsia="sk-SK"/>
              </w:rPr>
              <w:t>*</w:t>
            </w:r>
          </w:p>
        </w:tc>
        <w:tc>
          <w:tcPr>
            <w:tcW w:w="850" w:type="dxa"/>
            <w:tcBorders>
              <w:top w:val="nil"/>
              <w:left w:val="nil"/>
              <w:bottom w:val="nil"/>
              <w:right w:val="nil"/>
            </w:tcBorders>
            <w:shd w:val="clear" w:color="000000" w:fill="BFBFBF"/>
            <w:vAlign w:val="center"/>
            <w:hideMark/>
          </w:tcPr>
          <w:p w14:paraId="1D788D38" w14:textId="77777777" w:rsidR="00151F12" w:rsidRPr="00070A80" w:rsidRDefault="00151F12" w:rsidP="00151F12">
            <w:pPr>
              <w:spacing w:after="0" w:line="240" w:lineRule="auto"/>
              <w:jc w:val="center"/>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 xml:space="preserve"> v tis. eur</w:t>
            </w:r>
          </w:p>
        </w:tc>
        <w:tc>
          <w:tcPr>
            <w:tcW w:w="816" w:type="dxa"/>
            <w:tcBorders>
              <w:top w:val="nil"/>
              <w:left w:val="nil"/>
              <w:bottom w:val="nil"/>
              <w:right w:val="nil"/>
            </w:tcBorders>
            <w:shd w:val="clear" w:color="000000" w:fill="BFBFBF"/>
            <w:vAlign w:val="center"/>
            <w:hideMark/>
          </w:tcPr>
          <w:p w14:paraId="34CE5278" w14:textId="77777777" w:rsidR="00151F12" w:rsidRPr="00070A80" w:rsidRDefault="00151F12" w:rsidP="00151F12">
            <w:pPr>
              <w:spacing w:after="0" w:line="240" w:lineRule="auto"/>
              <w:jc w:val="center"/>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v %</w:t>
            </w:r>
          </w:p>
        </w:tc>
      </w:tr>
      <w:tr w:rsidR="00870B05" w:rsidRPr="00070A80" w14:paraId="4B3CED6A" w14:textId="77777777" w:rsidTr="00070A80">
        <w:trPr>
          <w:trHeight w:val="345"/>
          <w:jc w:val="center"/>
        </w:trPr>
        <w:tc>
          <w:tcPr>
            <w:tcW w:w="3710" w:type="dxa"/>
            <w:tcBorders>
              <w:top w:val="nil"/>
              <w:left w:val="nil"/>
              <w:bottom w:val="single" w:sz="8" w:space="0" w:color="auto"/>
              <w:right w:val="nil"/>
            </w:tcBorders>
            <w:shd w:val="clear" w:color="000000" w:fill="BFBFBF"/>
            <w:vAlign w:val="center"/>
            <w:hideMark/>
          </w:tcPr>
          <w:p w14:paraId="7E382559" w14:textId="77777777" w:rsidR="00151F12" w:rsidRPr="00070A80" w:rsidRDefault="00151F12" w:rsidP="00151F12">
            <w:pPr>
              <w:spacing w:after="0" w:line="240" w:lineRule="auto"/>
              <w:rPr>
                <w:rFonts w:eastAsia="Times New Roman" w:cs="Times New Roman"/>
                <w:b/>
                <w:bCs/>
                <w:color w:val="FFFFFF"/>
                <w:sz w:val="18"/>
                <w:szCs w:val="18"/>
                <w:lang w:eastAsia="sk-SK"/>
              </w:rPr>
            </w:pPr>
            <w:r w:rsidRPr="00070A80">
              <w:rPr>
                <w:rFonts w:eastAsia="Times New Roman" w:cs="Times New Roman"/>
                <w:b/>
                <w:bCs/>
                <w:color w:val="FFFFFF"/>
                <w:sz w:val="18"/>
                <w:szCs w:val="18"/>
                <w:lang w:eastAsia="sk-SK"/>
              </w:rPr>
              <w:t> </w:t>
            </w:r>
          </w:p>
        </w:tc>
        <w:tc>
          <w:tcPr>
            <w:tcW w:w="851" w:type="dxa"/>
            <w:tcBorders>
              <w:top w:val="nil"/>
              <w:left w:val="nil"/>
              <w:bottom w:val="single" w:sz="8" w:space="0" w:color="auto"/>
              <w:right w:val="nil"/>
            </w:tcBorders>
            <w:shd w:val="clear" w:color="000000" w:fill="BFBFBF"/>
            <w:vAlign w:val="center"/>
            <w:hideMark/>
          </w:tcPr>
          <w:p w14:paraId="4AFDC42A" w14:textId="77777777" w:rsidR="00151F12" w:rsidRPr="00070A80" w:rsidRDefault="00151F12" w:rsidP="00151F12">
            <w:pPr>
              <w:spacing w:after="0" w:line="240" w:lineRule="auto"/>
              <w:jc w:val="center"/>
              <w:rPr>
                <w:rFonts w:eastAsia="Times New Roman" w:cs="Times New Roman"/>
                <w:b/>
                <w:bCs/>
                <w:sz w:val="18"/>
                <w:szCs w:val="18"/>
                <w:lang w:eastAsia="sk-SK"/>
              </w:rPr>
            </w:pPr>
            <w:r w:rsidRPr="00070A80">
              <w:rPr>
                <w:rFonts w:eastAsia="Times New Roman" w:cs="Times New Roman"/>
                <w:b/>
                <w:bCs/>
                <w:sz w:val="18"/>
                <w:szCs w:val="18"/>
                <w:lang w:eastAsia="sk-SK"/>
              </w:rPr>
              <w:t>1</w:t>
            </w:r>
          </w:p>
        </w:tc>
        <w:tc>
          <w:tcPr>
            <w:tcW w:w="850" w:type="dxa"/>
            <w:tcBorders>
              <w:top w:val="nil"/>
              <w:left w:val="nil"/>
              <w:bottom w:val="single" w:sz="8" w:space="0" w:color="auto"/>
              <w:right w:val="nil"/>
            </w:tcBorders>
            <w:shd w:val="clear" w:color="000000" w:fill="BFBFBF"/>
            <w:vAlign w:val="center"/>
            <w:hideMark/>
          </w:tcPr>
          <w:p w14:paraId="045B4A6A" w14:textId="77777777" w:rsidR="00151F12" w:rsidRPr="00070A80" w:rsidRDefault="00151F12" w:rsidP="00151F12">
            <w:pPr>
              <w:spacing w:after="0" w:line="240" w:lineRule="auto"/>
              <w:jc w:val="center"/>
              <w:rPr>
                <w:rFonts w:eastAsia="Times New Roman" w:cs="Times New Roman"/>
                <w:b/>
                <w:bCs/>
                <w:sz w:val="18"/>
                <w:szCs w:val="18"/>
                <w:lang w:eastAsia="sk-SK"/>
              </w:rPr>
            </w:pPr>
            <w:r w:rsidRPr="00070A80">
              <w:rPr>
                <w:rFonts w:eastAsia="Times New Roman" w:cs="Times New Roman"/>
                <w:b/>
                <w:bCs/>
                <w:sz w:val="18"/>
                <w:szCs w:val="18"/>
                <w:lang w:eastAsia="sk-SK"/>
              </w:rPr>
              <w:t>2</w:t>
            </w:r>
          </w:p>
        </w:tc>
        <w:tc>
          <w:tcPr>
            <w:tcW w:w="851" w:type="dxa"/>
            <w:tcBorders>
              <w:top w:val="nil"/>
              <w:left w:val="nil"/>
              <w:bottom w:val="single" w:sz="8" w:space="0" w:color="auto"/>
              <w:right w:val="nil"/>
            </w:tcBorders>
            <w:shd w:val="clear" w:color="000000" w:fill="BFBFBF"/>
            <w:vAlign w:val="center"/>
            <w:hideMark/>
          </w:tcPr>
          <w:p w14:paraId="3D427F1A" w14:textId="77777777" w:rsidR="00151F12" w:rsidRPr="00070A80" w:rsidRDefault="00151F12" w:rsidP="00151F12">
            <w:pPr>
              <w:spacing w:after="0" w:line="240" w:lineRule="auto"/>
              <w:jc w:val="center"/>
              <w:rPr>
                <w:rFonts w:eastAsia="Times New Roman" w:cs="Times New Roman"/>
                <w:b/>
                <w:bCs/>
                <w:sz w:val="18"/>
                <w:szCs w:val="18"/>
                <w:lang w:eastAsia="sk-SK"/>
              </w:rPr>
            </w:pPr>
            <w:r w:rsidRPr="00070A80">
              <w:rPr>
                <w:rFonts w:eastAsia="Times New Roman" w:cs="Times New Roman"/>
                <w:b/>
                <w:bCs/>
                <w:sz w:val="18"/>
                <w:szCs w:val="18"/>
                <w:lang w:eastAsia="sk-SK"/>
              </w:rPr>
              <w:t>3</w:t>
            </w:r>
          </w:p>
        </w:tc>
        <w:tc>
          <w:tcPr>
            <w:tcW w:w="850" w:type="dxa"/>
            <w:tcBorders>
              <w:top w:val="nil"/>
              <w:left w:val="nil"/>
              <w:bottom w:val="single" w:sz="8" w:space="0" w:color="auto"/>
              <w:right w:val="nil"/>
            </w:tcBorders>
            <w:shd w:val="clear" w:color="000000" w:fill="BFBFBF"/>
            <w:vAlign w:val="center"/>
            <w:hideMark/>
          </w:tcPr>
          <w:p w14:paraId="3B12E3EF" w14:textId="77777777" w:rsidR="00151F12" w:rsidRPr="00070A80" w:rsidRDefault="00151F12" w:rsidP="00151F12">
            <w:pPr>
              <w:spacing w:after="0" w:line="240" w:lineRule="auto"/>
              <w:jc w:val="center"/>
              <w:rPr>
                <w:rFonts w:eastAsia="Times New Roman" w:cs="Times New Roman"/>
                <w:b/>
                <w:bCs/>
                <w:sz w:val="18"/>
                <w:szCs w:val="18"/>
                <w:lang w:eastAsia="sk-SK"/>
              </w:rPr>
            </w:pPr>
            <w:r w:rsidRPr="00070A80">
              <w:rPr>
                <w:rFonts w:eastAsia="Times New Roman" w:cs="Times New Roman"/>
                <w:b/>
                <w:bCs/>
                <w:sz w:val="18"/>
                <w:szCs w:val="18"/>
                <w:lang w:eastAsia="sk-SK"/>
              </w:rPr>
              <w:t>4</w:t>
            </w:r>
          </w:p>
        </w:tc>
        <w:tc>
          <w:tcPr>
            <w:tcW w:w="993" w:type="dxa"/>
            <w:tcBorders>
              <w:top w:val="nil"/>
              <w:left w:val="nil"/>
              <w:bottom w:val="single" w:sz="8" w:space="0" w:color="auto"/>
              <w:right w:val="nil"/>
            </w:tcBorders>
            <w:shd w:val="clear" w:color="000000" w:fill="BFBFBF"/>
            <w:vAlign w:val="center"/>
            <w:hideMark/>
          </w:tcPr>
          <w:p w14:paraId="5EBF1958" w14:textId="77777777" w:rsidR="00151F12" w:rsidRPr="00070A80" w:rsidRDefault="00151F12" w:rsidP="00151F12">
            <w:pPr>
              <w:spacing w:after="0" w:line="240" w:lineRule="auto"/>
              <w:jc w:val="center"/>
              <w:rPr>
                <w:rFonts w:eastAsia="Times New Roman" w:cs="Times New Roman"/>
                <w:b/>
                <w:bCs/>
                <w:sz w:val="18"/>
                <w:szCs w:val="18"/>
                <w:lang w:eastAsia="sk-SK"/>
              </w:rPr>
            </w:pPr>
            <w:r w:rsidRPr="00070A80">
              <w:rPr>
                <w:rFonts w:eastAsia="Times New Roman" w:cs="Times New Roman"/>
                <w:b/>
                <w:bCs/>
                <w:sz w:val="18"/>
                <w:szCs w:val="18"/>
                <w:lang w:eastAsia="sk-SK"/>
              </w:rPr>
              <w:t>5</w:t>
            </w:r>
          </w:p>
        </w:tc>
        <w:tc>
          <w:tcPr>
            <w:tcW w:w="850" w:type="dxa"/>
            <w:tcBorders>
              <w:top w:val="nil"/>
              <w:left w:val="nil"/>
              <w:bottom w:val="single" w:sz="8" w:space="0" w:color="auto"/>
              <w:right w:val="nil"/>
            </w:tcBorders>
            <w:shd w:val="clear" w:color="000000" w:fill="BFBFBF"/>
            <w:vAlign w:val="center"/>
            <w:hideMark/>
          </w:tcPr>
          <w:p w14:paraId="643C36C8" w14:textId="77777777" w:rsidR="00151F12" w:rsidRPr="00070A80" w:rsidRDefault="00151F12" w:rsidP="00151F12">
            <w:pPr>
              <w:spacing w:after="0" w:line="240" w:lineRule="auto"/>
              <w:jc w:val="center"/>
              <w:rPr>
                <w:rFonts w:eastAsia="Times New Roman" w:cs="Times New Roman"/>
                <w:b/>
                <w:bCs/>
                <w:sz w:val="18"/>
                <w:szCs w:val="18"/>
                <w:lang w:eastAsia="sk-SK"/>
              </w:rPr>
            </w:pPr>
            <w:r w:rsidRPr="00070A80">
              <w:rPr>
                <w:rFonts w:eastAsia="Times New Roman" w:cs="Times New Roman"/>
                <w:b/>
                <w:bCs/>
                <w:sz w:val="18"/>
                <w:szCs w:val="18"/>
                <w:lang w:eastAsia="sk-SK"/>
              </w:rPr>
              <w:t>6=4-3</w:t>
            </w:r>
          </w:p>
        </w:tc>
        <w:tc>
          <w:tcPr>
            <w:tcW w:w="816" w:type="dxa"/>
            <w:tcBorders>
              <w:top w:val="nil"/>
              <w:left w:val="nil"/>
              <w:bottom w:val="single" w:sz="8" w:space="0" w:color="auto"/>
              <w:right w:val="nil"/>
            </w:tcBorders>
            <w:shd w:val="clear" w:color="000000" w:fill="BFBFBF"/>
            <w:vAlign w:val="center"/>
            <w:hideMark/>
          </w:tcPr>
          <w:p w14:paraId="750E937C" w14:textId="77777777" w:rsidR="00151F12" w:rsidRPr="00070A80" w:rsidRDefault="00151F12" w:rsidP="00151F12">
            <w:pPr>
              <w:spacing w:after="0" w:line="240" w:lineRule="auto"/>
              <w:jc w:val="center"/>
              <w:rPr>
                <w:rFonts w:eastAsia="Times New Roman" w:cs="Times New Roman"/>
                <w:b/>
                <w:bCs/>
                <w:sz w:val="18"/>
                <w:szCs w:val="18"/>
                <w:lang w:eastAsia="sk-SK"/>
              </w:rPr>
            </w:pPr>
            <w:r w:rsidRPr="00070A80">
              <w:rPr>
                <w:rFonts w:eastAsia="Times New Roman" w:cs="Times New Roman"/>
                <w:b/>
                <w:bCs/>
                <w:sz w:val="18"/>
                <w:szCs w:val="18"/>
                <w:lang w:eastAsia="sk-SK"/>
              </w:rPr>
              <w:t>7=4-3</w:t>
            </w:r>
          </w:p>
        </w:tc>
      </w:tr>
      <w:tr w:rsidR="00870B05" w:rsidRPr="00070A80" w14:paraId="43C83F98" w14:textId="77777777" w:rsidTr="00070A80">
        <w:trPr>
          <w:trHeight w:val="330"/>
          <w:jc w:val="center"/>
        </w:trPr>
        <w:tc>
          <w:tcPr>
            <w:tcW w:w="3710" w:type="dxa"/>
            <w:tcBorders>
              <w:top w:val="nil"/>
              <w:left w:val="nil"/>
              <w:bottom w:val="nil"/>
              <w:right w:val="nil"/>
            </w:tcBorders>
            <w:shd w:val="clear" w:color="000000" w:fill="FFFFFF"/>
            <w:vAlign w:val="center"/>
            <w:hideMark/>
          </w:tcPr>
          <w:p w14:paraId="7B6CCE9A" w14:textId="77777777" w:rsidR="00151F12" w:rsidRPr="00070A80" w:rsidRDefault="00151F12" w:rsidP="00151F12">
            <w:pPr>
              <w:spacing w:after="0" w:line="240" w:lineRule="auto"/>
              <w:rPr>
                <w:rFonts w:eastAsia="Times New Roman" w:cs="Times New Roman"/>
                <w:color w:val="000000"/>
                <w:sz w:val="18"/>
                <w:szCs w:val="18"/>
                <w:lang w:eastAsia="sk-SK"/>
              </w:rPr>
            </w:pPr>
            <w:r w:rsidRPr="00070A80">
              <w:rPr>
                <w:rFonts w:eastAsia="Times New Roman" w:cs="Times New Roman"/>
                <w:color w:val="000000"/>
                <w:sz w:val="18"/>
                <w:szCs w:val="18"/>
                <w:lang w:eastAsia="sk-SK"/>
              </w:rPr>
              <w:t>Ministerstvo životného prostredia SR</w:t>
            </w:r>
          </w:p>
        </w:tc>
        <w:tc>
          <w:tcPr>
            <w:tcW w:w="851" w:type="dxa"/>
            <w:tcBorders>
              <w:top w:val="nil"/>
              <w:left w:val="nil"/>
              <w:bottom w:val="nil"/>
              <w:right w:val="nil"/>
            </w:tcBorders>
            <w:shd w:val="clear" w:color="000000" w:fill="FFFFFF"/>
            <w:noWrap/>
            <w:vAlign w:val="center"/>
            <w:hideMark/>
          </w:tcPr>
          <w:p w14:paraId="183ED4A5"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125 965</w:t>
            </w:r>
          </w:p>
        </w:tc>
        <w:tc>
          <w:tcPr>
            <w:tcW w:w="850" w:type="dxa"/>
            <w:tcBorders>
              <w:top w:val="nil"/>
              <w:left w:val="nil"/>
              <w:bottom w:val="nil"/>
              <w:right w:val="nil"/>
            </w:tcBorders>
            <w:shd w:val="clear" w:color="000000" w:fill="FFFFFF"/>
            <w:noWrap/>
            <w:vAlign w:val="center"/>
            <w:hideMark/>
          </w:tcPr>
          <w:p w14:paraId="3D708A98"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95 490</w:t>
            </w:r>
          </w:p>
        </w:tc>
        <w:tc>
          <w:tcPr>
            <w:tcW w:w="851" w:type="dxa"/>
            <w:tcBorders>
              <w:top w:val="nil"/>
              <w:left w:val="nil"/>
              <w:bottom w:val="nil"/>
              <w:right w:val="nil"/>
            </w:tcBorders>
            <w:shd w:val="clear" w:color="000000" w:fill="FFFFFF"/>
            <w:noWrap/>
            <w:vAlign w:val="center"/>
            <w:hideMark/>
          </w:tcPr>
          <w:p w14:paraId="2181BC17"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0</w:t>
            </w:r>
          </w:p>
        </w:tc>
        <w:tc>
          <w:tcPr>
            <w:tcW w:w="850" w:type="dxa"/>
            <w:tcBorders>
              <w:top w:val="nil"/>
              <w:left w:val="nil"/>
              <w:bottom w:val="nil"/>
              <w:right w:val="nil"/>
            </w:tcBorders>
            <w:shd w:val="clear" w:color="000000" w:fill="BFBFBF"/>
            <w:noWrap/>
            <w:vAlign w:val="center"/>
            <w:hideMark/>
          </w:tcPr>
          <w:p w14:paraId="09199427"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92 159</w:t>
            </w:r>
          </w:p>
        </w:tc>
        <w:tc>
          <w:tcPr>
            <w:tcW w:w="993" w:type="dxa"/>
            <w:tcBorders>
              <w:top w:val="nil"/>
              <w:left w:val="nil"/>
              <w:bottom w:val="nil"/>
              <w:right w:val="nil"/>
            </w:tcBorders>
            <w:shd w:val="clear" w:color="000000" w:fill="BFBFBF"/>
            <w:noWrap/>
            <w:vAlign w:val="center"/>
            <w:hideMark/>
          </w:tcPr>
          <w:p w14:paraId="35554ED2"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0</w:t>
            </w:r>
          </w:p>
        </w:tc>
        <w:tc>
          <w:tcPr>
            <w:tcW w:w="850" w:type="dxa"/>
            <w:tcBorders>
              <w:top w:val="nil"/>
              <w:left w:val="nil"/>
              <w:bottom w:val="nil"/>
              <w:right w:val="nil"/>
            </w:tcBorders>
            <w:shd w:val="clear" w:color="000000" w:fill="FFFFFF"/>
            <w:vAlign w:val="center"/>
            <w:hideMark/>
          </w:tcPr>
          <w:p w14:paraId="24BDA00A"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92 159</w:t>
            </w:r>
          </w:p>
        </w:tc>
        <w:tc>
          <w:tcPr>
            <w:tcW w:w="816" w:type="dxa"/>
            <w:tcBorders>
              <w:top w:val="nil"/>
              <w:left w:val="nil"/>
              <w:bottom w:val="nil"/>
              <w:right w:val="nil"/>
            </w:tcBorders>
            <w:shd w:val="clear" w:color="000000" w:fill="FFFFFF"/>
            <w:vAlign w:val="center"/>
            <w:hideMark/>
          </w:tcPr>
          <w:p w14:paraId="19B159A1"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x</w:t>
            </w:r>
          </w:p>
        </w:tc>
      </w:tr>
      <w:tr w:rsidR="00870B05" w:rsidRPr="00070A80" w14:paraId="6421C139" w14:textId="77777777" w:rsidTr="00070A80">
        <w:trPr>
          <w:trHeight w:val="330"/>
          <w:jc w:val="center"/>
        </w:trPr>
        <w:tc>
          <w:tcPr>
            <w:tcW w:w="3710" w:type="dxa"/>
            <w:tcBorders>
              <w:top w:val="nil"/>
              <w:left w:val="nil"/>
              <w:bottom w:val="nil"/>
              <w:right w:val="nil"/>
            </w:tcBorders>
            <w:shd w:val="clear" w:color="000000" w:fill="FFFFFF"/>
            <w:vAlign w:val="center"/>
            <w:hideMark/>
          </w:tcPr>
          <w:p w14:paraId="743C7658" w14:textId="77777777" w:rsidR="00151F12" w:rsidRPr="00070A80" w:rsidRDefault="00151F12" w:rsidP="00151F12">
            <w:pPr>
              <w:spacing w:after="0" w:line="240" w:lineRule="auto"/>
              <w:rPr>
                <w:rFonts w:eastAsia="Times New Roman" w:cs="Times New Roman"/>
                <w:color w:val="000000"/>
                <w:sz w:val="18"/>
                <w:szCs w:val="18"/>
                <w:lang w:eastAsia="sk-SK"/>
              </w:rPr>
            </w:pPr>
            <w:r w:rsidRPr="00070A80">
              <w:rPr>
                <w:rFonts w:eastAsia="Times New Roman" w:cs="Times New Roman"/>
                <w:color w:val="000000"/>
                <w:sz w:val="18"/>
                <w:szCs w:val="18"/>
                <w:lang w:eastAsia="sk-SK"/>
              </w:rPr>
              <w:t xml:space="preserve">Ministerstvo </w:t>
            </w:r>
            <w:proofErr w:type="spellStart"/>
            <w:r w:rsidRPr="00070A80">
              <w:rPr>
                <w:rFonts w:eastAsia="Times New Roman" w:cs="Times New Roman"/>
                <w:color w:val="000000"/>
                <w:sz w:val="18"/>
                <w:szCs w:val="18"/>
                <w:lang w:eastAsia="sk-SK"/>
              </w:rPr>
              <w:t>pôdohospod</w:t>
            </w:r>
            <w:proofErr w:type="spellEnd"/>
            <w:r w:rsidRPr="00070A80">
              <w:rPr>
                <w:rFonts w:eastAsia="Times New Roman" w:cs="Times New Roman"/>
                <w:color w:val="000000"/>
                <w:sz w:val="18"/>
                <w:szCs w:val="18"/>
                <w:lang w:eastAsia="sk-SK"/>
              </w:rPr>
              <w:t>. a rozvoja vidieka SR</w:t>
            </w:r>
          </w:p>
        </w:tc>
        <w:tc>
          <w:tcPr>
            <w:tcW w:w="851" w:type="dxa"/>
            <w:tcBorders>
              <w:top w:val="nil"/>
              <w:left w:val="nil"/>
              <w:bottom w:val="nil"/>
              <w:right w:val="nil"/>
            </w:tcBorders>
            <w:shd w:val="clear" w:color="000000" w:fill="FFFFFF"/>
            <w:noWrap/>
            <w:vAlign w:val="center"/>
            <w:hideMark/>
          </w:tcPr>
          <w:p w14:paraId="4E94FCCA"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44 046</w:t>
            </w:r>
          </w:p>
        </w:tc>
        <w:tc>
          <w:tcPr>
            <w:tcW w:w="850" w:type="dxa"/>
            <w:tcBorders>
              <w:top w:val="nil"/>
              <w:left w:val="nil"/>
              <w:bottom w:val="nil"/>
              <w:right w:val="nil"/>
            </w:tcBorders>
            <w:shd w:val="clear" w:color="000000" w:fill="FFFFFF"/>
            <w:noWrap/>
            <w:vAlign w:val="center"/>
            <w:hideMark/>
          </w:tcPr>
          <w:p w14:paraId="44B29DBC"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83 197</w:t>
            </w:r>
          </w:p>
        </w:tc>
        <w:tc>
          <w:tcPr>
            <w:tcW w:w="851" w:type="dxa"/>
            <w:tcBorders>
              <w:top w:val="nil"/>
              <w:left w:val="nil"/>
              <w:bottom w:val="nil"/>
              <w:right w:val="nil"/>
            </w:tcBorders>
            <w:shd w:val="clear" w:color="000000" w:fill="FFFFFF"/>
            <w:noWrap/>
            <w:vAlign w:val="center"/>
            <w:hideMark/>
          </w:tcPr>
          <w:p w14:paraId="135A12A9"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0</w:t>
            </w:r>
          </w:p>
        </w:tc>
        <w:tc>
          <w:tcPr>
            <w:tcW w:w="850" w:type="dxa"/>
            <w:tcBorders>
              <w:top w:val="nil"/>
              <w:left w:val="nil"/>
              <w:bottom w:val="nil"/>
              <w:right w:val="nil"/>
            </w:tcBorders>
            <w:shd w:val="clear" w:color="000000" w:fill="BFBFBF"/>
            <w:noWrap/>
            <w:vAlign w:val="center"/>
            <w:hideMark/>
          </w:tcPr>
          <w:p w14:paraId="018A9D50"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68 784</w:t>
            </w:r>
          </w:p>
        </w:tc>
        <w:tc>
          <w:tcPr>
            <w:tcW w:w="993" w:type="dxa"/>
            <w:tcBorders>
              <w:top w:val="nil"/>
              <w:left w:val="nil"/>
              <w:bottom w:val="nil"/>
              <w:right w:val="nil"/>
            </w:tcBorders>
            <w:shd w:val="clear" w:color="000000" w:fill="BFBFBF"/>
            <w:noWrap/>
            <w:vAlign w:val="center"/>
            <w:hideMark/>
          </w:tcPr>
          <w:p w14:paraId="3DC1B737"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0</w:t>
            </w:r>
          </w:p>
        </w:tc>
        <w:tc>
          <w:tcPr>
            <w:tcW w:w="850" w:type="dxa"/>
            <w:tcBorders>
              <w:top w:val="nil"/>
              <w:left w:val="nil"/>
              <w:bottom w:val="nil"/>
              <w:right w:val="nil"/>
            </w:tcBorders>
            <w:shd w:val="clear" w:color="000000" w:fill="FFFFFF"/>
            <w:vAlign w:val="center"/>
            <w:hideMark/>
          </w:tcPr>
          <w:p w14:paraId="4B9E98D1"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68 784</w:t>
            </w:r>
          </w:p>
        </w:tc>
        <w:tc>
          <w:tcPr>
            <w:tcW w:w="816" w:type="dxa"/>
            <w:tcBorders>
              <w:top w:val="nil"/>
              <w:left w:val="nil"/>
              <w:bottom w:val="nil"/>
              <w:right w:val="nil"/>
            </w:tcBorders>
            <w:shd w:val="clear" w:color="000000" w:fill="FFFFFF"/>
            <w:vAlign w:val="center"/>
            <w:hideMark/>
          </w:tcPr>
          <w:p w14:paraId="1E595515"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x</w:t>
            </w:r>
          </w:p>
        </w:tc>
      </w:tr>
      <w:tr w:rsidR="00870B05" w:rsidRPr="00070A80" w14:paraId="7E101D05" w14:textId="77777777" w:rsidTr="00070A80">
        <w:trPr>
          <w:trHeight w:val="330"/>
          <w:jc w:val="center"/>
        </w:trPr>
        <w:tc>
          <w:tcPr>
            <w:tcW w:w="3710" w:type="dxa"/>
            <w:tcBorders>
              <w:top w:val="nil"/>
              <w:left w:val="nil"/>
              <w:bottom w:val="nil"/>
              <w:right w:val="nil"/>
            </w:tcBorders>
            <w:shd w:val="clear" w:color="000000" w:fill="FFFFFF"/>
            <w:vAlign w:val="center"/>
            <w:hideMark/>
          </w:tcPr>
          <w:p w14:paraId="7DFE8331" w14:textId="039F11A1" w:rsidR="00151F12" w:rsidRPr="00070A80" w:rsidRDefault="00151F12" w:rsidP="00E00F3E">
            <w:pPr>
              <w:spacing w:after="0" w:line="240" w:lineRule="auto"/>
              <w:rPr>
                <w:rFonts w:eastAsia="Times New Roman" w:cs="Times New Roman"/>
                <w:color w:val="000000"/>
                <w:sz w:val="18"/>
                <w:szCs w:val="18"/>
                <w:lang w:eastAsia="sk-SK"/>
              </w:rPr>
            </w:pPr>
            <w:r w:rsidRPr="00070A80">
              <w:rPr>
                <w:rFonts w:eastAsia="Times New Roman" w:cs="Times New Roman"/>
                <w:color w:val="000000"/>
                <w:sz w:val="18"/>
                <w:szCs w:val="18"/>
                <w:lang w:eastAsia="sk-SK"/>
              </w:rPr>
              <w:t>Ministerstvo dopravy a výstavby SR</w:t>
            </w:r>
          </w:p>
        </w:tc>
        <w:tc>
          <w:tcPr>
            <w:tcW w:w="851" w:type="dxa"/>
            <w:tcBorders>
              <w:top w:val="nil"/>
              <w:left w:val="nil"/>
              <w:bottom w:val="nil"/>
              <w:right w:val="nil"/>
            </w:tcBorders>
            <w:shd w:val="clear" w:color="000000" w:fill="FFFFFF"/>
            <w:noWrap/>
            <w:vAlign w:val="center"/>
            <w:hideMark/>
          </w:tcPr>
          <w:p w14:paraId="27FBE6B0"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62 704</w:t>
            </w:r>
          </w:p>
        </w:tc>
        <w:tc>
          <w:tcPr>
            <w:tcW w:w="850" w:type="dxa"/>
            <w:tcBorders>
              <w:top w:val="nil"/>
              <w:left w:val="nil"/>
              <w:bottom w:val="nil"/>
              <w:right w:val="nil"/>
            </w:tcBorders>
            <w:shd w:val="clear" w:color="000000" w:fill="FFFFFF"/>
            <w:noWrap/>
            <w:vAlign w:val="center"/>
            <w:hideMark/>
          </w:tcPr>
          <w:p w14:paraId="05CDB965"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33 304</w:t>
            </w:r>
          </w:p>
        </w:tc>
        <w:tc>
          <w:tcPr>
            <w:tcW w:w="851" w:type="dxa"/>
            <w:tcBorders>
              <w:top w:val="nil"/>
              <w:left w:val="nil"/>
              <w:bottom w:val="nil"/>
              <w:right w:val="nil"/>
            </w:tcBorders>
            <w:shd w:val="clear" w:color="000000" w:fill="FFFFFF"/>
            <w:noWrap/>
            <w:vAlign w:val="center"/>
            <w:hideMark/>
          </w:tcPr>
          <w:p w14:paraId="404E07CC"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0</w:t>
            </w:r>
          </w:p>
        </w:tc>
        <w:tc>
          <w:tcPr>
            <w:tcW w:w="850" w:type="dxa"/>
            <w:tcBorders>
              <w:top w:val="nil"/>
              <w:left w:val="nil"/>
              <w:bottom w:val="nil"/>
              <w:right w:val="nil"/>
            </w:tcBorders>
            <w:shd w:val="clear" w:color="000000" w:fill="BFBFBF"/>
            <w:noWrap/>
            <w:vAlign w:val="center"/>
            <w:hideMark/>
          </w:tcPr>
          <w:p w14:paraId="0C8DE81E"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58 586</w:t>
            </w:r>
          </w:p>
        </w:tc>
        <w:tc>
          <w:tcPr>
            <w:tcW w:w="993" w:type="dxa"/>
            <w:tcBorders>
              <w:top w:val="nil"/>
              <w:left w:val="nil"/>
              <w:bottom w:val="nil"/>
              <w:right w:val="nil"/>
            </w:tcBorders>
            <w:shd w:val="clear" w:color="000000" w:fill="BFBFBF"/>
            <w:noWrap/>
            <w:vAlign w:val="center"/>
            <w:hideMark/>
          </w:tcPr>
          <w:p w14:paraId="3B0E738E"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12 109</w:t>
            </w:r>
          </w:p>
        </w:tc>
        <w:tc>
          <w:tcPr>
            <w:tcW w:w="850" w:type="dxa"/>
            <w:tcBorders>
              <w:top w:val="nil"/>
              <w:left w:val="nil"/>
              <w:bottom w:val="nil"/>
              <w:right w:val="nil"/>
            </w:tcBorders>
            <w:shd w:val="clear" w:color="000000" w:fill="FFFFFF"/>
            <w:vAlign w:val="center"/>
            <w:hideMark/>
          </w:tcPr>
          <w:p w14:paraId="3473F251"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58 586</w:t>
            </w:r>
          </w:p>
        </w:tc>
        <w:tc>
          <w:tcPr>
            <w:tcW w:w="816" w:type="dxa"/>
            <w:tcBorders>
              <w:top w:val="nil"/>
              <w:left w:val="nil"/>
              <w:bottom w:val="nil"/>
              <w:right w:val="nil"/>
            </w:tcBorders>
            <w:shd w:val="clear" w:color="000000" w:fill="FFFFFF"/>
            <w:vAlign w:val="center"/>
            <w:hideMark/>
          </w:tcPr>
          <w:p w14:paraId="5F23DE32"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x</w:t>
            </w:r>
          </w:p>
        </w:tc>
      </w:tr>
      <w:tr w:rsidR="00870B05" w:rsidRPr="00070A80" w14:paraId="6CCA25CB" w14:textId="77777777" w:rsidTr="00070A80">
        <w:trPr>
          <w:trHeight w:val="330"/>
          <w:jc w:val="center"/>
        </w:trPr>
        <w:tc>
          <w:tcPr>
            <w:tcW w:w="3710" w:type="dxa"/>
            <w:tcBorders>
              <w:top w:val="nil"/>
              <w:left w:val="nil"/>
              <w:bottom w:val="nil"/>
              <w:right w:val="nil"/>
            </w:tcBorders>
            <w:shd w:val="clear" w:color="000000" w:fill="FFFFFF"/>
            <w:vAlign w:val="center"/>
            <w:hideMark/>
          </w:tcPr>
          <w:p w14:paraId="4B36487E" w14:textId="77777777" w:rsidR="00151F12" w:rsidRPr="00070A80" w:rsidRDefault="00151F12" w:rsidP="00151F12">
            <w:pPr>
              <w:spacing w:after="0" w:line="240" w:lineRule="auto"/>
              <w:rPr>
                <w:rFonts w:eastAsia="Times New Roman" w:cs="Times New Roman"/>
                <w:color w:val="000000"/>
                <w:sz w:val="18"/>
                <w:szCs w:val="18"/>
                <w:lang w:eastAsia="sk-SK"/>
              </w:rPr>
            </w:pPr>
            <w:r w:rsidRPr="00070A80">
              <w:rPr>
                <w:rFonts w:eastAsia="Times New Roman" w:cs="Times New Roman"/>
                <w:color w:val="000000"/>
                <w:sz w:val="18"/>
                <w:szCs w:val="18"/>
                <w:lang w:eastAsia="sk-SK"/>
              </w:rPr>
              <w:t xml:space="preserve">Ministerstvo investícií, reg. rozvoja a infor.SR </w:t>
            </w:r>
          </w:p>
        </w:tc>
        <w:tc>
          <w:tcPr>
            <w:tcW w:w="851" w:type="dxa"/>
            <w:tcBorders>
              <w:top w:val="nil"/>
              <w:left w:val="nil"/>
              <w:bottom w:val="nil"/>
              <w:right w:val="nil"/>
            </w:tcBorders>
            <w:shd w:val="clear" w:color="000000" w:fill="FFFFFF"/>
            <w:noWrap/>
            <w:vAlign w:val="center"/>
            <w:hideMark/>
          </w:tcPr>
          <w:p w14:paraId="7C87F764"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0</w:t>
            </w:r>
          </w:p>
        </w:tc>
        <w:tc>
          <w:tcPr>
            <w:tcW w:w="850" w:type="dxa"/>
            <w:tcBorders>
              <w:top w:val="nil"/>
              <w:left w:val="nil"/>
              <w:bottom w:val="nil"/>
              <w:right w:val="nil"/>
            </w:tcBorders>
            <w:shd w:val="clear" w:color="000000" w:fill="FFFFFF"/>
            <w:noWrap/>
            <w:vAlign w:val="center"/>
            <w:hideMark/>
          </w:tcPr>
          <w:p w14:paraId="072AAD92"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4 829</w:t>
            </w:r>
          </w:p>
        </w:tc>
        <w:tc>
          <w:tcPr>
            <w:tcW w:w="851" w:type="dxa"/>
            <w:tcBorders>
              <w:top w:val="nil"/>
              <w:left w:val="nil"/>
              <w:bottom w:val="nil"/>
              <w:right w:val="nil"/>
            </w:tcBorders>
            <w:shd w:val="clear" w:color="000000" w:fill="FFFFFF"/>
            <w:noWrap/>
            <w:vAlign w:val="center"/>
            <w:hideMark/>
          </w:tcPr>
          <w:p w14:paraId="0B515F6F"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0</w:t>
            </w:r>
          </w:p>
        </w:tc>
        <w:tc>
          <w:tcPr>
            <w:tcW w:w="850" w:type="dxa"/>
            <w:tcBorders>
              <w:top w:val="nil"/>
              <w:left w:val="nil"/>
              <w:bottom w:val="nil"/>
              <w:right w:val="nil"/>
            </w:tcBorders>
            <w:shd w:val="clear" w:color="000000" w:fill="BFBFBF"/>
            <w:noWrap/>
            <w:vAlign w:val="center"/>
            <w:hideMark/>
          </w:tcPr>
          <w:p w14:paraId="4BC6CAF0"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40 892</w:t>
            </w:r>
          </w:p>
        </w:tc>
        <w:tc>
          <w:tcPr>
            <w:tcW w:w="993" w:type="dxa"/>
            <w:tcBorders>
              <w:top w:val="nil"/>
              <w:left w:val="nil"/>
              <w:bottom w:val="nil"/>
              <w:right w:val="nil"/>
            </w:tcBorders>
            <w:shd w:val="clear" w:color="000000" w:fill="BFBFBF"/>
            <w:noWrap/>
            <w:vAlign w:val="center"/>
            <w:hideMark/>
          </w:tcPr>
          <w:p w14:paraId="24643A12"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3 786</w:t>
            </w:r>
          </w:p>
        </w:tc>
        <w:tc>
          <w:tcPr>
            <w:tcW w:w="850" w:type="dxa"/>
            <w:tcBorders>
              <w:top w:val="nil"/>
              <w:left w:val="nil"/>
              <w:bottom w:val="nil"/>
              <w:right w:val="nil"/>
            </w:tcBorders>
            <w:shd w:val="clear" w:color="000000" w:fill="FFFFFF"/>
            <w:vAlign w:val="center"/>
            <w:hideMark/>
          </w:tcPr>
          <w:p w14:paraId="3414990F"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40 892</w:t>
            </w:r>
          </w:p>
        </w:tc>
        <w:tc>
          <w:tcPr>
            <w:tcW w:w="816" w:type="dxa"/>
            <w:tcBorders>
              <w:top w:val="nil"/>
              <w:left w:val="nil"/>
              <w:bottom w:val="nil"/>
              <w:right w:val="nil"/>
            </w:tcBorders>
            <w:shd w:val="clear" w:color="000000" w:fill="FFFFFF"/>
            <w:vAlign w:val="center"/>
            <w:hideMark/>
          </w:tcPr>
          <w:p w14:paraId="1540AA18"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x</w:t>
            </w:r>
          </w:p>
        </w:tc>
      </w:tr>
      <w:tr w:rsidR="00870B05" w:rsidRPr="00070A80" w14:paraId="1A001124" w14:textId="77777777" w:rsidTr="00070A80">
        <w:trPr>
          <w:trHeight w:val="390"/>
          <w:jc w:val="center"/>
        </w:trPr>
        <w:tc>
          <w:tcPr>
            <w:tcW w:w="3710" w:type="dxa"/>
            <w:tcBorders>
              <w:top w:val="nil"/>
              <w:left w:val="nil"/>
              <w:bottom w:val="nil"/>
              <w:right w:val="nil"/>
            </w:tcBorders>
            <w:shd w:val="clear" w:color="000000" w:fill="FFFFFF"/>
            <w:noWrap/>
            <w:vAlign w:val="center"/>
            <w:hideMark/>
          </w:tcPr>
          <w:p w14:paraId="2218DD1A" w14:textId="77777777" w:rsidR="00151F12" w:rsidRPr="00070A80" w:rsidRDefault="00151F12" w:rsidP="00151F12">
            <w:pPr>
              <w:spacing w:after="0" w:line="240" w:lineRule="auto"/>
              <w:rPr>
                <w:rFonts w:eastAsia="Times New Roman" w:cs="Times New Roman"/>
                <w:color w:val="000000"/>
                <w:sz w:val="18"/>
                <w:szCs w:val="18"/>
                <w:lang w:eastAsia="sk-SK"/>
              </w:rPr>
            </w:pPr>
            <w:r w:rsidRPr="00070A80">
              <w:rPr>
                <w:rFonts w:eastAsia="Times New Roman" w:cs="Times New Roman"/>
                <w:color w:val="000000"/>
                <w:sz w:val="18"/>
                <w:szCs w:val="18"/>
                <w:lang w:eastAsia="sk-SK"/>
              </w:rPr>
              <w:t>Všeobecná pokladničná správa</w:t>
            </w:r>
          </w:p>
        </w:tc>
        <w:tc>
          <w:tcPr>
            <w:tcW w:w="851" w:type="dxa"/>
            <w:tcBorders>
              <w:top w:val="nil"/>
              <w:left w:val="nil"/>
              <w:bottom w:val="nil"/>
              <w:right w:val="nil"/>
            </w:tcBorders>
            <w:shd w:val="clear" w:color="000000" w:fill="FFFFFF"/>
            <w:noWrap/>
            <w:vAlign w:val="center"/>
            <w:hideMark/>
          </w:tcPr>
          <w:p w14:paraId="2EE6E7C4"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39 115</w:t>
            </w:r>
          </w:p>
        </w:tc>
        <w:tc>
          <w:tcPr>
            <w:tcW w:w="850" w:type="dxa"/>
            <w:tcBorders>
              <w:top w:val="nil"/>
              <w:left w:val="nil"/>
              <w:bottom w:val="nil"/>
              <w:right w:val="nil"/>
            </w:tcBorders>
            <w:shd w:val="clear" w:color="000000" w:fill="FFFFFF"/>
            <w:noWrap/>
            <w:vAlign w:val="center"/>
            <w:hideMark/>
          </w:tcPr>
          <w:p w14:paraId="6B562251"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50 120</w:t>
            </w:r>
          </w:p>
        </w:tc>
        <w:tc>
          <w:tcPr>
            <w:tcW w:w="851" w:type="dxa"/>
            <w:tcBorders>
              <w:top w:val="nil"/>
              <w:left w:val="nil"/>
              <w:bottom w:val="nil"/>
              <w:right w:val="nil"/>
            </w:tcBorders>
            <w:shd w:val="clear" w:color="000000" w:fill="FFFFFF"/>
            <w:noWrap/>
            <w:vAlign w:val="center"/>
            <w:hideMark/>
          </w:tcPr>
          <w:p w14:paraId="626F6EA4"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18 080</w:t>
            </w:r>
          </w:p>
        </w:tc>
        <w:tc>
          <w:tcPr>
            <w:tcW w:w="850" w:type="dxa"/>
            <w:tcBorders>
              <w:top w:val="nil"/>
              <w:left w:val="nil"/>
              <w:bottom w:val="nil"/>
              <w:right w:val="nil"/>
            </w:tcBorders>
            <w:shd w:val="clear" w:color="000000" w:fill="BFBFBF"/>
            <w:noWrap/>
            <w:vAlign w:val="center"/>
            <w:hideMark/>
          </w:tcPr>
          <w:p w14:paraId="67F47519"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29 539</w:t>
            </w:r>
          </w:p>
        </w:tc>
        <w:tc>
          <w:tcPr>
            <w:tcW w:w="993" w:type="dxa"/>
            <w:tcBorders>
              <w:top w:val="nil"/>
              <w:left w:val="nil"/>
              <w:bottom w:val="nil"/>
              <w:right w:val="nil"/>
            </w:tcBorders>
            <w:shd w:val="clear" w:color="000000" w:fill="BFBFBF"/>
            <w:noWrap/>
            <w:vAlign w:val="center"/>
            <w:hideMark/>
          </w:tcPr>
          <w:p w14:paraId="283D3306"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16 546</w:t>
            </w:r>
          </w:p>
        </w:tc>
        <w:tc>
          <w:tcPr>
            <w:tcW w:w="850" w:type="dxa"/>
            <w:tcBorders>
              <w:top w:val="nil"/>
              <w:left w:val="nil"/>
              <w:bottom w:val="nil"/>
              <w:right w:val="nil"/>
            </w:tcBorders>
            <w:shd w:val="clear" w:color="000000" w:fill="FFFFFF"/>
            <w:vAlign w:val="center"/>
            <w:hideMark/>
          </w:tcPr>
          <w:p w14:paraId="4EDB3915"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11 459</w:t>
            </w:r>
          </w:p>
        </w:tc>
        <w:tc>
          <w:tcPr>
            <w:tcW w:w="816" w:type="dxa"/>
            <w:tcBorders>
              <w:top w:val="nil"/>
              <w:left w:val="nil"/>
              <w:bottom w:val="nil"/>
              <w:right w:val="nil"/>
            </w:tcBorders>
            <w:shd w:val="clear" w:color="000000" w:fill="FFFFFF"/>
            <w:vAlign w:val="center"/>
            <w:hideMark/>
          </w:tcPr>
          <w:p w14:paraId="4B29B48B"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63,4</w:t>
            </w:r>
          </w:p>
        </w:tc>
      </w:tr>
      <w:tr w:rsidR="00870B05" w:rsidRPr="00070A80" w14:paraId="64183177" w14:textId="77777777" w:rsidTr="00070A80">
        <w:trPr>
          <w:trHeight w:val="390"/>
          <w:jc w:val="center"/>
        </w:trPr>
        <w:tc>
          <w:tcPr>
            <w:tcW w:w="3710" w:type="dxa"/>
            <w:tcBorders>
              <w:top w:val="nil"/>
              <w:left w:val="nil"/>
              <w:bottom w:val="nil"/>
              <w:right w:val="nil"/>
            </w:tcBorders>
            <w:shd w:val="clear" w:color="000000" w:fill="FFFFFF"/>
            <w:noWrap/>
            <w:vAlign w:val="center"/>
            <w:hideMark/>
          </w:tcPr>
          <w:p w14:paraId="0F9E40FD" w14:textId="77777777" w:rsidR="00151F12" w:rsidRPr="00070A80" w:rsidRDefault="00151F12" w:rsidP="00151F12">
            <w:pPr>
              <w:spacing w:after="0" w:line="240" w:lineRule="auto"/>
              <w:rPr>
                <w:rFonts w:eastAsia="Times New Roman" w:cs="Times New Roman"/>
                <w:color w:val="000000"/>
                <w:sz w:val="18"/>
                <w:szCs w:val="18"/>
                <w:lang w:eastAsia="sk-SK"/>
              </w:rPr>
            </w:pPr>
            <w:r w:rsidRPr="00070A80">
              <w:rPr>
                <w:rFonts w:eastAsia="Times New Roman" w:cs="Times New Roman"/>
                <w:color w:val="000000"/>
                <w:sz w:val="18"/>
                <w:szCs w:val="18"/>
                <w:lang w:eastAsia="sk-SK"/>
              </w:rPr>
              <w:t>Ministerstvo vnútra SR</w:t>
            </w:r>
          </w:p>
        </w:tc>
        <w:tc>
          <w:tcPr>
            <w:tcW w:w="851" w:type="dxa"/>
            <w:tcBorders>
              <w:top w:val="nil"/>
              <w:left w:val="nil"/>
              <w:bottom w:val="nil"/>
              <w:right w:val="nil"/>
            </w:tcBorders>
            <w:shd w:val="clear" w:color="000000" w:fill="FFFFFF"/>
            <w:noWrap/>
            <w:vAlign w:val="center"/>
            <w:hideMark/>
          </w:tcPr>
          <w:p w14:paraId="452FD226"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51 361</w:t>
            </w:r>
          </w:p>
        </w:tc>
        <w:tc>
          <w:tcPr>
            <w:tcW w:w="850" w:type="dxa"/>
            <w:tcBorders>
              <w:top w:val="nil"/>
              <w:left w:val="nil"/>
              <w:bottom w:val="nil"/>
              <w:right w:val="nil"/>
            </w:tcBorders>
            <w:shd w:val="clear" w:color="000000" w:fill="FFFFFF"/>
            <w:noWrap/>
            <w:vAlign w:val="center"/>
            <w:hideMark/>
          </w:tcPr>
          <w:p w14:paraId="569DC409"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23 650</w:t>
            </w:r>
          </w:p>
        </w:tc>
        <w:tc>
          <w:tcPr>
            <w:tcW w:w="851" w:type="dxa"/>
            <w:tcBorders>
              <w:top w:val="nil"/>
              <w:left w:val="nil"/>
              <w:bottom w:val="nil"/>
              <w:right w:val="nil"/>
            </w:tcBorders>
            <w:shd w:val="clear" w:color="000000" w:fill="FFFFFF"/>
            <w:noWrap/>
            <w:vAlign w:val="center"/>
            <w:hideMark/>
          </w:tcPr>
          <w:p w14:paraId="7D766B00"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0</w:t>
            </w:r>
          </w:p>
        </w:tc>
        <w:tc>
          <w:tcPr>
            <w:tcW w:w="850" w:type="dxa"/>
            <w:tcBorders>
              <w:top w:val="nil"/>
              <w:left w:val="nil"/>
              <w:bottom w:val="nil"/>
              <w:right w:val="nil"/>
            </w:tcBorders>
            <w:shd w:val="clear" w:color="000000" w:fill="BFBFBF"/>
            <w:noWrap/>
            <w:vAlign w:val="center"/>
            <w:hideMark/>
          </w:tcPr>
          <w:p w14:paraId="42F3E81E"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26 758</w:t>
            </w:r>
          </w:p>
        </w:tc>
        <w:tc>
          <w:tcPr>
            <w:tcW w:w="993" w:type="dxa"/>
            <w:tcBorders>
              <w:top w:val="nil"/>
              <w:left w:val="nil"/>
              <w:bottom w:val="nil"/>
              <w:right w:val="nil"/>
            </w:tcBorders>
            <w:shd w:val="clear" w:color="000000" w:fill="BFBFBF"/>
            <w:noWrap/>
            <w:vAlign w:val="center"/>
            <w:hideMark/>
          </w:tcPr>
          <w:p w14:paraId="221CB053"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15 151</w:t>
            </w:r>
          </w:p>
        </w:tc>
        <w:tc>
          <w:tcPr>
            <w:tcW w:w="850" w:type="dxa"/>
            <w:tcBorders>
              <w:top w:val="nil"/>
              <w:left w:val="nil"/>
              <w:bottom w:val="nil"/>
              <w:right w:val="nil"/>
            </w:tcBorders>
            <w:shd w:val="clear" w:color="000000" w:fill="FFFFFF"/>
            <w:vAlign w:val="center"/>
            <w:hideMark/>
          </w:tcPr>
          <w:p w14:paraId="41A5296F"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26 758</w:t>
            </w:r>
          </w:p>
        </w:tc>
        <w:tc>
          <w:tcPr>
            <w:tcW w:w="816" w:type="dxa"/>
            <w:tcBorders>
              <w:top w:val="nil"/>
              <w:left w:val="nil"/>
              <w:bottom w:val="nil"/>
              <w:right w:val="nil"/>
            </w:tcBorders>
            <w:shd w:val="clear" w:color="000000" w:fill="FFFFFF"/>
            <w:vAlign w:val="center"/>
            <w:hideMark/>
          </w:tcPr>
          <w:p w14:paraId="78335386"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x</w:t>
            </w:r>
          </w:p>
        </w:tc>
      </w:tr>
      <w:tr w:rsidR="00870B05" w:rsidRPr="00070A80" w14:paraId="475FD306" w14:textId="77777777" w:rsidTr="00070A80">
        <w:trPr>
          <w:trHeight w:val="330"/>
          <w:jc w:val="center"/>
        </w:trPr>
        <w:tc>
          <w:tcPr>
            <w:tcW w:w="3710" w:type="dxa"/>
            <w:tcBorders>
              <w:top w:val="nil"/>
              <w:left w:val="nil"/>
              <w:bottom w:val="nil"/>
              <w:right w:val="nil"/>
            </w:tcBorders>
            <w:shd w:val="clear" w:color="000000" w:fill="FFFFFF"/>
            <w:vAlign w:val="center"/>
            <w:hideMark/>
          </w:tcPr>
          <w:p w14:paraId="0F2E90C1" w14:textId="77777777" w:rsidR="00151F12" w:rsidRPr="00070A80" w:rsidRDefault="00151F12" w:rsidP="00151F12">
            <w:pPr>
              <w:spacing w:after="0" w:line="240" w:lineRule="auto"/>
              <w:rPr>
                <w:rFonts w:eastAsia="Times New Roman" w:cs="Times New Roman"/>
                <w:color w:val="000000"/>
                <w:sz w:val="18"/>
                <w:szCs w:val="18"/>
                <w:lang w:eastAsia="sk-SK"/>
              </w:rPr>
            </w:pPr>
            <w:r w:rsidRPr="00070A80">
              <w:rPr>
                <w:rFonts w:eastAsia="Times New Roman" w:cs="Times New Roman"/>
                <w:color w:val="000000"/>
                <w:sz w:val="18"/>
                <w:szCs w:val="18"/>
                <w:lang w:eastAsia="sk-SK"/>
              </w:rPr>
              <w:t>Ministerstvo hospodárstva SR</w:t>
            </w:r>
          </w:p>
        </w:tc>
        <w:tc>
          <w:tcPr>
            <w:tcW w:w="851" w:type="dxa"/>
            <w:tcBorders>
              <w:top w:val="nil"/>
              <w:left w:val="nil"/>
              <w:bottom w:val="nil"/>
              <w:right w:val="nil"/>
            </w:tcBorders>
            <w:shd w:val="clear" w:color="000000" w:fill="FFFFFF"/>
            <w:noWrap/>
            <w:vAlign w:val="center"/>
            <w:hideMark/>
          </w:tcPr>
          <w:p w14:paraId="0873EC85"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5 157</w:t>
            </w:r>
          </w:p>
        </w:tc>
        <w:tc>
          <w:tcPr>
            <w:tcW w:w="850" w:type="dxa"/>
            <w:tcBorders>
              <w:top w:val="nil"/>
              <w:left w:val="nil"/>
              <w:bottom w:val="nil"/>
              <w:right w:val="nil"/>
            </w:tcBorders>
            <w:shd w:val="clear" w:color="000000" w:fill="FFFFFF"/>
            <w:noWrap/>
            <w:vAlign w:val="center"/>
            <w:hideMark/>
          </w:tcPr>
          <w:p w14:paraId="62456AD4"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2 389</w:t>
            </w:r>
          </w:p>
        </w:tc>
        <w:tc>
          <w:tcPr>
            <w:tcW w:w="851" w:type="dxa"/>
            <w:tcBorders>
              <w:top w:val="nil"/>
              <w:left w:val="nil"/>
              <w:bottom w:val="nil"/>
              <w:right w:val="nil"/>
            </w:tcBorders>
            <w:shd w:val="clear" w:color="000000" w:fill="FFFFFF"/>
            <w:noWrap/>
            <w:vAlign w:val="center"/>
            <w:hideMark/>
          </w:tcPr>
          <w:p w14:paraId="1C202FEB"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0</w:t>
            </w:r>
          </w:p>
        </w:tc>
        <w:tc>
          <w:tcPr>
            <w:tcW w:w="850" w:type="dxa"/>
            <w:tcBorders>
              <w:top w:val="nil"/>
              <w:left w:val="nil"/>
              <w:bottom w:val="nil"/>
              <w:right w:val="nil"/>
            </w:tcBorders>
            <w:shd w:val="clear" w:color="000000" w:fill="BFBFBF"/>
            <w:noWrap/>
            <w:vAlign w:val="center"/>
            <w:hideMark/>
          </w:tcPr>
          <w:p w14:paraId="19DB093D"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4 524</w:t>
            </w:r>
          </w:p>
        </w:tc>
        <w:tc>
          <w:tcPr>
            <w:tcW w:w="993" w:type="dxa"/>
            <w:tcBorders>
              <w:top w:val="nil"/>
              <w:left w:val="nil"/>
              <w:bottom w:val="nil"/>
              <w:right w:val="nil"/>
            </w:tcBorders>
            <w:shd w:val="clear" w:color="000000" w:fill="BFBFBF"/>
            <w:noWrap/>
            <w:vAlign w:val="center"/>
            <w:hideMark/>
          </w:tcPr>
          <w:p w14:paraId="02FE2BDA"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0</w:t>
            </w:r>
          </w:p>
        </w:tc>
        <w:tc>
          <w:tcPr>
            <w:tcW w:w="850" w:type="dxa"/>
            <w:tcBorders>
              <w:top w:val="nil"/>
              <w:left w:val="nil"/>
              <w:bottom w:val="nil"/>
              <w:right w:val="nil"/>
            </w:tcBorders>
            <w:shd w:val="clear" w:color="000000" w:fill="FFFFFF"/>
            <w:vAlign w:val="center"/>
            <w:hideMark/>
          </w:tcPr>
          <w:p w14:paraId="6BE4F0A2"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4 524</w:t>
            </w:r>
          </w:p>
        </w:tc>
        <w:tc>
          <w:tcPr>
            <w:tcW w:w="816" w:type="dxa"/>
            <w:tcBorders>
              <w:top w:val="nil"/>
              <w:left w:val="nil"/>
              <w:bottom w:val="nil"/>
              <w:right w:val="nil"/>
            </w:tcBorders>
            <w:shd w:val="clear" w:color="000000" w:fill="FFFFFF"/>
            <w:vAlign w:val="center"/>
            <w:hideMark/>
          </w:tcPr>
          <w:p w14:paraId="48F057A9"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x</w:t>
            </w:r>
          </w:p>
        </w:tc>
      </w:tr>
      <w:tr w:rsidR="00870B05" w:rsidRPr="00070A80" w14:paraId="3C965ED6" w14:textId="77777777" w:rsidTr="00070A80">
        <w:trPr>
          <w:trHeight w:val="330"/>
          <w:jc w:val="center"/>
        </w:trPr>
        <w:tc>
          <w:tcPr>
            <w:tcW w:w="3710" w:type="dxa"/>
            <w:tcBorders>
              <w:top w:val="nil"/>
              <w:left w:val="nil"/>
              <w:bottom w:val="nil"/>
              <w:right w:val="nil"/>
            </w:tcBorders>
            <w:shd w:val="clear" w:color="000000" w:fill="FFFFFF"/>
            <w:vAlign w:val="center"/>
            <w:hideMark/>
          </w:tcPr>
          <w:p w14:paraId="422F64D9" w14:textId="77777777" w:rsidR="00151F12" w:rsidRPr="00070A80" w:rsidRDefault="00151F12" w:rsidP="00151F12">
            <w:pPr>
              <w:spacing w:after="0" w:line="240" w:lineRule="auto"/>
              <w:rPr>
                <w:rFonts w:eastAsia="Times New Roman" w:cs="Times New Roman"/>
                <w:color w:val="000000"/>
                <w:sz w:val="18"/>
                <w:szCs w:val="18"/>
                <w:lang w:eastAsia="sk-SK"/>
              </w:rPr>
            </w:pPr>
            <w:r w:rsidRPr="00070A80">
              <w:rPr>
                <w:rFonts w:eastAsia="Times New Roman" w:cs="Times New Roman"/>
                <w:color w:val="000000"/>
                <w:sz w:val="18"/>
                <w:szCs w:val="18"/>
                <w:lang w:eastAsia="sk-SK"/>
              </w:rPr>
              <w:t>Ministerstvo kultúry SR</w:t>
            </w:r>
          </w:p>
        </w:tc>
        <w:tc>
          <w:tcPr>
            <w:tcW w:w="851" w:type="dxa"/>
            <w:tcBorders>
              <w:top w:val="nil"/>
              <w:left w:val="nil"/>
              <w:bottom w:val="nil"/>
              <w:right w:val="nil"/>
            </w:tcBorders>
            <w:shd w:val="clear" w:color="000000" w:fill="FFFFFF"/>
            <w:noWrap/>
            <w:vAlign w:val="center"/>
            <w:hideMark/>
          </w:tcPr>
          <w:p w14:paraId="2F3CA03D"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4 425</w:t>
            </w:r>
          </w:p>
        </w:tc>
        <w:tc>
          <w:tcPr>
            <w:tcW w:w="850" w:type="dxa"/>
            <w:tcBorders>
              <w:top w:val="nil"/>
              <w:left w:val="nil"/>
              <w:bottom w:val="nil"/>
              <w:right w:val="nil"/>
            </w:tcBorders>
            <w:shd w:val="clear" w:color="000000" w:fill="FFFFFF"/>
            <w:noWrap/>
            <w:vAlign w:val="center"/>
            <w:hideMark/>
          </w:tcPr>
          <w:p w14:paraId="43DC21F8"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553</w:t>
            </w:r>
          </w:p>
        </w:tc>
        <w:tc>
          <w:tcPr>
            <w:tcW w:w="851" w:type="dxa"/>
            <w:tcBorders>
              <w:top w:val="nil"/>
              <w:left w:val="nil"/>
              <w:bottom w:val="nil"/>
              <w:right w:val="nil"/>
            </w:tcBorders>
            <w:shd w:val="clear" w:color="000000" w:fill="FFFFFF"/>
            <w:noWrap/>
            <w:vAlign w:val="center"/>
            <w:hideMark/>
          </w:tcPr>
          <w:p w14:paraId="6F1010D1"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0</w:t>
            </w:r>
          </w:p>
        </w:tc>
        <w:tc>
          <w:tcPr>
            <w:tcW w:w="850" w:type="dxa"/>
            <w:tcBorders>
              <w:top w:val="nil"/>
              <w:left w:val="nil"/>
              <w:bottom w:val="nil"/>
              <w:right w:val="nil"/>
            </w:tcBorders>
            <w:shd w:val="clear" w:color="000000" w:fill="BFBFBF"/>
            <w:noWrap/>
            <w:vAlign w:val="center"/>
            <w:hideMark/>
          </w:tcPr>
          <w:p w14:paraId="56620714"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2 532</w:t>
            </w:r>
          </w:p>
        </w:tc>
        <w:tc>
          <w:tcPr>
            <w:tcW w:w="993" w:type="dxa"/>
            <w:tcBorders>
              <w:top w:val="nil"/>
              <w:left w:val="nil"/>
              <w:bottom w:val="nil"/>
              <w:right w:val="nil"/>
            </w:tcBorders>
            <w:shd w:val="clear" w:color="000000" w:fill="BFBFBF"/>
            <w:noWrap/>
            <w:vAlign w:val="center"/>
            <w:hideMark/>
          </w:tcPr>
          <w:p w14:paraId="09B66C80"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2 532</w:t>
            </w:r>
          </w:p>
        </w:tc>
        <w:tc>
          <w:tcPr>
            <w:tcW w:w="850" w:type="dxa"/>
            <w:tcBorders>
              <w:top w:val="nil"/>
              <w:left w:val="nil"/>
              <w:bottom w:val="nil"/>
              <w:right w:val="nil"/>
            </w:tcBorders>
            <w:shd w:val="clear" w:color="000000" w:fill="FFFFFF"/>
            <w:vAlign w:val="center"/>
            <w:hideMark/>
          </w:tcPr>
          <w:p w14:paraId="366D22FF"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2 532</w:t>
            </w:r>
          </w:p>
        </w:tc>
        <w:tc>
          <w:tcPr>
            <w:tcW w:w="816" w:type="dxa"/>
            <w:tcBorders>
              <w:top w:val="nil"/>
              <w:left w:val="nil"/>
              <w:bottom w:val="nil"/>
              <w:right w:val="nil"/>
            </w:tcBorders>
            <w:shd w:val="clear" w:color="000000" w:fill="FFFFFF"/>
            <w:vAlign w:val="center"/>
            <w:hideMark/>
          </w:tcPr>
          <w:p w14:paraId="13E468D5"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x</w:t>
            </w:r>
          </w:p>
        </w:tc>
      </w:tr>
      <w:tr w:rsidR="00870B05" w:rsidRPr="00070A80" w14:paraId="5C949F0C" w14:textId="77777777" w:rsidTr="00070A80">
        <w:trPr>
          <w:trHeight w:val="390"/>
          <w:jc w:val="center"/>
        </w:trPr>
        <w:tc>
          <w:tcPr>
            <w:tcW w:w="3710" w:type="dxa"/>
            <w:tcBorders>
              <w:top w:val="nil"/>
              <w:left w:val="nil"/>
              <w:bottom w:val="nil"/>
              <w:right w:val="nil"/>
            </w:tcBorders>
            <w:shd w:val="clear" w:color="000000" w:fill="FFFFFF"/>
            <w:vAlign w:val="center"/>
            <w:hideMark/>
          </w:tcPr>
          <w:p w14:paraId="6FC11F11" w14:textId="77777777" w:rsidR="00151F12" w:rsidRPr="00070A80" w:rsidRDefault="00151F12" w:rsidP="00151F12">
            <w:pPr>
              <w:spacing w:after="0" w:line="240" w:lineRule="auto"/>
              <w:rPr>
                <w:rFonts w:eastAsia="Times New Roman" w:cs="Times New Roman"/>
                <w:color w:val="000000"/>
                <w:sz w:val="18"/>
                <w:szCs w:val="18"/>
                <w:lang w:eastAsia="sk-SK"/>
              </w:rPr>
            </w:pPr>
            <w:r w:rsidRPr="00070A80">
              <w:rPr>
                <w:rFonts w:eastAsia="Times New Roman" w:cs="Times New Roman"/>
                <w:color w:val="000000"/>
                <w:sz w:val="18"/>
                <w:szCs w:val="18"/>
                <w:lang w:eastAsia="sk-SK"/>
              </w:rPr>
              <w:t>Ministerstvo školstva, vedy, výskumu a športu SR</w:t>
            </w:r>
          </w:p>
        </w:tc>
        <w:tc>
          <w:tcPr>
            <w:tcW w:w="851" w:type="dxa"/>
            <w:tcBorders>
              <w:top w:val="nil"/>
              <w:left w:val="nil"/>
              <w:bottom w:val="nil"/>
              <w:right w:val="nil"/>
            </w:tcBorders>
            <w:shd w:val="clear" w:color="000000" w:fill="FFFFFF"/>
            <w:noWrap/>
            <w:vAlign w:val="center"/>
            <w:hideMark/>
          </w:tcPr>
          <w:p w14:paraId="5ED1BB85"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7 452</w:t>
            </w:r>
          </w:p>
        </w:tc>
        <w:tc>
          <w:tcPr>
            <w:tcW w:w="850" w:type="dxa"/>
            <w:tcBorders>
              <w:top w:val="nil"/>
              <w:left w:val="nil"/>
              <w:bottom w:val="nil"/>
              <w:right w:val="nil"/>
            </w:tcBorders>
            <w:shd w:val="clear" w:color="000000" w:fill="FFFFFF"/>
            <w:noWrap/>
            <w:vAlign w:val="center"/>
            <w:hideMark/>
          </w:tcPr>
          <w:p w14:paraId="2F13D055"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2 309</w:t>
            </w:r>
          </w:p>
        </w:tc>
        <w:tc>
          <w:tcPr>
            <w:tcW w:w="851" w:type="dxa"/>
            <w:tcBorders>
              <w:top w:val="nil"/>
              <w:left w:val="nil"/>
              <w:bottom w:val="nil"/>
              <w:right w:val="nil"/>
            </w:tcBorders>
            <w:shd w:val="clear" w:color="000000" w:fill="FFFFFF"/>
            <w:noWrap/>
            <w:vAlign w:val="center"/>
            <w:hideMark/>
          </w:tcPr>
          <w:p w14:paraId="262C1FC0"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100</w:t>
            </w:r>
          </w:p>
        </w:tc>
        <w:tc>
          <w:tcPr>
            <w:tcW w:w="850" w:type="dxa"/>
            <w:tcBorders>
              <w:top w:val="nil"/>
              <w:left w:val="nil"/>
              <w:bottom w:val="nil"/>
              <w:right w:val="nil"/>
            </w:tcBorders>
            <w:shd w:val="clear" w:color="000000" w:fill="BFBFBF"/>
            <w:noWrap/>
            <w:vAlign w:val="center"/>
            <w:hideMark/>
          </w:tcPr>
          <w:p w14:paraId="05CADE8C"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627</w:t>
            </w:r>
          </w:p>
        </w:tc>
        <w:tc>
          <w:tcPr>
            <w:tcW w:w="993" w:type="dxa"/>
            <w:tcBorders>
              <w:top w:val="nil"/>
              <w:left w:val="nil"/>
              <w:bottom w:val="nil"/>
              <w:right w:val="nil"/>
            </w:tcBorders>
            <w:shd w:val="clear" w:color="000000" w:fill="BFBFBF"/>
            <w:noWrap/>
            <w:vAlign w:val="center"/>
            <w:hideMark/>
          </w:tcPr>
          <w:p w14:paraId="52C85383"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623</w:t>
            </w:r>
          </w:p>
        </w:tc>
        <w:tc>
          <w:tcPr>
            <w:tcW w:w="850" w:type="dxa"/>
            <w:tcBorders>
              <w:top w:val="nil"/>
              <w:left w:val="nil"/>
              <w:bottom w:val="nil"/>
              <w:right w:val="nil"/>
            </w:tcBorders>
            <w:shd w:val="clear" w:color="000000" w:fill="FFFFFF"/>
            <w:vAlign w:val="center"/>
            <w:hideMark/>
          </w:tcPr>
          <w:p w14:paraId="6A389A56"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527</w:t>
            </w:r>
          </w:p>
        </w:tc>
        <w:tc>
          <w:tcPr>
            <w:tcW w:w="816" w:type="dxa"/>
            <w:tcBorders>
              <w:top w:val="nil"/>
              <w:left w:val="nil"/>
              <w:bottom w:val="nil"/>
              <w:right w:val="nil"/>
            </w:tcBorders>
            <w:shd w:val="clear" w:color="000000" w:fill="FFFFFF"/>
            <w:vAlign w:val="center"/>
            <w:hideMark/>
          </w:tcPr>
          <w:p w14:paraId="1885B59A"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527,0</w:t>
            </w:r>
          </w:p>
        </w:tc>
      </w:tr>
      <w:tr w:rsidR="00870B05" w:rsidRPr="00070A80" w14:paraId="1A9448FD" w14:textId="77777777" w:rsidTr="00070A80">
        <w:trPr>
          <w:trHeight w:val="330"/>
          <w:jc w:val="center"/>
        </w:trPr>
        <w:tc>
          <w:tcPr>
            <w:tcW w:w="3710" w:type="dxa"/>
            <w:tcBorders>
              <w:top w:val="nil"/>
              <w:left w:val="nil"/>
              <w:bottom w:val="nil"/>
              <w:right w:val="nil"/>
            </w:tcBorders>
            <w:shd w:val="clear" w:color="000000" w:fill="FFFFFF"/>
            <w:noWrap/>
            <w:vAlign w:val="center"/>
            <w:hideMark/>
          </w:tcPr>
          <w:p w14:paraId="4CA681D9" w14:textId="77777777" w:rsidR="00151F12" w:rsidRPr="00070A80" w:rsidRDefault="00151F12" w:rsidP="00151F12">
            <w:pPr>
              <w:spacing w:after="0" w:line="240" w:lineRule="auto"/>
              <w:rPr>
                <w:rFonts w:eastAsia="Times New Roman" w:cs="Times New Roman"/>
                <w:color w:val="000000"/>
                <w:sz w:val="18"/>
                <w:szCs w:val="18"/>
                <w:lang w:eastAsia="sk-SK"/>
              </w:rPr>
            </w:pPr>
            <w:r w:rsidRPr="00070A80">
              <w:rPr>
                <w:rFonts w:eastAsia="Times New Roman" w:cs="Times New Roman"/>
                <w:color w:val="000000"/>
                <w:sz w:val="18"/>
                <w:szCs w:val="18"/>
                <w:lang w:eastAsia="sk-SK"/>
              </w:rPr>
              <w:t>Úrad vlády SR</w:t>
            </w:r>
          </w:p>
        </w:tc>
        <w:tc>
          <w:tcPr>
            <w:tcW w:w="851" w:type="dxa"/>
            <w:tcBorders>
              <w:top w:val="nil"/>
              <w:left w:val="nil"/>
              <w:bottom w:val="nil"/>
              <w:right w:val="nil"/>
            </w:tcBorders>
            <w:shd w:val="clear" w:color="000000" w:fill="FFFFFF"/>
            <w:noWrap/>
            <w:vAlign w:val="center"/>
            <w:hideMark/>
          </w:tcPr>
          <w:p w14:paraId="2AD050A7"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10 904</w:t>
            </w:r>
          </w:p>
        </w:tc>
        <w:tc>
          <w:tcPr>
            <w:tcW w:w="850" w:type="dxa"/>
            <w:tcBorders>
              <w:top w:val="nil"/>
              <w:left w:val="nil"/>
              <w:bottom w:val="nil"/>
              <w:right w:val="nil"/>
            </w:tcBorders>
            <w:shd w:val="clear" w:color="000000" w:fill="FFFFFF"/>
            <w:noWrap/>
            <w:vAlign w:val="center"/>
            <w:hideMark/>
          </w:tcPr>
          <w:p w14:paraId="14B2E2F3"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9 550</w:t>
            </w:r>
          </w:p>
        </w:tc>
        <w:tc>
          <w:tcPr>
            <w:tcW w:w="851" w:type="dxa"/>
            <w:tcBorders>
              <w:top w:val="nil"/>
              <w:left w:val="nil"/>
              <w:bottom w:val="nil"/>
              <w:right w:val="nil"/>
            </w:tcBorders>
            <w:shd w:val="clear" w:color="000000" w:fill="FFFFFF"/>
            <w:noWrap/>
            <w:vAlign w:val="center"/>
            <w:hideMark/>
          </w:tcPr>
          <w:p w14:paraId="2DB9344F"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0</w:t>
            </w:r>
          </w:p>
        </w:tc>
        <w:tc>
          <w:tcPr>
            <w:tcW w:w="850" w:type="dxa"/>
            <w:tcBorders>
              <w:top w:val="nil"/>
              <w:left w:val="nil"/>
              <w:bottom w:val="nil"/>
              <w:right w:val="nil"/>
            </w:tcBorders>
            <w:shd w:val="clear" w:color="000000" w:fill="BFBFBF"/>
            <w:noWrap/>
            <w:vAlign w:val="center"/>
            <w:hideMark/>
          </w:tcPr>
          <w:p w14:paraId="35187EBC"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558</w:t>
            </w:r>
          </w:p>
        </w:tc>
        <w:tc>
          <w:tcPr>
            <w:tcW w:w="993" w:type="dxa"/>
            <w:tcBorders>
              <w:top w:val="nil"/>
              <w:left w:val="nil"/>
              <w:bottom w:val="nil"/>
              <w:right w:val="nil"/>
            </w:tcBorders>
            <w:shd w:val="clear" w:color="000000" w:fill="BFBFBF"/>
            <w:noWrap/>
            <w:vAlign w:val="center"/>
            <w:hideMark/>
          </w:tcPr>
          <w:p w14:paraId="07C2C971"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0</w:t>
            </w:r>
          </w:p>
        </w:tc>
        <w:tc>
          <w:tcPr>
            <w:tcW w:w="850" w:type="dxa"/>
            <w:tcBorders>
              <w:top w:val="nil"/>
              <w:left w:val="nil"/>
              <w:bottom w:val="nil"/>
              <w:right w:val="nil"/>
            </w:tcBorders>
            <w:shd w:val="clear" w:color="000000" w:fill="FFFFFF"/>
            <w:vAlign w:val="center"/>
            <w:hideMark/>
          </w:tcPr>
          <w:p w14:paraId="56B6B10B"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558</w:t>
            </w:r>
          </w:p>
        </w:tc>
        <w:tc>
          <w:tcPr>
            <w:tcW w:w="816" w:type="dxa"/>
            <w:tcBorders>
              <w:top w:val="nil"/>
              <w:left w:val="nil"/>
              <w:bottom w:val="nil"/>
              <w:right w:val="nil"/>
            </w:tcBorders>
            <w:shd w:val="clear" w:color="000000" w:fill="FFFFFF"/>
            <w:vAlign w:val="center"/>
            <w:hideMark/>
          </w:tcPr>
          <w:p w14:paraId="39B2C74B"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x</w:t>
            </w:r>
          </w:p>
        </w:tc>
      </w:tr>
      <w:tr w:rsidR="00870B05" w:rsidRPr="00070A80" w14:paraId="602D89EF" w14:textId="77777777" w:rsidTr="00070A80">
        <w:trPr>
          <w:trHeight w:val="330"/>
          <w:jc w:val="center"/>
        </w:trPr>
        <w:tc>
          <w:tcPr>
            <w:tcW w:w="3710" w:type="dxa"/>
            <w:tcBorders>
              <w:top w:val="nil"/>
              <w:left w:val="nil"/>
              <w:bottom w:val="nil"/>
              <w:right w:val="nil"/>
            </w:tcBorders>
            <w:shd w:val="clear" w:color="000000" w:fill="FFFFFF"/>
            <w:vAlign w:val="center"/>
            <w:hideMark/>
          </w:tcPr>
          <w:p w14:paraId="45C0C2FD" w14:textId="77777777" w:rsidR="00151F12" w:rsidRPr="00070A80" w:rsidRDefault="00151F12" w:rsidP="00151F12">
            <w:pPr>
              <w:spacing w:after="0" w:line="240" w:lineRule="auto"/>
              <w:rPr>
                <w:rFonts w:eastAsia="Times New Roman" w:cs="Times New Roman"/>
                <w:color w:val="000000"/>
                <w:sz w:val="18"/>
                <w:szCs w:val="18"/>
                <w:lang w:eastAsia="sk-SK"/>
              </w:rPr>
            </w:pPr>
            <w:r w:rsidRPr="00070A80">
              <w:rPr>
                <w:rFonts w:eastAsia="Times New Roman" w:cs="Times New Roman"/>
                <w:color w:val="000000"/>
                <w:sz w:val="18"/>
                <w:szCs w:val="18"/>
                <w:lang w:eastAsia="sk-SK"/>
              </w:rPr>
              <w:t>Ministerstvo práce, sociálnych vecí a rodiny SR</w:t>
            </w:r>
          </w:p>
        </w:tc>
        <w:tc>
          <w:tcPr>
            <w:tcW w:w="851" w:type="dxa"/>
            <w:tcBorders>
              <w:top w:val="nil"/>
              <w:left w:val="nil"/>
              <w:bottom w:val="nil"/>
              <w:right w:val="nil"/>
            </w:tcBorders>
            <w:shd w:val="clear" w:color="000000" w:fill="FFFFFF"/>
            <w:noWrap/>
            <w:vAlign w:val="center"/>
            <w:hideMark/>
          </w:tcPr>
          <w:p w14:paraId="0F053CC7"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164</w:t>
            </w:r>
          </w:p>
        </w:tc>
        <w:tc>
          <w:tcPr>
            <w:tcW w:w="850" w:type="dxa"/>
            <w:tcBorders>
              <w:top w:val="nil"/>
              <w:left w:val="nil"/>
              <w:bottom w:val="nil"/>
              <w:right w:val="nil"/>
            </w:tcBorders>
            <w:shd w:val="clear" w:color="000000" w:fill="FFFFFF"/>
            <w:noWrap/>
            <w:vAlign w:val="center"/>
            <w:hideMark/>
          </w:tcPr>
          <w:p w14:paraId="56F9621A"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194</w:t>
            </w:r>
          </w:p>
        </w:tc>
        <w:tc>
          <w:tcPr>
            <w:tcW w:w="851" w:type="dxa"/>
            <w:tcBorders>
              <w:top w:val="nil"/>
              <w:left w:val="nil"/>
              <w:bottom w:val="nil"/>
              <w:right w:val="nil"/>
            </w:tcBorders>
            <w:shd w:val="clear" w:color="000000" w:fill="FFFFFF"/>
            <w:noWrap/>
            <w:vAlign w:val="center"/>
            <w:hideMark/>
          </w:tcPr>
          <w:p w14:paraId="3835680C"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0</w:t>
            </w:r>
          </w:p>
        </w:tc>
        <w:tc>
          <w:tcPr>
            <w:tcW w:w="850" w:type="dxa"/>
            <w:tcBorders>
              <w:top w:val="nil"/>
              <w:left w:val="nil"/>
              <w:bottom w:val="nil"/>
              <w:right w:val="nil"/>
            </w:tcBorders>
            <w:shd w:val="clear" w:color="000000" w:fill="BFBFBF"/>
            <w:noWrap/>
            <w:vAlign w:val="center"/>
            <w:hideMark/>
          </w:tcPr>
          <w:p w14:paraId="73E55DB6"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171</w:t>
            </w:r>
          </w:p>
        </w:tc>
        <w:tc>
          <w:tcPr>
            <w:tcW w:w="993" w:type="dxa"/>
            <w:tcBorders>
              <w:top w:val="nil"/>
              <w:left w:val="nil"/>
              <w:bottom w:val="nil"/>
              <w:right w:val="nil"/>
            </w:tcBorders>
            <w:shd w:val="clear" w:color="000000" w:fill="BFBFBF"/>
            <w:noWrap/>
            <w:vAlign w:val="center"/>
            <w:hideMark/>
          </w:tcPr>
          <w:p w14:paraId="414908A7"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171</w:t>
            </w:r>
          </w:p>
        </w:tc>
        <w:tc>
          <w:tcPr>
            <w:tcW w:w="850" w:type="dxa"/>
            <w:tcBorders>
              <w:top w:val="nil"/>
              <w:left w:val="nil"/>
              <w:bottom w:val="nil"/>
              <w:right w:val="nil"/>
            </w:tcBorders>
            <w:shd w:val="clear" w:color="000000" w:fill="FFFFFF"/>
            <w:vAlign w:val="center"/>
            <w:hideMark/>
          </w:tcPr>
          <w:p w14:paraId="29DDBA1F"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171</w:t>
            </w:r>
          </w:p>
        </w:tc>
        <w:tc>
          <w:tcPr>
            <w:tcW w:w="816" w:type="dxa"/>
            <w:tcBorders>
              <w:top w:val="nil"/>
              <w:left w:val="nil"/>
              <w:bottom w:val="nil"/>
              <w:right w:val="nil"/>
            </w:tcBorders>
            <w:shd w:val="clear" w:color="000000" w:fill="FFFFFF"/>
            <w:vAlign w:val="center"/>
            <w:hideMark/>
          </w:tcPr>
          <w:p w14:paraId="3A3A0DBB"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x</w:t>
            </w:r>
          </w:p>
        </w:tc>
      </w:tr>
      <w:tr w:rsidR="00870B05" w:rsidRPr="00070A80" w14:paraId="3E736AB4" w14:textId="77777777" w:rsidTr="00070A80">
        <w:trPr>
          <w:trHeight w:val="330"/>
          <w:jc w:val="center"/>
        </w:trPr>
        <w:tc>
          <w:tcPr>
            <w:tcW w:w="3710" w:type="dxa"/>
            <w:tcBorders>
              <w:top w:val="nil"/>
              <w:left w:val="nil"/>
              <w:bottom w:val="nil"/>
              <w:right w:val="nil"/>
            </w:tcBorders>
            <w:shd w:val="clear" w:color="000000" w:fill="FFFFFF"/>
            <w:noWrap/>
            <w:vAlign w:val="center"/>
            <w:hideMark/>
          </w:tcPr>
          <w:p w14:paraId="4E118F35" w14:textId="77777777" w:rsidR="00151F12" w:rsidRPr="00070A80" w:rsidRDefault="00151F12" w:rsidP="00151F12">
            <w:pPr>
              <w:spacing w:after="0" w:line="240" w:lineRule="auto"/>
              <w:rPr>
                <w:rFonts w:eastAsia="Times New Roman" w:cs="Times New Roman"/>
                <w:color w:val="000000"/>
                <w:sz w:val="18"/>
                <w:szCs w:val="18"/>
                <w:lang w:eastAsia="sk-SK"/>
              </w:rPr>
            </w:pPr>
            <w:r w:rsidRPr="00070A80">
              <w:rPr>
                <w:rFonts w:eastAsia="Times New Roman" w:cs="Times New Roman"/>
                <w:color w:val="000000"/>
                <w:sz w:val="18"/>
                <w:szCs w:val="18"/>
                <w:lang w:eastAsia="sk-SK"/>
              </w:rPr>
              <w:t>Ministerstvo financií SR</w:t>
            </w:r>
          </w:p>
        </w:tc>
        <w:tc>
          <w:tcPr>
            <w:tcW w:w="851" w:type="dxa"/>
            <w:tcBorders>
              <w:top w:val="nil"/>
              <w:left w:val="nil"/>
              <w:bottom w:val="nil"/>
              <w:right w:val="nil"/>
            </w:tcBorders>
            <w:shd w:val="clear" w:color="000000" w:fill="FFFFFF"/>
            <w:noWrap/>
            <w:vAlign w:val="center"/>
            <w:hideMark/>
          </w:tcPr>
          <w:p w14:paraId="12AFC7FD"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0</w:t>
            </w:r>
          </w:p>
        </w:tc>
        <w:tc>
          <w:tcPr>
            <w:tcW w:w="850" w:type="dxa"/>
            <w:tcBorders>
              <w:top w:val="nil"/>
              <w:left w:val="nil"/>
              <w:bottom w:val="nil"/>
              <w:right w:val="nil"/>
            </w:tcBorders>
            <w:shd w:val="clear" w:color="000000" w:fill="FFFFFF"/>
            <w:noWrap/>
            <w:vAlign w:val="center"/>
            <w:hideMark/>
          </w:tcPr>
          <w:p w14:paraId="7C97DF51"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86</w:t>
            </w:r>
          </w:p>
        </w:tc>
        <w:tc>
          <w:tcPr>
            <w:tcW w:w="851" w:type="dxa"/>
            <w:tcBorders>
              <w:top w:val="nil"/>
              <w:left w:val="nil"/>
              <w:bottom w:val="nil"/>
              <w:right w:val="nil"/>
            </w:tcBorders>
            <w:shd w:val="clear" w:color="000000" w:fill="FFFFFF"/>
            <w:noWrap/>
            <w:vAlign w:val="center"/>
            <w:hideMark/>
          </w:tcPr>
          <w:p w14:paraId="695F1F48"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0</w:t>
            </w:r>
          </w:p>
        </w:tc>
        <w:tc>
          <w:tcPr>
            <w:tcW w:w="850" w:type="dxa"/>
            <w:tcBorders>
              <w:top w:val="nil"/>
              <w:left w:val="nil"/>
              <w:bottom w:val="nil"/>
              <w:right w:val="nil"/>
            </w:tcBorders>
            <w:shd w:val="clear" w:color="000000" w:fill="BFBFBF"/>
            <w:noWrap/>
            <w:vAlign w:val="center"/>
            <w:hideMark/>
          </w:tcPr>
          <w:p w14:paraId="01400CEA"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144</w:t>
            </w:r>
          </w:p>
        </w:tc>
        <w:tc>
          <w:tcPr>
            <w:tcW w:w="993" w:type="dxa"/>
            <w:tcBorders>
              <w:top w:val="nil"/>
              <w:left w:val="nil"/>
              <w:bottom w:val="nil"/>
              <w:right w:val="nil"/>
            </w:tcBorders>
            <w:shd w:val="clear" w:color="000000" w:fill="BFBFBF"/>
            <w:noWrap/>
            <w:vAlign w:val="center"/>
            <w:hideMark/>
          </w:tcPr>
          <w:p w14:paraId="113C14DF"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0</w:t>
            </w:r>
          </w:p>
        </w:tc>
        <w:tc>
          <w:tcPr>
            <w:tcW w:w="850" w:type="dxa"/>
            <w:tcBorders>
              <w:top w:val="nil"/>
              <w:left w:val="nil"/>
              <w:bottom w:val="nil"/>
              <w:right w:val="nil"/>
            </w:tcBorders>
            <w:shd w:val="clear" w:color="000000" w:fill="FFFFFF"/>
            <w:vAlign w:val="center"/>
            <w:hideMark/>
          </w:tcPr>
          <w:p w14:paraId="48F97AC4"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144</w:t>
            </w:r>
          </w:p>
        </w:tc>
        <w:tc>
          <w:tcPr>
            <w:tcW w:w="816" w:type="dxa"/>
            <w:tcBorders>
              <w:top w:val="nil"/>
              <w:left w:val="nil"/>
              <w:bottom w:val="nil"/>
              <w:right w:val="nil"/>
            </w:tcBorders>
            <w:shd w:val="clear" w:color="000000" w:fill="FFFFFF"/>
            <w:vAlign w:val="center"/>
            <w:hideMark/>
          </w:tcPr>
          <w:p w14:paraId="25E788AF" w14:textId="77777777" w:rsidR="00151F12" w:rsidRPr="00070A80" w:rsidRDefault="00151F12" w:rsidP="00151F12">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x</w:t>
            </w:r>
          </w:p>
        </w:tc>
      </w:tr>
      <w:tr w:rsidR="00870B05" w:rsidRPr="00070A80" w14:paraId="6E8BC9AB" w14:textId="77777777" w:rsidTr="00070A80">
        <w:trPr>
          <w:trHeight w:val="345"/>
          <w:jc w:val="center"/>
        </w:trPr>
        <w:tc>
          <w:tcPr>
            <w:tcW w:w="3710" w:type="dxa"/>
            <w:tcBorders>
              <w:top w:val="single" w:sz="4" w:space="0" w:color="auto"/>
              <w:left w:val="nil"/>
              <w:bottom w:val="single" w:sz="8" w:space="0" w:color="auto"/>
              <w:right w:val="nil"/>
            </w:tcBorders>
            <w:shd w:val="clear" w:color="000000" w:fill="FFFFFF"/>
            <w:noWrap/>
            <w:vAlign w:val="center"/>
            <w:hideMark/>
          </w:tcPr>
          <w:p w14:paraId="6CD16004" w14:textId="77777777" w:rsidR="00151F12" w:rsidRPr="00070A80" w:rsidRDefault="00151F12" w:rsidP="00151F12">
            <w:pPr>
              <w:spacing w:after="0" w:line="240" w:lineRule="auto"/>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Spolu</w:t>
            </w:r>
          </w:p>
        </w:tc>
        <w:tc>
          <w:tcPr>
            <w:tcW w:w="851" w:type="dxa"/>
            <w:tcBorders>
              <w:top w:val="single" w:sz="4" w:space="0" w:color="auto"/>
              <w:left w:val="nil"/>
              <w:bottom w:val="single" w:sz="8" w:space="0" w:color="auto"/>
              <w:right w:val="nil"/>
            </w:tcBorders>
            <w:shd w:val="clear" w:color="000000" w:fill="FFFFFF"/>
            <w:noWrap/>
            <w:vAlign w:val="center"/>
            <w:hideMark/>
          </w:tcPr>
          <w:p w14:paraId="375D777C" w14:textId="77777777" w:rsidR="00151F12" w:rsidRPr="00070A80" w:rsidRDefault="00151F12" w:rsidP="00151F12">
            <w:pPr>
              <w:spacing w:after="0" w:line="240" w:lineRule="auto"/>
              <w:jc w:val="right"/>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351 293</w:t>
            </w:r>
          </w:p>
        </w:tc>
        <w:tc>
          <w:tcPr>
            <w:tcW w:w="850" w:type="dxa"/>
            <w:tcBorders>
              <w:top w:val="single" w:sz="4" w:space="0" w:color="auto"/>
              <w:left w:val="nil"/>
              <w:bottom w:val="single" w:sz="8" w:space="0" w:color="auto"/>
              <w:right w:val="nil"/>
            </w:tcBorders>
            <w:shd w:val="clear" w:color="000000" w:fill="FFFFFF"/>
            <w:noWrap/>
            <w:vAlign w:val="center"/>
            <w:hideMark/>
          </w:tcPr>
          <w:p w14:paraId="17BD979B" w14:textId="77777777" w:rsidR="00151F12" w:rsidRPr="00070A80" w:rsidRDefault="00151F12" w:rsidP="00151F12">
            <w:pPr>
              <w:spacing w:after="0" w:line="240" w:lineRule="auto"/>
              <w:jc w:val="right"/>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305 671</w:t>
            </w:r>
          </w:p>
        </w:tc>
        <w:tc>
          <w:tcPr>
            <w:tcW w:w="851" w:type="dxa"/>
            <w:tcBorders>
              <w:top w:val="single" w:sz="4" w:space="0" w:color="auto"/>
              <w:left w:val="nil"/>
              <w:bottom w:val="single" w:sz="8" w:space="0" w:color="auto"/>
              <w:right w:val="nil"/>
            </w:tcBorders>
            <w:shd w:val="clear" w:color="000000" w:fill="FFFFFF"/>
            <w:noWrap/>
            <w:vAlign w:val="center"/>
            <w:hideMark/>
          </w:tcPr>
          <w:p w14:paraId="5F6DDAB1" w14:textId="77777777" w:rsidR="00151F12" w:rsidRPr="00070A80" w:rsidRDefault="00151F12" w:rsidP="00151F12">
            <w:pPr>
              <w:spacing w:after="0" w:line="240" w:lineRule="auto"/>
              <w:jc w:val="right"/>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18 180</w:t>
            </w:r>
          </w:p>
        </w:tc>
        <w:tc>
          <w:tcPr>
            <w:tcW w:w="850" w:type="dxa"/>
            <w:tcBorders>
              <w:top w:val="single" w:sz="4" w:space="0" w:color="auto"/>
              <w:left w:val="nil"/>
              <w:bottom w:val="single" w:sz="8" w:space="0" w:color="auto"/>
              <w:right w:val="nil"/>
            </w:tcBorders>
            <w:shd w:val="clear" w:color="000000" w:fill="BFBFBF"/>
            <w:noWrap/>
            <w:vAlign w:val="center"/>
            <w:hideMark/>
          </w:tcPr>
          <w:p w14:paraId="146B99C9" w14:textId="77777777" w:rsidR="00151F12" w:rsidRPr="00070A80" w:rsidRDefault="00151F12" w:rsidP="00151F12">
            <w:pPr>
              <w:spacing w:after="0" w:line="240" w:lineRule="auto"/>
              <w:jc w:val="right"/>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325 274</w:t>
            </w:r>
          </w:p>
        </w:tc>
        <w:tc>
          <w:tcPr>
            <w:tcW w:w="993" w:type="dxa"/>
            <w:tcBorders>
              <w:top w:val="single" w:sz="4" w:space="0" w:color="auto"/>
              <w:left w:val="nil"/>
              <w:bottom w:val="single" w:sz="8" w:space="0" w:color="auto"/>
              <w:right w:val="nil"/>
            </w:tcBorders>
            <w:shd w:val="clear" w:color="000000" w:fill="BFBFBF"/>
            <w:noWrap/>
            <w:vAlign w:val="center"/>
            <w:hideMark/>
          </w:tcPr>
          <w:p w14:paraId="7EF7738E" w14:textId="77777777" w:rsidR="00151F12" w:rsidRPr="00070A80" w:rsidRDefault="00151F12" w:rsidP="00151F12">
            <w:pPr>
              <w:spacing w:after="0" w:line="240" w:lineRule="auto"/>
              <w:jc w:val="right"/>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50 918</w:t>
            </w:r>
          </w:p>
        </w:tc>
        <w:tc>
          <w:tcPr>
            <w:tcW w:w="850" w:type="dxa"/>
            <w:tcBorders>
              <w:top w:val="single" w:sz="4" w:space="0" w:color="auto"/>
              <w:left w:val="nil"/>
              <w:bottom w:val="single" w:sz="8" w:space="0" w:color="auto"/>
              <w:right w:val="nil"/>
            </w:tcBorders>
            <w:shd w:val="clear" w:color="000000" w:fill="FFFFFF"/>
            <w:noWrap/>
            <w:vAlign w:val="center"/>
            <w:hideMark/>
          </w:tcPr>
          <w:p w14:paraId="76190FFC" w14:textId="77777777" w:rsidR="00151F12" w:rsidRPr="00070A80" w:rsidRDefault="00151F12" w:rsidP="00151F12">
            <w:pPr>
              <w:spacing w:after="0" w:line="240" w:lineRule="auto"/>
              <w:jc w:val="right"/>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307 094</w:t>
            </w:r>
          </w:p>
        </w:tc>
        <w:tc>
          <w:tcPr>
            <w:tcW w:w="816" w:type="dxa"/>
            <w:tcBorders>
              <w:top w:val="single" w:sz="4" w:space="0" w:color="auto"/>
              <w:left w:val="nil"/>
              <w:bottom w:val="single" w:sz="8" w:space="0" w:color="auto"/>
              <w:right w:val="nil"/>
            </w:tcBorders>
            <w:shd w:val="clear" w:color="000000" w:fill="FFFFFF"/>
            <w:noWrap/>
            <w:vAlign w:val="center"/>
            <w:hideMark/>
          </w:tcPr>
          <w:p w14:paraId="3A872B10" w14:textId="77777777" w:rsidR="00151F12" w:rsidRPr="00070A80" w:rsidRDefault="00151F12" w:rsidP="00151F12">
            <w:pPr>
              <w:spacing w:after="0" w:line="240" w:lineRule="auto"/>
              <w:jc w:val="right"/>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1 689,2</w:t>
            </w:r>
          </w:p>
        </w:tc>
      </w:tr>
    </w:tbl>
    <w:p w14:paraId="03C4A28E" w14:textId="2DAA0755" w:rsidR="00151F12" w:rsidRPr="00B93968" w:rsidRDefault="00151F12" w:rsidP="00151F12">
      <w:pPr>
        <w:suppressAutoHyphens/>
        <w:rPr>
          <w:sz w:val="18"/>
          <w:szCs w:val="18"/>
        </w:rPr>
      </w:pPr>
      <w:r w:rsidRPr="00B93968">
        <w:rPr>
          <w:sz w:val="18"/>
          <w:szCs w:val="18"/>
        </w:rPr>
        <w:t xml:space="preserve">Poznámka: * len prostriedky štátneho rozpočtu </w:t>
      </w:r>
      <w:r w:rsidRPr="00B93968">
        <w:rPr>
          <w:sz w:val="18"/>
          <w:szCs w:val="18"/>
        </w:rPr>
        <w:tab/>
      </w:r>
      <w:r w:rsidRPr="00B93968">
        <w:rPr>
          <w:sz w:val="18"/>
          <w:szCs w:val="18"/>
        </w:rPr>
        <w:tab/>
      </w:r>
      <w:r w:rsidRPr="00B93968">
        <w:rPr>
          <w:sz w:val="18"/>
          <w:szCs w:val="18"/>
        </w:rPr>
        <w:tab/>
      </w:r>
      <w:r w:rsidRPr="00B93968">
        <w:rPr>
          <w:sz w:val="18"/>
          <w:szCs w:val="18"/>
        </w:rPr>
        <w:tab/>
      </w:r>
      <w:r w:rsidRPr="00B93968">
        <w:rPr>
          <w:sz w:val="18"/>
          <w:szCs w:val="18"/>
        </w:rPr>
        <w:tab/>
      </w:r>
      <w:r w:rsidRPr="00B93968">
        <w:rPr>
          <w:sz w:val="18"/>
          <w:szCs w:val="18"/>
        </w:rPr>
        <w:tab/>
        <w:t xml:space="preserve">       </w:t>
      </w:r>
      <w:r>
        <w:rPr>
          <w:sz w:val="18"/>
          <w:szCs w:val="18"/>
        </w:rPr>
        <w:t xml:space="preserve">  </w:t>
      </w:r>
      <w:r w:rsidRPr="00B93968">
        <w:rPr>
          <w:sz w:val="18"/>
          <w:szCs w:val="18"/>
        </w:rPr>
        <w:t>Zdroj: MF SR</w:t>
      </w:r>
    </w:p>
    <w:p w14:paraId="010E13D5" w14:textId="77777777" w:rsidR="00151F12" w:rsidRPr="00D715AF" w:rsidRDefault="00151F12" w:rsidP="001665F3">
      <w:pPr>
        <w:suppressAutoHyphens/>
        <w:spacing w:line="240" w:lineRule="auto"/>
        <w:rPr>
          <w:rFonts w:cs="Times New Roman"/>
          <w:bCs/>
          <w:sz w:val="24"/>
          <w:szCs w:val="24"/>
        </w:rPr>
      </w:pPr>
      <w:r w:rsidRPr="00D715AF">
        <w:rPr>
          <w:color w:val="000000" w:themeColor="text1"/>
          <w:sz w:val="24"/>
          <w:szCs w:val="24"/>
        </w:rPr>
        <w:t xml:space="preserve">Na celkovom objeme poskytnutých grantov a transferov obciam sa najväčšou sumou každoročne podieľa </w:t>
      </w:r>
      <w:r w:rsidRPr="00D715AF">
        <w:rPr>
          <w:color w:val="000000" w:themeColor="text1"/>
          <w:sz w:val="24"/>
          <w:szCs w:val="24"/>
          <w:u w:val="single"/>
        </w:rPr>
        <w:t>Ministerstvo vnútra SR.</w:t>
      </w:r>
      <w:r w:rsidRPr="00D715AF">
        <w:rPr>
          <w:b/>
          <w:color w:val="000000" w:themeColor="text1"/>
          <w:sz w:val="24"/>
          <w:szCs w:val="24"/>
        </w:rPr>
        <w:t xml:space="preserve"> </w:t>
      </w:r>
      <w:r w:rsidRPr="00D715AF">
        <w:rPr>
          <w:color w:val="000000" w:themeColor="text1"/>
          <w:sz w:val="24"/>
          <w:szCs w:val="24"/>
        </w:rPr>
        <w:t>V roku 2020 vynaložilo 1 198 579 tis. eur, čo je oproti schválenému rozpočtu viac o 172 119 tis. eur. Z celkovej sumy bolo v rámci bežných výdavkov vynaložených 1 122 863 tis. eur na úhradu nákladov preneseného výkonu štátnej správy na úseku školstva najmä v rámci programu Výchova a vzdelávanie mládeže (1 105 438 tis. eur) na úhradu nákladov na poskytovanie výchovy, na vzdelávacie poukazy, na asistentov učiteľa, na úhradu nákladov na odstránenie havarijných stavov budov, na dopravné, na príspevok pre materské školy, na lyžiarske kurzy a iné.</w:t>
      </w:r>
      <w:r w:rsidRPr="00D715AF">
        <w:rPr>
          <w:color w:val="FF0000"/>
          <w:sz w:val="24"/>
          <w:szCs w:val="24"/>
        </w:rPr>
        <w:t xml:space="preserve"> </w:t>
      </w:r>
      <w:r w:rsidRPr="00D715AF">
        <w:rPr>
          <w:color w:val="000000" w:themeColor="text1"/>
          <w:sz w:val="24"/>
          <w:szCs w:val="24"/>
        </w:rPr>
        <w:t xml:space="preserve">Na matričnú činnosť </w:t>
      </w:r>
      <w:r w:rsidRPr="00D715AF">
        <w:rPr>
          <w:rFonts w:cs="Times New Roman"/>
          <w:sz w:val="24"/>
          <w:szCs w:val="24"/>
        </w:rPr>
        <w:t>sa použila čiastka 9 075 tis. eur</w:t>
      </w:r>
      <w:r w:rsidRPr="00D715AF">
        <w:rPr>
          <w:rFonts w:cs="Times New Roman"/>
          <w:bCs/>
          <w:sz w:val="24"/>
          <w:szCs w:val="24"/>
        </w:rPr>
        <w:t xml:space="preserve"> podľa zákona č. 154/1994 Z. z. o matrikách v znení neskorších predpisov a podľa Výnosu Ministerstva vnútra Slovenskej republiky č. 207- 2005/04291 z 3. novembra 2005 o rozsahu a podmienkach poskytovania dotácií na úhradu nákladov preneseného výkonu štátnej správy na úseku matrík v znení neskorších predpisov. Na zabezpečenie priebehu voľby do Národnej rady Slovenskej republiky sa použila suma 5 859 tis. eur a na register obyvateľstva suma 1 799 tis. eur.</w:t>
      </w:r>
    </w:p>
    <w:p w14:paraId="141B8A81" w14:textId="1AFE8A23" w:rsidR="00151F12" w:rsidRPr="00D715AF" w:rsidRDefault="00151F12" w:rsidP="001665F3">
      <w:pPr>
        <w:spacing w:line="240" w:lineRule="auto"/>
        <w:rPr>
          <w:rFonts w:cs="Times New Roman"/>
          <w:color w:val="000000" w:themeColor="text1"/>
          <w:sz w:val="24"/>
          <w:szCs w:val="24"/>
        </w:rPr>
      </w:pPr>
      <w:r w:rsidRPr="00D715AF">
        <w:rPr>
          <w:rFonts w:cs="Times New Roman"/>
          <w:color w:val="000000" w:themeColor="text1"/>
          <w:sz w:val="24"/>
          <w:szCs w:val="24"/>
        </w:rPr>
        <w:t xml:space="preserve">Suma vo výške 48 958 tis. eur bola vynaložená rámci bežných výdavkov na úhradu nákladov mimo preneseného výkonu štátnej správy, z toho zo zdroja štátny rozpočet 22 072 tis. eur. Z tejto sumy bolo 17 112 tis. eur poskytnutých obciam na úhradu výdavkov počas mimoriadnej situácie v súvislosti s ohrozením verejného zdravia II. stupňa z dôvodu pandémie </w:t>
      </w:r>
      <w:proofErr w:type="spellStart"/>
      <w:r w:rsidRPr="00D715AF">
        <w:rPr>
          <w:rFonts w:cs="Times New Roman"/>
          <w:color w:val="000000" w:themeColor="text1"/>
          <w:sz w:val="24"/>
          <w:szCs w:val="24"/>
        </w:rPr>
        <w:t>koronavírusu</w:t>
      </w:r>
      <w:proofErr w:type="spellEnd"/>
      <w:r w:rsidRPr="00D715AF">
        <w:rPr>
          <w:rFonts w:cs="Times New Roman"/>
          <w:color w:val="000000" w:themeColor="text1"/>
          <w:sz w:val="24"/>
          <w:szCs w:val="24"/>
        </w:rPr>
        <w:t xml:space="preserve"> v územnej pôsobnosti okresných úradov. Ďalšia suma 3 883 tis. eur sa vynaložila na mimoriadne udalosti (záchranné práce počas mimoriadnej udalosti, povodňové zabezpečovacie a záchranné práce), čiastka 1 075 tis. eur na zabezpečenie starostlivosti o vojnové hroby. </w:t>
      </w:r>
    </w:p>
    <w:p w14:paraId="7F9D2C36" w14:textId="0873F31B" w:rsidR="00151F12" w:rsidRPr="00D715AF" w:rsidRDefault="00151F12" w:rsidP="001665F3">
      <w:pPr>
        <w:spacing w:line="240" w:lineRule="auto"/>
        <w:rPr>
          <w:rFonts w:cs="Times New Roman"/>
          <w:color w:val="000000" w:themeColor="text1"/>
          <w:sz w:val="24"/>
          <w:szCs w:val="24"/>
        </w:rPr>
      </w:pPr>
      <w:r w:rsidRPr="00D715AF">
        <w:rPr>
          <w:rFonts w:cs="Times New Roman"/>
          <w:color w:val="000000" w:themeColor="text1"/>
          <w:sz w:val="24"/>
          <w:szCs w:val="24"/>
        </w:rPr>
        <w:t>Čiastka 14 614 tis. eur bola poskytnutá obciam, ktoré sú evidované v Atlase rómskych komunít v rámci prioritnej osi Technická vybavenosť v obciach s prítomnosťou marginalizovaných rómskych komunít. Zo zdroja Európsky sociálny fond boli poskytnuté prostriedky vo výške 8 845 tis. eur najmä v rámci programu Integrácia marginalizovaných komunít.</w:t>
      </w:r>
    </w:p>
    <w:p w14:paraId="4BB6058C" w14:textId="5699AD19" w:rsidR="00151F12" w:rsidRPr="00D715AF" w:rsidRDefault="00151F12" w:rsidP="001665F3">
      <w:pPr>
        <w:suppressAutoHyphens/>
        <w:spacing w:line="240" w:lineRule="auto"/>
        <w:rPr>
          <w:color w:val="FF0000"/>
          <w:sz w:val="24"/>
          <w:szCs w:val="24"/>
        </w:rPr>
      </w:pPr>
      <w:r w:rsidRPr="00D715AF">
        <w:rPr>
          <w:color w:val="000000" w:themeColor="text1"/>
          <w:sz w:val="24"/>
          <w:szCs w:val="24"/>
        </w:rPr>
        <w:t>Kapitálové prostriedky boli poskytnuté obciam v čiastke 26 758 ti</w:t>
      </w:r>
      <w:r w:rsidR="00C006CB" w:rsidRPr="00D715AF">
        <w:rPr>
          <w:color w:val="000000" w:themeColor="text1"/>
          <w:sz w:val="24"/>
          <w:szCs w:val="24"/>
        </w:rPr>
        <w:t>s. eur, z toho suma 11 819 tis. </w:t>
      </w:r>
      <w:r w:rsidRPr="00D715AF">
        <w:rPr>
          <w:color w:val="000000" w:themeColor="text1"/>
          <w:sz w:val="24"/>
          <w:szCs w:val="24"/>
        </w:rPr>
        <w:t>eur na podporu zvýšenia ochrany pred požiarmi prostredníctvom výstavby, rekonštrukcie a modernizácie stavieb, nadobudnutie budov na účel hasičských staníc a hasičských zbrojníc. Na technickú vybavenosť v obciach s prítomnosťou marginalizovaných rómskych komunít sa vynaložilo 11 577 tis. eur, na riešenie havarijných stavov budov, rekonštrukcie plynových kotolní, budov, vnútorných priestorov, objektov a sociálnych zariadení sa poskytla suma 3 198 tis. eur.</w:t>
      </w:r>
    </w:p>
    <w:p w14:paraId="08B8AA65" w14:textId="037B4D4D" w:rsidR="00151F12" w:rsidRPr="00D715AF" w:rsidRDefault="00151F12" w:rsidP="001665F3">
      <w:pPr>
        <w:pStyle w:val="Obyajntext"/>
        <w:spacing w:after="120"/>
        <w:jc w:val="both"/>
        <w:rPr>
          <w:rFonts w:ascii="Times New Roman" w:hAnsi="Times New Roman"/>
          <w:color w:val="000000" w:themeColor="text1"/>
          <w:sz w:val="24"/>
          <w:szCs w:val="24"/>
        </w:rPr>
      </w:pPr>
      <w:r w:rsidRPr="00D715AF">
        <w:rPr>
          <w:rFonts w:ascii="Times New Roman" w:hAnsi="Times New Roman"/>
          <w:color w:val="000000" w:themeColor="text1"/>
          <w:sz w:val="24"/>
          <w:szCs w:val="24"/>
          <w:u w:val="single"/>
        </w:rPr>
        <w:t>Ministerstvo práce, sociálnych vecí a rodiny SR</w:t>
      </w:r>
      <w:r w:rsidRPr="00D715AF">
        <w:rPr>
          <w:rFonts w:ascii="Times New Roman" w:hAnsi="Times New Roman"/>
          <w:b/>
          <w:color w:val="000000" w:themeColor="text1"/>
          <w:sz w:val="24"/>
          <w:szCs w:val="24"/>
        </w:rPr>
        <w:t xml:space="preserve"> </w:t>
      </w:r>
      <w:r w:rsidRPr="00D715AF">
        <w:rPr>
          <w:rFonts w:ascii="Times New Roman" w:hAnsi="Times New Roman"/>
          <w:color w:val="000000" w:themeColor="text1"/>
          <w:sz w:val="24"/>
          <w:szCs w:val="24"/>
        </w:rPr>
        <w:t xml:space="preserve">poskytlo v podobe grantov a transferov pre obce celkovú sumu 216 089 tis. eur. Z toho čiastka 72 987 tis. eur predstavovala úhradu dotácií na stravu podľa novely zákona č. 544/2010 Z. z. o dotáciách v pôsobnosti MPSVR SR pre všetky deti posledného ročníka materských škôl a pre deti, ktoré navštevovali základnú školu. Nakoľko v schválenom rozpočte 2020 nebola zohľadnená novela zákona č. 544/2010 Z. z., </w:t>
      </w:r>
      <w:r w:rsidRPr="00D715AF">
        <w:rPr>
          <w:rFonts w:ascii="Times New Roman" w:hAnsi="Times New Roman"/>
          <w:sz w:val="24"/>
          <w:szCs w:val="24"/>
        </w:rPr>
        <w:t>ktorou sa poskytujú dotácie na zabezpečenie stravovacích návykov detí, ktoré navštevujú MŠ a ZŠ,</w:t>
      </w:r>
      <w:r w:rsidRPr="00D715AF">
        <w:rPr>
          <w:rFonts w:ascii="Times New Roman" w:hAnsi="Times New Roman"/>
          <w:color w:val="000000" w:themeColor="text1"/>
          <w:sz w:val="24"/>
          <w:szCs w:val="24"/>
        </w:rPr>
        <w:t xml:space="preserve"> finančné prostriedky boli poskytnuté v roku 2020 dvomi rozpočtovými opatreniami.</w:t>
      </w:r>
    </w:p>
    <w:p w14:paraId="2F6D9EE9" w14:textId="63420D53" w:rsidR="00151F12" w:rsidRPr="00D715AF" w:rsidRDefault="00151F12" w:rsidP="001665F3">
      <w:pPr>
        <w:pStyle w:val="Obyajntext"/>
        <w:spacing w:after="120"/>
        <w:jc w:val="both"/>
        <w:rPr>
          <w:rFonts w:ascii="Times New Roman" w:hAnsi="Times New Roman"/>
          <w:color w:val="000000" w:themeColor="text1"/>
          <w:sz w:val="24"/>
          <w:szCs w:val="24"/>
        </w:rPr>
      </w:pPr>
      <w:r w:rsidRPr="00D715AF">
        <w:rPr>
          <w:rFonts w:ascii="Times New Roman" w:hAnsi="Times New Roman"/>
          <w:color w:val="000000" w:themeColor="text1"/>
          <w:sz w:val="24"/>
          <w:szCs w:val="24"/>
        </w:rPr>
        <w:t xml:space="preserve">Ďalšia čiastka 57 832 tis. eur tvorila príspevok mestám a obciam na spolufinancovanie sociálnych služieb pre zariadenia sociálnych služieb (najmä zariadenia pre seniorov, zariadenia opatrovateľskej služby, denné stacionáre, domovy sociálnych služieb, útulky a iné). Suma 17 169 tis. eur bola poskytnutá na národné projekty Operačného programu Ľudské zdroje. Ďalšia dotácia v objeme 7 136 tis. eur sa poukázala obciam a právnickým osobám ňou zriadených, </w:t>
      </w:r>
      <w:r w:rsidR="00C006CB" w:rsidRPr="00D715AF">
        <w:rPr>
          <w:rFonts w:ascii="Times New Roman" w:hAnsi="Times New Roman"/>
          <w:color w:val="000000" w:themeColor="text1"/>
          <w:sz w:val="24"/>
          <w:szCs w:val="24"/>
        </w:rPr>
        <w:t xml:space="preserve">v súlade so zákonom </w:t>
      </w:r>
      <w:r w:rsidRPr="00D715AF">
        <w:rPr>
          <w:rFonts w:ascii="Times New Roman" w:hAnsi="Times New Roman"/>
          <w:color w:val="000000" w:themeColor="text1"/>
          <w:sz w:val="24"/>
          <w:szCs w:val="24"/>
        </w:rPr>
        <w:t>č. 544/2010 Z. z. a Nariadením vlády SR č. 103/2020 Z. z. v znení neskorších nariadeniach vlády SR o niektorých opatreniach v oblasti dotácií v pôsobnosti MPSVR SR v čase mimoriadnej situácie, núdzového stavu alebo výnimočného stavu vyhláseného v súvislosti s ochorením COVID-19 (odmeny zamestnancom v 1. línii za sociálne služby a sociálnu kuratelu, výživové doplnky).</w:t>
      </w:r>
    </w:p>
    <w:p w14:paraId="1B762FA8" w14:textId="78062408" w:rsidR="00151F12" w:rsidRPr="00D715AF" w:rsidRDefault="00151F12" w:rsidP="001665F3">
      <w:pPr>
        <w:spacing w:line="240" w:lineRule="auto"/>
        <w:rPr>
          <w:color w:val="000000" w:themeColor="text1"/>
          <w:sz w:val="24"/>
          <w:szCs w:val="24"/>
        </w:rPr>
      </w:pPr>
      <w:r w:rsidRPr="00D715AF">
        <w:rPr>
          <w:color w:val="000000" w:themeColor="text1"/>
          <w:sz w:val="24"/>
          <w:szCs w:val="24"/>
        </w:rPr>
        <w:t xml:space="preserve">Z kapitoly </w:t>
      </w:r>
      <w:r w:rsidRPr="00D715AF">
        <w:rPr>
          <w:color w:val="000000" w:themeColor="text1"/>
          <w:sz w:val="24"/>
          <w:szCs w:val="24"/>
          <w:u w:val="single"/>
        </w:rPr>
        <w:t>Ministerstva životného prostredia SR</w:t>
      </w:r>
      <w:r w:rsidRPr="00D715AF">
        <w:rPr>
          <w:color w:val="000000" w:themeColor="text1"/>
          <w:sz w:val="24"/>
          <w:szCs w:val="24"/>
        </w:rPr>
        <w:t xml:space="preserve"> smerovala obciam suma 94 512 tis. eur, z toho kapitálové výdavky v čiastke 92 159 tis</w:t>
      </w:r>
      <w:r w:rsidR="00C006CB" w:rsidRPr="00D715AF">
        <w:rPr>
          <w:color w:val="000000" w:themeColor="text1"/>
          <w:sz w:val="24"/>
          <w:szCs w:val="24"/>
        </w:rPr>
        <w:t xml:space="preserve">. eur a </w:t>
      </w:r>
      <w:r w:rsidRPr="00D715AF">
        <w:rPr>
          <w:color w:val="000000" w:themeColor="text1"/>
          <w:sz w:val="24"/>
          <w:szCs w:val="24"/>
        </w:rPr>
        <w:t>bežné výdavky 2 353 tis. eur. Kapitálové výdavky boli v celom objeme poskytnuté v rámci Operačného programu Kvalita životného prostredia. Najväčší príjemcovia finančných prostriedkov boli obec</w:t>
      </w:r>
      <w:r w:rsidR="00C006CB" w:rsidRPr="00D715AF">
        <w:rPr>
          <w:color w:val="000000" w:themeColor="text1"/>
          <w:sz w:val="24"/>
          <w:szCs w:val="24"/>
        </w:rPr>
        <w:t xml:space="preserve"> Dvory nad Žitavou (4 347 tis. </w:t>
      </w:r>
      <w:r w:rsidRPr="00D715AF">
        <w:rPr>
          <w:color w:val="000000" w:themeColor="text1"/>
          <w:sz w:val="24"/>
          <w:szCs w:val="24"/>
        </w:rPr>
        <w:t>e</w:t>
      </w:r>
      <w:r w:rsidR="00C006CB" w:rsidRPr="00D715AF">
        <w:rPr>
          <w:color w:val="000000" w:themeColor="text1"/>
          <w:sz w:val="24"/>
          <w:szCs w:val="24"/>
        </w:rPr>
        <w:t xml:space="preserve">ur na dobudovanie kanalizácie a </w:t>
      </w:r>
      <w:r w:rsidRPr="00D715AF">
        <w:rPr>
          <w:color w:val="000000" w:themeColor="text1"/>
          <w:sz w:val="24"/>
          <w:szCs w:val="24"/>
        </w:rPr>
        <w:t>intenzifikácie čističky odpadových vôd), obe</w:t>
      </w:r>
      <w:r w:rsidR="00C006CB" w:rsidRPr="00D715AF">
        <w:rPr>
          <w:color w:val="000000" w:themeColor="text1"/>
          <w:sz w:val="24"/>
          <w:szCs w:val="24"/>
        </w:rPr>
        <w:t xml:space="preserve">c Pohronská Polhora (3 004 tis. eur na </w:t>
      </w:r>
      <w:r w:rsidRPr="00D715AF">
        <w:rPr>
          <w:color w:val="000000" w:themeColor="text1"/>
          <w:sz w:val="24"/>
          <w:szCs w:val="24"/>
        </w:rPr>
        <w:t>kanalizáciu), obec T</w:t>
      </w:r>
      <w:r w:rsidR="00C006CB" w:rsidRPr="00D715AF">
        <w:rPr>
          <w:color w:val="000000" w:themeColor="text1"/>
          <w:sz w:val="24"/>
          <w:szCs w:val="24"/>
        </w:rPr>
        <w:t xml:space="preserve">ekovské Lužany (2 651 tis. eur na kanalizáciu a čističku odpadových vôd) a </w:t>
      </w:r>
      <w:r w:rsidRPr="00D715AF">
        <w:rPr>
          <w:color w:val="000000" w:themeColor="text1"/>
          <w:sz w:val="24"/>
          <w:szCs w:val="24"/>
        </w:rPr>
        <w:t>ďalšie obce. Kapitálov</w:t>
      </w:r>
      <w:r w:rsidR="00C006CB" w:rsidRPr="00D715AF">
        <w:rPr>
          <w:color w:val="000000" w:themeColor="text1"/>
          <w:sz w:val="24"/>
          <w:szCs w:val="24"/>
        </w:rPr>
        <w:t>é výdavky boli použité najmä na </w:t>
      </w:r>
      <w:r w:rsidRPr="00D715AF">
        <w:rPr>
          <w:color w:val="000000" w:themeColor="text1"/>
          <w:sz w:val="24"/>
          <w:szCs w:val="24"/>
        </w:rPr>
        <w:t>zníženie energetickej náročnosti budov, vybudovanie zberných dv</w:t>
      </w:r>
      <w:r w:rsidR="00C006CB" w:rsidRPr="00D715AF">
        <w:rPr>
          <w:color w:val="000000" w:themeColor="text1"/>
          <w:sz w:val="24"/>
          <w:szCs w:val="24"/>
        </w:rPr>
        <w:t xml:space="preserve">orov, dobudovanie kanalizácie a </w:t>
      </w:r>
      <w:r w:rsidRPr="00D715AF">
        <w:rPr>
          <w:color w:val="000000" w:themeColor="text1"/>
          <w:sz w:val="24"/>
          <w:szCs w:val="24"/>
        </w:rPr>
        <w:t>čističiek odpadových vôd, rekonš</w:t>
      </w:r>
      <w:r w:rsidR="00C006CB" w:rsidRPr="00D715AF">
        <w:rPr>
          <w:color w:val="000000" w:themeColor="text1"/>
          <w:sz w:val="24"/>
          <w:szCs w:val="24"/>
        </w:rPr>
        <w:t xml:space="preserve">trukcie kotolní a </w:t>
      </w:r>
      <w:r w:rsidRPr="00D715AF">
        <w:rPr>
          <w:color w:val="000000" w:themeColor="text1"/>
          <w:sz w:val="24"/>
          <w:szCs w:val="24"/>
        </w:rPr>
        <w:t xml:space="preserve">iné. Z bežných výdavkov bola čiastka 2 251 tis. eur taktiež poskytnutá v rámci Operačného programu Kvalita životného prostredia (napr. na účely riešenia biologicky rozložiteľných komunálnych odpadov, na obstaranie záhradných </w:t>
      </w:r>
      <w:proofErr w:type="spellStart"/>
      <w:r w:rsidRPr="00D715AF">
        <w:rPr>
          <w:color w:val="000000" w:themeColor="text1"/>
          <w:sz w:val="24"/>
          <w:szCs w:val="24"/>
        </w:rPr>
        <w:t>kompostérov</w:t>
      </w:r>
      <w:proofErr w:type="spellEnd"/>
      <w:r w:rsidRPr="00D715AF">
        <w:rPr>
          <w:color w:val="000000" w:themeColor="text1"/>
          <w:sz w:val="24"/>
          <w:szCs w:val="24"/>
        </w:rPr>
        <w:t>).</w:t>
      </w:r>
    </w:p>
    <w:p w14:paraId="74AFC341" w14:textId="3D512155" w:rsidR="004C03DD" w:rsidRPr="00D715AF" w:rsidRDefault="00151F12" w:rsidP="001665F3">
      <w:pPr>
        <w:spacing w:line="240" w:lineRule="auto"/>
        <w:rPr>
          <w:rFonts w:cs="Times New Roman"/>
          <w:bCs/>
          <w:color w:val="000000" w:themeColor="text1"/>
          <w:sz w:val="24"/>
          <w:szCs w:val="24"/>
        </w:rPr>
      </w:pPr>
      <w:r w:rsidRPr="00D715AF">
        <w:rPr>
          <w:color w:val="000000" w:themeColor="text1"/>
          <w:sz w:val="24"/>
          <w:szCs w:val="24"/>
        </w:rPr>
        <w:t xml:space="preserve">Z rozpočtovej kapitoly </w:t>
      </w:r>
      <w:r w:rsidRPr="00D715AF">
        <w:rPr>
          <w:color w:val="000000" w:themeColor="text1"/>
          <w:sz w:val="24"/>
          <w:szCs w:val="24"/>
          <w:u w:val="single"/>
        </w:rPr>
        <w:t>Ministerstva pôdohospodárstva a rozvoja vidieka SR</w:t>
      </w:r>
      <w:r w:rsidRPr="00D715AF">
        <w:rPr>
          <w:b/>
          <w:color w:val="000000" w:themeColor="text1"/>
          <w:sz w:val="24"/>
          <w:szCs w:val="24"/>
        </w:rPr>
        <w:t xml:space="preserve"> </w:t>
      </w:r>
      <w:r w:rsidRPr="00D715AF">
        <w:rPr>
          <w:color w:val="000000" w:themeColor="text1"/>
          <w:sz w:val="24"/>
          <w:szCs w:val="24"/>
        </w:rPr>
        <w:t xml:space="preserve">boli poskytnuté obciam celkové prostriedky v sume 69 587 tis. eur, z toho kapitálové transfery v celkovej sume 68 784 tis. eur. </w:t>
      </w:r>
      <w:r w:rsidRPr="00D715AF">
        <w:rPr>
          <w:rFonts w:cs="Times New Roman"/>
          <w:bCs/>
          <w:sz w:val="24"/>
          <w:szCs w:val="24"/>
        </w:rPr>
        <w:t>Čerpanie sa týkalo výlučne poskytnutia prostriedkov EÚ a spolufinancovania zo štátneho rozpočtu z poľnohospodárskych fondov a z Európskeho fondu regionálneho rozvoja. Z Európskeho poľnohospodárskeho fondu pre rozvoj vidieka 2014-2020 bola poskytnutá celková čiastka 35 275 tis. eur</w:t>
      </w:r>
      <w:r w:rsidR="00E05FE9" w:rsidRPr="00D715AF">
        <w:rPr>
          <w:rFonts w:cs="Times New Roman"/>
          <w:bCs/>
          <w:sz w:val="24"/>
          <w:szCs w:val="24"/>
        </w:rPr>
        <w:t xml:space="preserve">. </w:t>
      </w:r>
      <w:r w:rsidR="00C00D3A" w:rsidRPr="00D715AF">
        <w:rPr>
          <w:bCs/>
          <w:color w:val="000000" w:themeColor="text1"/>
          <w:sz w:val="24"/>
          <w:szCs w:val="24"/>
        </w:rPr>
        <w:t>Prostriedky čerpali obce najmä na prestavby, rekonštrukcie a modernizácie domov smútku vrátane ich okolia a výstavbu nových, ďalej na investície súvisiace so zvyšovaním kvality života obyvateľov –</w:t>
      </w:r>
      <w:r w:rsidR="00E05FE9" w:rsidRPr="00D715AF">
        <w:rPr>
          <w:bCs/>
          <w:color w:val="000000" w:themeColor="text1"/>
          <w:sz w:val="24"/>
          <w:szCs w:val="24"/>
        </w:rPr>
        <w:t xml:space="preserve"> </w:t>
      </w:r>
      <w:r w:rsidR="00C00D3A" w:rsidRPr="00D715AF">
        <w:rPr>
          <w:bCs/>
          <w:color w:val="000000" w:themeColor="text1"/>
          <w:sz w:val="24"/>
          <w:szCs w:val="24"/>
        </w:rPr>
        <w:t>odstraňovan</w:t>
      </w:r>
      <w:r w:rsidR="00E05FE9" w:rsidRPr="00D715AF">
        <w:rPr>
          <w:bCs/>
          <w:color w:val="000000" w:themeColor="text1"/>
          <w:sz w:val="24"/>
          <w:szCs w:val="24"/>
        </w:rPr>
        <w:t>ie</w:t>
      </w:r>
      <w:r w:rsidR="00C00D3A" w:rsidRPr="00D715AF">
        <w:rPr>
          <w:bCs/>
          <w:color w:val="000000" w:themeColor="text1"/>
          <w:sz w:val="24"/>
          <w:szCs w:val="24"/>
        </w:rPr>
        <w:t xml:space="preserve"> divokých skládok odpadov resp.</w:t>
      </w:r>
      <w:r w:rsidR="007E7471">
        <w:rPr>
          <w:bCs/>
          <w:color w:val="000000" w:themeColor="text1"/>
          <w:sz w:val="24"/>
          <w:szCs w:val="24"/>
        </w:rPr>
        <w:t> </w:t>
      </w:r>
      <w:r w:rsidR="00C00D3A" w:rsidRPr="00D715AF">
        <w:rPr>
          <w:bCs/>
          <w:color w:val="000000" w:themeColor="text1"/>
          <w:sz w:val="24"/>
          <w:szCs w:val="24"/>
        </w:rPr>
        <w:t>opusteného odpadu, nákup prídavných zariadení na komunálnu techniku na čistenie, údržbu zelene a zimnú údržbu miestnych komunikáci</w:t>
      </w:r>
      <w:r w:rsidR="00E05FE9" w:rsidRPr="00D715AF">
        <w:rPr>
          <w:bCs/>
          <w:color w:val="000000" w:themeColor="text1"/>
          <w:sz w:val="24"/>
          <w:szCs w:val="24"/>
        </w:rPr>
        <w:t xml:space="preserve">í a chodníkov </w:t>
      </w:r>
      <w:r w:rsidR="00C00D3A" w:rsidRPr="00D715AF">
        <w:rPr>
          <w:bCs/>
          <w:color w:val="000000" w:themeColor="text1"/>
          <w:sz w:val="24"/>
          <w:szCs w:val="24"/>
        </w:rPr>
        <w:t>a investície súvisiace so zvýšením bezpečnosti a prevencie proti vandalizmu na verejných priestoroch (montáž kamerových systémov a iných bezpečnostných prvkov).</w:t>
      </w:r>
      <w:r w:rsidR="004C03DD" w:rsidRPr="00D715AF">
        <w:rPr>
          <w:bCs/>
          <w:color w:val="0070C0"/>
          <w:sz w:val="24"/>
          <w:szCs w:val="24"/>
        </w:rPr>
        <w:t xml:space="preserve"> </w:t>
      </w:r>
      <w:r w:rsidR="004C03DD" w:rsidRPr="00D715AF">
        <w:rPr>
          <w:bCs/>
          <w:color w:val="000000" w:themeColor="text1"/>
          <w:sz w:val="24"/>
          <w:szCs w:val="24"/>
        </w:rPr>
        <w:t>Pre ďalších prijímateľov boli poskytnuté finančné prostriedky na výstavbu, rekonštrukciu, modernizáciu, dostavbu kanalizácie, vodovodu alebo čistiarne odpadových vôd, odvodňovacích kanálov, prehlbovanie existujúcich obecných studní,</w:t>
      </w:r>
      <w:r w:rsidR="004C03DD" w:rsidRPr="00D715AF">
        <w:rPr>
          <w:color w:val="000000" w:themeColor="text1"/>
          <w:sz w:val="24"/>
          <w:szCs w:val="24"/>
        </w:rPr>
        <w:t xml:space="preserve"> z</w:t>
      </w:r>
      <w:r w:rsidR="004C03DD" w:rsidRPr="00D715AF">
        <w:rPr>
          <w:bCs/>
          <w:color w:val="000000" w:themeColor="text1"/>
          <w:sz w:val="24"/>
          <w:szCs w:val="24"/>
        </w:rPr>
        <w:t>lepšenie vzhľadu obcí – úprava a tvorba verejných priestranstiev, námestí, parkov a pod.</w:t>
      </w:r>
    </w:p>
    <w:p w14:paraId="7A77FEB0" w14:textId="6E74C3D9" w:rsidR="00151F12" w:rsidRPr="00D715AF" w:rsidRDefault="00151F12" w:rsidP="001665F3">
      <w:pPr>
        <w:spacing w:line="240" w:lineRule="auto"/>
        <w:rPr>
          <w:rFonts w:cs="Times New Roman"/>
          <w:color w:val="000000" w:themeColor="text1"/>
          <w:sz w:val="24"/>
          <w:szCs w:val="24"/>
        </w:rPr>
      </w:pPr>
      <w:r w:rsidRPr="00D715AF">
        <w:rPr>
          <w:rFonts w:cs="Times New Roman"/>
          <w:bCs/>
          <w:sz w:val="24"/>
          <w:szCs w:val="24"/>
        </w:rPr>
        <w:t xml:space="preserve">Z Európskeho fondu regionálneho rozvoja 2014-2020 boli vyplatené </w:t>
      </w:r>
      <w:r w:rsidRPr="00D715AF">
        <w:rPr>
          <w:rFonts w:cs="Times New Roman"/>
          <w:sz w:val="24"/>
          <w:szCs w:val="24"/>
        </w:rPr>
        <w:t>nenávratné finančné príspevky v celkovom objeme 33 509 tis. </w:t>
      </w:r>
      <w:r w:rsidRPr="00D715AF">
        <w:rPr>
          <w:rFonts w:cs="Times New Roman"/>
          <w:bCs/>
          <w:sz w:val="24"/>
          <w:szCs w:val="24"/>
        </w:rPr>
        <w:t xml:space="preserve">eur. </w:t>
      </w:r>
      <w:r w:rsidRPr="00D715AF">
        <w:rPr>
          <w:rFonts w:cs="Times New Roman"/>
          <w:bCs/>
          <w:color w:val="000000" w:themeColor="text1"/>
          <w:sz w:val="24"/>
          <w:szCs w:val="24"/>
        </w:rPr>
        <w:t xml:space="preserve">Z tohto objemu boli prostredníctvom </w:t>
      </w:r>
      <w:r w:rsidRPr="00D715AF">
        <w:rPr>
          <w:rFonts w:cs="Times New Roman"/>
          <w:color w:val="000000" w:themeColor="text1"/>
          <w:sz w:val="24"/>
          <w:szCs w:val="24"/>
        </w:rPr>
        <w:t xml:space="preserve">Integrovaného regionálneho operačného programu 2014-2020 poskytnuté prostriedky v sume 31 686 tis. eur (z toho najmä v rámci </w:t>
      </w:r>
      <w:r w:rsidRPr="00D715AF">
        <w:rPr>
          <w:rFonts w:cs="Times New Roman"/>
          <w:bCs/>
          <w:color w:val="000000" w:themeColor="text1"/>
          <w:sz w:val="24"/>
          <w:szCs w:val="24"/>
        </w:rPr>
        <w:t xml:space="preserve">prioritnej osi </w:t>
      </w:r>
      <w:r w:rsidRPr="00D715AF">
        <w:rPr>
          <w:rFonts w:cs="Times New Roman"/>
          <w:color w:val="000000" w:themeColor="text1"/>
          <w:sz w:val="24"/>
          <w:szCs w:val="24"/>
        </w:rPr>
        <w:t>Ľahší prístup k efektívnym a kvalitnejším s</w:t>
      </w:r>
      <w:r w:rsidR="00E00F3E" w:rsidRPr="00D715AF">
        <w:rPr>
          <w:rFonts w:cs="Times New Roman"/>
          <w:color w:val="000000" w:themeColor="text1"/>
          <w:sz w:val="24"/>
          <w:szCs w:val="24"/>
        </w:rPr>
        <w:t>lužbám čiastka 19 685 tis. eur,</w:t>
      </w:r>
      <w:r w:rsidRPr="00D715AF">
        <w:rPr>
          <w:rFonts w:cs="Times New Roman"/>
          <w:color w:val="000000" w:themeColor="text1"/>
          <w:sz w:val="24"/>
          <w:szCs w:val="24"/>
        </w:rPr>
        <w:t xml:space="preserve"> prioritnej osi </w:t>
      </w:r>
      <w:r w:rsidRPr="00D715AF">
        <w:rPr>
          <w:rFonts w:cs="Times New Roman"/>
          <w:bCs/>
          <w:color w:val="000000" w:themeColor="text1"/>
          <w:sz w:val="24"/>
          <w:szCs w:val="24"/>
        </w:rPr>
        <w:t xml:space="preserve">Bezpečná a ekologická doprava v regiónoch čiastka 7 180 tis. eur, </w:t>
      </w:r>
      <w:r w:rsidRPr="00D715AF">
        <w:rPr>
          <w:rFonts w:cs="Times New Roman"/>
          <w:color w:val="000000" w:themeColor="text1"/>
          <w:sz w:val="24"/>
          <w:szCs w:val="24"/>
        </w:rPr>
        <w:t xml:space="preserve">prioritnej osi Zlepšenie kvality života v regiónoch s dôrazom na životné prostredie čiastka 4 815 tis. eur). Prostredníctvom Operačného programu cezhraničnej spolupráce </w:t>
      </w:r>
      <w:proofErr w:type="spellStart"/>
      <w:r w:rsidRPr="00D715AF">
        <w:rPr>
          <w:rFonts w:cs="Times New Roman"/>
          <w:color w:val="000000" w:themeColor="text1"/>
          <w:sz w:val="24"/>
          <w:szCs w:val="24"/>
        </w:rPr>
        <w:t>Interreg</w:t>
      </w:r>
      <w:proofErr w:type="spellEnd"/>
      <w:r w:rsidRPr="00D715AF">
        <w:rPr>
          <w:rFonts w:cs="Times New Roman"/>
          <w:color w:val="000000" w:themeColor="text1"/>
          <w:sz w:val="24"/>
          <w:szCs w:val="24"/>
        </w:rPr>
        <w:t xml:space="preserve"> V-A Slovensko – Česká republika 2014-2020 boli poskytnuté nenávratné finančné príspevky v sume 1 390 tis. eur najmä v rámci prioritnej osi Kvalitné životné prostredie.</w:t>
      </w:r>
    </w:p>
    <w:p w14:paraId="68728E03" w14:textId="108A5DB0" w:rsidR="00151F12" w:rsidRPr="00D715AF" w:rsidRDefault="00151F12" w:rsidP="001665F3">
      <w:pPr>
        <w:spacing w:line="240" w:lineRule="auto"/>
        <w:rPr>
          <w:color w:val="000000" w:themeColor="text1"/>
          <w:sz w:val="24"/>
          <w:szCs w:val="24"/>
        </w:rPr>
      </w:pPr>
      <w:r w:rsidRPr="00D715AF">
        <w:rPr>
          <w:color w:val="000000" w:themeColor="text1"/>
          <w:sz w:val="24"/>
          <w:szCs w:val="24"/>
        </w:rPr>
        <w:t xml:space="preserve">V kapitole </w:t>
      </w:r>
      <w:r w:rsidRPr="00D715AF">
        <w:rPr>
          <w:color w:val="000000" w:themeColor="text1"/>
          <w:sz w:val="24"/>
          <w:szCs w:val="24"/>
          <w:u w:val="single"/>
        </w:rPr>
        <w:t>Ministerstva dopravy a výstavby SR</w:t>
      </w:r>
      <w:r w:rsidRPr="00D715AF">
        <w:rPr>
          <w:color w:val="000000" w:themeColor="text1"/>
          <w:sz w:val="24"/>
          <w:szCs w:val="24"/>
        </w:rPr>
        <w:t xml:space="preserve"> bolo vo forme bežných a kapitálových grantov a transferov pre obce poukázaných 68 566 tis. eur.</w:t>
      </w:r>
      <w:r w:rsidRPr="00D715AF">
        <w:rPr>
          <w:color w:val="FF0000"/>
          <w:sz w:val="24"/>
          <w:szCs w:val="24"/>
        </w:rPr>
        <w:t xml:space="preserve"> </w:t>
      </w:r>
      <w:r w:rsidRPr="00D715AF">
        <w:rPr>
          <w:color w:val="000000" w:themeColor="text1"/>
          <w:sz w:val="24"/>
          <w:szCs w:val="24"/>
        </w:rPr>
        <w:t xml:space="preserve">Z kapitálových výdavkov bolo 43 102 tis. eur vynaložených na modernizáciu električkových tratí Dúbravsko-Karloveskej </w:t>
      </w:r>
      <w:proofErr w:type="spellStart"/>
      <w:r w:rsidRPr="00D715AF">
        <w:rPr>
          <w:color w:val="000000" w:themeColor="text1"/>
          <w:sz w:val="24"/>
          <w:szCs w:val="24"/>
        </w:rPr>
        <w:t>radiály</w:t>
      </w:r>
      <w:proofErr w:type="spellEnd"/>
      <w:r w:rsidRPr="00D715AF">
        <w:rPr>
          <w:color w:val="000000" w:themeColor="text1"/>
          <w:sz w:val="24"/>
          <w:szCs w:val="24"/>
        </w:rPr>
        <w:t xml:space="preserve"> v Bratislave, suma 12 109 tis. eur na rozvoj cyklistickej dopravy a cykloturistiky a 3 374 tis. eur na výstavbu a obnovu bytového fondu (dotácie na obstaranie nájomných bytov a obstaranie ich technickej vybavenosti).</w:t>
      </w:r>
    </w:p>
    <w:p w14:paraId="0DBEEE79" w14:textId="77777777" w:rsidR="00151F12" w:rsidRPr="00D715AF" w:rsidRDefault="00151F12" w:rsidP="001665F3">
      <w:pPr>
        <w:spacing w:line="240" w:lineRule="auto"/>
        <w:rPr>
          <w:rFonts w:cs="Times New Roman"/>
          <w:color w:val="000000" w:themeColor="text1"/>
          <w:sz w:val="24"/>
          <w:szCs w:val="24"/>
        </w:rPr>
      </w:pPr>
      <w:r w:rsidRPr="00D715AF">
        <w:rPr>
          <w:color w:val="000000" w:themeColor="text1"/>
          <w:sz w:val="24"/>
          <w:szCs w:val="24"/>
          <w:u w:val="single"/>
        </w:rPr>
        <w:t>Ministerstvo investícií, regionálneho rozvoja a informatizácie SR</w:t>
      </w:r>
      <w:r w:rsidRPr="00D715AF">
        <w:rPr>
          <w:b/>
          <w:color w:val="000000" w:themeColor="text1"/>
          <w:sz w:val="24"/>
          <w:szCs w:val="24"/>
        </w:rPr>
        <w:t xml:space="preserve"> </w:t>
      </w:r>
      <w:r w:rsidRPr="00D715AF">
        <w:rPr>
          <w:color w:val="000000" w:themeColor="text1"/>
          <w:sz w:val="24"/>
          <w:szCs w:val="24"/>
        </w:rPr>
        <w:t xml:space="preserve">poskytlo obciam celkovú sumu 42 214 tis. eur, z toho v rámci kapitálových výdavkov čiastku 40 892 tis. eur. Z nej suma 18 159 tis. eur bola poskytnutá v rámci programu Ľahší prístup k efektívnym a kvalitnejším službám, 8 726 tis. eur predstavovali regionálne príspevky </w:t>
      </w:r>
      <w:r w:rsidRPr="00D715AF">
        <w:rPr>
          <w:rFonts w:cs="Times New Roman"/>
          <w:color w:val="000000" w:themeColor="text1"/>
          <w:sz w:val="24"/>
          <w:szCs w:val="24"/>
        </w:rPr>
        <w:t>pre najmenej rozvinuté okresy v zmysle zákona č. 336/2015 Z. z. o podpore najmenej rozvinutých okresov v znení neskorších predpisov. Čiastka 6 382 tis. eur sa poskytla na ochranu prírodného a kultúrneho dedičstva a biodiverzity a suma 6 253 tis. eur na zlepšenie kvality života v regiónoch s dôrazom na životné prostredie.</w:t>
      </w:r>
    </w:p>
    <w:p w14:paraId="70CF4237" w14:textId="2738D42C" w:rsidR="00151F12" w:rsidRPr="00D715AF" w:rsidRDefault="00151F12" w:rsidP="001665F3">
      <w:pPr>
        <w:spacing w:line="240" w:lineRule="auto"/>
        <w:rPr>
          <w:rFonts w:cs="Times New Roman"/>
          <w:color w:val="000000" w:themeColor="text1"/>
          <w:sz w:val="24"/>
          <w:szCs w:val="24"/>
        </w:rPr>
      </w:pPr>
      <w:r w:rsidRPr="00D715AF">
        <w:rPr>
          <w:color w:val="000000" w:themeColor="text1"/>
          <w:sz w:val="24"/>
          <w:szCs w:val="24"/>
        </w:rPr>
        <w:t xml:space="preserve">Z kapitoly </w:t>
      </w:r>
      <w:r w:rsidRPr="00D715AF">
        <w:rPr>
          <w:color w:val="000000" w:themeColor="text1"/>
          <w:sz w:val="24"/>
          <w:szCs w:val="24"/>
          <w:u w:val="single"/>
        </w:rPr>
        <w:t>Všeobecná pokladničná správa</w:t>
      </w:r>
      <w:r w:rsidRPr="00D715AF">
        <w:rPr>
          <w:color w:val="000000" w:themeColor="text1"/>
          <w:sz w:val="24"/>
          <w:szCs w:val="24"/>
        </w:rPr>
        <w:t xml:space="preserve"> boli obciam poskytnuté dotácie v celkovej čiastke 29 831 tis. eur </w:t>
      </w:r>
      <w:r w:rsidRPr="00D715AF">
        <w:rPr>
          <w:rFonts w:cs="Times New Roman"/>
          <w:color w:val="000000" w:themeColor="text1"/>
          <w:sz w:val="24"/>
          <w:szCs w:val="24"/>
        </w:rPr>
        <w:t>v súlade so zákonom o štátnom rozpočte a podľa výnosu</w:t>
      </w:r>
      <w:r w:rsidRPr="00D715AF">
        <w:rPr>
          <w:rStyle w:val="Odkaznapoznmkupodiarou"/>
          <w:rFonts w:cs="Times New Roman"/>
          <w:color w:val="000000" w:themeColor="text1"/>
          <w:sz w:val="24"/>
          <w:szCs w:val="24"/>
        </w:rPr>
        <w:footnoteReference w:id="39"/>
      </w:r>
      <w:r w:rsidRPr="00D715AF">
        <w:rPr>
          <w:rFonts w:cs="Times New Roman"/>
          <w:color w:val="000000" w:themeColor="text1"/>
          <w:sz w:val="24"/>
          <w:szCs w:val="24"/>
        </w:rPr>
        <w:t xml:space="preserve"> Ministerstva financií Slovenskej republiky na základe uznesení vlády Slovenskej republiky, predovšetkým na</w:t>
      </w:r>
      <w:r w:rsidR="00C006CB" w:rsidRPr="00D715AF">
        <w:rPr>
          <w:rFonts w:cs="Times New Roman"/>
          <w:color w:val="000000" w:themeColor="text1"/>
          <w:sz w:val="24"/>
          <w:szCs w:val="24"/>
        </w:rPr>
        <w:t> </w:t>
      </w:r>
      <w:r w:rsidRPr="00D715AF">
        <w:rPr>
          <w:rFonts w:cs="Times New Roman"/>
          <w:color w:val="000000" w:themeColor="text1"/>
          <w:sz w:val="24"/>
          <w:szCs w:val="24"/>
        </w:rPr>
        <w:t xml:space="preserve">usporiadanie významných výročí v roku 2020 a na športovú infraštruktúru. Dotácie na individuálne potreby obcí neboli v roku 2020 poskytnuté. </w:t>
      </w:r>
    </w:p>
    <w:p w14:paraId="5A2C22E7" w14:textId="4420B1E0" w:rsidR="00151F12" w:rsidRDefault="00151F12" w:rsidP="001665F3">
      <w:pPr>
        <w:spacing w:line="240" w:lineRule="auto"/>
        <w:rPr>
          <w:rFonts w:cs="Times New Roman"/>
          <w:sz w:val="24"/>
          <w:szCs w:val="24"/>
        </w:rPr>
      </w:pPr>
      <w:r w:rsidRPr="00D715AF">
        <w:rPr>
          <w:rFonts w:cs="Times New Roman"/>
          <w:color w:val="000000" w:themeColor="text1"/>
          <w:sz w:val="24"/>
          <w:szCs w:val="24"/>
        </w:rPr>
        <w:t xml:space="preserve">Zákonom o štátnom rozpočte bola poskytnutá čiastka 5 380 tis. eur na záchranu a obnovu kultúrnych pamiatok. </w:t>
      </w:r>
      <w:r w:rsidR="00DD21F8" w:rsidRPr="00DD21F8">
        <w:rPr>
          <w:rFonts w:cs="Times New Roman"/>
          <w:sz w:val="24"/>
          <w:szCs w:val="24"/>
        </w:rPr>
        <w:t>Na základe uznesenia vlády SR č. 574/201</w:t>
      </w:r>
      <w:r w:rsidR="00DD21F8">
        <w:rPr>
          <w:rFonts w:cs="Times New Roman"/>
          <w:sz w:val="24"/>
          <w:szCs w:val="24"/>
        </w:rPr>
        <w:t>9 boli poukázané prostriedky 10 000 tis. </w:t>
      </w:r>
      <w:r w:rsidR="00DD21F8" w:rsidRPr="00DD21F8">
        <w:rPr>
          <w:rFonts w:cs="Times New Roman"/>
          <w:sz w:val="24"/>
          <w:szCs w:val="24"/>
        </w:rPr>
        <w:t>eur na riešenie aktuálnych potrieb mesta Bratislava ako hlavného mesta Slovenskej republiky</w:t>
      </w:r>
      <w:r w:rsidR="00DD21F8" w:rsidRPr="00D715AF">
        <w:rPr>
          <w:rFonts w:cs="Times New Roman"/>
          <w:color w:val="000000" w:themeColor="text1"/>
          <w:sz w:val="24"/>
          <w:szCs w:val="24"/>
        </w:rPr>
        <w:t xml:space="preserve"> </w:t>
      </w:r>
      <w:r w:rsidR="00DD21F8">
        <w:rPr>
          <w:rFonts w:cs="Times New Roman"/>
          <w:color w:val="000000" w:themeColor="text1"/>
          <w:sz w:val="24"/>
          <w:szCs w:val="24"/>
        </w:rPr>
        <w:t>Ďalšie prostriedky</w:t>
      </w:r>
      <w:r w:rsidRPr="00D715AF">
        <w:rPr>
          <w:rFonts w:cs="Times New Roman"/>
          <w:color w:val="000000" w:themeColor="text1"/>
          <w:sz w:val="24"/>
          <w:szCs w:val="24"/>
        </w:rPr>
        <w:t xml:space="preserve"> boli poukázané </w:t>
      </w:r>
      <w:r w:rsidRPr="00D715AF">
        <w:rPr>
          <w:rFonts w:cs="Times New Roman"/>
          <w:sz w:val="24"/>
          <w:szCs w:val="24"/>
        </w:rPr>
        <w:t>pre potreby okresu Stará Ľubovňa (2 102 tis. eur), na organizačné a finančné zabezpečenie podujatí k 75. výročiu ukončenia druhej svetovej vojny (1 443 tis. eur) a ďalšie.</w:t>
      </w:r>
    </w:p>
    <w:p w14:paraId="6A43D98C" w14:textId="77777777" w:rsidR="00151F12" w:rsidRPr="00D715AF" w:rsidRDefault="00151F12" w:rsidP="001665F3">
      <w:pPr>
        <w:spacing w:line="240" w:lineRule="auto"/>
        <w:rPr>
          <w:rFonts w:eastAsia="Times New Roman"/>
          <w:sz w:val="24"/>
          <w:szCs w:val="24"/>
        </w:rPr>
      </w:pPr>
      <w:r w:rsidRPr="00D715AF">
        <w:rPr>
          <w:color w:val="000000" w:themeColor="text1"/>
          <w:sz w:val="24"/>
          <w:szCs w:val="24"/>
        </w:rPr>
        <w:t xml:space="preserve">Z kapitoly </w:t>
      </w:r>
      <w:r w:rsidRPr="00D715AF">
        <w:rPr>
          <w:color w:val="000000" w:themeColor="text1"/>
          <w:sz w:val="24"/>
          <w:szCs w:val="24"/>
          <w:u w:val="single"/>
        </w:rPr>
        <w:t>Ministerstva školstva, vedy, výskumu a športu SR</w:t>
      </w:r>
      <w:r w:rsidRPr="00D715AF">
        <w:rPr>
          <w:b/>
          <w:color w:val="000000" w:themeColor="text1"/>
          <w:sz w:val="24"/>
          <w:szCs w:val="24"/>
        </w:rPr>
        <w:t xml:space="preserve"> </w:t>
      </w:r>
      <w:r w:rsidRPr="00D715AF">
        <w:rPr>
          <w:color w:val="000000" w:themeColor="text1"/>
          <w:sz w:val="24"/>
          <w:szCs w:val="24"/>
        </w:rPr>
        <w:t>bola obciam poskytnutá celková čiastka 16 266 tis. eur, z toho bežné prostriedky v sume 15 640 tis. eur. Najväčšia čiastka 15 623 tis. eur bola poskytnutá obciam a základným školám v zriaďovateľskej pôsobnosti obcí z prostriedkov EÚ a spolufinancovania v rámci výziev ,,</w:t>
      </w:r>
      <w:r w:rsidRPr="00D715AF">
        <w:rPr>
          <w:rFonts w:eastAsia="Times New Roman"/>
          <w:sz w:val="24"/>
          <w:szCs w:val="24"/>
        </w:rPr>
        <w:t>V základnej škole úspešnejší s horizontálnymi princípmi ako investovanie do vzdelávania, zručností a celoživotného vzdelávania a podpora sociálneho začlenenia a boj proti chudobe“ a taktiež ,,Čitateľská, matematická a prírodovedná gramotnosť v základnej škole s horizontálnymi princípmi ako investovanie do vzdelávania, zručností a celoživotného vzdelávania“.</w:t>
      </w:r>
    </w:p>
    <w:p w14:paraId="47FDC3B3" w14:textId="311751E7" w:rsidR="00151F12" w:rsidRPr="00D715AF" w:rsidRDefault="00151F12" w:rsidP="001665F3">
      <w:pPr>
        <w:spacing w:line="240" w:lineRule="auto"/>
        <w:rPr>
          <w:rFonts w:eastAsia="Times New Roman"/>
          <w:color w:val="000000" w:themeColor="text1"/>
          <w:sz w:val="24"/>
          <w:szCs w:val="24"/>
        </w:rPr>
      </w:pPr>
      <w:r w:rsidRPr="00D715AF">
        <w:rPr>
          <w:rFonts w:eastAsia="Times New Roman"/>
          <w:color w:val="000000" w:themeColor="text1"/>
          <w:sz w:val="24"/>
          <w:szCs w:val="24"/>
          <w:u w:val="single"/>
        </w:rPr>
        <w:t>Štatistický úrad SR</w:t>
      </w:r>
      <w:r w:rsidRPr="00D715AF">
        <w:rPr>
          <w:rFonts w:eastAsia="Times New Roman"/>
          <w:b/>
          <w:color w:val="000000" w:themeColor="text1"/>
          <w:sz w:val="24"/>
          <w:szCs w:val="24"/>
        </w:rPr>
        <w:t xml:space="preserve"> </w:t>
      </w:r>
      <w:r w:rsidRPr="00D715AF">
        <w:rPr>
          <w:rFonts w:eastAsia="Times New Roman"/>
          <w:sz w:val="24"/>
          <w:szCs w:val="24"/>
        </w:rPr>
        <w:t xml:space="preserve">poskytol obciam celkovú sumu 11 136 tis. eur formou bežných výdavkov na úhradu nákladov preneseného výkonu štátnej správy </w:t>
      </w:r>
      <w:r w:rsidRPr="00D715AF">
        <w:rPr>
          <w:rFonts w:cs="Times New Roman"/>
          <w:color w:val="000000" w:themeColor="text1"/>
          <w:sz w:val="24"/>
          <w:szCs w:val="24"/>
        </w:rPr>
        <w:t>v rámci 1. etapy sčítania obyvateľov, domov a bytov 2021, a to na sčítanie domov a bytov, ktoré sa uskutočnilo v roku 2020.</w:t>
      </w:r>
    </w:p>
    <w:p w14:paraId="6D497CD2" w14:textId="4737638F" w:rsidR="00151F12" w:rsidRPr="00D715AF" w:rsidRDefault="00151F12" w:rsidP="001665F3">
      <w:pPr>
        <w:spacing w:line="240" w:lineRule="auto"/>
        <w:rPr>
          <w:color w:val="000000" w:themeColor="text1"/>
          <w:sz w:val="24"/>
          <w:szCs w:val="24"/>
        </w:rPr>
      </w:pPr>
      <w:r w:rsidRPr="00D715AF">
        <w:rPr>
          <w:b/>
          <w:color w:val="000000" w:themeColor="text1"/>
          <w:sz w:val="24"/>
          <w:szCs w:val="24"/>
        </w:rPr>
        <w:t>Podľa zákona č. 564/2004 Z. z. o rozpočtovom určení výnosu dane z príjmov bolo 70,0 %</w:t>
      </w:r>
      <w:r w:rsidRPr="00D715AF">
        <w:rPr>
          <w:color w:val="000000" w:themeColor="text1"/>
          <w:sz w:val="24"/>
          <w:szCs w:val="24"/>
        </w:rPr>
        <w:t xml:space="preserve"> </w:t>
      </w:r>
      <w:r w:rsidRPr="00D715AF">
        <w:rPr>
          <w:b/>
          <w:color w:val="000000" w:themeColor="text1"/>
          <w:sz w:val="24"/>
          <w:szCs w:val="24"/>
        </w:rPr>
        <w:t>z celkového výnosu dane z príjmov fyzických osôb</w:t>
      </w:r>
      <w:r w:rsidRPr="00D715AF">
        <w:rPr>
          <w:color w:val="000000" w:themeColor="text1"/>
          <w:sz w:val="24"/>
          <w:szCs w:val="24"/>
        </w:rPr>
        <w:t xml:space="preserve"> príjmom rozpočtov obcí, rovnako ako aj v roku 2019. Skutočný (hotovostný) prevod dane z príjmov fyzických osôb do rozpočtov obcí bol vykonaný vo výške 2 202 356 tis. eur vrátane zúčtovania za predchádzajúci rok (2019:</w:t>
      </w:r>
      <w:r w:rsidR="007E7471">
        <w:rPr>
          <w:color w:val="000000" w:themeColor="text1"/>
          <w:sz w:val="24"/>
          <w:szCs w:val="24"/>
        </w:rPr>
        <w:t> </w:t>
      </w:r>
      <w:r w:rsidRPr="00D715AF">
        <w:rPr>
          <w:color w:val="000000" w:themeColor="text1"/>
          <w:sz w:val="24"/>
          <w:szCs w:val="24"/>
        </w:rPr>
        <w:t xml:space="preserve">2 217 254 tis. eur). </w:t>
      </w:r>
    </w:p>
    <w:p w14:paraId="05874DEF" w14:textId="1DB7C5D8" w:rsidR="00BB4F23" w:rsidRPr="003632AE" w:rsidRDefault="00151F12" w:rsidP="001665F3">
      <w:pPr>
        <w:spacing w:line="240" w:lineRule="auto"/>
        <w:rPr>
          <w:b/>
          <w:i/>
        </w:rPr>
      </w:pPr>
      <w:r w:rsidRPr="003632AE">
        <w:rPr>
          <w:b/>
          <w:i/>
        </w:rPr>
        <w:t>Prehľad záväzných limitov dotácií obciam za rok 2020 je uvedený v tabuľkovej časti štátneho záverečného účtu SR, v tabuľke č. 20.</w:t>
      </w:r>
    </w:p>
    <w:p w14:paraId="2E2DA8DE" w14:textId="08881959" w:rsidR="00BB4F23" w:rsidRDefault="00BB4F23" w:rsidP="00870B05">
      <w:pPr>
        <w:jc w:val="left"/>
        <w:rPr>
          <w:b/>
          <w:i/>
        </w:rPr>
      </w:pPr>
    </w:p>
    <w:p w14:paraId="0F039693" w14:textId="1D8077B2" w:rsidR="00C006CB" w:rsidRPr="003632AE" w:rsidRDefault="00C006CB" w:rsidP="00C006CB">
      <w:pPr>
        <w:keepNext/>
        <w:keepLines/>
        <w:spacing w:before="120"/>
        <w:ind w:left="1416" w:firstLine="708"/>
        <w:outlineLvl w:val="2"/>
        <w:rPr>
          <w:rFonts w:eastAsiaTheme="majorEastAsia" w:cstheme="majorBidi"/>
          <w:b/>
          <w:sz w:val="24"/>
          <w:szCs w:val="24"/>
        </w:rPr>
      </w:pPr>
      <w:bookmarkStart w:id="55" w:name="_Toc6415649"/>
      <w:bookmarkStart w:id="56" w:name="_Toc70026102"/>
      <w:r w:rsidRPr="003632AE">
        <w:rPr>
          <w:rFonts w:eastAsiaTheme="majorEastAsia" w:cstheme="majorBidi"/>
          <w:b/>
          <w:sz w:val="24"/>
          <w:szCs w:val="24"/>
        </w:rPr>
        <w:t>3.2.4 Vzťahy štátneho rozpočtu k vyšším územným celkom</w:t>
      </w:r>
      <w:bookmarkEnd w:id="55"/>
      <w:bookmarkEnd w:id="56"/>
    </w:p>
    <w:p w14:paraId="17B42EEA" w14:textId="77777777" w:rsidR="00C006CB" w:rsidRPr="00D715AF" w:rsidRDefault="00C006CB" w:rsidP="008D4C2B">
      <w:pPr>
        <w:suppressAutoHyphens/>
        <w:spacing w:line="240" w:lineRule="auto"/>
        <w:rPr>
          <w:color w:val="FF0000"/>
          <w:sz w:val="24"/>
          <w:szCs w:val="24"/>
        </w:rPr>
      </w:pPr>
      <w:r w:rsidRPr="00D715AF">
        <w:rPr>
          <w:sz w:val="24"/>
          <w:szCs w:val="24"/>
        </w:rPr>
        <w:t xml:space="preserve">V roku 2020 bolo zo štátneho rozpočtu do rozpočtov vyšších územných celkov poskytnutých celkovo 600 779 tis. eur vo forme grantov a transferov, čo je najviac za ostatné tri roky. Bežné granty a transfery tvorili sumu 544 446 tis. eur a kapitálové granty a transfery čiastku 56 333 tis. eur. </w:t>
      </w:r>
    </w:p>
    <w:p w14:paraId="7678929C" w14:textId="77777777" w:rsidR="00C006CB" w:rsidRPr="00D715AF" w:rsidRDefault="00C006CB" w:rsidP="008D4C2B">
      <w:pPr>
        <w:suppressAutoHyphens/>
        <w:spacing w:line="240" w:lineRule="auto"/>
        <w:rPr>
          <w:sz w:val="24"/>
          <w:szCs w:val="24"/>
        </w:rPr>
      </w:pPr>
      <w:r w:rsidRPr="00D715AF">
        <w:rPr>
          <w:sz w:val="24"/>
          <w:szCs w:val="24"/>
        </w:rPr>
        <w:t>Granty a transfery zo zdroja 111 boli poskytnuté z jednotlivých kapitol v celkovej sume 538 228 tis. eur, z toho bežné granty a transfery v čiastke 530 681 tis. eur a kapitálové granty a transfery v čiastke 7 547 tis. eur. Na financovanie kompetencií preneseného výkonu štátnej správy bolo poskytnutých 520 691 tis. eur (2019: 471 446 tis. eur) v celej čiastke z kapitoly Ministerstva školstva, vedy, výskumu a športu SR.</w:t>
      </w:r>
    </w:p>
    <w:p w14:paraId="41E2294B" w14:textId="4B46F808" w:rsidR="00DC663C" w:rsidRDefault="00C006CB" w:rsidP="008D4C2B">
      <w:pPr>
        <w:suppressAutoHyphens/>
        <w:spacing w:line="240" w:lineRule="auto"/>
      </w:pPr>
      <w:r w:rsidRPr="00D715AF">
        <w:rPr>
          <w:sz w:val="24"/>
          <w:szCs w:val="24"/>
        </w:rPr>
        <w:t>Súhrnný prehľad grantov a transferov poskytnutých VÚC podľa funkčnej klasifikácie poskytuje</w:t>
      </w:r>
      <w:r w:rsidRPr="00C006CB">
        <w:t xml:space="preserve"> </w:t>
      </w:r>
    </w:p>
    <w:tbl>
      <w:tblPr>
        <w:tblW w:w="9210" w:type="dxa"/>
        <w:tblCellMar>
          <w:left w:w="70" w:type="dxa"/>
          <w:right w:w="70" w:type="dxa"/>
        </w:tblCellMar>
        <w:tblLook w:val="04A0" w:firstRow="1" w:lastRow="0" w:firstColumn="1" w:lastColumn="0" w:noHBand="0" w:noVBand="1"/>
      </w:tblPr>
      <w:tblGrid>
        <w:gridCol w:w="2749"/>
        <w:gridCol w:w="883"/>
        <w:gridCol w:w="923"/>
        <w:gridCol w:w="923"/>
        <w:gridCol w:w="981"/>
        <w:gridCol w:w="982"/>
        <w:gridCol w:w="866"/>
        <w:gridCol w:w="903"/>
      </w:tblGrid>
      <w:tr w:rsidR="00F24D8C" w:rsidRPr="00070A80" w14:paraId="3B5BC9AC" w14:textId="77777777" w:rsidTr="007E7471">
        <w:trPr>
          <w:trHeight w:val="335"/>
        </w:trPr>
        <w:tc>
          <w:tcPr>
            <w:tcW w:w="8307" w:type="dxa"/>
            <w:gridSpan w:val="7"/>
            <w:tcBorders>
              <w:top w:val="nil"/>
              <w:left w:val="single" w:sz="8" w:space="0" w:color="auto"/>
              <w:bottom w:val="nil"/>
              <w:right w:val="nil"/>
            </w:tcBorders>
            <w:shd w:val="clear" w:color="000000" w:fill="000000"/>
            <w:vAlign w:val="center"/>
            <w:hideMark/>
          </w:tcPr>
          <w:p w14:paraId="45DA3060" w14:textId="77777777" w:rsidR="00F24D8C" w:rsidRPr="00070A80" w:rsidRDefault="00F24D8C" w:rsidP="00F24D8C">
            <w:pPr>
              <w:spacing w:after="0" w:line="240" w:lineRule="auto"/>
              <w:jc w:val="left"/>
              <w:rPr>
                <w:rFonts w:eastAsia="Times New Roman" w:cs="Times New Roman"/>
                <w:b/>
                <w:bCs/>
                <w:color w:val="FFFFFF"/>
                <w:sz w:val="18"/>
                <w:szCs w:val="18"/>
                <w:lang w:eastAsia="sk-SK"/>
              </w:rPr>
            </w:pPr>
            <w:bookmarkStart w:id="57" w:name="RANGE!B5:I17"/>
            <w:r w:rsidRPr="00070A80">
              <w:rPr>
                <w:rFonts w:eastAsia="Times New Roman" w:cs="Times New Roman"/>
                <w:b/>
                <w:bCs/>
                <w:color w:val="FFFFFF"/>
                <w:sz w:val="18"/>
                <w:szCs w:val="18"/>
                <w:lang w:eastAsia="sk-SK"/>
              </w:rPr>
              <w:t>Granty a transfery poskytnuté VÚC podľa oddielov funkčnej klasifikácie</w:t>
            </w:r>
            <w:bookmarkEnd w:id="57"/>
          </w:p>
        </w:tc>
        <w:tc>
          <w:tcPr>
            <w:tcW w:w="903" w:type="dxa"/>
            <w:tcBorders>
              <w:top w:val="nil"/>
              <w:left w:val="nil"/>
              <w:bottom w:val="nil"/>
              <w:right w:val="nil"/>
            </w:tcBorders>
            <w:shd w:val="clear" w:color="000000" w:fill="000000"/>
            <w:noWrap/>
            <w:vAlign w:val="bottom"/>
            <w:hideMark/>
          </w:tcPr>
          <w:p w14:paraId="5E7EA3B9" w14:textId="776AA763" w:rsidR="00F24D8C" w:rsidRPr="00070A80" w:rsidRDefault="00F24D8C" w:rsidP="00F24D8C">
            <w:pPr>
              <w:spacing w:after="0" w:line="240" w:lineRule="auto"/>
              <w:jc w:val="right"/>
              <w:rPr>
                <w:rFonts w:eastAsia="Times New Roman" w:cs="Times New Roman"/>
                <w:b/>
                <w:bCs/>
                <w:color w:val="FFFFFF"/>
                <w:sz w:val="18"/>
                <w:szCs w:val="18"/>
                <w:lang w:eastAsia="sk-SK"/>
              </w:rPr>
            </w:pPr>
            <w:r w:rsidRPr="00070A80">
              <w:rPr>
                <w:rFonts w:eastAsia="Times New Roman" w:cs="Times New Roman"/>
                <w:b/>
                <w:bCs/>
                <w:color w:val="FFFFFF"/>
                <w:sz w:val="18"/>
                <w:szCs w:val="18"/>
                <w:lang w:eastAsia="sk-SK"/>
              </w:rPr>
              <w:t>v tis.</w:t>
            </w:r>
            <w:r w:rsidR="00070A80">
              <w:rPr>
                <w:rFonts w:eastAsia="Times New Roman" w:cs="Times New Roman"/>
                <w:b/>
                <w:bCs/>
                <w:color w:val="FFFFFF"/>
                <w:sz w:val="18"/>
                <w:szCs w:val="18"/>
                <w:lang w:eastAsia="sk-SK"/>
              </w:rPr>
              <w:t xml:space="preserve"> </w:t>
            </w:r>
            <w:r w:rsidRPr="00070A80">
              <w:rPr>
                <w:rFonts w:eastAsia="Times New Roman" w:cs="Times New Roman"/>
                <w:b/>
                <w:bCs/>
                <w:color w:val="FFFFFF"/>
                <w:sz w:val="18"/>
                <w:szCs w:val="18"/>
                <w:lang w:eastAsia="sk-SK"/>
              </w:rPr>
              <w:t>eur</w:t>
            </w:r>
          </w:p>
        </w:tc>
      </w:tr>
      <w:tr w:rsidR="00F24D8C" w:rsidRPr="00070A80" w14:paraId="2CC7C2A6" w14:textId="77777777" w:rsidTr="007E7471">
        <w:trPr>
          <w:trHeight w:val="518"/>
        </w:trPr>
        <w:tc>
          <w:tcPr>
            <w:tcW w:w="2749" w:type="dxa"/>
            <w:tcBorders>
              <w:top w:val="nil"/>
              <w:left w:val="nil"/>
              <w:bottom w:val="nil"/>
              <w:right w:val="nil"/>
            </w:tcBorders>
            <w:shd w:val="clear" w:color="000000" w:fill="BFBFBF"/>
            <w:vAlign w:val="center"/>
            <w:hideMark/>
          </w:tcPr>
          <w:p w14:paraId="4B54A0AD" w14:textId="77777777" w:rsidR="00F24D8C" w:rsidRPr="00070A80" w:rsidRDefault="00F24D8C" w:rsidP="00F24D8C">
            <w:pPr>
              <w:spacing w:after="0" w:line="240" w:lineRule="auto"/>
              <w:jc w:val="left"/>
              <w:rPr>
                <w:rFonts w:eastAsia="Times New Roman" w:cs="Times New Roman"/>
                <w:b/>
                <w:bCs/>
                <w:color w:val="FFFFFF"/>
                <w:sz w:val="18"/>
                <w:szCs w:val="18"/>
                <w:lang w:eastAsia="sk-SK"/>
              </w:rPr>
            </w:pPr>
            <w:r w:rsidRPr="00070A80">
              <w:rPr>
                <w:rFonts w:eastAsia="Times New Roman" w:cs="Times New Roman"/>
                <w:b/>
                <w:bCs/>
                <w:color w:val="FFFFFF"/>
                <w:sz w:val="18"/>
                <w:szCs w:val="18"/>
                <w:lang w:eastAsia="sk-SK"/>
              </w:rPr>
              <w:t> </w:t>
            </w:r>
          </w:p>
        </w:tc>
        <w:tc>
          <w:tcPr>
            <w:tcW w:w="1806" w:type="dxa"/>
            <w:gridSpan w:val="2"/>
            <w:tcBorders>
              <w:top w:val="nil"/>
              <w:left w:val="nil"/>
              <w:bottom w:val="nil"/>
              <w:right w:val="nil"/>
            </w:tcBorders>
            <w:shd w:val="clear" w:color="000000" w:fill="BFBFBF"/>
            <w:vAlign w:val="center"/>
            <w:hideMark/>
          </w:tcPr>
          <w:p w14:paraId="08A4FAD9" w14:textId="77777777" w:rsidR="00F24D8C" w:rsidRPr="00070A80" w:rsidRDefault="00F24D8C" w:rsidP="00F24D8C">
            <w:pPr>
              <w:spacing w:after="0" w:line="240" w:lineRule="auto"/>
              <w:jc w:val="center"/>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Skutočnosť</w:t>
            </w:r>
          </w:p>
        </w:tc>
        <w:tc>
          <w:tcPr>
            <w:tcW w:w="923" w:type="dxa"/>
            <w:tcBorders>
              <w:top w:val="nil"/>
              <w:left w:val="nil"/>
              <w:bottom w:val="nil"/>
              <w:right w:val="nil"/>
            </w:tcBorders>
            <w:shd w:val="clear" w:color="000000" w:fill="BFBFBF"/>
            <w:vAlign w:val="center"/>
            <w:hideMark/>
          </w:tcPr>
          <w:p w14:paraId="3C37FCD2" w14:textId="77777777" w:rsidR="00F24D8C" w:rsidRPr="00070A80" w:rsidRDefault="00F24D8C" w:rsidP="00F24D8C">
            <w:pPr>
              <w:spacing w:after="0" w:line="240" w:lineRule="auto"/>
              <w:jc w:val="center"/>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Rozpočet</w:t>
            </w:r>
          </w:p>
        </w:tc>
        <w:tc>
          <w:tcPr>
            <w:tcW w:w="1963" w:type="dxa"/>
            <w:gridSpan w:val="2"/>
            <w:tcBorders>
              <w:top w:val="nil"/>
              <w:left w:val="nil"/>
              <w:bottom w:val="nil"/>
              <w:right w:val="nil"/>
            </w:tcBorders>
            <w:shd w:val="clear" w:color="000000" w:fill="BFBFBF"/>
            <w:vAlign w:val="center"/>
            <w:hideMark/>
          </w:tcPr>
          <w:p w14:paraId="4AEAE1A6" w14:textId="77777777" w:rsidR="00F24D8C" w:rsidRPr="00070A80" w:rsidRDefault="00F24D8C" w:rsidP="00F24D8C">
            <w:pPr>
              <w:spacing w:after="0" w:line="240" w:lineRule="auto"/>
              <w:jc w:val="center"/>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Skutočnosť</w:t>
            </w:r>
          </w:p>
        </w:tc>
        <w:tc>
          <w:tcPr>
            <w:tcW w:w="1767" w:type="dxa"/>
            <w:gridSpan w:val="2"/>
            <w:tcBorders>
              <w:top w:val="nil"/>
              <w:left w:val="nil"/>
              <w:bottom w:val="nil"/>
              <w:right w:val="nil"/>
            </w:tcBorders>
            <w:shd w:val="clear" w:color="000000" w:fill="BFBFBF"/>
            <w:vAlign w:val="center"/>
            <w:hideMark/>
          </w:tcPr>
          <w:p w14:paraId="2FDF8395" w14:textId="77777777" w:rsidR="00F24D8C" w:rsidRPr="00070A80" w:rsidRDefault="00F24D8C" w:rsidP="00F24D8C">
            <w:pPr>
              <w:spacing w:after="0" w:line="240" w:lineRule="auto"/>
              <w:jc w:val="center"/>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Rozdiel</w:t>
            </w:r>
          </w:p>
        </w:tc>
      </w:tr>
      <w:tr w:rsidR="00F24D8C" w:rsidRPr="00070A80" w14:paraId="020D41F1" w14:textId="77777777" w:rsidTr="007E7471">
        <w:trPr>
          <w:trHeight w:val="518"/>
        </w:trPr>
        <w:tc>
          <w:tcPr>
            <w:tcW w:w="2749" w:type="dxa"/>
            <w:tcBorders>
              <w:top w:val="nil"/>
              <w:left w:val="nil"/>
              <w:bottom w:val="nil"/>
              <w:right w:val="nil"/>
            </w:tcBorders>
            <w:shd w:val="clear" w:color="000000" w:fill="BFBFBF"/>
            <w:vAlign w:val="center"/>
            <w:hideMark/>
          </w:tcPr>
          <w:p w14:paraId="068313C7" w14:textId="77777777" w:rsidR="00F24D8C" w:rsidRPr="00070A80" w:rsidRDefault="00F24D8C" w:rsidP="00F24D8C">
            <w:pPr>
              <w:spacing w:after="0" w:line="240" w:lineRule="auto"/>
              <w:jc w:val="center"/>
              <w:rPr>
                <w:rFonts w:eastAsia="Times New Roman" w:cs="Times New Roman"/>
                <w:b/>
                <w:bCs/>
                <w:sz w:val="18"/>
                <w:szCs w:val="18"/>
                <w:lang w:eastAsia="sk-SK"/>
              </w:rPr>
            </w:pPr>
            <w:r w:rsidRPr="00070A80">
              <w:rPr>
                <w:rFonts w:eastAsia="Times New Roman" w:cs="Times New Roman"/>
                <w:b/>
                <w:bCs/>
                <w:sz w:val="18"/>
                <w:szCs w:val="18"/>
                <w:lang w:eastAsia="sk-SK"/>
              </w:rPr>
              <w:t> </w:t>
            </w:r>
          </w:p>
        </w:tc>
        <w:tc>
          <w:tcPr>
            <w:tcW w:w="883" w:type="dxa"/>
            <w:tcBorders>
              <w:top w:val="nil"/>
              <w:left w:val="nil"/>
              <w:bottom w:val="nil"/>
              <w:right w:val="nil"/>
            </w:tcBorders>
            <w:shd w:val="clear" w:color="000000" w:fill="BFBFBF"/>
            <w:vAlign w:val="center"/>
            <w:hideMark/>
          </w:tcPr>
          <w:p w14:paraId="6D9A78FB" w14:textId="77777777" w:rsidR="00F24D8C" w:rsidRPr="00070A80" w:rsidRDefault="00F24D8C" w:rsidP="00F24D8C">
            <w:pPr>
              <w:spacing w:after="0" w:line="240" w:lineRule="auto"/>
              <w:jc w:val="center"/>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2018</w:t>
            </w:r>
          </w:p>
        </w:tc>
        <w:tc>
          <w:tcPr>
            <w:tcW w:w="923" w:type="dxa"/>
            <w:tcBorders>
              <w:top w:val="nil"/>
              <w:left w:val="nil"/>
              <w:bottom w:val="nil"/>
              <w:right w:val="nil"/>
            </w:tcBorders>
            <w:shd w:val="clear" w:color="000000" w:fill="BFBFBF"/>
            <w:vAlign w:val="center"/>
            <w:hideMark/>
          </w:tcPr>
          <w:p w14:paraId="5A201E28" w14:textId="77777777" w:rsidR="00F24D8C" w:rsidRPr="00070A80" w:rsidRDefault="00F24D8C" w:rsidP="00F24D8C">
            <w:pPr>
              <w:spacing w:after="0" w:line="240" w:lineRule="auto"/>
              <w:jc w:val="center"/>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2019</w:t>
            </w:r>
          </w:p>
        </w:tc>
        <w:tc>
          <w:tcPr>
            <w:tcW w:w="923" w:type="dxa"/>
            <w:tcBorders>
              <w:top w:val="nil"/>
              <w:left w:val="nil"/>
              <w:bottom w:val="nil"/>
              <w:right w:val="nil"/>
            </w:tcBorders>
            <w:shd w:val="clear" w:color="000000" w:fill="BFBFBF"/>
            <w:vAlign w:val="center"/>
            <w:hideMark/>
          </w:tcPr>
          <w:p w14:paraId="1D31D0CE" w14:textId="77777777" w:rsidR="00F24D8C" w:rsidRPr="00070A80" w:rsidRDefault="00F24D8C" w:rsidP="00F24D8C">
            <w:pPr>
              <w:spacing w:after="0" w:line="240" w:lineRule="auto"/>
              <w:jc w:val="center"/>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2020</w:t>
            </w:r>
          </w:p>
        </w:tc>
        <w:tc>
          <w:tcPr>
            <w:tcW w:w="981" w:type="dxa"/>
            <w:tcBorders>
              <w:top w:val="nil"/>
              <w:left w:val="nil"/>
              <w:bottom w:val="nil"/>
              <w:right w:val="nil"/>
            </w:tcBorders>
            <w:shd w:val="clear" w:color="000000" w:fill="BFBFBF"/>
            <w:vAlign w:val="center"/>
            <w:hideMark/>
          </w:tcPr>
          <w:p w14:paraId="1B24345F" w14:textId="77777777" w:rsidR="00F24D8C" w:rsidRPr="00070A80" w:rsidRDefault="00F24D8C" w:rsidP="00F24D8C">
            <w:pPr>
              <w:spacing w:after="0" w:line="240" w:lineRule="auto"/>
              <w:jc w:val="center"/>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2020</w:t>
            </w:r>
          </w:p>
        </w:tc>
        <w:tc>
          <w:tcPr>
            <w:tcW w:w="981" w:type="dxa"/>
            <w:tcBorders>
              <w:top w:val="nil"/>
              <w:left w:val="nil"/>
              <w:bottom w:val="nil"/>
              <w:right w:val="nil"/>
            </w:tcBorders>
            <w:shd w:val="clear" w:color="000000" w:fill="BFBFBF"/>
            <w:vAlign w:val="center"/>
            <w:hideMark/>
          </w:tcPr>
          <w:p w14:paraId="56F9E991" w14:textId="77777777" w:rsidR="00F24D8C" w:rsidRPr="00070A80" w:rsidRDefault="00F24D8C" w:rsidP="00F24D8C">
            <w:pPr>
              <w:spacing w:after="0" w:line="240" w:lineRule="auto"/>
              <w:jc w:val="center"/>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z toho: zdroj 111</w:t>
            </w:r>
            <w:r w:rsidRPr="00070A80">
              <w:rPr>
                <w:rFonts w:ascii="Arial Narrow" w:eastAsia="Times New Roman" w:hAnsi="Arial Narrow" w:cs="Times New Roman"/>
                <w:b/>
                <w:bCs/>
                <w:color w:val="000000"/>
                <w:sz w:val="18"/>
                <w:szCs w:val="18"/>
                <w:lang w:eastAsia="sk-SK"/>
              </w:rPr>
              <w:t>*</w:t>
            </w:r>
          </w:p>
        </w:tc>
        <w:tc>
          <w:tcPr>
            <w:tcW w:w="864" w:type="dxa"/>
            <w:tcBorders>
              <w:top w:val="nil"/>
              <w:left w:val="nil"/>
              <w:bottom w:val="nil"/>
              <w:right w:val="nil"/>
            </w:tcBorders>
            <w:shd w:val="clear" w:color="000000" w:fill="BFBFBF"/>
            <w:vAlign w:val="center"/>
            <w:hideMark/>
          </w:tcPr>
          <w:p w14:paraId="4C823D56" w14:textId="77777777" w:rsidR="00F24D8C" w:rsidRPr="00070A80" w:rsidRDefault="00F24D8C" w:rsidP="00F24D8C">
            <w:pPr>
              <w:spacing w:after="0" w:line="240" w:lineRule="auto"/>
              <w:jc w:val="center"/>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 xml:space="preserve"> v tis. eur</w:t>
            </w:r>
          </w:p>
        </w:tc>
        <w:tc>
          <w:tcPr>
            <w:tcW w:w="903" w:type="dxa"/>
            <w:tcBorders>
              <w:top w:val="nil"/>
              <w:left w:val="nil"/>
              <w:bottom w:val="nil"/>
              <w:right w:val="nil"/>
            </w:tcBorders>
            <w:shd w:val="clear" w:color="000000" w:fill="BFBFBF"/>
            <w:vAlign w:val="center"/>
            <w:hideMark/>
          </w:tcPr>
          <w:p w14:paraId="3B77E808" w14:textId="77777777" w:rsidR="00F24D8C" w:rsidRPr="00070A80" w:rsidRDefault="00F24D8C" w:rsidP="00F24D8C">
            <w:pPr>
              <w:spacing w:after="0" w:line="240" w:lineRule="auto"/>
              <w:jc w:val="center"/>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v %</w:t>
            </w:r>
          </w:p>
        </w:tc>
      </w:tr>
      <w:tr w:rsidR="00F24D8C" w:rsidRPr="00070A80" w14:paraId="44C8121A" w14:textId="77777777" w:rsidTr="007E7471">
        <w:trPr>
          <w:trHeight w:val="350"/>
        </w:trPr>
        <w:tc>
          <w:tcPr>
            <w:tcW w:w="2749" w:type="dxa"/>
            <w:tcBorders>
              <w:top w:val="nil"/>
              <w:left w:val="nil"/>
              <w:bottom w:val="single" w:sz="8" w:space="0" w:color="auto"/>
              <w:right w:val="nil"/>
            </w:tcBorders>
            <w:shd w:val="clear" w:color="000000" w:fill="BFBFBF"/>
            <w:vAlign w:val="center"/>
            <w:hideMark/>
          </w:tcPr>
          <w:p w14:paraId="51A77585" w14:textId="77777777" w:rsidR="00F24D8C" w:rsidRPr="00070A80" w:rsidRDefault="00F24D8C" w:rsidP="00F24D8C">
            <w:pPr>
              <w:spacing w:after="0" w:line="240" w:lineRule="auto"/>
              <w:jc w:val="left"/>
              <w:rPr>
                <w:rFonts w:eastAsia="Times New Roman" w:cs="Times New Roman"/>
                <w:b/>
                <w:bCs/>
                <w:color w:val="FFFFFF"/>
                <w:sz w:val="18"/>
                <w:szCs w:val="18"/>
                <w:lang w:eastAsia="sk-SK"/>
              </w:rPr>
            </w:pPr>
            <w:r w:rsidRPr="00070A80">
              <w:rPr>
                <w:rFonts w:eastAsia="Times New Roman" w:cs="Times New Roman"/>
                <w:b/>
                <w:bCs/>
                <w:color w:val="FFFFFF"/>
                <w:sz w:val="18"/>
                <w:szCs w:val="18"/>
                <w:lang w:eastAsia="sk-SK"/>
              </w:rPr>
              <w:t> </w:t>
            </w:r>
          </w:p>
        </w:tc>
        <w:tc>
          <w:tcPr>
            <w:tcW w:w="883" w:type="dxa"/>
            <w:tcBorders>
              <w:top w:val="nil"/>
              <w:left w:val="nil"/>
              <w:bottom w:val="single" w:sz="8" w:space="0" w:color="auto"/>
              <w:right w:val="nil"/>
            </w:tcBorders>
            <w:shd w:val="clear" w:color="000000" w:fill="BFBFBF"/>
            <w:vAlign w:val="center"/>
            <w:hideMark/>
          </w:tcPr>
          <w:p w14:paraId="20544749" w14:textId="77777777" w:rsidR="00F24D8C" w:rsidRPr="00070A80" w:rsidRDefault="00F24D8C" w:rsidP="00F24D8C">
            <w:pPr>
              <w:spacing w:after="0" w:line="240" w:lineRule="auto"/>
              <w:jc w:val="center"/>
              <w:rPr>
                <w:rFonts w:eastAsia="Times New Roman" w:cs="Times New Roman"/>
                <w:b/>
                <w:bCs/>
                <w:sz w:val="18"/>
                <w:szCs w:val="18"/>
                <w:lang w:eastAsia="sk-SK"/>
              </w:rPr>
            </w:pPr>
            <w:r w:rsidRPr="00070A80">
              <w:rPr>
                <w:rFonts w:eastAsia="Times New Roman" w:cs="Times New Roman"/>
                <w:b/>
                <w:bCs/>
                <w:sz w:val="18"/>
                <w:szCs w:val="18"/>
                <w:lang w:eastAsia="sk-SK"/>
              </w:rPr>
              <w:t>1</w:t>
            </w:r>
          </w:p>
        </w:tc>
        <w:tc>
          <w:tcPr>
            <w:tcW w:w="923" w:type="dxa"/>
            <w:tcBorders>
              <w:top w:val="nil"/>
              <w:left w:val="nil"/>
              <w:bottom w:val="single" w:sz="8" w:space="0" w:color="auto"/>
              <w:right w:val="nil"/>
            </w:tcBorders>
            <w:shd w:val="clear" w:color="000000" w:fill="BFBFBF"/>
            <w:vAlign w:val="center"/>
            <w:hideMark/>
          </w:tcPr>
          <w:p w14:paraId="5C3F8F70" w14:textId="77777777" w:rsidR="00F24D8C" w:rsidRPr="00070A80" w:rsidRDefault="00F24D8C" w:rsidP="00F24D8C">
            <w:pPr>
              <w:spacing w:after="0" w:line="240" w:lineRule="auto"/>
              <w:jc w:val="center"/>
              <w:rPr>
                <w:rFonts w:eastAsia="Times New Roman" w:cs="Times New Roman"/>
                <w:b/>
                <w:bCs/>
                <w:sz w:val="18"/>
                <w:szCs w:val="18"/>
                <w:lang w:eastAsia="sk-SK"/>
              </w:rPr>
            </w:pPr>
            <w:r w:rsidRPr="00070A80">
              <w:rPr>
                <w:rFonts w:eastAsia="Times New Roman" w:cs="Times New Roman"/>
                <w:b/>
                <w:bCs/>
                <w:sz w:val="18"/>
                <w:szCs w:val="18"/>
                <w:lang w:eastAsia="sk-SK"/>
              </w:rPr>
              <w:t>2</w:t>
            </w:r>
          </w:p>
        </w:tc>
        <w:tc>
          <w:tcPr>
            <w:tcW w:w="923" w:type="dxa"/>
            <w:tcBorders>
              <w:top w:val="nil"/>
              <w:left w:val="nil"/>
              <w:bottom w:val="single" w:sz="8" w:space="0" w:color="auto"/>
              <w:right w:val="nil"/>
            </w:tcBorders>
            <w:shd w:val="clear" w:color="000000" w:fill="BFBFBF"/>
            <w:vAlign w:val="center"/>
            <w:hideMark/>
          </w:tcPr>
          <w:p w14:paraId="0D6EA650" w14:textId="77777777" w:rsidR="00F24D8C" w:rsidRPr="00070A80" w:rsidRDefault="00F24D8C" w:rsidP="00F24D8C">
            <w:pPr>
              <w:spacing w:after="0" w:line="240" w:lineRule="auto"/>
              <w:jc w:val="center"/>
              <w:rPr>
                <w:rFonts w:eastAsia="Times New Roman" w:cs="Times New Roman"/>
                <w:b/>
                <w:bCs/>
                <w:sz w:val="18"/>
                <w:szCs w:val="18"/>
                <w:lang w:eastAsia="sk-SK"/>
              </w:rPr>
            </w:pPr>
            <w:r w:rsidRPr="00070A80">
              <w:rPr>
                <w:rFonts w:eastAsia="Times New Roman" w:cs="Times New Roman"/>
                <w:b/>
                <w:bCs/>
                <w:sz w:val="18"/>
                <w:szCs w:val="18"/>
                <w:lang w:eastAsia="sk-SK"/>
              </w:rPr>
              <w:t>3</w:t>
            </w:r>
          </w:p>
        </w:tc>
        <w:tc>
          <w:tcPr>
            <w:tcW w:w="981" w:type="dxa"/>
            <w:tcBorders>
              <w:top w:val="nil"/>
              <w:left w:val="nil"/>
              <w:bottom w:val="single" w:sz="8" w:space="0" w:color="auto"/>
              <w:right w:val="nil"/>
            </w:tcBorders>
            <w:shd w:val="clear" w:color="000000" w:fill="BFBFBF"/>
            <w:vAlign w:val="center"/>
            <w:hideMark/>
          </w:tcPr>
          <w:p w14:paraId="68EF10BE" w14:textId="77777777" w:rsidR="00F24D8C" w:rsidRPr="00070A80" w:rsidRDefault="00F24D8C" w:rsidP="00F24D8C">
            <w:pPr>
              <w:spacing w:after="0" w:line="240" w:lineRule="auto"/>
              <w:jc w:val="center"/>
              <w:rPr>
                <w:rFonts w:eastAsia="Times New Roman" w:cs="Times New Roman"/>
                <w:b/>
                <w:bCs/>
                <w:sz w:val="18"/>
                <w:szCs w:val="18"/>
                <w:lang w:eastAsia="sk-SK"/>
              </w:rPr>
            </w:pPr>
            <w:r w:rsidRPr="00070A80">
              <w:rPr>
                <w:rFonts w:eastAsia="Times New Roman" w:cs="Times New Roman"/>
                <w:b/>
                <w:bCs/>
                <w:sz w:val="18"/>
                <w:szCs w:val="18"/>
                <w:lang w:eastAsia="sk-SK"/>
              </w:rPr>
              <w:t>4</w:t>
            </w:r>
          </w:p>
        </w:tc>
        <w:tc>
          <w:tcPr>
            <w:tcW w:w="981" w:type="dxa"/>
            <w:tcBorders>
              <w:top w:val="nil"/>
              <w:left w:val="nil"/>
              <w:bottom w:val="single" w:sz="8" w:space="0" w:color="auto"/>
              <w:right w:val="nil"/>
            </w:tcBorders>
            <w:shd w:val="clear" w:color="000000" w:fill="BFBFBF"/>
            <w:vAlign w:val="center"/>
            <w:hideMark/>
          </w:tcPr>
          <w:p w14:paraId="36624661" w14:textId="77777777" w:rsidR="00F24D8C" w:rsidRPr="00070A80" w:rsidRDefault="00F24D8C" w:rsidP="00F24D8C">
            <w:pPr>
              <w:spacing w:after="0" w:line="240" w:lineRule="auto"/>
              <w:jc w:val="center"/>
              <w:rPr>
                <w:rFonts w:eastAsia="Times New Roman" w:cs="Times New Roman"/>
                <w:b/>
                <w:bCs/>
                <w:sz w:val="18"/>
                <w:szCs w:val="18"/>
                <w:lang w:eastAsia="sk-SK"/>
              </w:rPr>
            </w:pPr>
            <w:r w:rsidRPr="00070A80">
              <w:rPr>
                <w:rFonts w:eastAsia="Times New Roman" w:cs="Times New Roman"/>
                <w:b/>
                <w:bCs/>
                <w:sz w:val="18"/>
                <w:szCs w:val="18"/>
                <w:lang w:eastAsia="sk-SK"/>
              </w:rPr>
              <w:t>5</w:t>
            </w:r>
          </w:p>
        </w:tc>
        <w:tc>
          <w:tcPr>
            <w:tcW w:w="864" w:type="dxa"/>
            <w:tcBorders>
              <w:top w:val="nil"/>
              <w:left w:val="nil"/>
              <w:bottom w:val="single" w:sz="8" w:space="0" w:color="auto"/>
              <w:right w:val="nil"/>
            </w:tcBorders>
            <w:shd w:val="clear" w:color="000000" w:fill="BFBFBF"/>
            <w:vAlign w:val="center"/>
            <w:hideMark/>
          </w:tcPr>
          <w:p w14:paraId="7332CCA7" w14:textId="77777777" w:rsidR="00F24D8C" w:rsidRPr="00070A80" w:rsidRDefault="00F24D8C" w:rsidP="00F24D8C">
            <w:pPr>
              <w:spacing w:after="0" w:line="240" w:lineRule="auto"/>
              <w:jc w:val="center"/>
              <w:rPr>
                <w:rFonts w:eastAsia="Times New Roman" w:cs="Times New Roman"/>
                <w:b/>
                <w:bCs/>
                <w:sz w:val="18"/>
                <w:szCs w:val="18"/>
                <w:lang w:eastAsia="sk-SK"/>
              </w:rPr>
            </w:pPr>
            <w:r w:rsidRPr="00070A80">
              <w:rPr>
                <w:rFonts w:eastAsia="Times New Roman" w:cs="Times New Roman"/>
                <w:b/>
                <w:bCs/>
                <w:sz w:val="18"/>
                <w:szCs w:val="18"/>
                <w:lang w:eastAsia="sk-SK"/>
              </w:rPr>
              <w:t>6=4-3</w:t>
            </w:r>
          </w:p>
        </w:tc>
        <w:tc>
          <w:tcPr>
            <w:tcW w:w="903" w:type="dxa"/>
            <w:tcBorders>
              <w:top w:val="nil"/>
              <w:left w:val="nil"/>
              <w:bottom w:val="single" w:sz="8" w:space="0" w:color="auto"/>
              <w:right w:val="nil"/>
            </w:tcBorders>
            <w:shd w:val="clear" w:color="000000" w:fill="BFBFBF"/>
            <w:vAlign w:val="center"/>
            <w:hideMark/>
          </w:tcPr>
          <w:p w14:paraId="7EE22590" w14:textId="77777777" w:rsidR="00F24D8C" w:rsidRPr="00070A80" w:rsidRDefault="00F24D8C" w:rsidP="00F24D8C">
            <w:pPr>
              <w:spacing w:after="0" w:line="240" w:lineRule="auto"/>
              <w:jc w:val="center"/>
              <w:rPr>
                <w:rFonts w:eastAsia="Times New Roman" w:cs="Times New Roman"/>
                <w:b/>
                <w:bCs/>
                <w:sz w:val="18"/>
                <w:szCs w:val="18"/>
                <w:lang w:eastAsia="sk-SK"/>
              </w:rPr>
            </w:pPr>
            <w:r w:rsidRPr="00070A80">
              <w:rPr>
                <w:rFonts w:eastAsia="Times New Roman" w:cs="Times New Roman"/>
                <w:b/>
                <w:bCs/>
                <w:sz w:val="18"/>
                <w:szCs w:val="18"/>
                <w:lang w:eastAsia="sk-SK"/>
              </w:rPr>
              <w:t>7=4-3</w:t>
            </w:r>
          </w:p>
        </w:tc>
      </w:tr>
      <w:tr w:rsidR="00F24D8C" w:rsidRPr="00070A80" w14:paraId="6EA2CBFF" w14:textId="77777777" w:rsidTr="007E7471">
        <w:trPr>
          <w:trHeight w:val="335"/>
        </w:trPr>
        <w:tc>
          <w:tcPr>
            <w:tcW w:w="2749" w:type="dxa"/>
            <w:tcBorders>
              <w:top w:val="nil"/>
              <w:left w:val="nil"/>
              <w:bottom w:val="nil"/>
              <w:right w:val="nil"/>
            </w:tcBorders>
            <w:shd w:val="clear" w:color="000000" w:fill="FFFFFF"/>
            <w:vAlign w:val="center"/>
            <w:hideMark/>
          </w:tcPr>
          <w:p w14:paraId="4A6B54F9" w14:textId="77777777" w:rsidR="00F24D8C" w:rsidRPr="00070A80" w:rsidRDefault="00F24D8C" w:rsidP="00F24D8C">
            <w:pPr>
              <w:spacing w:after="0" w:line="240" w:lineRule="auto"/>
              <w:jc w:val="left"/>
              <w:rPr>
                <w:rFonts w:eastAsia="Times New Roman" w:cs="Times New Roman"/>
                <w:color w:val="000000"/>
                <w:sz w:val="18"/>
                <w:szCs w:val="18"/>
                <w:lang w:eastAsia="sk-SK"/>
              </w:rPr>
            </w:pPr>
            <w:r w:rsidRPr="00070A80">
              <w:rPr>
                <w:rFonts w:eastAsia="Times New Roman" w:cs="Times New Roman"/>
                <w:color w:val="000000"/>
                <w:sz w:val="18"/>
                <w:szCs w:val="18"/>
                <w:lang w:eastAsia="sk-SK"/>
              </w:rPr>
              <w:t>Vzdelávanie</w:t>
            </w:r>
          </w:p>
        </w:tc>
        <w:tc>
          <w:tcPr>
            <w:tcW w:w="883" w:type="dxa"/>
            <w:tcBorders>
              <w:top w:val="nil"/>
              <w:left w:val="nil"/>
              <w:bottom w:val="nil"/>
              <w:right w:val="nil"/>
            </w:tcBorders>
            <w:shd w:val="clear" w:color="000000" w:fill="FFFFFF"/>
            <w:noWrap/>
            <w:vAlign w:val="center"/>
            <w:hideMark/>
          </w:tcPr>
          <w:p w14:paraId="12A7B305"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434 220</w:t>
            </w:r>
          </w:p>
        </w:tc>
        <w:tc>
          <w:tcPr>
            <w:tcW w:w="923" w:type="dxa"/>
            <w:tcBorders>
              <w:top w:val="nil"/>
              <w:left w:val="nil"/>
              <w:bottom w:val="nil"/>
              <w:right w:val="nil"/>
            </w:tcBorders>
            <w:shd w:val="clear" w:color="000000" w:fill="FFFFFF"/>
            <w:noWrap/>
            <w:vAlign w:val="center"/>
            <w:hideMark/>
          </w:tcPr>
          <w:p w14:paraId="468B8322"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474 510</w:t>
            </w:r>
          </w:p>
        </w:tc>
        <w:tc>
          <w:tcPr>
            <w:tcW w:w="923" w:type="dxa"/>
            <w:tcBorders>
              <w:top w:val="nil"/>
              <w:left w:val="nil"/>
              <w:bottom w:val="nil"/>
              <w:right w:val="nil"/>
            </w:tcBorders>
            <w:shd w:val="clear" w:color="000000" w:fill="FFFFFF"/>
            <w:noWrap/>
            <w:vAlign w:val="center"/>
            <w:hideMark/>
          </w:tcPr>
          <w:p w14:paraId="713291A8"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593 121</w:t>
            </w:r>
          </w:p>
        </w:tc>
        <w:tc>
          <w:tcPr>
            <w:tcW w:w="981" w:type="dxa"/>
            <w:tcBorders>
              <w:top w:val="nil"/>
              <w:left w:val="nil"/>
              <w:bottom w:val="nil"/>
              <w:right w:val="nil"/>
            </w:tcBorders>
            <w:shd w:val="clear" w:color="000000" w:fill="BFBFBF"/>
            <w:noWrap/>
            <w:vAlign w:val="center"/>
            <w:hideMark/>
          </w:tcPr>
          <w:p w14:paraId="3C0ABFDC"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528 605</w:t>
            </w:r>
          </w:p>
        </w:tc>
        <w:tc>
          <w:tcPr>
            <w:tcW w:w="981" w:type="dxa"/>
            <w:tcBorders>
              <w:top w:val="nil"/>
              <w:left w:val="nil"/>
              <w:bottom w:val="nil"/>
              <w:right w:val="nil"/>
            </w:tcBorders>
            <w:shd w:val="clear" w:color="000000" w:fill="BFBFBF"/>
            <w:noWrap/>
            <w:vAlign w:val="center"/>
            <w:hideMark/>
          </w:tcPr>
          <w:p w14:paraId="036F2F12"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520 841</w:t>
            </w:r>
          </w:p>
        </w:tc>
        <w:tc>
          <w:tcPr>
            <w:tcW w:w="864" w:type="dxa"/>
            <w:tcBorders>
              <w:top w:val="nil"/>
              <w:left w:val="nil"/>
              <w:bottom w:val="nil"/>
              <w:right w:val="nil"/>
            </w:tcBorders>
            <w:shd w:val="clear" w:color="000000" w:fill="FFFFFF"/>
            <w:vAlign w:val="center"/>
            <w:hideMark/>
          </w:tcPr>
          <w:p w14:paraId="5B6D7857"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-64 516</w:t>
            </w:r>
          </w:p>
        </w:tc>
        <w:tc>
          <w:tcPr>
            <w:tcW w:w="903" w:type="dxa"/>
            <w:tcBorders>
              <w:top w:val="nil"/>
              <w:left w:val="nil"/>
              <w:bottom w:val="nil"/>
              <w:right w:val="nil"/>
            </w:tcBorders>
            <w:shd w:val="clear" w:color="000000" w:fill="FFFFFF"/>
            <w:vAlign w:val="center"/>
            <w:hideMark/>
          </w:tcPr>
          <w:p w14:paraId="11AE814B"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-10,9</w:t>
            </w:r>
          </w:p>
        </w:tc>
      </w:tr>
      <w:tr w:rsidR="00F24D8C" w:rsidRPr="00070A80" w14:paraId="3DDAAE27" w14:textId="77777777" w:rsidTr="007E7471">
        <w:trPr>
          <w:trHeight w:val="335"/>
        </w:trPr>
        <w:tc>
          <w:tcPr>
            <w:tcW w:w="2749" w:type="dxa"/>
            <w:tcBorders>
              <w:top w:val="nil"/>
              <w:left w:val="nil"/>
              <w:bottom w:val="nil"/>
              <w:right w:val="nil"/>
            </w:tcBorders>
            <w:shd w:val="clear" w:color="000000" w:fill="FFFFFF"/>
            <w:noWrap/>
            <w:vAlign w:val="center"/>
            <w:hideMark/>
          </w:tcPr>
          <w:p w14:paraId="7678E6DA" w14:textId="77777777" w:rsidR="00F24D8C" w:rsidRPr="00070A80" w:rsidRDefault="00F24D8C" w:rsidP="00F24D8C">
            <w:pPr>
              <w:spacing w:after="0" w:line="240" w:lineRule="auto"/>
              <w:jc w:val="left"/>
              <w:rPr>
                <w:rFonts w:eastAsia="Times New Roman" w:cs="Times New Roman"/>
                <w:color w:val="000000"/>
                <w:sz w:val="18"/>
                <w:szCs w:val="18"/>
                <w:lang w:eastAsia="sk-SK"/>
              </w:rPr>
            </w:pPr>
            <w:r w:rsidRPr="00070A80">
              <w:rPr>
                <w:rFonts w:eastAsia="Times New Roman" w:cs="Times New Roman"/>
                <w:color w:val="000000"/>
                <w:sz w:val="18"/>
                <w:szCs w:val="18"/>
                <w:lang w:eastAsia="sk-SK"/>
              </w:rPr>
              <w:t>Ekonomická oblasť</w:t>
            </w:r>
          </w:p>
        </w:tc>
        <w:tc>
          <w:tcPr>
            <w:tcW w:w="883" w:type="dxa"/>
            <w:tcBorders>
              <w:top w:val="nil"/>
              <w:left w:val="nil"/>
              <w:bottom w:val="nil"/>
              <w:right w:val="nil"/>
            </w:tcBorders>
            <w:shd w:val="clear" w:color="000000" w:fill="FFFFFF"/>
            <w:noWrap/>
            <w:vAlign w:val="center"/>
            <w:hideMark/>
          </w:tcPr>
          <w:p w14:paraId="173D24B8"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14 597</w:t>
            </w:r>
          </w:p>
        </w:tc>
        <w:tc>
          <w:tcPr>
            <w:tcW w:w="923" w:type="dxa"/>
            <w:tcBorders>
              <w:top w:val="nil"/>
              <w:left w:val="nil"/>
              <w:bottom w:val="nil"/>
              <w:right w:val="nil"/>
            </w:tcBorders>
            <w:shd w:val="clear" w:color="000000" w:fill="FFFFFF"/>
            <w:noWrap/>
            <w:vAlign w:val="center"/>
            <w:hideMark/>
          </w:tcPr>
          <w:p w14:paraId="1FB6737F"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49 321</w:t>
            </w:r>
          </w:p>
        </w:tc>
        <w:tc>
          <w:tcPr>
            <w:tcW w:w="923" w:type="dxa"/>
            <w:tcBorders>
              <w:top w:val="nil"/>
              <w:left w:val="nil"/>
              <w:bottom w:val="nil"/>
              <w:right w:val="nil"/>
            </w:tcBorders>
            <w:shd w:val="clear" w:color="000000" w:fill="FFFFFF"/>
            <w:noWrap/>
            <w:vAlign w:val="center"/>
            <w:hideMark/>
          </w:tcPr>
          <w:p w14:paraId="3579A202"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0</w:t>
            </w:r>
          </w:p>
        </w:tc>
        <w:tc>
          <w:tcPr>
            <w:tcW w:w="981" w:type="dxa"/>
            <w:tcBorders>
              <w:top w:val="nil"/>
              <w:left w:val="nil"/>
              <w:bottom w:val="nil"/>
              <w:right w:val="nil"/>
            </w:tcBorders>
            <w:shd w:val="clear" w:color="000000" w:fill="BFBFBF"/>
            <w:noWrap/>
            <w:vAlign w:val="center"/>
            <w:hideMark/>
          </w:tcPr>
          <w:p w14:paraId="1648FC86"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53 666</w:t>
            </w:r>
          </w:p>
        </w:tc>
        <w:tc>
          <w:tcPr>
            <w:tcW w:w="981" w:type="dxa"/>
            <w:tcBorders>
              <w:top w:val="nil"/>
              <w:left w:val="nil"/>
              <w:bottom w:val="nil"/>
              <w:right w:val="nil"/>
            </w:tcBorders>
            <w:shd w:val="clear" w:color="000000" w:fill="BFBFBF"/>
            <w:noWrap/>
            <w:vAlign w:val="center"/>
            <w:hideMark/>
          </w:tcPr>
          <w:p w14:paraId="090C5356"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5 267</w:t>
            </w:r>
          </w:p>
        </w:tc>
        <w:tc>
          <w:tcPr>
            <w:tcW w:w="864" w:type="dxa"/>
            <w:tcBorders>
              <w:top w:val="nil"/>
              <w:left w:val="nil"/>
              <w:bottom w:val="nil"/>
              <w:right w:val="nil"/>
            </w:tcBorders>
            <w:shd w:val="clear" w:color="000000" w:fill="FFFFFF"/>
            <w:vAlign w:val="center"/>
            <w:hideMark/>
          </w:tcPr>
          <w:p w14:paraId="38E5B5A0"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53 666</w:t>
            </w:r>
          </w:p>
        </w:tc>
        <w:tc>
          <w:tcPr>
            <w:tcW w:w="903" w:type="dxa"/>
            <w:tcBorders>
              <w:top w:val="nil"/>
              <w:left w:val="nil"/>
              <w:bottom w:val="nil"/>
              <w:right w:val="nil"/>
            </w:tcBorders>
            <w:shd w:val="clear" w:color="000000" w:fill="FFFFFF"/>
            <w:vAlign w:val="center"/>
            <w:hideMark/>
          </w:tcPr>
          <w:p w14:paraId="5F759B7B"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x</w:t>
            </w:r>
          </w:p>
        </w:tc>
      </w:tr>
      <w:tr w:rsidR="00F24D8C" w:rsidRPr="00070A80" w14:paraId="765F18AD" w14:textId="77777777" w:rsidTr="007E7471">
        <w:trPr>
          <w:trHeight w:val="335"/>
        </w:trPr>
        <w:tc>
          <w:tcPr>
            <w:tcW w:w="2749" w:type="dxa"/>
            <w:tcBorders>
              <w:top w:val="nil"/>
              <w:left w:val="nil"/>
              <w:bottom w:val="nil"/>
              <w:right w:val="nil"/>
            </w:tcBorders>
            <w:shd w:val="clear" w:color="000000" w:fill="FFFFFF"/>
            <w:noWrap/>
            <w:vAlign w:val="center"/>
            <w:hideMark/>
          </w:tcPr>
          <w:p w14:paraId="0957DA4C" w14:textId="77777777" w:rsidR="00F24D8C" w:rsidRPr="00070A80" w:rsidRDefault="00F24D8C" w:rsidP="00F24D8C">
            <w:pPr>
              <w:spacing w:after="0" w:line="240" w:lineRule="auto"/>
              <w:jc w:val="left"/>
              <w:rPr>
                <w:rFonts w:eastAsia="Times New Roman" w:cs="Times New Roman"/>
                <w:color w:val="000000"/>
                <w:sz w:val="18"/>
                <w:szCs w:val="18"/>
                <w:lang w:eastAsia="sk-SK"/>
              </w:rPr>
            </w:pPr>
            <w:r w:rsidRPr="00070A80">
              <w:rPr>
                <w:rFonts w:eastAsia="Times New Roman" w:cs="Times New Roman"/>
                <w:color w:val="000000"/>
                <w:sz w:val="18"/>
                <w:szCs w:val="18"/>
                <w:lang w:eastAsia="sk-SK"/>
              </w:rPr>
              <w:t>Sociálne zabezpečenie</w:t>
            </w:r>
          </w:p>
        </w:tc>
        <w:tc>
          <w:tcPr>
            <w:tcW w:w="883" w:type="dxa"/>
            <w:tcBorders>
              <w:top w:val="nil"/>
              <w:left w:val="nil"/>
              <w:bottom w:val="nil"/>
              <w:right w:val="nil"/>
            </w:tcBorders>
            <w:shd w:val="clear" w:color="000000" w:fill="FFFFFF"/>
            <w:noWrap/>
            <w:vAlign w:val="center"/>
            <w:hideMark/>
          </w:tcPr>
          <w:p w14:paraId="0A5E5E12"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2 080</w:t>
            </w:r>
          </w:p>
        </w:tc>
        <w:tc>
          <w:tcPr>
            <w:tcW w:w="923" w:type="dxa"/>
            <w:tcBorders>
              <w:top w:val="nil"/>
              <w:left w:val="nil"/>
              <w:bottom w:val="nil"/>
              <w:right w:val="nil"/>
            </w:tcBorders>
            <w:shd w:val="clear" w:color="000000" w:fill="FFFFFF"/>
            <w:noWrap/>
            <w:vAlign w:val="center"/>
            <w:hideMark/>
          </w:tcPr>
          <w:p w14:paraId="614B7E73"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654</w:t>
            </w:r>
          </w:p>
        </w:tc>
        <w:tc>
          <w:tcPr>
            <w:tcW w:w="923" w:type="dxa"/>
            <w:tcBorders>
              <w:top w:val="nil"/>
              <w:left w:val="nil"/>
              <w:bottom w:val="nil"/>
              <w:right w:val="nil"/>
            </w:tcBorders>
            <w:shd w:val="clear" w:color="000000" w:fill="FFFFFF"/>
            <w:noWrap/>
            <w:vAlign w:val="center"/>
            <w:hideMark/>
          </w:tcPr>
          <w:p w14:paraId="283EFE89"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620</w:t>
            </w:r>
          </w:p>
        </w:tc>
        <w:tc>
          <w:tcPr>
            <w:tcW w:w="981" w:type="dxa"/>
            <w:tcBorders>
              <w:top w:val="nil"/>
              <w:left w:val="nil"/>
              <w:bottom w:val="nil"/>
              <w:right w:val="nil"/>
            </w:tcBorders>
            <w:shd w:val="clear" w:color="000000" w:fill="BFBFBF"/>
            <w:noWrap/>
            <w:vAlign w:val="center"/>
            <w:hideMark/>
          </w:tcPr>
          <w:p w14:paraId="13B791CF"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9 555</w:t>
            </w:r>
          </w:p>
        </w:tc>
        <w:tc>
          <w:tcPr>
            <w:tcW w:w="981" w:type="dxa"/>
            <w:tcBorders>
              <w:top w:val="nil"/>
              <w:left w:val="nil"/>
              <w:bottom w:val="nil"/>
              <w:right w:val="nil"/>
            </w:tcBorders>
            <w:shd w:val="clear" w:color="000000" w:fill="BFBFBF"/>
            <w:noWrap/>
            <w:vAlign w:val="center"/>
            <w:hideMark/>
          </w:tcPr>
          <w:p w14:paraId="046162FB"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9 521</w:t>
            </w:r>
          </w:p>
        </w:tc>
        <w:tc>
          <w:tcPr>
            <w:tcW w:w="864" w:type="dxa"/>
            <w:tcBorders>
              <w:top w:val="nil"/>
              <w:left w:val="nil"/>
              <w:bottom w:val="nil"/>
              <w:right w:val="nil"/>
            </w:tcBorders>
            <w:shd w:val="clear" w:color="000000" w:fill="FFFFFF"/>
            <w:vAlign w:val="center"/>
            <w:hideMark/>
          </w:tcPr>
          <w:p w14:paraId="271EF42D"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8 935</w:t>
            </w:r>
          </w:p>
        </w:tc>
        <w:tc>
          <w:tcPr>
            <w:tcW w:w="903" w:type="dxa"/>
            <w:tcBorders>
              <w:top w:val="nil"/>
              <w:left w:val="nil"/>
              <w:bottom w:val="nil"/>
              <w:right w:val="nil"/>
            </w:tcBorders>
            <w:shd w:val="clear" w:color="000000" w:fill="FFFFFF"/>
            <w:vAlign w:val="center"/>
            <w:hideMark/>
          </w:tcPr>
          <w:p w14:paraId="698A36A4"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1 441,1</w:t>
            </w:r>
          </w:p>
        </w:tc>
      </w:tr>
      <w:tr w:rsidR="00F24D8C" w:rsidRPr="00070A80" w14:paraId="602F7D11" w14:textId="77777777" w:rsidTr="007E7471">
        <w:trPr>
          <w:trHeight w:val="335"/>
        </w:trPr>
        <w:tc>
          <w:tcPr>
            <w:tcW w:w="2749" w:type="dxa"/>
            <w:tcBorders>
              <w:top w:val="nil"/>
              <w:left w:val="nil"/>
              <w:bottom w:val="nil"/>
              <w:right w:val="nil"/>
            </w:tcBorders>
            <w:shd w:val="clear" w:color="000000" w:fill="FFFFFF"/>
            <w:noWrap/>
            <w:vAlign w:val="center"/>
            <w:hideMark/>
          </w:tcPr>
          <w:p w14:paraId="3942A2A7" w14:textId="77777777" w:rsidR="00F24D8C" w:rsidRPr="00070A80" w:rsidRDefault="00F24D8C" w:rsidP="00F24D8C">
            <w:pPr>
              <w:spacing w:after="0" w:line="240" w:lineRule="auto"/>
              <w:jc w:val="left"/>
              <w:rPr>
                <w:rFonts w:eastAsia="Times New Roman" w:cs="Times New Roman"/>
                <w:color w:val="000000"/>
                <w:sz w:val="18"/>
                <w:szCs w:val="18"/>
                <w:lang w:eastAsia="sk-SK"/>
              </w:rPr>
            </w:pPr>
            <w:r w:rsidRPr="00070A80">
              <w:rPr>
                <w:rFonts w:eastAsia="Times New Roman" w:cs="Times New Roman"/>
                <w:color w:val="000000"/>
                <w:sz w:val="18"/>
                <w:szCs w:val="18"/>
                <w:lang w:eastAsia="sk-SK"/>
              </w:rPr>
              <w:t>Všeobecné verejné služby</w:t>
            </w:r>
          </w:p>
        </w:tc>
        <w:tc>
          <w:tcPr>
            <w:tcW w:w="883" w:type="dxa"/>
            <w:tcBorders>
              <w:top w:val="nil"/>
              <w:left w:val="nil"/>
              <w:bottom w:val="nil"/>
              <w:right w:val="nil"/>
            </w:tcBorders>
            <w:shd w:val="clear" w:color="000000" w:fill="FFFFFF"/>
            <w:noWrap/>
            <w:vAlign w:val="center"/>
            <w:hideMark/>
          </w:tcPr>
          <w:p w14:paraId="4C66B99B"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325</w:t>
            </w:r>
          </w:p>
        </w:tc>
        <w:tc>
          <w:tcPr>
            <w:tcW w:w="923" w:type="dxa"/>
            <w:tcBorders>
              <w:top w:val="nil"/>
              <w:left w:val="nil"/>
              <w:bottom w:val="nil"/>
              <w:right w:val="nil"/>
            </w:tcBorders>
            <w:shd w:val="clear" w:color="000000" w:fill="FFFFFF"/>
            <w:noWrap/>
            <w:vAlign w:val="center"/>
            <w:hideMark/>
          </w:tcPr>
          <w:p w14:paraId="1BEB6074"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871</w:t>
            </w:r>
          </w:p>
        </w:tc>
        <w:tc>
          <w:tcPr>
            <w:tcW w:w="923" w:type="dxa"/>
            <w:tcBorders>
              <w:top w:val="nil"/>
              <w:left w:val="nil"/>
              <w:bottom w:val="nil"/>
              <w:right w:val="nil"/>
            </w:tcBorders>
            <w:shd w:val="clear" w:color="000000" w:fill="FFFFFF"/>
            <w:noWrap/>
            <w:vAlign w:val="center"/>
            <w:hideMark/>
          </w:tcPr>
          <w:p w14:paraId="2FE00042"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0</w:t>
            </w:r>
          </w:p>
        </w:tc>
        <w:tc>
          <w:tcPr>
            <w:tcW w:w="981" w:type="dxa"/>
            <w:tcBorders>
              <w:top w:val="nil"/>
              <w:left w:val="nil"/>
              <w:bottom w:val="nil"/>
              <w:right w:val="nil"/>
            </w:tcBorders>
            <w:shd w:val="clear" w:color="000000" w:fill="BFBFBF"/>
            <w:noWrap/>
            <w:vAlign w:val="center"/>
            <w:hideMark/>
          </w:tcPr>
          <w:p w14:paraId="3F76ADB5"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3 495</w:t>
            </w:r>
          </w:p>
        </w:tc>
        <w:tc>
          <w:tcPr>
            <w:tcW w:w="981" w:type="dxa"/>
            <w:tcBorders>
              <w:top w:val="nil"/>
              <w:left w:val="nil"/>
              <w:bottom w:val="nil"/>
              <w:right w:val="nil"/>
            </w:tcBorders>
            <w:shd w:val="clear" w:color="000000" w:fill="BFBFBF"/>
            <w:noWrap/>
            <w:vAlign w:val="center"/>
            <w:hideMark/>
          </w:tcPr>
          <w:p w14:paraId="46F2C867"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0</w:t>
            </w:r>
          </w:p>
        </w:tc>
        <w:tc>
          <w:tcPr>
            <w:tcW w:w="864" w:type="dxa"/>
            <w:tcBorders>
              <w:top w:val="nil"/>
              <w:left w:val="nil"/>
              <w:bottom w:val="nil"/>
              <w:right w:val="nil"/>
            </w:tcBorders>
            <w:shd w:val="clear" w:color="000000" w:fill="FFFFFF"/>
            <w:vAlign w:val="center"/>
            <w:hideMark/>
          </w:tcPr>
          <w:p w14:paraId="6AFEF47A"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3 495</w:t>
            </w:r>
          </w:p>
        </w:tc>
        <w:tc>
          <w:tcPr>
            <w:tcW w:w="903" w:type="dxa"/>
            <w:tcBorders>
              <w:top w:val="nil"/>
              <w:left w:val="nil"/>
              <w:bottom w:val="nil"/>
              <w:right w:val="nil"/>
            </w:tcBorders>
            <w:shd w:val="clear" w:color="000000" w:fill="FFFFFF"/>
            <w:vAlign w:val="center"/>
            <w:hideMark/>
          </w:tcPr>
          <w:p w14:paraId="51F5DD16"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x</w:t>
            </w:r>
          </w:p>
        </w:tc>
      </w:tr>
      <w:tr w:rsidR="00F24D8C" w:rsidRPr="00070A80" w14:paraId="3C1EAD02" w14:textId="77777777" w:rsidTr="007E7471">
        <w:trPr>
          <w:trHeight w:val="335"/>
        </w:trPr>
        <w:tc>
          <w:tcPr>
            <w:tcW w:w="2749" w:type="dxa"/>
            <w:tcBorders>
              <w:top w:val="nil"/>
              <w:left w:val="nil"/>
              <w:bottom w:val="nil"/>
              <w:right w:val="nil"/>
            </w:tcBorders>
            <w:shd w:val="clear" w:color="000000" w:fill="FFFFFF"/>
            <w:noWrap/>
            <w:vAlign w:val="center"/>
            <w:hideMark/>
          </w:tcPr>
          <w:p w14:paraId="18DDDA7B" w14:textId="77777777" w:rsidR="00F24D8C" w:rsidRPr="00070A80" w:rsidRDefault="00F24D8C" w:rsidP="00F24D8C">
            <w:pPr>
              <w:spacing w:after="0" w:line="240" w:lineRule="auto"/>
              <w:jc w:val="left"/>
              <w:rPr>
                <w:rFonts w:eastAsia="Times New Roman" w:cs="Times New Roman"/>
                <w:color w:val="000000"/>
                <w:sz w:val="18"/>
                <w:szCs w:val="18"/>
                <w:lang w:eastAsia="sk-SK"/>
              </w:rPr>
            </w:pPr>
            <w:r w:rsidRPr="00070A80">
              <w:rPr>
                <w:rFonts w:eastAsia="Times New Roman" w:cs="Times New Roman"/>
                <w:color w:val="000000"/>
                <w:sz w:val="18"/>
                <w:szCs w:val="18"/>
                <w:lang w:eastAsia="sk-SK"/>
              </w:rPr>
              <w:t>Ochrana životného prostredia</w:t>
            </w:r>
          </w:p>
        </w:tc>
        <w:tc>
          <w:tcPr>
            <w:tcW w:w="883" w:type="dxa"/>
            <w:tcBorders>
              <w:top w:val="nil"/>
              <w:left w:val="nil"/>
              <w:bottom w:val="nil"/>
              <w:right w:val="nil"/>
            </w:tcBorders>
            <w:shd w:val="clear" w:color="000000" w:fill="FFFFFF"/>
            <w:noWrap/>
            <w:vAlign w:val="center"/>
            <w:hideMark/>
          </w:tcPr>
          <w:p w14:paraId="12136A57"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2 532</w:t>
            </w:r>
          </w:p>
        </w:tc>
        <w:tc>
          <w:tcPr>
            <w:tcW w:w="923" w:type="dxa"/>
            <w:tcBorders>
              <w:top w:val="nil"/>
              <w:left w:val="nil"/>
              <w:bottom w:val="nil"/>
              <w:right w:val="nil"/>
            </w:tcBorders>
            <w:shd w:val="clear" w:color="000000" w:fill="FFFFFF"/>
            <w:noWrap/>
            <w:vAlign w:val="center"/>
            <w:hideMark/>
          </w:tcPr>
          <w:p w14:paraId="0DE3544A"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2 597</w:t>
            </w:r>
          </w:p>
        </w:tc>
        <w:tc>
          <w:tcPr>
            <w:tcW w:w="923" w:type="dxa"/>
            <w:tcBorders>
              <w:top w:val="nil"/>
              <w:left w:val="nil"/>
              <w:bottom w:val="nil"/>
              <w:right w:val="nil"/>
            </w:tcBorders>
            <w:shd w:val="clear" w:color="000000" w:fill="FFFFFF"/>
            <w:noWrap/>
            <w:vAlign w:val="center"/>
            <w:hideMark/>
          </w:tcPr>
          <w:p w14:paraId="652555B3"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0</w:t>
            </w:r>
          </w:p>
        </w:tc>
        <w:tc>
          <w:tcPr>
            <w:tcW w:w="981" w:type="dxa"/>
            <w:tcBorders>
              <w:top w:val="nil"/>
              <w:left w:val="nil"/>
              <w:bottom w:val="nil"/>
              <w:right w:val="nil"/>
            </w:tcBorders>
            <w:shd w:val="clear" w:color="000000" w:fill="BFBFBF"/>
            <w:noWrap/>
            <w:vAlign w:val="center"/>
            <w:hideMark/>
          </w:tcPr>
          <w:p w14:paraId="6455A46B"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2 859</w:t>
            </w:r>
          </w:p>
        </w:tc>
        <w:tc>
          <w:tcPr>
            <w:tcW w:w="981" w:type="dxa"/>
            <w:tcBorders>
              <w:top w:val="nil"/>
              <w:left w:val="nil"/>
              <w:bottom w:val="nil"/>
              <w:right w:val="nil"/>
            </w:tcBorders>
            <w:shd w:val="clear" w:color="000000" w:fill="BFBFBF"/>
            <w:noWrap/>
            <w:vAlign w:val="center"/>
            <w:hideMark/>
          </w:tcPr>
          <w:p w14:paraId="44918865"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0</w:t>
            </w:r>
          </w:p>
        </w:tc>
        <w:tc>
          <w:tcPr>
            <w:tcW w:w="864" w:type="dxa"/>
            <w:tcBorders>
              <w:top w:val="nil"/>
              <w:left w:val="nil"/>
              <w:bottom w:val="nil"/>
              <w:right w:val="nil"/>
            </w:tcBorders>
            <w:shd w:val="clear" w:color="000000" w:fill="FFFFFF"/>
            <w:vAlign w:val="center"/>
            <w:hideMark/>
          </w:tcPr>
          <w:p w14:paraId="1E2A5745"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2 859</w:t>
            </w:r>
          </w:p>
        </w:tc>
        <w:tc>
          <w:tcPr>
            <w:tcW w:w="903" w:type="dxa"/>
            <w:tcBorders>
              <w:top w:val="nil"/>
              <w:left w:val="nil"/>
              <w:bottom w:val="nil"/>
              <w:right w:val="nil"/>
            </w:tcBorders>
            <w:shd w:val="clear" w:color="000000" w:fill="FFFFFF"/>
            <w:vAlign w:val="center"/>
            <w:hideMark/>
          </w:tcPr>
          <w:p w14:paraId="5962BDF8"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x</w:t>
            </w:r>
          </w:p>
        </w:tc>
      </w:tr>
      <w:tr w:rsidR="00F24D8C" w:rsidRPr="00070A80" w14:paraId="3250FA29" w14:textId="77777777" w:rsidTr="007E7471">
        <w:trPr>
          <w:trHeight w:val="396"/>
        </w:trPr>
        <w:tc>
          <w:tcPr>
            <w:tcW w:w="2749" w:type="dxa"/>
            <w:tcBorders>
              <w:top w:val="nil"/>
              <w:left w:val="nil"/>
              <w:bottom w:val="nil"/>
              <w:right w:val="nil"/>
            </w:tcBorders>
            <w:shd w:val="clear" w:color="000000" w:fill="FFFFFF"/>
            <w:vAlign w:val="center"/>
            <w:hideMark/>
          </w:tcPr>
          <w:p w14:paraId="7FDFFE5D" w14:textId="77777777" w:rsidR="00F24D8C" w:rsidRPr="00070A80" w:rsidRDefault="00F24D8C" w:rsidP="00F24D8C">
            <w:pPr>
              <w:spacing w:after="0" w:line="240" w:lineRule="auto"/>
              <w:jc w:val="left"/>
              <w:rPr>
                <w:rFonts w:eastAsia="Times New Roman" w:cs="Times New Roman"/>
                <w:color w:val="000000"/>
                <w:sz w:val="18"/>
                <w:szCs w:val="18"/>
                <w:lang w:eastAsia="sk-SK"/>
              </w:rPr>
            </w:pPr>
            <w:r w:rsidRPr="00070A80">
              <w:rPr>
                <w:rFonts w:eastAsia="Times New Roman" w:cs="Times New Roman"/>
                <w:color w:val="000000"/>
                <w:sz w:val="18"/>
                <w:szCs w:val="18"/>
                <w:lang w:eastAsia="sk-SK"/>
              </w:rPr>
              <w:t>Rekreácia, kultúra a náboženstvo</w:t>
            </w:r>
          </w:p>
        </w:tc>
        <w:tc>
          <w:tcPr>
            <w:tcW w:w="883" w:type="dxa"/>
            <w:tcBorders>
              <w:top w:val="nil"/>
              <w:left w:val="nil"/>
              <w:bottom w:val="nil"/>
              <w:right w:val="nil"/>
            </w:tcBorders>
            <w:shd w:val="clear" w:color="000000" w:fill="FFFFFF"/>
            <w:noWrap/>
            <w:vAlign w:val="center"/>
            <w:hideMark/>
          </w:tcPr>
          <w:p w14:paraId="4F2E316B"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3 585</w:t>
            </w:r>
          </w:p>
        </w:tc>
        <w:tc>
          <w:tcPr>
            <w:tcW w:w="923" w:type="dxa"/>
            <w:tcBorders>
              <w:top w:val="nil"/>
              <w:left w:val="nil"/>
              <w:bottom w:val="nil"/>
              <w:right w:val="nil"/>
            </w:tcBorders>
            <w:shd w:val="clear" w:color="000000" w:fill="FFFFFF"/>
            <w:noWrap/>
            <w:vAlign w:val="center"/>
            <w:hideMark/>
          </w:tcPr>
          <w:p w14:paraId="3A2AA49F"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2 798</w:t>
            </w:r>
          </w:p>
        </w:tc>
        <w:tc>
          <w:tcPr>
            <w:tcW w:w="923" w:type="dxa"/>
            <w:tcBorders>
              <w:top w:val="nil"/>
              <w:left w:val="nil"/>
              <w:bottom w:val="nil"/>
              <w:right w:val="nil"/>
            </w:tcBorders>
            <w:shd w:val="clear" w:color="000000" w:fill="FFFFFF"/>
            <w:noWrap/>
            <w:vAlign w:val="center"/>
            <w:hideMark/>
          </w:tcPr>
          <w:p w14:paraId="10FA3DEF"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0</w:t>
            </w:r>
          </w:p>
        </w:tc>
        <w:tc>
          <w:tcPr>
            <w:tcW w:w="981" w:type="dxa"/>
            <w:tcBorders>
              <w:top w:val="nil"/>
              <w:left w:val="nil"/>
              <w:bottom w:val="nil"/>
              <w:right w:val="nil"/>
            </w:tcBorders>
            <w:shd w:val="clear" w:color="000000" w:fill="BFBFBF"/>
            <w:noWrap/>
            <w:vAlign w:val="center"/>
            <w:hideMark/>
          </w:tcPr>
          <w:p w14:paraId="6B26A8F4"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2 599</w:t>
            </w:r>
          </w:p>
        </w:tc>
        <w:tc>
          <w:tcPr>
            <w:tcW w:w="981" w:type="dxa"/>
            <w:tcBorders>
              <w:top w:val="nil"/>
              <w:left w:val="nil"/>
              <w:bottom w:val="nil"/>
              <w:right w:val="nil"/>
            </w:tcBorders>
            <w:shd w:val="clear" w:color="000000" w:fill="BFBFBF"/>
            <w:noWrap/>
            <w:vAlign w:val="center"/>
            <w:hideMark/>
          </w:tcPr>
          <w:p w14:paraId="452C7C25"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2 599</w:t>
            </w:r>
          </w:p>
        </w:tc>
        <w:tc>
          <w:tcPr>
            <w:tcW w:w="864" w:type="dxa"/>
            <w:tcBorders>
              <w:top w:val="nil"/>
              <w:left w:val="nil"/>
              <w:bottom w:val="nil"/>
              <w:right w:val="nil"/>
            </w:tcBorders>
            <w:shd w:val="clear" w:color="000000" w:fill="FFFFFF"/>
            <w:vAlign w:val="center"/>
            <w:hideMark/>
          </w:tcPr>
          <w:p w14:paraId="56A379AC"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2 599</w:t>
            </w:r>
          </w:p>
        </w:tc>
        <w:tc>
          <w:tcPr>
            <w:tcW w:w="903" w:type="dxa"/>
            <w:tcBorders>
              <w:top w:val="nil"/>
              <w:left w:val="nil"/>
              <w:bottom w:val="nil"/>
              <w:right w:val="nil"/>
            </w:tcBorders>
            <w:shd w:val="clear" w:color="000000" w:fill="FFFFFF"/>
            <w:vAlign w:val="center"/>
            <w:hideMark/>
          </w:tcPr>
          <w:p w14:paraId="587F9A58"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x</w:t>
            </w:r>
          </w:p>
        </w:tc>
      </w:tr>
      <w:tr w:rsidR="00F24D8C" w:rsidRPr="00070A80" w14:paraId="6C82E78F" w14:textId="77777777" w:rsidTr="007E7471">
        <w:trPr>
          <w:trHeight w:val="335"/>
        </w:trPr>
        <w:tc>
          <w:tcPr>
            <w:tcW w:w="2749" w:type="dxa"/>
            <w:tcBorders>
              <w:top w:val="nil"/>
              <w:left w:val="nil"/>
              <w:bottom w:val="nil"/>
              <w:right w:val="nil"/>
            </w:tcBorders>
            <w:shd w:val="clear" w:color="000000" w:fill="FFFFFF"/>
            <w:noWrap/>
            <w:vAlign w:val="center"/>
            <w:hideMark/>
          </w:tcPr>
          <w:p w14:paraId="6799C8B7" w14:textId="77777777" w:rsidR="00F24D8C" w:rsidRPr="00070A80" w:rsidRDefault="00F24D8C" w:rsidP="00F24D8C">
            <w:pPr>
              <w:spacing w:after="0" w:line="240" w:lineRule="auto"/>
              <w:jc w:val="left"/>
              <w:rPr>
                <w:rFonts w:eastAsia="Times New Roman" w:cs="Times New Roman"/>
                <w:color w:val="000000"/>
                <w:sz w:val="18"/>
                <w:szCs w:val="18"/>
                <w:lang w:eastAsia="sk-SK"/>
              </w:rPr>
            </w:pPr>
            <w:r w:rsidRPr="00070A80">
              <w:rPr>
                <w:rFonts w:eastAsia="Times New Roman" w:cs="Times New Roman"/>
                <w:color w:val="000000"/>
                <w:sz w:val="18"/>
                <w:szCs w:val="18"/>
                <w:lang w:eastAsia="sk-SK"/>
              </w:rPr>
              <w:t>Bývanie a občianska vybavenosť</w:t>
            </w:r>
          </w:p>
        </w:tc>
        <w:tc>
          <w:tcPr>
            <w:tcW w:w="883" w:type="dxa"/>
            <w:tcBorders>
              <w:top w:val="nil"/>
              <w:left w:val="nil"/>
              <w:bottom w:val="nil"/>
              <w:right w:val="nil"/>
            </w:tcBorders>
            <w:shd w:val="clear" w:color="000000" w:fill="FFFFFF"/>
            <w:noWrap/>
            <w:vAlign w:val="center"/>
            <w:hideMark/>
          </w:tcPr>
          <w:p w14:paraId="11B5FBCF"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0</w:t>
            </w:r>
          </w:p>
        </w:tc>
        <w:tc>
          <w:tcPr>
            <w:tcW w:w="923" w:type="dxa"/>
            <w:tcBorders>
              <w:top w:val="nil"/>
              <w:left w:val="nil"/>
              <w:bottom w:val="nil"/>
              <w:right w:val="nil"/>
            </w:tcBorders>
            <w:shd w:val="clear" w:color="000000" w:fill="FFFFFF"/>
            <w:noWrap/>
            <w:vAlign w:val="center"/>
            <w:hideMark/>
          </w:tcPr>
          <w:p w14:paraId="0D89FA30"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130</w:t>
            </w:r>
          </w:p>
        </w:tc>
        <w:tc>
          <w:tcPr>
            <w:tcW w:w="923" w:type="dxa"/>
            <w:tcBorders>
              <w:top w:val="nil"/>
              <w:left w:val="nil"/>
              <w:bottom w:val="nil"/>
              <w:right w:val="nil"/>
            </w:tcBorders>
            <w:shd w:val="clear" w:color="000000" w:fill="FFFFFF"/>
            <w:noWrap/>
            <w:vAlign w:val="center"/>
            <w:hideMark/>
          </w:tcPr>
          <w:p w14:paraId="014FA995"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0</w:t>
            </w:r>
          </w:p>
        </w:tc>
        <w:tc>
          <w:tcPr>
            <w:tcW w:w="981" w:type="dxa"/>
            <w:tcBorders>
              <w:top w:val="nil"/>
              <w:left w:val="nil"/>
              <w:bottom w:val="nil"/>
              <w:right w:val="nil"/>
            </w:tcBorders>
            <w:shd w:val="clear" w:color="000000" w:fill="BFBFBF"/>
            <w:noWrap/>
            <w:vAlign w:val="center"/>
            <w:hideMark/>
          </w:tcPr>
          <w:p w14:paraId="682957B3"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0</w:t>
            </w:r>
          </w:p>
        </w:tc>
        <w:tc>
          <w:tcPr>
            <w:tcW w:w="981" w:type="dxa"/>
            <w:tcBorders>
              <w:top w:val="nil"/>
              <w:left w:val="nil"/>
              <w:bottom w:val="nil"/>
              <w:right w:val="nil"/>
            </w:tcBorders>
            <w:shd w:val="clear" w:color="000000" w:fill="BFBFBF"/>
            <w:noWrap/>
            <w:vAlign w:val="center"/>
            <w:hideMark/>
          </w:tcPr>
          <w:p w14:paraId="15164C11"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0</w:t>
            </w:r>
          </w:p>
        </w:tc>
        <w:tc>
          <w:tcPr>
            <w:tcW w:w="864" w:type="dxa"/>
            <w:tcBorders>
              <w:top w:val="nil"/>
              <w:left w:val="nil"/>
              <w:bottom w:val="nil"/>
              <w:right w:val="nil"/>
            </w:tcBorders>
            <w:shd w:val="clear" w:color="000000" w:fill="FFFFFF"/>
            <w:vAlign w:val="center"/>
            <w:hideMark/>
          </w:tcPr>
          <w:p w14:paraId="1370E58C"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0</w:t>
            </w:r>
          </w:p>
        </w:tc>
        <w:tc>
          <w:tcPr>
            <w:tcW w:w="903" w:type="dxa"/>
            <w:tcBorders>
              <w:top w:val="nil"/>
              <w:left w:val="nil"/>
              <w:bottom w:val="nil"/>
              <w:right w:val="nil"/>
            </w:tcBorders>
            <w:shd w:val="clear" w:color="000000" w:fill="FFFFFF"/>
            <w:vAlign w:val="center"/>
            <w:hideMark/>
          </w:tcPr>
          <w:p w14:paraId="6D22D644"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x</w:t>
            </w:r>
          </w:p>
        </w:tc>
      </w:tr>
      <w:tr w:rsidR="00F24D8C" w:rsidRPr="00070A80" w14:paraId="263BC83E" w14:textId="77777777" w:rsidTr="007E7471">
        <w:trPr>
          <w:trHeight w:val="335"/>
        </w:trPr>
        <w:tc>
          <w:tcPr>
            <w:tcW w:w="2749" w:type="dxa"/>
            <w:tcBorders>
              <w:top w:val="nil"/>
              <w:left w:val="nil"/>
              <w:bottom w:val="nil"/>
              <w:right w:val="nil"/>
            </w:tcBorders>
            <w:shd w:val="clear" w:color="000000" w:fill="FFFFFF"/>
            <w:noWrap/>
            <w:vAlign w:val="center"/>
            <w:hideMark/>
          </w:tcPr>
          <w:p w14:paraId="74FA58B3" w14:textId="77777777" w:rsidR="00F24D8C" w:rsidRPr="00070A80" w:rsidRDefault="00F24D8C" w:rsidP="00F24D8C">
            <w:pPr>
              <w:spacing w:after="0" w:line="240" w:lineRule="auto"/>
              <w:jc w:val="left"/>
              <w:rPr>
                <w:rFonts w:eastAsia="Times New Roman" w:cs="Times New Roman"/>
                <w:color w:val="000000"/>
                <w:sz w:val="18"/>
                <w:szCs w:val="18"/>
                <w:lang w:eastAsia="sk-SK"/>
              </w:rPr>
            </w:pPr>
            <w:r w:rsidRPr="00070A80">
              <w:rPr>
                <w:rFonts w:eastAsia="Times New Roman" w:cs="Times New Roman"/>
                <w:color w:val="000000"/>
                <w:sz w:val="18"/>
                <w:szCs w:val="18"/>
                <w:lang w:eastAsia="sk-SK"/>
              </w:rPr>
              <w:t>Verejný poriadok a bezpečnosť</w:t>
            </w:r>
          </w:p>
        </w:tc>
        <w:tc>
          <w:tcPr>
            <w:tcW w:w="883" w:type="dxa"/>
            <w:tcBorders>
              <w:top w:val="nil"/>
              <w:left w:val="nil"/>
              <w:bottom w:val="nil"/>
              <w:right w:val="nil"/>
            </w:tcBorders>
            <w:shd w:val="clear" w:color="000000" w:fill="FFFFFF"/>
            <w:noWrap/>
            <w:vAlign w:val="center"/>
            <w:hideMark/>
          </w:tcPr>
          <w:p w14:paraId="4329BFB1"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5</w:t>
            </w:r>
          </w:p>
        </w:tc>
        <w:tc>
          <w:tcPr>
            <w:tcW w:w="923" w:type="dxa"/>
            <w:tcBorders>
              <w:top w:val="nil"/>
              <w:left w:val="nil"/>
              <w:bottom w:val="nil"/>
              <w:right w:val="nil"/>
            </w:tcBorders>
            <w:shd w:val="clear" w:color="000000" w:fill="FFFFFF"/>
            <w:noWrap/>
            <w:vAlign w:val="center"/>
            <w:hideMark/>
          </w:tcPr>
          <w:p w14:paraId="33ABBC19"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0</w:t>
            </w:r>
          </w:p>
        </w:tc>
        <w:tc>
          <w:tcPr>
            <w:tcW w:w="923" w:type="dxa"/>
            <w:tcBorders>
              <w:top w:val="nil"/>
              <w:left w:val="nil"/>
              <w:bottom w:val="nil"/>
              <w:right w:val="nil"/>
            </w:tcBorders>
            <w:shd w:val="clear" w:color="000000" w:fill="FFFFFF"/>
            <w:noWrap/>
            <w:vAlign w:val="center"/>
            <w:hideMark/>
          </w:tcPr>
          <w:p w14:paraId="5E5BD9E8"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0</w:t>
            </w:r>
          </w:p>
        </w:tc>
        <w:tc>
          <w:tcPr>
            <w:tcW w:w="981" w:type="dxa"/>
            <w:tcBorders>
              <w:top w:val="nil"/>
              <w:left w:val="nil"/>
              <w:bottom w:val="nil"/>
              <w:right w:val="nil"/>
            </w:tcBorders>
            <w:shd w:val="clear" w:color="000000" w:fill="BFBFBF"/>
            <w:noWrap/>
            <w:vAlign w:val="center"/>
            <w:hideMark/>
          </w:tcPr>
          <w:p w14:paraId="04C3766C"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0</w:t>
            </w:r>
          </w:p>
        </w:tc>
        <w:tc>
          <w:tcPr>
            <w:tcW w:w="981" w:type="dxa"/>
            <w:tcBorders>
              <w:top w:val="nil"/>
              <w:left w:val="nil"/>
              <w:bottom w:val="nil"/>
              <w:right w:val="nil"/>
            </w:tcBorders>
            <w:shd w:val="clear" w:color="000000" w:fill="BFBFBF"/>
            <w:noWrap/>
            <w:vAlign w:val="center"/>
            <w:hideMark/>
          </w:tcPr>
          <w:p w14:paraId="59A2B83E"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0</w:t>
            </w:r>
          </w:p>
        </w:tc>
        <w:tc>
          <w:tcPr>
            <w:tcW w:w="864" w:type="dxa"/>
            <w:tcBorders>
              <w:top w:val="nil"/>
              <w:left w:val="nil"/>
              <w:bottom w:val="nil"/>
              <w:right w:val="nil"/>
            </w:tcBorders>
            <w:shd w:val="clear" w:color="000000" w:fill="FFFFFF"/>
            <w:vAlign w:val="center"/>
            <w:hideMark/>
          </w:tcPr>
          <w:p w14:paraId="52830667"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0</w:t>
            </w:r>
          </w:p>
        </w:tc>
        <w:tc>
          <w:tcPr>
            <w:tcW w:w="903" w:type="dxa"/>
            <w:tcBorders>
              <w:top w:val="nil"/>
              <w:left w:val="nil"/>
              <w:bottom w:val="nil"/>
              <w:right w:val="nil"/>
            </w:tcBorders>
            <w:shd w:val="clear" w:color="000000" w:fill="FFFFFF"/>
            <w:vAlign w:val="center"/>
            <w:hideMark/>
          </w:tcPr>
          <w:p w14:paraId="07997C22" w14:textId="77777777" w:rsidR="00F24D8C" w:rsidRPr="00070A80" w:rsidRDefault="00F24D8C" w:rsidP="00F24D8C">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x</w:t>
            </w:r>
          </w:p>
        </w:tc>
      </w:tr>
      <w:tr w:rsidR="00F24D8C" w:rsidRPr="00070A80" w14:paraId="1EA34BAD" w14:textId="77777777" w:rsidTr="007E7471">
        <w:trPr>
          <w:trHeight w:val="350"/>
        </w:trPr>
        <w:tc>
          <w:tcPr>
            <w:tcW w:w="2749" w:type="dxa"/>
            <w:tcBorders>
              <w:top w:val="single" w:sz="4" w:space="0" w:color="auto"/>
              <w:left w:val="nil"/>
              <w:bottom w:val="single" w:sz="8" w:space="0" w:color="auto"/>
              <w:right w:val="nil"/>
            </w:tcBorders>
            <w:shd w:val="clear" w:color="000000" w:fill="FFFFFF"/>
            <w:noWrap/>
            <w:vAlign w:val="center"/>
            <w:hideMark/>
          </w:tcPr>
          <w:p w14:paraId="5E7DCC96" w14:textId="77777777" w:rsidR="00F24D8C" w:rsidRPr="00070A80" w:rsidRDefault="00F24D8C" w:rsidP="00F24D8C">
            <w:pPr>
              <w:spacing w:after="0" w:line="240" w:lineRule="auto"/>
              <w:jc w:val="left"/>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Spolu</w:t>
            </w:r>
          </w:p>
        </w:tc>
        <w:tc>
          <w:tcPr>
            <w:tcW w:w="883" w:type="dxa"/>
            <w:tcBorders>
              <w:top w:val="single" w:sz="4" w:space="0" w:color="auto"/>
              <w:left w:val="nil"/>
              <w:bottom w:val="single" w:sz="8" w:space="0" w:color="auto"/>
              <w:right w:val="nil"/>
            </w:tcBorders>
            <w:shd w:val="clear" w:color="000000" w:fill="FFFFFF"/>
            <w:noWrap/>
            <w:vAlign w:val="center"/>
            <w:hideMark/>
          </w:tcPr>
          <w:p w14:paraId="1B1E7D12" w14:textId="77777777" w:rsidR="00F24D8C" w:rsidRPr="00070A80" w:rsidRDefault="00F24D8C" w:rsidP="00F24D8C">
            <w:pPr>
              <w:spacing w:after="0" w:line="240" w:lineRule="auto"/>
              <w:jc w:val="right"/>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457 344</w:t>
            </w:r>
          </w:p>
        </w:tc>
        <w:tc>
          <w:tcPr>
            <w:tcW w:w="923" w:type="dxa"/>
            <w:tcBorders>
              <w:top w:val="single" w:sz="4" w:space="0" w:color="auto"/>
              <w:left w:val="nil"/>
              <w:bottom w:val="single" w:sz="8" w:space="0" w:color="auto"/>
              <w:right w:val="nil"/>
            </w:tcBorders>
            <w:shd w:val="clear" w:color="000000" w:fill="FFFFFF"/>
            <w:noWrap/>
            <w:vAlign w:val="center"/>
            <w:hideMark/>
          </w:tcPr>
          <w:p w14:paraId="7BB0E890" w14:textId="77777777" w:rsidR="00F24D8C" w:rsidRPr="00070A80" w:rsidRDefault="00F24D8C" w:rsidP="00F24D8C">
            <w:pPr>
              <w:spacing w:after="0" w:line="240" w:lineRule="auto"/>
              <w:jc w:val="right"/>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530 881</w:t>
            </w:r>
          </w:p>
        </w:tc>
        <w:tc>
          <w:tcPr>
            <w:tcW w:w="923" w:type="dxa"/>
            <w:tcBorders>
              <w:top w:val="single" w:sz="4" w:space="0" w:color="auto"/>
              <w:left w:val="nil"/>
              <w:bottom w:val="single" w:sz="8" w:space="0" w:color="auto"/>
              <w:right w:val="nil"/>
            </w:tcBorders>
            <w:shd w:val="clear" w:color="000000" w:fill="FFFFFF"/>
            <w:noWrap/>
            <w:vAlign w:val="center"/>
            <w:hideMark/>
          </w:tcPr>
          <w:p w14:paraId="4CD6D206" w14:textId="77777777" w:rsidR="00F24D8C" w:rsidRPr="00070A80" w:rsidRDefault="00F24D8C" w:rsidP="00F24D8C">
            <w:pPr>
              <w:spacing w:after="0" w:line="240" w:lineRule="auto"/>
              <w:jc w:val="right"/>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593 741</w:t>
            </w:r>
          </w:p>
        </w:tc>
        <w:tc>
          <w:tcPr>
            <w:tcW w:w="981" w:type="dxa"/>
            <w:tcBorders>
              <w:top w:val="single" w:sz="4" w:space="0" w:color="auto"/>
              <w:left w:val="nil"/>
              <w:bottom w:val="single" w:sz="8" w:space="0" w:color="auto"/>
              <w:right w:val="nil"/>
            </w:tcBorders>
            <w:shd w:val="clear" w:color="000000" w:fill="BFBFBF"/>
            <w:noWrap/>
            <w:vAlign w:val="center"/>
            <w:hideMark/>
          </w:tcPr>
          <w:p w14:paraId="684417CE" w14:textId="77777777" w:rsidR="00F24D8C" w:rsidRPr="00070A80" w:rsidRDefault="00F24D8C" w:rsidP="00F24D8C">
            <w:pPr>
              <w:spacing w:after="0" w:line="240" w:lineRule="auto"/>
              <w:jc w:val="right"/>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600 779</w:t>
            </w:r>
          </w:p>
        </w:tc>
        <w:tc>
          <w:tcPr>
            <w:tcW w:w="981" w:type="dxa"/>
            <w:tcBorders>
              <w:top w:val="single" w:sz="4" w:space="0" w:color="auto"/>
              <w:left w:val="nil"/>
              <w:bottom w:val="single" w:sz="8" w:space="0" w:color="auto"/>
              <w:right w:val="nil"/>
            </w:tcBorders>
            <w:shd w:val="clear" w:color="000000" w:fill="BFBFBF"/>
            <w:noWrap/>
            <w:vAlign w:val="center"/>
            <w:hideMark/>
          </w:tcPr>
          <w:p w14:paraId="17521BB2" w14:textId="77777777" w:rsidR="00F24D8C" w:rsidRPr="00070A80" w:rsidRDefault="00F24D8C" w:rsidP="00F24D8C">
            <w:pPr>
              <w:spacing w:after="0" w:line="240" w:lineRule="auto"/>
              <w:jc w:val="right"/>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538 228</w:t>
            </w:r>
          </w:p>
        </w:tc>
        <w:tc>
          <w:tcPr>
            <w:tcW w:w="864" w:type="dxa"/>
            <w:tcBorders>
              <w:top w:val="single" w:sz="4" w:space="0" w:color="auto"/>
              <w:left w:val="nil"/>
              <w:bottom w:val="single" w:sz="8" w:space="0" w:color="auto"/>
              <w:right w:val="nil"/>
            </w:tcBorders>
            <w:shd w:val="clear" w:color="000000" w:fill="FFFFFF"/>
            <w:noWrap/>
            <w:vAlign w:val="center"/>
            <w:hideMark/>
          </w:tcPr>
          <w:p w14:paraId="43FD37AF" w14:textId="77777777" w:rsidR="00F24D8C" w:rsidRPr="00070A80" w:rsidRDefault="00F24D8C" w:rsidP="00F24D8C">
            <w:pPr>
              <w:spacing w:after="0" w:line="240" w:lineRule="auto"/>
              <w:jc w:val="right"/>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7 038</w:t>
            </w:r>
          </w:p>
        </w:tc>
        <w:tc>
          <w:tcPr>
            <w:tcW w:w="903" w:type="dxa"/>
            <w:tcBorders>
              <w:top w:val="single" w:sz="4" w:space="0" w:color="auto"/>
              <w:left w:val="nil"/>
              <w:bottom w:val="single" w:sz="8" w:space="0" w:color="auto"/>
              <w:right w:val="nil"/>
            </w:tcBorders>
            <w:shd w:val="clear" w:color="000000" w:fill="FFFFFF"/>
            <w:noWrap/>
            <w:vAlign w:val="center"/>
            <w:hideMark/>
          </w:tcPr>
          <w:p w14:paraId="644DFB01" w14:textId="77777777" w:rsidR="00F24D8C" w:rsidRPr="00070A80" w:rsidRDefault="00F24D8C" w:rsidP="00F24D8C">
            <w:pPr>
              <w:spacing w:after="0" w:line="240" w:lineRule="auto"/>
              <w:jc w:val="right"/>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1,2</w:t>
            </w:r>
          </w:p>
        </w:tc>
      </w:tr>
    </w:tbl>
    <w:p w14:paraId="0E09B929" w14:textId="35A8F388" w:rsidR="00C006CB" w:rsidRPr="00C006CB" w:rsidRDefault="00C006CB" w:rsidP="00C006CB">
      <w:pPr>
        <w:suppressAutoHyphens/>
        <w:rPr>
          <w:sz w:val="18"/>
          <w:szCs w:val="18"/>
        </w:rPr>
      </w:pPr>
      <w:r w:rsidRPr="00C006CB">
        <w:rPr>
          <w:sz w:val="18"/>
          <w:szCs w:val="18"/>
        </w:rPr>
        <w:t xml:space="preserve">Poznámka: * len prostriedky štátneho rozpočtu </w:t>
      </w:r>
      <w:r w:rsidRPr="00C006CB">
        <w:rPr>
          <w:sz w:val="18"/>
          <w:szCs w:val="18"/>
        </w:rPr>
        <w:tab/>
      </w:r>
      <w:r w:rsidRPr="00C006CB">
        <w:rPr>
          <w:sz w:val="18"/>
          <w:szCs w:val="18"/>
        </w:rPr>
        <w:tab/>
      </w:r>
      <w:r w:rsidRPr="00C006CB">
        <w:rPr>
          <w:sz w:val="18"/>
          <w:szCs w:val="18"/>
        </w:rPr>
        <w:tab/>
      </w:r>
      <w:r w:rsidRPr="00C006CB">
        <w:rPr>
          <w:sz w:val="18"/>
          <w:szCs w:val="18"/>
        </w:rPr>
        <w:tab/>
      </w:r>
      <w:r w:rsidRPr="00C006CB">
        <w:rPr>
          <w:sz w:val="18"/>
          <w:szCs w:val="18"/>
        </w:rPr>
        <w:tab/>
        <w:t xml:space="preserve">                     </w:t>
      </w:r>
      <w:r>
        <w:rPr>
          <w:sz w:val="18"/>
          <w:szCs w:val="18"/>
        </w:rPr>
        <w:t xml:space="preserve">   </w:t>
      </w:r>
      <w:r w:rsidRPr="00C006CB">
        <w:rPr>
          <w:sz w:val="18"/>
          <w:szCs w:val="18"/>
        </w:rPr>
        <w:t xml:space="preserve"> </w:t>
      </w:r>
      <w:r w:rsidR="00070A80">
        <w:rPr>
          <w:sz w:val="18"/>
          <w:szCs w:val="18"/>
        </w:rPr>
        <w:t xml:space="preserve">            </w:t>
      </w:r>
      <w:r w:rsidR="007E7471">
        <w:rPr>
          <w:sz w:val="18"/>
          <w:szCs w:val="18"/>
        </w:rPr>
        <w:t xml:space="preserve">   </w:t>
      </w:r>
      <w:r w:rsidRPr="00C006CB">
        <w:rPr>
          <w:sz w:val="18"/>
          <w:szCs w:val="18"/>
        </w:rPr>
        <w:t>Zdroj: MF SR</w:t>
      </w:r>
    </w:p>
    <w:p w14:paraId="5E1336EF" w14:textId="77777777" w:rsidR="005C4AEB" w:rsidRDefault="005C4AEB">
      <w:pPr>
        <w:spacing w:after="160" w:line="259" w:lineRule="auto"/>
        <w:jc w:val="left"/>
      </w:pPr>
      <w:r>
        <w:br w:type="page"/>
      </w:r>
    </w:p>
    <w:p w14:paraId="2611171D" w14:textId="5934EA74" w:rsidR="00C006CB" w:rsidRPr="00C006CB" w:rsidRDefault="00C006CB" w:rsidP="008D4C2B">
      <w:pPr>
        <w:spacing w:after="160" w:line="240" w:lineRule="auto"/>
      </w:pPr>
      <w:r w:rsidRPr="00C006CB">
        <w:t>Do rozpočtov VÚC boli poskytnuté granty a transfery z jednotlivých rozpočtových kapitol v nasledovnom členení:</w:t>
      </w:r>
    </w:p>
    <w:tbl>
      <w:tblPr>
        <w:tblW w:w="9771" w:type="dxa"/>
        <w:jc w:val="center"/>
        <w:tblLayout w:type="fixed"/>
        <w:tblCellMar>
          <w:left w:w="70" w:type="dxa"/>
          <w:right w:w="70" w:type="dxa"/>
        </w:tblCellMar>
        <w:tblLook w:val="04A0" w:firstRow="1" w:lastRow="0" w:firstColumn="1" w:lastColumn="0" w:noHBand="0" w:noVBand="1"/>
      </w:tblPr>
      <w:tblGrid>
        <w:gridCol w:w="3959"/>
        <w:gridCol w:w="860"/>
        <w:gridCol w:w="820"/>
        <w:gridCol w:w="872"/>
        <w:gridCol w:w="782"/>
        <w:gridCol w:w="793"/>
        <w:gridCol w:w="976"/>
        <w:gridCol w:w="709"/>
      </w:tblGrid>
      <w:tr w:rsidR="00070A80" w:rsidRPr="00070A80" w14:paraId="0D0270E5" w14:textId="77777777" w:rsidTr="00957C24">
        <w:trPr>
          <w:trHeight w:val="330"/>
          <w:jc w:val="center"/>
        </w:trPr>
        <w:tc>
          <w:tcPr>
            <w:tcW w:w="9771" w:type="dxa"/>
            <w:gridSpan w:val="8"/>
            <w:tcBorders>
              <w:top w:val="nil"/>
              <w:left w:val="single" w:sz="8" w:space="0" w:color="auto"/>
              <w:bottom w:val="nil"/>
              <w:right w:val="nil"/>
            </w:tcBorders>
            <w:shd w:val="clear" w:color="000000" w:fill="000000"/>
            <w:vAlign w:val="center"/>
            <w:hideMark/>
          </w:tcPr>
          <w:p w14:paraId="24B9F540" w14:textId="48B7B868" w:rsidR="00070A80" w:rsidRPr="00070A80" w:rsidRDefault="00070A80" w:rsidP="00070A80">
            <w:pPr>
              <w:spacing w:after="0" w:line="240" w:lineRule="auto"/>
              <w:jc w:val="left"/>
              <w:rPr>
                <w:rFonts w:eastAsia="Times New Roman" w:cs="Times New Roman"/>
                <w:b/>
                <w:bCs/>
                <w:color w:val="FFFFFF"/>
                <w:sz w:val="18"/>
                <w:szCs w:val="18"/>
                <w:lang w:eastAsia="sk-SK"/>
              </w:rPr>
            </w:pPr>
            <w:r w:rsidRPr="00070A80">
              <w:rPr>
                <w:rFonts w:eastAsia="Times New Roman" w:cs="Times New Roman"/>
                <w:b/>
                <w:bCs/>
                <w:color w:val="FFFFFF"/>
                <w:sz w:val="18"/>
                <w:szCs w:val="18"/>
                <w:lang w:eastAsia="sk-SK"/>
              </w:rPr>
              <w:t>Granty a transfery poskytnuté VÚC podľa kapitol ŠR</w:t>
            </w:r>
            <w:r>
              <w:rPr>
                <w:rFonts w:eastAsia="Times New Roman" w:cs="Times New Roman"/>
                <w:b/>
                <w:bCs/>
                <w:color w:val="FFFFFF"/>
                <w:sz w:val="18"/>
                <w:szCs w:val="18"/>
                <w:lang w:eastAsia="sk-SK"/>
              </w:rPr>
              <w:t xml:space="preserve">                                                                                                        </w:t>
            </w:r>
            <w:r w:rsidRPr="00070A80">
              <w:rPr>
                <w:rFonts w:eastAsia="Times New Roman" w:cs="Times New Roman"/>
                <w:b/>
                <w:bCs/>
                <w:color w:val="FFFFFF"/>
                <w:sz w:val="18"/>
                <w:szCs w:val="18"/>
                <w:lang w:eastAsia="sk-SK"/>
              </w:rPr>
              <w:t>v tis. eur</w:t>
            </w:r>
          </w:p>
        </w:tc>
      </w:tr>
      <w:tr w:rsidR="00C006CB" w:rsidRPr="00070A80" w14:paraId="5669DA05" w14:textId="77777777" w:rsidTr="00070A80">
        <w:trPr>
          <w:trHeight w:val="252"/>
          <w:jc w:val="center"/>
        </w:trPr>
        <w:tc>
          <w:tcPr>
            <w:tcW w:w="3959" w:type="dxa"/>
            <w:tcBorders>
              <w:top w:val="nil"/>
              <w:left w:val="nil"/>
              <w:bottom w:val="nil"/>
              <w:right w:val="nil"/>
            </w:tcBorders>
            <w:shd w:val="clear" w:color="000000" w:fill="BFBFBF"/>
            <w:vAlign w:val="center"/>
            <w:hideMark/>
          </w:tcPr>
          <w:p w14:paraId="31B1B019" w14:textId="77777777" w:rsidR="00C006CB" w:rsidRPr="00070A80" w:rsidRDefault="00C006CB" w:rsidP="00C006CB">
            <w:pPr>
              <w:spacing w:after="0" w:line="240" w:lineRule="auto"/>
              <w:jc w:val="left"/>
              <w:rPr>
                <w:rFonts w:eastAsia="Times New Roman" w:cs="Times New Roman"/>
                <w:b/>
                <w:bCs/>
                <w:color w:val="FFFFFF"/>
                <w:sz w:val="18"/>
                <w:szCs w:val="18"/>
                <w:lang w:eastAsia="sk-SK"/>
              </w:rPr>
            </w:pPr>
            <w:r w:rsidRPr="00070A80">
              <w:rPr>
                <w:rFonts w:eastAsia="Times New Roman" w:cs="Times New Roman"/>
                <w:b/>
                <w:bCs/>
                <w:color w:val="FFFFFF"/>
                <w:sz w:val="18"/>
                <w:szCs w:val="18"/>
                <w:lang w:eastAsia="sk-SK"/>
              </w:rPr>
              <w:t> </w:t>
            </w:r>
          </w:p>
        </w:tc>
        <w:tc>
          <w:tcPr>
            <w:tcW w:w="1680" w:type="dxa"/>
            <w:gridSpan w:val="2"/>
            <w:tcBorders>
              <w:top w:val="nil"/>
              <w:left w:val="nil"/>
              <w:bottom w:val="nil"/>
              <w:right w:val="nil"/>
            </w:tcBorders>
            <w:shd w:val="clear" w:color="000000" w:fill="BFBFBF"/>
            <w:vAlign w:val="center"/>
            <w:hideMark/>
          </w:tcPr>
          <w:p w14:paraId="08BD7DAF" w14:textId="77777777" w:rsidR="00C006CB" w:rsidRPr="00070A80" w:rsidRDefault="00C006CB" w:rsidP="00C006CB">
            <w:pPr>
              <w:spacing w:after="0" w:line="240" w:lineRule="auto"/>
              <w:jc w:val="center"/>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Skutočnosť</w:t>
            </w:r>
          </w:p>
        </w:tc>
        <w:tc>
          <w:tcPr>
            <w:tcW w:w="872" w:type="dxa"/>
            <w:tcBorders>
              <w:top w:val="nil"/>
              <w:left w:val="nil"/>
              <w:bottom w:val="nil"/>
              <w:right w:val="nil"/>
            </w:tcBorders>
            <w:shd w:val="clear" w:color="000000" w:fill="BFBFBF"/>
            <w:vAlign w:val="center"/>
            <w:hideMark/>
          </w:tcPr>
          <w:p w14:paraId="688B6ACE" w14:textId="77777777" w:rsidR="00C006CB" w:rsidRPr="00070A80" w:rsidRDefault="00C006CB" w:rsidP="00C006CB">
            <w:pPr>
              <w:spacing w:after="0" w:line="240" w:lineRule="auto"/>
              <w:jc w:val="center"/>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Rozpočet</w:t>
            </w:r>
          </w:p>
        </w:tc>
        <w:tc>
          <w:tcPr>
            <w:tcW w:w="1575" w:type="dxa"/>
            <w:gridSpan w:val="2"/>
            <w:tcBorders>
              <w:top w:val="nil"/>
              <w:left w:val="nil"/>
              <w:bottom w:val="nil"/>
              <w:right w:val="nil"/>
            </w:tcBorders>
            <w:shd w:val="clear" w:color="000000" w:fill="BFBFBF"/>
            <w:vAlign w:val="center"/>
            <w:hideMark/>
          </w:tcPr>
          <w:p w14:paraId="478D3E92" w14:textId="77777777" w:rsidR="00C006CB" w:rsidRPr="00070A80" w:rsidRDefault="00C006CB" w:rsidP="00C006CB">
            <w:pPr>
              <w:spacing w:after="0" w:line="240" w:lineRule="auto"/>
              <w:jc w:val="center"/>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Skutočnosť</w:t>
            </w:r>
          </w:p>
        </w:tc>
        <w:tc>
          <w:tcPr>
            <w:tcW w:w="1685" w:type="dxa"/>
            <w:gridSpan w:val="2"/>
            <w:tcBorders>
              <w:top w:val="nil"/>
              <w:left w:val="nil"/>
              <w:bottom w:val="nil"/>
              <w:right w:val="nil"/>
            </w:tcBorders>
            <w:shd w:val="clear" w:color="000000" w:fill="BFBFBF"/>
            <w:vAlign w:val="center"/>
            <w:hideMark/>
          </w:tcPr>
          <w:p w14:paraId="10A649CC" w14:textId="77777777" w:rsidR="00C006CB" w:rsidRPr="00070A80" w:rsidRDefault="00C006CB" w:rsidP="00C006CB">
            <w:pPr>
              <w:spacing w:after="0" w:line="240" w:lineRule="auto"/>
              <w:jc w:val="center"/>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Rozdiel</w:t>
            </w:r>
          </w:p>
        </w:tc>
      </w:tr>
      <w:tr w:rsidR="00C006CB" w:rsidRPr="00070A80" w14:paraId="15DFD9DB" w14:textId="77777777" w:rsidTr="00070A80">
        <w:trPr>
          <w:trHeight w:val="586"/>
          <w:jc w:val="center"/>
        </w:trPr>
        <w:tc>
          <w:tcPr>
            <w:tcW w:w="3959" w:type="dxa"/>
            <w:tcBorders>
              <w:top w:val="nil"/>
              <w:left w:val="nil"/>
              <w:bottom w:val="nil"/>
              <w:right w:val="nil"/>
            </w:tcBorders>
            <w:shd w:val="clear" w:color="000000" w:fill="BFBFBF"/>
            <w:vAlign w:val="center"/>
            <w:hideMark/>
          </w:tcPr>
          <w:p w14:paraId="35DDD386" w14:textId="77777777" w:rsidR="00C006CB" w:rsidRPr="00070A80" w:rsidRDefault="00C006CB" w:rsidP="00C006CB">
            <w:pPr>
              <w:spacing w:after="0" w:line="240" w:lineRule="auto"/>
              <w:jc w:val="center"/>
              <w:rPr>
                <w:rFonts w:eastAsia="Times New Roman" w:cs="Times New Roman"/>
                <w:b/>
                <w:bCs/>
                <w:sz w:val="18"/>
                <w:szCs w:val="18"/>
                <w:lang w:eastAsia="sk-SK"/>
              </w:rPr>
            </w:pPr>
            <w:r w:rsidRPr="00070A80">
              <w:rPr>
                <w:rFonts w:eastAsia="Times New Roman" w:cs="Times New Roman"/>
                <w:b/>
                <w:bCs/>
                <w:sz w:val="18"/>
                <w:szCs w:val="18"/>
                <w:lang w:eastAsia="sk-SK"/>
              </w:rPr>
              <w:t> </w:t>
            </w:r>
          </w:p>
        </w:tc>
        <w:tc>
          <w:tcPr>
            <w:tcW w:w="860" w:type="dxa"/>
            <w:tcBorders>
              <w:top w:val="nil"/>
              <w:left w:val="nil"/>
              <w:bottom w:val="nil"/>
              <w:right w:val="nil"/>
            </w:tcBorders>
            <w:shd w:val="clear" w:color="000000" w:fill="BFBFBF"/>
            <w:vAlign w:val="center"/>
            <w:hideMark/>
          </w:tcPr>
          <w:p w14:paraId="1A089020" w14:textId="77777777" w:rsidR="00C006CB" w:rsidRPr="00070A80" w:rsidRDefault="00C006CB" w:rsidP="00C006CB">
            <w:pPr>
              <w:spacing w:after="0" w:line="240" w:lineRule="auto"/>
              <w:jc w:val="center"/>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2018</w:t>
            </w:r>
          </w:p>
        </w:tc>
        <w:tc>
          <w:tcPr>
            <w:tcW w:w="820" w:type="dxa"/>
            <w:tcBorders>
              <w:top w:val="nil"/>
              <w:left w:val="nil"/>
              <w:bottom w:val="nil"/>
              <w:right w:val="nil"/>
            </w:tcBorders>
            <w:shd w:val="clear" w:color="000000" w:fill="BFBFBF"/>
            <w:vAlign w:val="center"/>
            <w:hideMark/>
          </w:tcPr>
          <w:p w14:paraId="558DEA4C" w14:textId="77777777" w:rsidR="00C006CB" w:rsidRPr="00070A80" w:rsidRDefault="00C006CB" w:rsidP="00C006CB">
            <w:pPr>
              <w:spacing w:after="0" w:line="240" w:lineRule="auto"/>
              <w:jc w:val="center"/>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2019</w:t>
            </w:r>
          </w:p>
        </w:tc>
        <w:tc>
          <w:tcPr>
            <w:tcW w:w="872" w:type="dxa"/>
            <w:tcBorders>
              <w:top w:val="nil"/>
              <w:left w:val="nil"/>
              <w:bottom w:val="nil"/>
              <w:right w:val="nil"/>
            </w:tcBorders>
            <w:shd w:val="clear" w:color="000000" w:fill="BFBFBF"/>
            <w:vAlign w:val="center"/>
            <w:hideMark/>
          </w:tcPr>
          <w:p w14:paraId="40625B2C" w14:textId="77777777" w:rsidR="00C006CB" w:rsidRPr="00070A80" w:rsidRDefault="00C006CB" w:rsidP="00C006CB">
            <w:pPr>
              <w:spacing w:after="0" w:line="240" w:lineRule="auto"/>
              <w:jc w:val="center"/>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2020</w:t>
            </w:r>
          </w:p>
        </w:tc>
        <w:tc>
          <w:tcPr>
            <w:tcW w:w="782" w:type="dxa"/>
            <w:tcBorders>
              <w:top w:val="nil"/>
              <w:left w:val="nil"/>
              <w:bottom w:val="nil"/>
              <w:right w:val="nil"/>
            </w:tcBorders>
            <w:shd w:val="clear" w:color="000000" w:fill="BFBFBF"/>
            <w:vAlign w:val="center"/>
            <w:hideMark/>
          </w:tcPr>
          <w:p w14:paraId="1850809A" w14:textId="77777777" w:rsidR="00C006CB" w:rsidRPr="00070A80" w:rsidRDefault="00C006CB" w:rsidP="00C006CB">
            <w:pPr>
              <w:spacing w:after="0" w:line="240" w:lineRule="auto"/>
              <w:jc w:val="center"/>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2020</w:t>
            </w:r>
          </w:p>
        </w:tc>
        <w:tc>
          <w:tcPr>
            <w:tcW w:w="793" w:type="dxa"/>
            <w:tcBorders>
              <w:top w:val="nil"/>
              <w:left w:val="nil"/>
              <w:bottom w:val="nil"/>
              <w:right w:val="nil"/>
            </w:tcBorders>
            <w:shd w:val="clear" w:color="000000" w:fill="BFBFBF"/>
            <w:vAlign w:val="center"/>
            <w:hideMark/>
          </w:tcPr>
          <w:p w14:paraId="636250B6" w14:textId="77777777" w:rsidR="00C006CB" w:rsidRPr="00070A80" w:rsidRDefault="00C006CB" w:rsidP="00C006CB">
            <w:pPr>
              <w:spacing w:after="0" w:line="240" w:lineRule="auto"/>
              <w:jc w:val="center"/>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z toho: zdroj 111</w:t>
            </w:r>
            <w:r w:rsidRPr="00070A80">
              <w:rPr>
                <w:rFonts w:ascii="Arial Narrow" w:eastAsia="Times New Roman" w:hAnsi="Arial Narrow" w:cs="Times New Roman"/>
                <w:b/>
                <w:bCs/>
                <w:color w:val="000000"/>
                <w:sz w:val="18"/>
                <w:szCs w:val="18"/>
                <w:lang w:eastAsia="sk-SK"/>
              </w:rPr>
              <w:t>*</w:t>
            </w:r>
          </w:p>
        </w:tc>
        <w:tc>
          <w:tcPr>
            <w:tcW w:w="976" w:type="dxa"/>
            <w:tcBorders>
              <w:top w:val="nil"/>
              <w:left w:val="nil"/>
              <w:bottom w:val="nil"/>
              <w:right w:val="nil"/>
            </w:tcBorders>
            <w:shd w:val="clear" w:color="000000" w:fill="BFBFBF"/>
            <w:vAlign w:val="center"/>
            <w:hideMark/>
          </w:tcPr>
          <w:p w14:paraId="4DBF3BDF" w14:textId="77777777" w:rsidR="00C006CB" w:rsidRPr="00070A80" w:rsidRDefault="00C006CB" w:rsidP="00C006CB">
            <w:pPr>
              <w:spacing w:after="0" w:line="240" w:lineRule="auto"/>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 xml:space="preserve"> v tis. eur</w:t>
            </w:r>
          </w:p>
        </w:tc>
        <w:tc>
          <w:tcPr>
            <w:tcW w:w="709" w:type="dxa"/>
            <w:tcBorders>
              <w:top w:val="nil"/>
              <w:left w:val="nil"/>
              <w:bottom w:val="nil"/>
              <w:right w:val="nil"/>
            </w:tcBorders>
            <w:shd w:val="clear" w:color="000000" w:fill="BFBFBF"/>
            <w:vAlign w:val="center"/>
            <w:hideMark/>
          </w:tcPr>
          <w:p w14:paraId="3C68A71D" w14:textId="77777777" w:rsidR="00C006CB" w:rsidRPr="00070A80" w:rsidRDefault="00C006CB" w:rsidP="00C006CB">
            <w:pPr>
              <w:spacing w:after="0" w:line="240" w:lineRule="auto"/>
              <w:jc w:val="center"/>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v %</w:t>
            </w:r>
          </w:p>
        </w:tc>
      </w:tr>
      <w:tr w:rsidR="00C006CB" w:rsidRPr="00070A80" w14:paraId="1DA3E236" w14:textId="77777777" w:rsidTr="00070A80">
        <w:trPr>
          <w:trHeight w:val="60"/>
          <w:jc w:val="center"/>
        </w:trPr>
        <w:tc>
          <w:tcPr>
            <w:tcW w:w="3959" w:type="dxa"/>
            <w:tcBorders>
              <w:top w:val="nil"/>
              <w:left w:val="nil"/>
              <w:bottom w:val="single" w:sz="8" w:space="0" w:color="auto"/>
              <w:right w:val="nil"/>
            </w:tcBorders>
            <w:shd w:val="clear" w:color="000000" w:fill="BFBFBF"/>
            <w:vAlign w:val="center"/>
            <w:hideMark/>
          </w:tcPr>
          <w:p w14:paraId="47B563A0" w14:textId="77777777" w:rsidR="00C006CB" w:rsidRPr="00070A80" w:rsidRDefault="00C006CB" w:rsidP="00C006CB">
            <w:pPr>
              <w:spacing w:after="0" w:line="240" w:lineRule="auto"/>
              <w:jc w:val="left"/>
              <w:rPr>
                <w:rFonts w:eastAsia="Times New Roman" w:cs="Times New Roman"/>
                <w:b/>
                <w:bCs/>
                <w:color w:val="FFFFFF"/>
                <w:sz w:val="18"/>
                <w:szCs w:val="18"/>
                <w:lang w:eastAsia="sk-SK"/>
              </w:rPr>
            </w:pPr>
            <w:r w:rsidRPr="00070A80">
              <w:rPr>
                <w:rFonts w:eastAsia="Times New Roman" w:cs="Times New Roman"/>
                <w:b/>
                <w:bCs/>
                <w:color w:val="FFFFFF"/>
                <w:sz w:val="18"/>
                <w:szCs w:val="18"/>
                <w:lang w:eastAsia="sk-SK"/>
              </w:rPr>
              <w:t> </w:t>
            </w:r>
          </w:p>
        </w:tc>
        <w:tc>
          <w:tcPr>
            <w:tcW w:w="860" w:type="dxa"/>
            <w:tcBorders>
              <w:top w:val="nil"/>
              <w:left w:val="nil"/>
              <w:bottom w:val="single" w:sz="8" w:space="0" w:color="auto"/>
              <w:right w:val="nil"/>
            </w:tcBorders>
            <w:shd w:val="clear" w:color="000000" w:fill="BFBFBF"/>
            <w:vAlign w:val="center"/>
            <w:hideMark/>
          </w:tcPr>
          <w:p w14:paraId="14BBCC64" w14:textId="77777777" w:rsidR="00C006CB" w:rsidRPr="00070A80" w:rsidRDefault="00C006CB" w:rsidP="00C006CB">
            <w:pPr>
              <w:spacing w:after="0" w:line="240" w:lineRule="auto"/>
              <w:jc w:val="center"/>
              <w:rPr>
                <w:rFonts w:eastAsia="Times New Roman" w:cs="Times New Roman"/>
                <w:b/>
                <w:bCs/>
                <w:sz w:val="18"/>
                <w:szCs w:val="18"/>
                <w:lang w:eastAsia="sk-SK"/>
              </w:rPr>
            </w:pPr>
            <w:r w:rsidRPr="00070A80">
              <w:rPr>
                <w:rFonts w:eastAsia="Times New Roman" w:cs="Times New Roman"/>
                <w:b/>
                <w:bCs/>
                <w:sz w:val="18"/>
                <w:szCs w:val="18"/>
                <w:lang w:eastAsia="sk-SK"/>
              </w:rPr>
              <w:t>1</w:t>
            </w:r>
          </w:p>
        </w:tc>
        <w:tc>
          <w:tcPr>
            <w:tcW w:w="820" w:type="dxa"/>
            <w:tcBorders>
              <w:top w:val="nil"/>
              <w:left w:val="nil"/>
              <w:bottom w:val="single" w:sz="8" w:space="0" w:color="auto"/>
              <w:right w:val="nil"/>
            </w:tcBorders>
            <w:shd w:val="clear" w:color="000000" w:fill="BFBFBF"/>
            <w:vAlign w:val="center"/>
            <w:hideMark/>
          </w:tcPr>
          <w:p w14:paraId="039CD4F3" w14:textId="77777777" w:rsidR="00C006CB" w:rsidRPr="00070A80" w:rsidRDefault="00C006CB" w:rsidP="00C006CB">
            <w:pPr>
              <w:spacing w:after="0" w:line="240" w:lineRule="auto"/>
              <w:jc w:val="center"/>
              <w:rPr>
                <w:rFonts w:eastAsia="Times New Roman" w:cs="Times New Roman"/>
                <w:b/>
                <w:bCs/>
                <w:sz w:val="18"/>
                <w:szCs w:val="18"/>
                <w:lang w:eastAsia="sk-SK"/>
              </w:rPr>
            </w:pPr>
            <w:r w:rsidRPr="00070A80">
              <w:rPr>
                <w:rFonts w:eastAsia="Times New Roman" w:cs="Times New Roman"/>
                <w:b/>
                <w:bCs/>
                <w:sz w:val="18"/>
                <w:szCs w:val="18"/>
                <w:lang w:eastAsia="sk-SK"/>
              </w:rPr>
              <w:t>2</w:t>
            </w:r>
          </w:p>
        </w:tc>
        <w:tc>
          <w:tcPr>
            <w:tcW w:w="872" w:type="dxa"/>
            <w:tcBorders>
              <w:top w:val="nil"/>
              <w:left w:val="nil"/>
              <w:bottom w:val="single" w:sz="8" w:space="0" w:color="auto"/>
              <w:right w:val="nil"/>
            </w:tcBorders>
            <w:shd w:val="clear" w:color="000000" w:fill="BFBFBF"/>
            <w:vAlign w:val="center"/>
            <w:hideMark/>
          </w:tcPr>
          <w:p w14:paraId="32A21FBB" w14:textId="77777777" w:rsidR="00C006CB" w:rsidRPr="00070A80" w:rsidRDefault="00C006CB" w:rsidP="00C006CB">
            <w:pPr>
              <w:spacing w:after="0" w:line="240" w:lineRule="auto"/>
              <w:jc w:val="center"/>
              <w:rPr>
                <w:rFonts w:eastAsia="Times New Roman" w:cs="Times New Roman"/>
                <w:b/>
                <w:bCs/>
                <w:sz w:val="18"/>
                <w:szCs w:val="18"/>
                <w:lang w:eastAsia="sk-SK"/>
              </w:rPr>
            </w:pPr>
            <w:r w:rsidRPr="00070A80">
              <w:rPr>
                <w:rFonts w:eastAsia="Times New Roman" w:cs="Times New Roman"/>
                <w:b/>
                <w:bCs/>
                <w:sz w:val="18"/>
                <w:szCs w:val="18"/>
                <w:lang w:eastAsia="sk-SK"/>
              </w:rPr>
              <w:t>3</w:t>
            </w:r>
          </w:p>
        </w:tc>
        <w:tc>
          <w:tcPr>
            <w:tcW w:w="782" w:type="dxa"/>
            <w:tcBorders>
              <w:top w:val="nil"/>
              <w:left w:val="nil"/>
              <w:bottom w:val="single" w:sz="8" w:space="0" w:color="auto"/>
              <w:right w:val="nil"/>
            </w:tcBorders>
            <w:shd w:val="clear" w:color="000000" w:fill="BFBFBF"/>
            <w:vAlign w:val="center"/>
            <w:hideMark/>
          </w:tcPr>
          <w:p w14:paraId="10A81E48" w14:textId="77777777" w:rsidR="00C006CB" w:rsidRPr="00070A80" w:rsidRDefault="00C006CB" w:rsidP="00C006CB">
            <w:pPr>
              <w:spacing w:after="0" w:line="240" w:lineRule="auto"/>
              <w:jc w:val="center"/>
              <w:rPr>
                <w:rFonts w:eastAsia="Times New Roman" w:cs="Times New Roman"/>
                <w:b/>
                <w:bCs/>
                <w:sz w:val="18"/>
                <w:szCs w:val="18"/>
                <w:lang w:eastAsia="sk-SK"/>
              </w:rPr>
            </w:pPr>
            <w:r w:rsidRPr="00070A80">
              <w:rPr>
                <w:rFonts w:eastAsia="Times New Roman" w:cs="Times New Roman"/>
                <w:b/>
                <w:bCs/>
                <w:sz w:val="18"/>
                <w:szCs w:val="18"/>
                <w:lang w:eastAsia="sk-SK"/>
              </w:rPr>
              <w:t>4</w:t>
            </w:r>
          </w:p>
        </w:tc>
        <w:tc>
          <w:tcPr>
            <w:tcW w:w="793" w:type="dxa"/>
            <w:tcBorders>
              <w:top w:val="nil"/>
              <w:left w:val="nil"/>
              <w:bottom w:val="single" w:sz="8" w:space="0" w:color="auto"/>
              <w:right w:val="nil"/>
            </w:tcBorders>
            <w:shd w:val="clear" w:color="000000" w:fill="BFBFBF"/>
            <w:vAlign w:val="center"/>
            <w:hideMark/>
          </w:tcPr>
          <w:p w14:paraId="1C9E5F5D" w14:textId="77777777" w:rsidR="00C006CB" w:rsidRPr="00070A80" w:rsidRDefault="00C006CB" w:rsidP="00C006CB">
            <w:pPr>
              <w:spacing w:after="0" w:line="240" w:lineRule="auto"/>
              <w:jc w:val="center"/>
              <w:rPr>
                <w:rFonts w:eastAsia="Times New Roman" w:cs="Times New Roman"/>
                <w:b/>
                <w:bCs/>
                <w:sz w:val="18"/>
                <w:szCs w:val="18"/>
                <w:lang w:eastAsia="sk-SK"/>
              </w:rPr>
            </w:pPr>
            <w:r w:rsidRPr="00070A80">
              <w:rPr>
                <w:rFonts w:eastAsia="Times New Roman" w:cs="Times New Roman"/>
                <w:b/>
                <w:bCs/>
                <w:sz w:val="18"/>
                <w:szCs w:val="18"/>
                <w:lang w:eastAsia="sk-SK"/>
              </w:rPr>
              <w:t>5</w:t>
            </w:r>
          </w:p>
        </w:tc>
        <w:tc>
          <w:tcPr>
            <w:tcW w:w="976" w:type="dxa"/>
            <w:tcBorders>
              <w:top w:val="nil"/>
              <w:left w:val="nil"/>
              <w:bottom w:val="single" w:sz="8" w:space="0" w:color="auto"/>
              <w:right w:val="nil"/>
            </w:tcBorders>
            <w:shd w:val="clear" w:color="000000" w:fill="BFBFBF"/>
            <w:vAlign w:val="center"/>
            <w:hideMark/>
          </w:tcPr>
          <w:p w14:paraId="02BD36E6" w14:textId="77777777" w:rsidR="00C006CB" w:rsidRPr="00070A80" w:rsidRDefault="00C006CB" w:rsidP="00C006CB">
            <w:pPr>
              <w:spacing w:after="0" w:line="240" w:lineRule="auto"/>
              <w:jc w:val="center"/>
              <w:rPr>
                <w:rFonts w:eastAsia="Times New Roman" w:cs="Times New Roman"/>
                <w:b/>
                <w:bCs/>
                <w:sz w:val="18"/>
                <w:szCs w:val="18"/>
                <w:lang w:eastAsia="sk-SK"/>
              </w:rPr>
            </w:pPr>
            <w:r w:rsidRPr="00070A80">
              <w:rPr>
                <w:rFonts w:eastAsia="Times New Roman" w:cs="Times New Roman"/>
                <w:b/>
                <w:bCs/>
                <w:sz w:val="18"/>
                <w:szCs w:val="18"/>
                <w:lang w:eastAsia="sk-SK"/>
              </w:rPr>
              <w:t>6=4-3</w:t>
            </w:r>
          </w:p>
        </w:tc>
        <w:tc>
          <w:tcPr>
            <w:tcW w:w="709" w:type="dxa"/>
            <w:tcBorders>
              <w:top w:val="nil"/>
              <w:left w:val="nil"/>
              <w:bottom w:val="single" w:sz="8" w:space="0" w:color="auto"/>
              <w:right w:val="nil"/>
            </w:tcBorders>
            <w:shd w:val="clear" w:color="000000" w:fill="BFBFBF"/>
            <w:vAlign w:val="center"/>
            <w:hideMark/>
          </w:tcPr>
          <w:p w14:paraId="2FEFCD4D" w14:textId="77777777" w:rsidR="00C006CB" w:rsidRPr="00070A80" w:rsidRDefault="00C006CB" w:rsidP="00C006CB">
            <w:pPr>
              <w:spacing w:after="0" w:line="240" w:lineRule="auto"/>
              <w:jc w:val="center"/>
              <w:rPr>
                <w:rFonts w:eastAsia="Times New Roman" w:cs="Times New Roman"/>
                <w:b/>
                <w:bCs/>
                <w:sz w:val="18"/>
                <w:szCs w:val="18"/>
                <w:lang w:eastAsia="sk-SK"/>
              </w:rPr>
            </w:pPr>
            <w:r w:rsidRPr="00070A80">
              <w:rPr>
                <w:rFonts w:eastAsia="Times New Roman" w:cs="Times New Roman"/>
                <w:b/>
                <w:bCs/>
                <w:sz w:val="18"/>
                <w:szCs w:val="18"/>
                <w:lang w:eastAsia="sk-SK"/>
              </w:rPr>
              <w:t>7=4-3</w:t>
            </w:r>
          </w:p>
        </w:tc>
      </w:tr>
      <w:tr w:rsidR="00C006CB" w:rsidRPr="00070A80" w14:paraId="70CBFF4E" w14:textId="77777777" w:rsidTr="00070A80">
        <w:trPr>
          <w:trHeight w:val="360"/>
          <w:jc w:val="center"/>
        </w:trPr>
        <w:tc>
          <w:tcPr>
            <w:tcW w:w="3959" w:type="dxa"/>
            <w:tcBorders>
              <w:top w:val="nil"/>
              <w:left w:val="nil"/>
              <w:bottom w:val="nil"/>
              <w:right w:val="nil"/>
            </w:tcBorders>
            <w:shd w:val="clear" w:color="000000" w:fill="FFFFFF"/>
            <w:vAlign w:val="center"/>
            <w:hideMark/>
          </w:tcPr>
          <w:p w14:paraId="3329F6ED" w14:textId="77777777" w:rsidR="00C006CB" w:rsidRPr="00070A80" w:rsidRDefault="00C006CB" w:rsidP="00C006CB">
            <w:pPr>
              <w:spacing w:after="0" w:line="240" w:lineRule="auto"/>
              <w:jc w:val="left"/>
              <w:rPr>
                <w:rFonts w:eastAsia="Times New Roman" w:cs="Times New Roman"/>
                <w:color w:val="000000"/>
                <w:sz w:val="18"/>
                <w:szCs w:val="18"/>
                <w:lang w:eastAsia="sk-SK"/>
              </w:rPr>
            </w:pPr>
            <w:r w:rsidRPr="00070A80">
              <w:rPr>
                <w:rFonts w:eastAsia="Times New Roman" w:cs="Times New Roman"/>
                <w:color w:val="000000"/>
                <w:sz w:val="18"/>
                <w:szCs w:val="18"/>
                <w:lang w:eastAsia="sk-SK"/>
              </w:rPr>
              <w:t>Ministerstvo školstva, vedy, výskumu a športu SR</w:t>
            </w:r>
          </w:p>
        </w:tc>
        <w:tc>
          <w:tcPr>
            <w:tcW w:w="860" w:type="dxa"/>
            <w:tcBorders>
              <w:top w:val="nil"/>
              <w:left w:val="nil"/>
              <w:bottom w:val="nil"/>
              <w:right w:val="nil"/>
            </w:tcBorders>
            <w:shd w:val="clear" w:color="000000" w:fill="FFFFFF"/>
            <w:noWrap/>
            <w:vAlign w:val="center"/>
            <w:hideMark/>
          </w:tcPr>
          <w:p w14:paraId="6BF2BC9C"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431 228</w:t>
            </w:r>
          </w:p>
        </w:tc>
        <w:tc>
          <w:tcPr>
            <w:tcW w:w="820" w:type="dxa"/>
            <w:tcBorders>
              <w:top w:val="nil"/>
              <w:left w:val="nil"/>
              <w:bottom w:val="nil"/>
              <w:right w:val="nil"/>
            </w:tcBorders>
            <w:shd w:val="clear" w:color="000000" w:fill="FFFFFF"/>
            <w:noWrap/>
            <w:vAlign w:val="center"/>
            <w:hideMark/>
          </w:tcPr>
          <w:p w14:paraId="5A3A96B2"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473 866</w:t>
            </w:r>
          </w:p>
        </w:tc>
        <w:tc>
          <w:tcPr>
            <w:tcW w:w="872" w:type="dxa"/>
            <w:tcBorders>
              <w:top w:val="nil"/>
              <w:left w:val="nil"/>
              <w:bottom w:val="nil"/>
              <w:right w:val="nil"/>
            </w:tcBorders>
            <w:shd w:val="clear" w:color="000000" w:fill="FFFFFF"/>
            <w:noWrap/>
            <w:vAlign w:val="center"/>
            <w:hideMark/>
          </w:tcPr>
          <w:p w14:paraId="14B40568"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593 121</w:t>
            </w:r>
          </w:p>
        </w:tc>
        <w:tc>
          <w:tcPr>
            <w:tcW w:w="782" w:type="dxa"/>
            <w:tcBorders>
              <w:top w:val="nil"/>
              <w:left w:val="nil"/>
              <w:bottom w:val="nil"/>
              <w:right w:val="nil"/>
            </w:tcBorders>
            <w:shd w:val="clear" w:color="000000" w:fill="BFBFBF"/>
            <w:noWrap/>
            <w:vAlign w:val="center"/>
            <w:hideMark/>
          </w:tcPr>
          <w:p w14:paraId="594018FB"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528 605</w:t>
            </w:r>
          </w:p>
        </w:tc>
        <w:tc>
          <w:tcPr>
            <w:tcW w:w="793" w:type="dxa"/>
            <w:tcBorders>
              <w:top w:val="nil"/>
              <w:left w:val="nil"/>
              <w:bottom w:val="nil"/>
              <w:right w:val="nil"/>
            </w:tcBorders>
            <w:shd w:val="clear" w:color="000000" w:fill="BFBFBF"/>
            <w:noWrap/>
            <w:vAlign w:val="center"/>
            <w:hideMark/>
          </w:tcPr>
          <w:p w14:paraId="0B0B49DA"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520 841</w:t>
            </w:r>
          </w:p>
        </w:tc>
        <w:tc>
          <w:tcPr>
            <w:tcW w:w="976" w:type="dxa"/>
            <w:tcBorders>
              <w:top w:val="nil"/>
              <w:left w:val="nil"/>
              <w:bottom w:val="nil"/>
              <w:right w:val="nil"/>
            </w:tcBorders>
            <w:shd w:val="clear" w:color="000000" w:fill="FFFFFF"/>
            <w:vAlign w:val="center"/>
            <w:hideMark/>
          </w:tcPr>
          <w:p w14:paraId="4B1CDC8D"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-64 516</w:t>
            </w:r>
          </w:p>
        </w:tc>
        <w:tc>
          <w:tcPr>
            <w:tcW w:w="709" w:type="dxa"/>
            <w:tcBorders>
              <w:top w:val="nil"/>
              <w:left w:val="nil"/>
              <w:bottom w:val="nil"/>
              <w:right w:val="nil"/>
            </w:tcBorders>
            <w:shd w:val="clear" w:color="000000" w:fill="FFFFFF"/>
            <w:vAlign w:val="center"/>
            <w:hideMark/>
          </w:tcPr>
          <w:p w14:paraId="2D45FB72"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-10,9</w:t>
            </w:r>
          </w:p>
        </w:tc>
      </w:tr>
      <w:tr w:rsidR="00C006CB" w:rsidRPr="00070A80" w14:paraId="4A07FFE3" w14:textId="77777777" w:rsidTr="00070A80">
        <w:trPr>
          <w:trHeight w:val="345"/>
          <w:jc w:val="center"/>
        </w:trPr>
        <w:tc>
          <w:tcPr>
            <w:tcW w:w="3959" w:type="dxa"/>
            <w:tcBorders>
              <w:top w:val="nil"/>
              <w:left w:val="nil"/>
              <w:bottom w:val="nil"/>
              <w:right w:val="nil"/>
            </w:tcBorders>
            <w:shd w:val="clear" w:color="000000" w:fill="FFFFFF"/>
            <w:vAlign w:val="center"/>
            <w:hideMark/>
          </w:tcPr>
          <w:p w14:paraId="5D0E4AB2" w14:textId="77777777" w:rsidR="00C006CB" w:rsidRPr="00070A80" w:rsidRDefault="00C006CB" w:rsidP="00C006CB">
            <w:pPr>
              <w:spacing w:after="0" w:line="240" w:lineRule="auto"/>
              <w:jc w:val="left"/>
              <w:rPr>
                <w:rFonts w:eastAsia="Times New Roman" w:cs="Times New Roman"/>
                <w:color w:val="000000"/>
                <w:sz w:val="18"/>
                <w:szCs w:val="18"/>
                <w:lang w:eastAsia="sk-SK"/>
              </w:rPr>
            </w:pPr>
            <w:r w:rsidRPr="00070A80">
              <w:rPr>
                <w:rFonts w:eastAsia="Times New Roman" w:cs="Times New Roman"/>
                <w:color w:val="000000"/>
                <w:sz w:val="18"/>
                <w:szCs w:val="18"/>
                <w:lang w:eastAsia="sk-SK"/>
              </w:rPr>
              <w:t>Ministerstvo pôdohospodárstva a rozvoja vidieka SR</w:t>
            </w:r>
          </w:p>
        </w:tc>
        <w:tc>
          <w:tcPr>
            <w:tcW w:w="860" w:type="dxa"/>
            <w:tcBorders>
              <w:top w:val="nil"/>
              <w:left w:val="nil"/>
              <w:bottom w:val="nil"/>
              <w:right w:val="nil"/>
            </w:tcBorders>
            <w:shd w:val="clear" w:color="000000" w:fill="FFFFFF"/>
            <w:noWrap/>
            <w:vAlign w:val="center"/>
            <w:hideMark/>
          </w:tcPr>
          <w:p w14:paraId="08547625"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7 264</w:t>
            </w:r>
          </w:p>
        </w:tc>
        <w:tc>
          <w:tcPr>
            <w:tcW w:w="820" w:type="dxa"/>
            <w:tcBorders>
              <w:top w:val="nil"/>
              <w:left w:val="nil"/>
              <w:bottom w:val="nil"/>
              <w:right w:val="nil"/>
            </w:tcBorders>
            <w:shd w:val="clear" w:color="000000" w:fill="FFFFFF"/>
            <w:noWrap/>
            <w:vAlign w:val="center"/>
            <w:hideMark/>
          </w:tcPr>
          <w:p w14:paraId="2B451700"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49 134</w:t>
            </w:r>
          </w:p>
        </w:tc>
        <w:tc>
          <w:tcPr>
            <w:tcW w:w="872" w:type="dxa"/>
            <w:tcBorders>
              <w:top w:val="nil"/>
              <w:left w:val="nil"/>
              <w:bottom w:val="nil"/>
              <w:right w:val="nil"/>
            </w:tcBorders>
            <w:shd w:val="clear" w:color="000000" w:fill="FFFFFF"/>
            <w:noWrap/>
            <w:vAlign w:val="center"/>
            <w:hideMark/>
          </w:tcPr>
          <w:p w14:paraId="14901F43"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0</w:t>
            </w:r>
          </w:p>
        </w:tc>
        <w:tc>
          <w:tcPr>
            <w:tcW w:w="782" w:type="dxa"/>
            <w:tcBorders>
              <w:top w:val="nil"/>
              <w:left w:val="nil"/>
              <w:bottom w:val="nil"/>
              <w:right w:val="nil"/>
            </w:tcBorders>
            <w:shd w:val="clear" w:color="000000" w:fill="BFBFBF"/>
            <w:noWrap/>
            <w:vAlign w:val="center"/>
            <w:hideMark/>
          </w:tcPr>
          <w:p w14:paraId="780C1305"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29 179</w:t>
            </w:r>
          </w:p>
        </w:tc>
        <w:tc>
          <w:tcPr>
            <w:tcW w:w="793" w:type="dxa"/>
            <w:tcBorders>
              <w:top w:val="nil"/>
              <w:left w:val="nil"/>
              <w:bottom w:val="nil"/>
              <w:right w:val="nil"/>
            </w:tcBorders>
            <w:shd w:val="clear" w:color="000000" w:fill="BFBFBF"/>
            <w:noWrap/>
            <w:vAlign w:val="center"/>
            <w:hideMark/>
          </w:tcPr>
          <w:p w14:paraId="0242A42D"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0</w:t>
            </w:r>
          </w:p>
        </w:tc>
        <w:tc>
          <w:tcPr>
            <w:tcW w:w="976" w:type="dxa"/>
            <w:tcBorders>
              <w:top w:val="nil"/>
              <w:left w:val="nil"/>
              <w:bottom w:val="nil"/>
              <w:right w:val="nil"/>
            </w:tcBorders>
            <w:shd w:val="clear" w:color="000000" w:fill="FFFFFF"/>
            <w:vAlign w:val="center"/>
            <w:hideMark/>
          </w:tcPr>
          <w:p w14:paraId="51A1017A"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29 179</w:t>
            </w:r>
          </w:p>
        </w:tc>
        <w:tc>
          <w:tcPr>
            <w:tcW w:w="709" w:type="dxa"/>
            <w:tcBorders>
              <w:top w:val="nil"/>
              <w:left w:val="nil"/>
              <w:bottom w:val="nil"/>
              <w:right w:val="nil"/>
            </w:tcBorders>
            <w:shd w:val="clear" w:color="000000" w:fill="FFFFFF"/>
            <w:vAlign w:val="center"/>
            <w:hideMark/>
          </w:tcPr>
          <w:p w14:paraId="28C288D4"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x</w:t>
            </w:r>
          </w:p>
        </w:tc>
      </w:tr>
      <w:tr w:rsidR="00C006CB" w:rsidRPr="00070A80" w14:paraId="43EB6D65" w14:textId="77777777" w:rsidTr="00070A80">
        <w:trPr>
          <w:trHeight w:val="345"/>
          <w:jc w:val="center"/>
        </w:trPr>
        <w:tc>
          <w:tcPr>
            <w:tcW w:w="3959" w:type="dxa"/>
            <w:tcBorders>
              <w:top w:val="nil"/>
              <w:left w:val="nil"/>
              <w:bottom w:val="nil"/>
              <w:right w:val="nil"/>
            </w:tcBorders>
            <w:shd w:val="clear" w:color="000000" w:fill="FFFFFF"/>
            <w:noWrap/>
            <w:vAlign w:val="center"/>
            <w:hideMark/>
          </w:tcPr>
          <w:p w14:paraId="2FF07D42" w14:textId="77777777" w:rsidR="00C006CB" w:rsidRPr="00070A80" w:rsidRDefault="00C006CB" w:rsidP="00C006CB">
            <w:pPr>
              <w:spacing w:after="0" w:line="240" w:lineRule="auto"/>
              <w:jc w:val="left"/>
              <w:rPr>
                <w:rFonts w:eastAsia="Times New Roman" w:cs="Times New Roman"/>
                <w:color w:val="000000"/>
                <w:sz w:val="18"/>
                <w:szCs w:val="18"/>
                <w:lang w:eastAsia="sk-SK"/>
              </w:rPr>
            </w:pPr>
            <w:r w:rsidRPr="00070A80">
              <w:rPr>
                <w:rFonts w:eastAsia="Times New Roman" w:cs="Times New Roman"/>
                <w:color w:val="000000"/>
                <w:sz w:val="18"/>
                <w:szCs w:val="18"/>
                <w:lang w:eastAsia="sk-SK"/>
              </w:rPr>
              <w:t>Ministerstvo investícií, reg. rozvoja a </w:t>
            </w:r>
            <w:proofErr w:type="spellStart"/>
            <w:r w:rsidRPr="00070A80">
              <w:rPr>
                <w:rFonts w:eastAsia="Times New Roman" w:cs="Times New Roman"/>
                <w:color w:val="000000"/>
                <w:sz w:val="18"/>
                <w:szCs w:val="18"/>
                <w:lang w:eastAsia="sk-SK"/>
              </w:rPr>
              <w:t>infor</w:t>
            </w:r>
            <w:proofErr w:type="spellEnd"/>
            <w:r w:rsidRPr="00070A80">
              <w:rPr>
                <w:rFonts w:eastAsia="Times New Roman" w:cs="Times New Roman"/>
                <w:color w:val="000000"/>
                <w:sz w:val="18"/>
                <w:szCs w:val="18"/>
                <w:lang w:eastAsia="sk-SK"/>
              </w:rPr>
              <w:t>. SR</w:t>
            </w:r>
          </w:p>
        </w:tc>
        <w:tc>
          <w:tcPr>
            <w:tcW w:w="860" w:type="dxa"/>
            <w:tcBorders>
              <w:top w:val="nil"/>
              <w:left w:val="nil"/>
              <w:bottom w:val="nil"/>
              <w:right w:val="nil"/>
            </w:tcBorders>
            <w:shd w:val="clear" w:color="000000" w:fill="FFFFFF"/>
            <w:noWrap/>
            <w:vAlign w:val="center"/>
            <w:hideMark/>
          </w:tcPr>
          <w:p w14:paraId="380225FE"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x</w:t>
            </w:r>
          </w:p>
        </w:tc>
        <w:tc>
          <w:tcPr>
            <w:tcW w:w="820" w:type="dxa"/>
            <w:tcBorders>
              <w:top w:val="nil"/>
              <w:left w:val="nil"/>
              <w:bottom w:val="nil"/>
              <w:right w:val="nil"/>
            </w:tcBorders>
            <w:shd w:val="clear" w:color="000000" w:fill="FFFFFF"/>
            <w:noWrap/>
            <w:vAlign w:val="center"/>
            <w:hideMark/>
          </w:tcPr>
          <w:p w14:paraId="45785305"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392</w:t>
            </w:r>
          </w:p>
        </w:tc>
        <w:tc>
          <w:tcPr>
            <w:tcW w:w="872" w:type="dxa"/>
            <w:tcBorders>
              <w:top w:val="nil"/>
              <w:left w:val="nil"/>
              <w:bottom w:val="nil"/>
              <w:right w:val="nil"/>
            </w:tcBorders>
            <w:shd w:val="clear" w:color="000000" w:fill="FFFFFF"/>
            <w:noWrap/>
            <w:vAlign w:val="center"/>
            <w:hideMark/>
          </w:tcPr>
          <w:p w14:paraId="3415C72D"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0</w:t>
            </w:r>
          </w:p>
        </w:tc>
        <w:tc>
          <w:tcPr>
            <w:tcW w:w="782" w:type="dxa"/>
            <w:tcBorders>
              <w:top w:val="nil"/>
              <w:left w:val="nil"/>
              <w:bottom w:val="nil"/>
              <w:right w:val="nil"/>
            </w:tcBorders>
            <w:shd w:val="clear" w:color="000000" w:fill="BFBFBF"/>
            <w:noWrap/>
            <w:vAlign w:val="center"/>
            <w:hideMark/>
          </w:tcPr>
          <w:p w14:paraId="4286D374"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16 363</w:t>
            </w:r>
          </w:p>
        </w:tc>
        <w:tc>
          <w:tcPr>
            <w:tcW w:w="793" w:type="dxa"/>
            <w:tcBorders>
              <w:top w:val="nil"/>
              <w:left w:val="nil"/>
              <w:bottom w:val="nil"/>
              <w:right w:val="nil"/>
            </w:tcBorders>
            <w:shd w:val="clear" w:color="000000" w:fill="BFBFBF"/>
            <w:noWrap/>
            <w:vAlign w:val="center"/>
            <w:hideMark/>
          </w:tcPr>
          <w:p w14:paraId="496AD544"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0</w:t>
            </w:r>
          </w:p>
        </w:tc>
        <w:tc>
          <w:tcPr>
            <w:tcW w:w="976" w:type="dxa"/>
            <w:tcBorders>
              <w:top w:val="nil"/>
              <w:left w:val="nil"/>
              <w:bottom w:val="nil"/>
              <w:right w:val="nil"/>
            </w:tcBorders>
            <w:shd w:val="clear" w:color="000000" w:fill="FFFFFF"/>
            <w:vAlign w:val="center"/>
            <w:hideMark/>
          </w:tcPr>
          <w:p w14:paraId="22848086"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16 363</w:t>
            </w:r>
          </w:p>
        </w:tc>
        <w:tc>
          <w:tcPr>
            <w:tcW w:w="709" w:type="dxa"/>
            <w:tcBorders>
              <w:top w:val="nil"/>
              <w:left w:val="nil"/>
              <w:bottom w:val="nil"/>
              <w:right w:val="nil"/>
            </w:tcBorders>
            <w:shd w:val="clear" w:color="000000" w:fill="FFFFFF"/>
            <w:vAlign w:val="center"/>
            <w:hideMark/>
          </w:tcPr>
          <w:p w14:paraId="504360F5"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x</w:t>
            </w:r>
          </w:p>
        </w:tc>
      </w:tr>
      <w:tr w:rsidR="00C006CB" w:rsidRPr="00070A80" w14:paraId="44DDF047" w14:textId="77777777" w:rsidTr="00070A80">
        <w:trPr>
          <w:trHeight w:val="330"/>
          <w:jc w:val="center"/>
        </w:trPr>
        <w:tc>
          <w:tcPr>
            <w:tcW w:w="3959" w:type="dxa"/>
            <w:tcBorders>
              <w:top w:val="nil"/>
              <w:left w:val="nil"/>
              <w:bottom w:val="nil"/>
              <w:right w:val="nil"/>
            </w:tcBorders>
            <w:shd w:val="clear" w:color="000000" w:fill="FFFFFF"/>
            <w:noWrap/>
            <w:vAlign w:val="center"/>
            <w:hideMark/>
          </w:tcPr>
          <w:p w14:paraId="39D0A617" w14:textId="77777777" w:rsidR="00C006CB" w:rsidRPr="00070A80" w:rsidRDefault="00C006CB" w:rsidP="00C006CB">
            <w:pPr>
              <w:spacing w:after="0" w:line="240" w:lineRule="auto"/>
              <w:jc w:val="left"/>
              <w:rPr>
                <w:rFonts w:eastAsia="Times New Roman" w:cs="Times New Roman"/>
                <w:color w:val="000000"/>
                <w:sz w:val="18"/>
                <w:szCs w:val="18"/>
                <w:lang w:eastAsia="sk-SK"/>
              </w:rPr>
            </w:pPr>
            <w:r w:rsidRPr="00070A80">
              <w:rPr>
                <w:rFonts w:eastAsia="Times New Roman" w:cs="Times New Roman"/>
                <w:color w:val="000000"/>
                <w:sz w:val="18"/>
                <w:szCs w:val="18"/>
                <w:lang w:eastAsia="sk-SK"/>
              </w:rPr>
              <w:t>Všeobecná pokladničná správa</w:t>
            </w:r>
          </w:p>
        </w:tc>
        <w:tc>
          <w:tcPr>
            <w:tcW w:w="860" w:type="dxa"/>
            <w:tcBorders>
              <w:top w:val="nil"/>
              <w:left w:val="nil"/>
              <w:bottom w:val="nil"/>
              <w:right w:val="nil"/>
            </w:tcBorders>
            <w:shd w:val="clear" w:color="000000" w:fill="FFFFFF"/>
            <w:noWrap/>
            <w:vAlign w:val="center"/>
            <w:hideMark/>
          </w:tcPr>
          <w:p w14:paraId="14809780"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5 293</w:t>
            </w:r>
          </w:p>
        </w:tc>
        <w:tc>
          <w:tcPr>
            <w:tcW w:w="820" w:type="dxa"/>
            <w:tcBorders>
              <w:top w:val="nil"/>
              <w:left w:val="nil"/>
              <w:bottom w:val="nil"/>
              <w:right w:val="nil"/>
            </w:tcBorders>
            <w:shd w:val="clear" w:color="000000" w:fill="FFFFFF"/>
            <w:noWrap/>
            <w:vAlign w:val="center"/>
            <w:hideMark/>
          </w:tcPr>
          <w:p w14:paraId="2440C67E"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2 996</w:t>
            </w:r>
          </w:p>
        </w:tc>
        <w:tc>
          <w:tcPr>
            <w:tcW w:w="872" w:type="dxa"/>
            <w:tcBorders>
              <w:top w:val="nil"/>
              <w:left w:val="nil"/>
              <w:bottom w:val="nil"/>
              <w:right w:val="nil"/>
            </w:tcBorders>
            <w:shd w:val="clear" w:color="000000" w:fill="FFFFFF"/>
            <w:noWrap/>
            <w:vAlign w:val="center"/>
            <w:hideMark/>
          </w:tcPr>
          <w:p w14:paraId="640BA411"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0</w:t>
            </w:r>
          </w:p>
        </w:tc>
        <w:tc>
          <w:tcPr>
            <w:tcW w:w="782" w:type="dxa"/>
            <w:tcBorders>
              <w:top w:val="nil"/>
              <w:left w:val="nil"/>
              <w:bottom w:val="nil"/>
              <w:right w:val="nil"/>
            </w:tcBorders>
            <w:shd w:val="clear" w:color="000000" w:fill="BFBFBF"/>
            <w:noWrap/>
            <w:vAlign w:val="center"/>
            <w:hideMark/>
          </w:tcPr>
          <w:p w14:paraId="2DA20747"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10 695</w:t>
            </w:r>
          </w:p>
        </w:tc>
        <w:tc>
          <w:tcPr>
            <w:tcW w:w="793" w:type="dxa"/>
            <w:tcBorders>
              <w:top w:val="nil"/>
              <w:left w:val="nil"/>
              <w:bottom w:val="nil"/>
              <w:right w:val="nil"/>
            </w:tcBorders>
            <w:shd w:val="clear" w:color="000000" w:fill="BFBFBF"/>
            <w:noWrap/>
            <w:vAlign w:val="center"/>
            <w:hideMark/>
          </w:tcPr>
          <w:p w14:paraId="3BFE063C" w14:textId="77777777" w:rsidR="00C006CB" w:rsidRPr="000A5247" w:rsidRDefault="00C006CB" w:rsidP="00C006CB">
            <w:pPr>
              <w:spacing w:after="0" w:line="240" w:lineRule="auto"/>
              <w:jc w:val="right"/>
              <w:rPr>
                <w:rFonts w:eastAsia="Times New Roman" w:cs="Times New Roman"/>
                <w:color w:val="000000"/>
                <w:sz w:val="18"/>
                <w:szCs w:val="18"/>
                <w:highlight w:val="red"/>
                <w:lang w:eastAsia="sk-SK"/>
              </w:rPr>
            </w:pPr>
            <w:r w:rsidRPr="005D4B04">
              <w:rPr>
                <w:rFonts w:eastAsia="Times New Roman" w:cs="Times New Roman"/>
                <w:color w:val="000000"/>
                <w:sz w:val="18"/>
                <w:szCs w:val="18"/>
                <w:lang w:eastAsia="sk-SK"/>
              </w:rPr>
              <w:t>7 035</w:t>
            </w:r>
          </w:p>
        </w:tc>
        <w:tc>
          <w:tcPr>
            <w:tcW w:w="976" w:type="dxa"/>
            <w:tcBorders>
              <w:top w:val="nil"/>
              <w:left w:val="nil"/>
              <w:bottom w:val="nil"/>
              <w:right w:val="nil"/>
            </w:tcBorders>
            <w:shd w:val="clear" w:color="000000" w:fill="FFFFFF"/>
            <w:vAlign w:val="center"/>
            <w:hideMark/>
          </w:tcPr>
          <w:p w14:paraId="1B4204AA" w14:textId="77777777" w:rsidR="00C006CB" w:rsidRPr="000A5247" w:rsidRDefault="00C006CB" w:rsidP="00C006CB">
            <w:pPr>
              <w:spacing w:after="0" w:line="240" w:lineRule="auto"/>
              <w:jc w:val="right"/>
              <w:rPr>
                <w:rFonts w:eastAsia="Times New Roman" w:cs="Times New Roman"/>
                <w:color w:val="000000"/>
                <w:sz w:val="18"/>
                <w:szCs w:val="18"/>
                <w:highlight w:val="red"/>
                <w:lang w:eastAsia="sk-SK"/>
              </w:rPr>
            </w:pPr>
            <w:r w:rsidRPr="005D4B04">
              <w:rPr>
                <w:rFonts w:eastAsia="Times New Roman" w:cs="Times New Roman"/>
                <w:color w:val="000000"/>
                <w:sz w:val="18"/>
                <w:szCs w:val="18"/>
                <w:lang w:eastAsia="sk-SK"/>
              </w:rPr>
              <w:t>10 695</w:t>
            </w:r>
          </w:p>
        </w:tc>
        <w:tc>
          <w:tcPr>
            <w:tcW w:w="709" w:type="dxa"/>
            <w:tcBorders>
              <w:top w:val="nil"/>
              <w:left w:val="nil"/>
              <w:bottom w:val="nil"/>
              <w:right w:val="nil"/>
            </w:tcBorders>
            <w:shd w:val="clear" w:color="000000" w:fill="FFFFFF"/>
            <w:vAlign w:val="center"/>
            <w:hideMark/>
          </w:tcPr>
          <w:p w14:paraId="4EB9B191"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x</w:t>
            </w:r>
          </w:p>
        </w:tc>
      </w:tr>
      <w:tr w:rsidR="00C006CB" w:rsidRPr="00070A80" w14:paraId="5C2C2BC9" w14:textId="77777777" w:rsidTr="00070A80">
        <w:trPr>
          <w:trHeight w:val="330"/>
          <w:jc w:val="center"/>
        </w:trPr>
        <w:tc>
          <w:tcPr>
            <w:tcW w:w="3959" w:type="dxa"/>
            <w:tcBorders>
              <w:top w:val="nil"/>
              <w:left w:val="nil"/>
              <w:bottom w:val="nil"/>
              <w:right w:val="nil"/>
            </w:tcBorders>
            <w:shd w:val="clear" w:color="000000" w:fill="FFFFFF"/>
            <w:vAlign w:val="center"/>
            <w:hideMark/>
          </w:tcPr>
          <w:p w14:paraId="11579D27" w14:textId="77777777" w:rsidR="00C006CB" w:rsidRPr="00070A80" w:rsidRDefault="00C006CB" w:rsidP="00C006CB">
            <w:pPr>
              <w:spacing w:after="0" w:line="240" w:lineRule="auto"/>
              <w:jc w:val="left"/>
              <w:rPr>
                <w:rFonts w:eastAsia="Times New Roman" w:cs="Times New Roman"/>
                <w:color w:val="000000"/>
                <w:sz w:val="18"/>
                <w:szCs w:val="18"/>
                <w:lang w:eastAsia="sk-SK"/>
              </w:rPr>
            </w:pPr>
            <w:r w:rsidRPr="00070A80">
              <w:rPr>
                <w:rFonts w:eastAsia="Times New Roman" w:cs="Times New Roman"/>
                <w:color w:val="000000"/>
                <w:sz w:val="18"/>
                <w:szCs w:val="18"/>
                <w:lang w:eastAsia="sk-SK"/>
              </w:rPr>
              <w:t>Ministerstvo práce, soc. vecí a rodiny SR</w:t>
            </w:r>
          </w:p>
        </w:tc>
        <w:tc>
          <w:tcPr>
            <w:tcW w:w="860" w:type="dxa"/>
            <w:tcBorders>
              <w:top w:val="nil"/>
              <w:left w:val="nil"/>
              <w:bottom w:val="nil"/>
              <w:right w:val="nil"/>
            </w:tcBorders>
            <w:shd w:val="clear" w:color="000000" w:fill="FFFFFF"/>
            <w:noWrap/>
            <w:vAlign w:val="center"/>
            <w:hideMark/>
          </w:tcPr>
          <w:p w14:paraId="69348DF9"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2 080</w:t>
            </w:r>
          </w:p>
        </w:tc>
        <w:tc>
          <w:tcPr>
            <w:tcW w:w="820" w:type="dxa"/>
            <w:tcBorders>
              <w:top w:val="nil"/>
              <w:left w:val="nil"/>
              <w:bottom w:val="nil"/>
              <w:right w:val="nil"/>
            </w:tcBorders>
            <w:shd w:val="clear" w:color="000000" w:fill="FFFFFF"/>
            <w:noWrap/>
            <w:vAlign w:val="center"/>
            <w:hideMark/>
          </w:tcPr>
          <w:p w14:paraId="20377B20"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654</w:t>
            </w:r>
          </w:p>
        </w:tc>
        <w:tc>
          <w:tcPr>
            <w:tcW w:w="872" w:type="dxa"/>
            <w:tcBorders>
              <w:top w:val="nil"/>
              <w:left w:val="nil"/>
              <w:bottom w:val="nil"/>
              <w:right w:val="nil"/>
            </w:tcBorders>
            <w:shd w:val="clear" w:color="000000" w:fill="FFFFFF"/>
            <w:noWrap/>
            <w:vAlign w:val="center"/>
            <w:hideMark/>
          </w:tcPr>
          <w:p w14:paraId="0B7B4329"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620</w:t>
            </w:r>
          </w:p>
        </w:tc>
        <w:tc>
          <w:tcPr>
            <w:tcW w:w="782" w:type="dxa"/>
            <w:tcBorders>
              <w:top w:val="nil"/>
              <w:left w:val="nil"/>
              <w:bottom w:val="nil"/>
              <w:right w:val="nil"/>
            </w:tcBorders>
            <w:shd w:val="clear" w:color="000000" w:fill="BFBFBF"/>
            <w:noWrap/>
            <w:vAlign w:val="center"/>
            <w:hideMark/>
          </w:tcPr>
          <w:p w14:paraId="12CC28C8"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9 555</w:t>
            </w:r>
          </w:p>
        </w:tc>
        <w:tc>
          <w:tcPr>
            <w:tcW w:w="793" w:type="dxa"/>
            <w:tcBorders>
              <w:top w:val="nil"/>
              <w:left w:val="nil"/>
              <w:bottom w:val="nil"/>
              <w:right w:val="nil"/>
            </w:tcBorders>
            <w:shd w:val="clear" w:color="000000" w:fill="BFBFBF"/>
            <w:noWrap/>
            <w:vAlign w:val="center"/>
            <w:hideMark/>
          </w:tcPr>
          <w:p w14:paraId="3D452C91"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9 521</w:t>
            </w:r>
          </w:p>
        </w:tc>
        <w:tc>
          <w:tcPr>
            <w:tcW w:w="976" w:type="dxa"/>
            <w:tcBorders>
              <w:top w:val="nil"/>
              <w:left w:val="nil"/>
              <w:bottom w:val="nil"/>
              <w:right w:val="nil"/>
            </w:tcBorders>
            <w:shd w:val="clear" w:color="000000" w:fill="FFFFFF"/>
            <w:vAlign w:val="center"/>
            <w:hideMark/>
          </w:tcPr>
          <w:p w14:paraId="21CB7B16"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8 935</w:t>
            </w:r>
          </w:p>
        </w:tc>
        <w:tc>
          <w:tcPr>
            <w:tcW w:w="709" w:type="dxa"/>
            <w:tcBorders>
              <w:top w:val="nil"/>
              <w:left w:val="nil"/>
              <w:bottom w:val="nil"/>
              <w:right w:val="nil"/>
            </w:tcBorders>
            <w:shd w:val="clear" w:color="000000" w:fill="FFFFFF"/>
            <w:vAlign w:val="center"/>
            <w:hideMark/>
          </w:tcPr>
          <w:p w14:paraId="163DCE9D"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1 441,1</w:t>
            </w:r>
          </w:p>
        </w:tc>
      </w:tr>
      <w:tr w:rsidR="00C006CB" w:rsidRPr="00070A80" w14:paraId="78867F98" w14:textId="77777777" w:rsidTr="00070A80">
        <w:trPr>
          <w:trHeight w:val="330"/>
          <w:jc w:val="center"/>
        </w:trPr>
        <w:tc>
          <w:tcPr>
            <w:tcW w:w="3959" w:type="dxa"/>
            <w:tcBorders>
              <w:top w:val="nil"/>
              <w:left w:val="nil"/>
              <w:bottom w:val="nil"/>
              <w:right w:val="nil"/>
            </w:tcBorders>
            <w:shd w:val="clear" w:color="000000" w:fill="FFFFFF"/>
            <w:vAlign w:val="center"/>
            <w:hideMark/>
          </w:tcPr>
          <w:p w14:paraId="25989430" w14:textId="77777777" w:rsidR="00C006CB" w:rsidRPr="00070A80" w:rsidRDefault="00C006CB" w:rsidP="00C006CB">
            <w:pPr>
              <w:spacing w:after="0" w:line="240" w:lineRule="auto"/>
              <w:jc w:val="left"/>
              <w:rPr>
                <w:rFonts w:eastAsia="Times New Roman" w:cs="Times New Roman"/>
                <w:color w:val="000000"/>
                <w:sz w:val="18"/>
                <w:szCs w:val="18"/>
                <w:lang w:eastAsia="sk-SK"/>
              </w:rPr>
            </w:pPr>
            <w:r w:rsidRPr="00070A80">
              <w:rPr>
                <w:rFonts w:eastAsia="Times New Roman" w:cs="Times New Roman"/>
                <w:color w:val="000000"/>
                <w:sz w:val="18"/>
                <w:szCs w:val="18"/>
                <w:lang w:eastAsia="sk-SK"/>
              </w:rPr>
              <w:t>Ministerstvo životného prostredia SR</w:t>
            </w:r>
          </w:p>
        </w:tc>
        <w:tc>
          <w:tcPr>
            <w:tcW w:w="860" w:type="dxa"/>
            <w:tcBorders>
              <w:top w:val="nil"/>
              <w:left w:val="nil"/>
              <w:bottom w:val="nil"/>
              <w:right w:val="nil"/>
            </w:tcBorders>
            <w:shd w:val="clear" w:color="000000" w:fill="FFFFFF"/>
            <w:noWrap/>
            <w:vAlign w:val="center"/>
            <w:hideMark/>
          </w:tcPr>
          <w:p w14:paraId="6979CAEE"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2 532</w:t>
            </w:r>
          </w:p>
        </w:tc>
        <w:tc>
          <w:tcPr>
            <w:tcW w:w="820" w:type="dxa"/>
            <w:tcBorders>
              <w:top w:val="nil"/>
              <w:left w:val="nil"/>
              <w:bottom w:val="nil"/>
              <w:right w:val="nil"/>
            </w:tcBorders>
            <w:shd w:val="clear" w:color="000000" w:fill="FFFFFF"/>
            <w:noWrap/>
            <w:vAlign w:val="center"/>
            <w:hideMark/>
          </w:tcPr>
          <w:p w14:paraId="006AEFF8"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2 597</w:t>
            </w:r>
          </w:p>
        </w:tc>
        <w:tc>
          <w:tcPr>
            <w:tcW w:w="872" w:type="dxa"/>
            <w:tcBorders>
              <w:top w:val="nil"/>
              <w:left w:val="nil"/>
              <w:bottom w:val="nil"/>
              <w:right w:val="nil"/>
            </w:tcBorders>
            <w:shd w:val="clear" w:color="000000" w:fill="FFFFFF"/>
            <w:noWrap/>
            <w:vAlign w:val="center"/>
            <w:hideMark/>
          </w:tcPr>
          <w:p w14:paraId="2184B8F7"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0</w:t>
            </w:r>
          </w:p>
        </w:tc>
        <w:tc>
          <w:tcPr>
            <w:tcW w:w="782" w:type="dxa"/>
            <w:tcBorders>
              <w:top w:val="nil"/>
              <w:left w:val="nil"/>
              <w:bottom w:val="nil"/>
              <w:right w:val="nil"/>
            </w:tcBorders>
            <w:shd w:val="clear" w:color="000000" w:fill="BFBFBF"/>
            <w:noWrap/>
            <w:vAlign w:val="center"/>
            <w:hideMark/>
          </w:tcPr>
          <w:p w14:paraId="7BB89439"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2 859</w:t>
            </w:r>
          </w:p>
        </w:tc>
        <w:tc>
          <w:tcPr>
            <w:tcW w:w="793" w:type="dxa"/>
            <w:tcBorders>
              <w:top w:val="nil"/>
              <w:left w:val="nil"/>
              <w:bottom w:val="nil"/>
              <w:right w:val="nil"/>
            </w:tcBorders>
            <w:shd w:val="clear" w:color="000000" w:fill="BFBFBF"/>
            <w:noWrap/>
            <w:vAlign w:val="center"/>
            <w:hideMark/>
          </w:tcPr>
          <w:p w14:paraId="731B58C2"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0</w:t>
            </w:r>
          </w:p>
        </w:tc>
        <w:tc>
          <w:tcPr>
            <w:tcW w:w="976" w:type="dxa"/>
            <w:tcBorders>
              <w:top w:val="nil"/>
              <w:left w:val="nil"/>
              <w:bottom w:val="nil"/>
              <w:right w:val="nil"/>
            </w:tcBorders>
            <w:shd w:val="clear" w:color="000000" w:fill="FFFFFF"/>
            <w:vAlign w:val="center"/>
            <w:hideMark/>
          </w:tcPr>
          <w:p w14:paraId="7B29116B"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2 859</w:t>
            </w:r>
          </w:p>
        </w:tc>
        <w:tc>
          <w:tcPr>
            <w:tcW w:w="709" w:type="dxa"/>
            <w:tcBorders>
              <w:top w:val="nil"/>
              <w:left w:val="nil"/>
              <w:bottom w:val="nil"/>
              <w:right w:val="nil"/>
            </w:tcBorders>
            <w:shd w:val="clear" w:color="000000" w:fill="FFFFFF"/>
            <w:vAlign w:val="center"/>
            <w:hideMark/>
          </w:tcPr>
          <w:p w14:paraId="718E3B51"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x</w:t>
            </w:r>
          </w:p>
        </w:tc>
      </w:tr>
      <w:tr w:rsidR="00C006CB" w:rsidRPr="00070A80" w14:paraId="5CE63741" w14:textId="77777777" w:rsidTr="00070A80">
        <w:trPr>
          <w:trHeight w:val="330"/>
          <w:jc w:val="center"/>
        </w:trPr>
        <w:tc>
          <w:tcPr>
            <w:tcW w:w="3959" w:type="dxa"/>
            <w:tcBorders>
              <w:top w:val="nil"/>
              <w:left w:val="nil"/>
              <w:bottom w:val="nil"/>
              <w:right w:val="nil"/>
            </w:tcBorders>
            <w:shd w:val="clear" w:color="000000" w:fill="FFFFFF"/>
            <w:noWrap/>
            <w:vAlign w:val="center"/>
            <w:hideMark/>
          </w:tcPr>
          <w:p w14:paraId="5AD9DD15" w14:textId="77777777" w:rsidR="00C006CB" w:rsidRPr="00070A80" w:rsidRDefault="00C006CB" w:rsidP="00C006CB">
            <w:pPr>
              <w:spacing w:after="0" w:line="240" w:lineRule="auto"/>
              <w:jc w:val="left"/>
              <w:rPr>
                <w:rFonts w:eastAsia="Times New Roman" w:cs="Times New Roman"/>
                <w:color w:val="000000"/>
                <w:sz w:val="18"/>
                <w:szCs w:val="18"/>
                <w:lang w:eastAsia="sk-SK"/>
              </w:rPr>
            </w:pPr>
            <w:r w:rsidRPr="00070A80">
              <w:rPr>
                <w:rFonts w:eastAsia="Times New Roman" w:cs="Times New Roman"/>
                <w:color w:val="000000"/>
                <w:sz w:val="18"/>
                <w:szCs w:val="18"/>
                <w:lang w:eastAsia="sk-SK"/>
              </w:rPr>
              <w:t>Ministerstvo vnútra SR</w:t>
            </w:r>
          </w:p>
        </w:tc>
        <w:tc>
          <w:tcPr>
            <w:tcW w:w="860" w:type="dxa"/>
            <w:tcBorders>
              <w:top w:val="nil"/>
              <w:left w:val="nil"/>
              <w:bottom w:val="nil"/>
              <w:right w:val="nil"/>
            </w:tcBorders>
            <w:shd w:val="clear" w:color="000000" w:fill="FFFFFF"/>
            <w:noWrap/>
            <w:vAlign w:val="center"/>
            <w:hideMark/>
          </w:tcPr>
          <w:p w14:paraId="73035A00"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5</w:t>
            </w:r>
          </w:p>
        </w:tc>
        <w:tc>
          <w:tcPr>
            <w:tcW w:w="820" w:type="dxa"/>
            <w:tcBorders>
              <w:top w:val="nil"/>
              <w:left w:val="nil"/>
              <w:bottom w:val="nil"/>
              <w:right w:val="nil"/>
            </w:tcBorders>
            <w:shd w:val="clear" w:color="000000" w:fill="FFFFFF"/>
            <w:noWrap/>
            <w:vAlign w:val="center"/>
            <w:hideMark/>
          </w:tcPr>
          <w:p w14:paraId="62A09700"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x</w:t>
            </w:r>
          </w:p>
        </w:tc>
        <w:tc>
          <w:tcPr>
            <w:tcW w:w="872" w:type="dxa"/>
            <w:tcBorders>
              <w:top w:val="nil"/>
              <w:left w:val="nil"/>
              <w:bottom w:val="nil"/>
              <w:right w:val="nil"/>
            </w:tcBorders>
            <w:shd w:val="clear" w:color="000000" w:fill="FFFFFF"/>
            <w:noWrap/>
            <w:vAlign w:val="center"/>
            <w:hideMark/>
          </w:tcPr>
          <w:p w14:paraId="45CDD582"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0</w:t>
            </w:r>
          </w:p>
        </w:tc>
        <w:tc>
          <w:tcPr>
            <w:tcW w:w="782" w:type="dxa"/>
            <w:tcBorders>
              <w:top w:val="nil"/>
              <w:left w:val="nil"/>
              <w:bottom w:val="nil"/>
              <w:right w:val="nil"/>
            </w:tcBorders>
            <w:shd w:val="clear" w:color="000000" w:fill="BFBFBF"/>
            <w:noWrap/>
            <w:vAlign w:val="center"/>
            <w:hideMark/>
          </w:tcPr>
          <w:p w14:paraId="0484B565"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2 655</w:t>
            </w:r>
          </w:p>
        </w:tc>
        <w:tc>
          <w:tcPr>
            <w:tcW w:w="793" w:type="dxa"/>
            <w:tcBorders>
              <w:top w:val="nil"/>
              <w:left w:val="nil"/>
              <w:bottom w:val="nil"/>
              <w:right w:val="nil"/>
            </w:tcBorders>
            <w:shd w:val="clear" w:color="000000" w:fill="BFBFBF"/>
            <w:noWrap/>
            <w:vAlign w:val="center"/>
            <w:hideMark/>
          </w:tcPr>
          <w:p w14:paraId="722F9D02"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0</w:t>
            </w:r>
          </w:p>
        </w:tc>
        <w:tc>
          <w:tcPr>
            <w:tcW w:w="976" w:type="dxa"/>
            <w:tcBorders>
              <w:top w:val="nil"/>
              <w:left w:val="nil"/>
              <w:bottom w:val="nil"/>
              <w:right w:val="nil"/>
            </w:tcBorders>
            <w:shd w:val="clear" w:color="000000" w:fill="FFFFFF"/>
            <w:vAlign w:val="center"/>
            <w:hideMark/>
          </w:tcPr>
          <w:p w14:paraId="27A75435"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2 655</w:t>
            </w:r>
          </w:p>
        </w:tc>
        <w:tc>
          <w:tcPr>
            <w:tcW w:w="709" w:type="dxa"/>
            <w:tcBorders>
              <w:top w:val="nil"/>
              <w:left w:val="nil"/>
              <w:bottom w:val="nil"/>
              <w:right w:val="nil"/>
            </w:tcBorders>
            <w:shd w:val="clear" w:color="000000" w:fill="FFFFFF"/>
            <w:vAlign w:val="center"/>
            <w:hideMark/>
          </w:tcPr>
          <w:p w14:paraId="5956401B"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x</w:t>
            </w:r>
          </w:p>
        </w:tc>
      </w:tr>
      <w:tr w:rsidR="00C006CB" w:rsidRPr="00070A80" w14:paraId="6C3FFA73" w14:textId="77777777" w:rsidTr="00070A80">
        <w:trPr>
          <w:trHeight w:val="330"/>
          <w:jc w:val="center"/>
        </w:trPr>
        <w:tc>
          <w:tcPr>
            <w:tcW w:w="3959" w:type="dxa"/>
            <w:tcBorders>
              <w:top w:val="nil"/>
              <w:left w:val="nil"/>
              <w:bottom w:val="nil"/>
              <w:right w:val="nil"/>
            </w:tcBorders>
            <w:shd w:val="clear" w:color="000000" w:fill="FFFFFF"/>
            <w:vAlign w:val="center"/>
            <w:hideMark/>
          </w:tcPr>
          <w:p w14:paraId="06E2A497" w14:textId="77777777" w:rsidR="00C006CB" w:rsidRPr="00070A80" w:rsidRDefault="00C006CB" w:rsidP="00C006CB">
            <w:pPr>
              <w:spacing w:after="0" w:line="240" w:lineRule="auto"/>
              <w:jc w:val="left"/>
              <w:rPr>
                <w:rFonts w:eastAsia="Times New Roman" w:cs="Times New Roman"/>
                <w:color w:val="000000"/>
                <w:sz w:val="18"/>
                <w:szCs w:val="18"/>
                <w:lang w:eastAsia="sk-SK"/>
              </w:rPr>
            </w:pPr>
            <w:r w:rsidRPr="00070A80">
              <w:rPr>
                <w:rFonts w:eastAsia="Times New Roman" w:cs="Times New Roman"/>
                <w:color w:val="000000"/>
                <w:sz w:val="18"/>
                <w:szCs w:val="18"/>
                <w:lang w:eastAsia="sk-SK"/>
              </w:rPr>
              <w:t>Ministerstvo kultúry SR</w:t>
            </w:r>
          </w:p>
        </w:tc>
        <w:tc>
          <w:tcPr>
            <w:tcW w:w="860" w:type="dxa"/>
            <w:tcBorders>
              <w:top w:val="nil"/>
              <w:left w:val="nil"/>
              <w:bottom w:val="nil"/>
              <w:right w:val="nil"/>
            </w:tcBorders>
            <w:shd w:val="clear" w:color="000000" w:fill="FFFFFF"/>
            <w:noWrap/>
            <w:vAlign w:val="center"/>
            <w:hideMark/>
          </w:tcPr>
          <w:p w14:paraId="3FD0DE84"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1 425</w:t>
            </w:r>
          </w:p>
        </w:tc>
        <w:tc>
          <w:tcPr>
            <w:tcW w:w="820" w:type="dxa"/>
            <w:tcBorders>
              <w:top w:val="nil"/>
              <w:left w:val="nil"/>
              <w:bottom w:val="nil"/>
              <w:right w:val="nil"/>
            </w:tcBorders>
            <w:shd w:val="clear" w:color="000000" w:fill="FFFFFF"/>
            <w:noWrap/>
            <w:vAlign w:val="center"/>
            <w:hideMark/>
          </w:tcPr>
          <w:p w14:paraId="4AF5477E"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769</w:t>
            </w:r>
          </w:p>
        </w:tc>
        <w:tc>
          <w:tcPr>
            <w:tcW w:w="872" w:type="dxa"/>
            <w:tcBorders>
              <w:top w:val="nil"/>
              <w:left w:val="nil"/>
              <w:bottom w:val="nil"/>
              <w:right w:val="nil"/>
            </w:tcBorders>
            <w:shd w:val="clear" w:color="000000" w:fill="FFFFFF"/>
            <w:noWrap/>
            <w:vAlign w:val="center"/>
            <w:hideMark/>
          </w:tcPr>
          <w:p w14:paraId="3EC488F0"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0</w:t>
            </w:r>
          </w:p>
        </w:tc>
        <w:tc>
          <w:tcPr>
            <w:tcW w:w="782" w:type="dxa"/>
            <w:tcBorders>
              <w:top w:val="nil"/>
              <w:left w:val="nil"/>
              <w:bottom w:val="nil"/>
              <w:right w:val="nil"/>
            </w:tcBorders>
            <w:shd w:val="clear" w:color="000000" w:fill="BFBFBF"/>
            <w:noWrap/>
            <w:vAlign w:val="center"/>
            <w:hideMark/>
          </w:tcPr>
          <w:p w14:paraId="14C622B3"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599</w:t>
            </w:r>
          </w:p>
        </w:tc>
        <w:tc>
          <w:tcPr>
            <w:tcW w:w="793" w:type="dxa"/>
            <w:tcBorders>
              <w:top w:val="nil"/>
              <w:left w:val="nil"/>
              <w:bottom w:val="nil"/>
              <w:right w:val="nil"/>
            </w:tcBorders>
            <w:shd w:val="clear" w:color="000000" w:fill="BFBFBF"/>
            <w:noWrap/>
            <w:vAlign w:val="center"/>
            <w:hideMark/>
          </w:tcPr>
          <w:p w14:paraId="102DF9C2"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599</w:t>
            </w:r>
          </w:p>
        </w:tc>
        <w:tc>
          <w:tcPr>
            <w:tcW w:w="976" w:type="dxa"/>
            <w:tcBorders>
              <w:top w:val="nil"/>
              <w:left w:val="nil"/>
              <w:bottom w:val="nil"/>
              <w:right w:val="nil"/>
            </w:tcBorders>
            <w:shd w:val="clear" w:color="000000" w:fill="FFFFFF"/>
            <w:vAlign w:val="center"/>
            <w:hideMark/>
          </w:tcPr>
          <w:p w14:paraId="4ED33AF4"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599</w:t>
            </w:r>
          </w:p>
        </w:tc>
        <w:tc>
          <w:tcPr>
            <w:tcW w:w="709" w:type="dxa"/>
            <w:tcBorders>
              <w:top w:val="nil"/>
              <w:left w:val="nil"/>
              <w:bottom w:val="nil"/>
              <w:right w:val="nil"/>
            </w:tcBorders>
            <w:shd w:val="clear" w:color="000000" w:fill="FFFFFF"/>
            <w:vAlign w:val="center"/>
            <w:hideMark/>
          </w:tcPr>
          <w:p w14:paraId="18897451"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x</w:t>
            </w:r>
          </w:p>
        </w:tc>
      </w:tr>
      <w:tr w:rsidR="00C006CB" w:rsidRPr="00070A80" w14:paraId="783E7749" w14:textId="77777777" w:rsidTr="00070A80">
        <w:trPr>
          <w:trHeight w:val="345"/>
          <w:jc w:val="center"/>
        </w:trPr>
        <w:tc>
          <w:tcPr>
            <w:tcW w:w="3959" w:type="dxa"/>
            <w:tcBorders>
              <w:top w:val="nil"/>
              <w:left w:val="nil"/>
              <w:bottom w:val="nil"/>
              <w:right w:val="nil"/>
            </w:tcBorders>
            <w:shd w:val="clear" w:color="000000" w:fill="FFFFFF"/>
            <w:vAlign w:val="center"/>
            <w:hideMark/>
          </w:tcPr>
          <w:p w14:paraId="6D78025D" w14:textId="56DA2242" w:rsidR="00C006CB" w:rsidRPr="00070A80" w:rsidRDefault="00C006CB" w:rsidP="00C006CB">
            <w:pPr>
              <w:spacing w:after="0" w:line="240" w:lineRule="auto"/>
              <w:jc w:val="left"/>
              <w:rPr>
                <w:rFonts w:eastAsia="Times New Roman" w:cs="Times New Roman"/>
                <w:color w:val="000000"/>
                <w:sz w:val="18"/>
                <w:szCs w:val="18"/>
                <w:lang w:eastAsia="sk-SK"/>
              </w:rPr>
            </w:pPr>
            <w:r w:rsidRPr="00070A80">
              <w:rPr>
                <w:rFonts w:eastAsia="Times New Roman" w:cs="Times New Roman"/>
                <w:color w:val="000000"/>
                <w:sz w:val="18"/>
                <w:szCs w:val="18"/>
                <w:lang w:eastAsia="sk-SK"/>
              </w:rPr>
              <w:t>M</w:t>
            </w:r>
            <w:r w:rsidR="000B790D" w:rsidRPr="00070A80">
              <w:rPr>
                <w:rFonts w:eastAsia="Times New Roman" w:cs="Times New Roman"/>
                <w:color w:val="000000"/>
                <w:sz w:val="18"/>
                <w:szCs w:val="18"/>
                <w:lang w:eastAsia="sk-SK"/>
              </w:rPr>
              <w:t xml:space="preserve">inisterstvo dopravy a výstavby </w:t>
            </w:r>
            <w:r w:rsidRPr="00070A80">
              <w:rPr>
                <w:rFonts w:eastAsia="Times New Roman" w:cs="Times New Roman"/>
                <w:color w:val="000000"/>
                <w:sz w:val="18"/>
                <w:szCs w:val="18"/>
                <w:lang w:eastAsia="sk-SK"/>
              </w:rPr>
              <w:t>SR</w:t>
            </w:r>
          </w:p>
        </w:tc>
        <w:tc>
          <w:tcPr>
            <w:tcW w:w="860" w:type="dxa"/>
            <w:tcBorders>
              <w:top w:val="nil"/>
              <w:left w:val="nil"/>
              <w:bottom w:val="nil"/>
              <w:right w:val="nil"/>
            </w:tcBorders>
            <w:shd w:val="clear" w:color="000000" w:fill="FFFFFF"/>
            <w:noWrap/>
            <w:vAlign w:val="center"/>
            <w:hideMark/>
          </w:tcPr>
          <w:p w14:paraId="2FFF9BE7"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7 200</w:t>
            </w:r>
          </w:p>
        </w:tc>
        <w:tc>
          <w:tcPr>
            <w:tcW w:w="820" w:type="dxa"/>
            <w:tcBorders>
              <w:top w:val="nil"/>
              <w:left w:val="nil"/>
              <w:bottom w:val="nil"/>
              <w:right w:val="nil"/>
            </w:tcBorders>
            <w:shd w:val="clear" w:color="000000" w:fill="FFFFFF"/>
            <w:noWrap/>
            <w:vAlign w:val="center"/>
            <w:hideMark/>
          </w:tcPr>
          <w:p w14:paraId="7C0CB8F8"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x</w:t>
            </w:r>
          </w:p>
        </w:tc>
        <w:tc>
          <w:tcPr>
            <w:tcW w:w="872" w:type="dxa"/>
            <w:tcBorders>
              <w:top w:val="nil"/>
              <w:left w:val="nil"/>
              <w:bottom w:val="nil"/>
              <w:right w:val="nil"/>
            </w:tcBorders>
            <w:shd w:val="clear" w:color="000000" w:fill="FFFFFF"/>
            <w:noWrap/>
            <w:vAlign w:val="center"/>
            <w:hideMark/>
          </w:tcPr>
          <w:p w14:paraId="0F20E9F3"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0</w:t>
            </w:r>
          </w:p>
        </w:tc>
        <w:tc>
          <w:tcPr>
            <w:tcW w:w="782" w:type="dxa"/>
            <w:tcBorders>
              <w:top w:val="nil"/>
              <w:left w:val="nil"/>
              <w:bottom w:val="nil"/>
              <w:right w:val="nil"/>
            </w:tcBorders>
            <w:shd w:val="clear" w:color="000000" w:fill="BFBFBF"/>
            <w:noWrap/>
            <w:vAlign w:val="center"/>
            <w:hideMark/>
          </w:tcPr>
          <w:p w14:paraId="7CBBB975"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232</w:t>
            </w:r>
          </w:p>
        </w:tc>
        <w:tc>
          <w:tcPr>
            <w:tcW w:w="793" w:type="dxa"/>
            <w:tcBorders>
              <w:top w:val="nil"/>
              <w:left w:val="nil"/>
              <w:bottom w:val="nil"/>
              <w:right w:val="nil"/>
            </w:tcBorders>
            <w:shd w:val="clear" w:color="000000" w:fill="BFBFBF"/>
            <w:noWrap/>
            <w:vAlign w:val="center"/>
            <w:hideMark/>
          </w:tcPr>
          <w:p w14:paraId="48C6C7D2"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232</w:t>
            </w:r>
          </w:p>
        </w:tc>
        <w:tc>
          <w:tcPr>
            <w:tcW w:w="976" w:type="dxa"/>
            <w:tcBorders>
              <w:top w:val="nil"/>
              <w:left w:val="nil"/>
              <w:bottom w:val="nil"/>
              <w:right w:val="nil"/>
            </w:tcBorders>
            <w:shd w:val="clear" w:color="000000" w:fill="FFFFFF"/>
            <w:vAlign w:val="center"/>
            <w:hideMark/>
          </w:tcPr>
          <w:p w14:paraId="0CECA91F"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232</w:t>
            </w:r>
          </w:p>
        </w:tc>
        <w:tc>
          <w:tcPr>
            <w:tcW w:w="709" w:type="dxa"/>
            <w:tcBorders>
              <w:top w:val="nil"/>
              <w:left w:val="nil"/>
              <w:bottom w:val="nil"/>
              <w:right w:val="nil"/>
            </w:tcBorders>
            <w:shd w:val="clear" w:color="000000" w:fill="FFFFFF"/>
            <w:vAlign w:val="center"/>
            <w:hideMark/>
          </w:tcPr>
          <w:p w14:paraId="6E20B7F7"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x</w:t>
            </w:r>
          </w:p>
        </w:tc>
      </w:tr>
      <w:tr w:rsidR="00C006CB" w:rsidRPr="00070A80" w14:paraId="024B792E" w14:textId="77777777" w:rsidTr="00070A80">
        <w:trPr>
          <w:trHeight w:val="330"/>
          <w:jc w:val="center"/>
        </w:trPr>
        <w:tc>
          <w:tcPr>
            <w:tcW w:w="3959" w:type="dxa"/>
            <w:tcBorders>
              <w:top w:val="nil"/>
              <w:left w:val="nil"/>
              <w:bottom w:val="nil"/>
              <w:right w:val="nil"/>
            </w:tcBorders>
            <w:shd w:val="clear" w:color="000000" w:fill="FFFFFF"/>
            <w:noWrap/>
            <w:vAlign w:val="center"/>
            <w:hideMark/>
          </w:tcPr>
          <w:p w14:paraId="0F7335C4" w14:textId="77777777" w:rsidR="00C006CB" w:rsidRPr="00070A80" w:rsidRDefault="00C006CB" w:rsidP="00C006CB">
            <w:pPr>
              <w:spacing w:after="0" w:line="240" w:lineRule="auto"/>
              <w:jc w:val="left"/>
              <w:rPr>
                <w:rFonts w:eastAsia="Times New Roman" w:cs="Times New Roman"/>
                <w:color w:val="000000"/>
                <w:sz w:val="18"/>
                <w:szCs w:val="18"/>
                <w:lang w:eastAsia="sk-SK"/>
              </w:rPr>
            </w:pPr>
            <w:r w:rsidRPr="00070A80">
              <w:rPr>
                <w:rFonts w:eastAsia="Times New Roman" w:cs="Times New Roman"/>
                <w:color w:val="000000"/>
                <w:sz w:val="18"/>
                <w:szCs w:val="18"/>
                <w:lang w:eastAsia="sk-SK"/>
              </w:rPr>
              <w:t>Úrad vlády SR</w:t>
            </w:r>
          </w:p>
        </w:tc>
        <w:tc>
          <w:tcPr>
            <w:tcW w:w="860" w:type="dxa"/>
            <w:tcBorders>
              <w:top w:val="nil"/>
              <w:left w:val="nil"/>
              <w:bottom w:val="nil"/>
              <w:right w:val="nil"/>
            </w:tcBorders>
            <w:shd w:val="clear" w:color="000000" w:fill="FFFFFF"/>
            <w:noWrap/>
            <w:vAlign w:val="center"/>
            <w:hideMark/>
          </w:tcPr>
          <w:p w14:paraId="51E258A0"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317</w:t>
            </w:r>
          </w:p>
        </w:tc>
        <w:tc>
          <w:tcPr>
            <w:tcW w:w="820" w:type="dxa"/>
            <w:tcBorders>
              <w:top w:val="nil"/>
              <w:left w:val="nil"/>
              <w:bottom w:val="nil"/>
              <w:right w:val="nil"/>
            </w:tcBorders>
            <w:shd w:val="clear" w:color="000000" w:fill="FFFFFF"/>
            <w:noWrap/>
            <w:vAlign w:val="center"/>
            <w:hideMark/>
          </w:tcPr>
          <w:p w14:paraId="736EC358"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473</w:t>
            </w:r>
          </w:p>
        </w:tc>
        <w:tc>
          <w:tcPr>
            <w:tcW w:w="872" w:type="dxa"/>
            <w:tcBorders>
              <w:top w:val="nil"/>
              <w:left w:val="nil"/>
              <w:bottom w:val="nil"/>
              <w:right w:val="nil"/>
            </w:tcBorders>
            <w:shd w:val="clear" w:color="000000" w:fill="FFFFFF"/>
            <w:noWrap/>
            <w:vAlign w:val="center"/>
            <w:hideMark/>
          </w:tcPr>
          <w:p w14:paraId="7B490346"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0</w:t>
            </w:r>
          </w:p>
        </w:tc>
        <w:tc>
          <w:tcPr>
            <w:tcW w:w="782" w:type="dxa"/>
            <w:tcBorders>
              <w:top w:val="nil"/>
              <w:left w:val="nil"/>
              <w:bottom w:val="nil"/>
              <w:right w:val="nil"/>
            </w:tcBorders>
            <w:shd w:val="clear" w:color="000000" w:fill="BFBFBF"/>
            <w:noWrap/>
            <w:vAlign w:val="center"/>
            <w:hideMark/>
          </w:tcPr>
          <w:p w14:paraId="3B0F7B75"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37</w:t>
            </w:r>
          </w:p>
        </w:tc>
        <w:tc>
          <w:tcPr>
            <w:tcW w:w="793" w:type="dxa"/>
            <w:tcBorders>
              <w:top w:val="nil"/>
              <w:left w:val="nil"/>
              <w:bottom w:val="nil"/>
              <w:right w:val="nil"/>
            </w:tcBorders>
            <w:shd w:val="clear" w:color="000000" w:fill="BFBFBF"/>
            <w:noWrap/>
            <w:vAlign w:val="center"/>
            <w:hideMark/>
          </w:tcPr>
          <w:p w14:paraId="5C00080D"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0</w:t>
            </w:r>
          </w:p>
        </w:tc>
        <w:tc>
          <w:tcPr>
            <w:tcW w:w="976" w:type="dxa"/>
            <w:tcBorders>
              <w:top w:val="nil"/>
              <w:left w:val="nil"/>
              <w:bottom w:val="nil"/>
              <w:right w:val="nil"/>
            </w:tcBorders>
            <w:shd w:val="clear" w:color="000000" w:fill="FFFFFF"/>
            <w:vAlign w:val="center"/>
            <w:hideMark/>
          </w:tcPr>
          <w:p w14:paraId="0841BEAE"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37</w:t>
            </w:r>
          </w:p>
        </w:tc>
        <w:tc>
          <w:tcPr>
            <w:tcW w:w="709" w:type="dxa"/>
            <w:tcBorders>
              <w:top w:val="nil"/>
              <w:left w:val="nil"/>
              <w:bottom w:val="nil"/>
              <w:right w:val="nil"/>
            </w:tcBorders>
            <w:shd w:val="clear" w:color="000000" w:fill="FFFFFF"/>
            <w:vAlign w:val="center"/>
            <w:hideMark/>
          </w:tcPr>
          <w:p w14:paraId="5D3CD886" w14:textId="77777777" w:rsidR="00C006CB" w:rsidRPr="00070A80" w:rsidRDefault="00C006CB" w:rsidP="00C006CB">
            <w:pPr>
              <w:spacing w:after="0" w:line="240" w:lineRule="auto"/>
              <w:jc w:val="right"/>
              <w:rPr>
                <w:rFonts w:eastAsia="Times New Roman" w:cs="Times New Roman"/>
                <w:color w:val="000000"/>
                <w:sz w:val="18"/>
                <w:szCs w:val="18"/>
                <w:lang w:eastAsia="sk-SK"/>
              </w:rPr>
            </w:pPr>
            <w:r w:rsidRPr="00070A80">
              <w:rPr>
                <w:rFonts w:eastAsia="Times New Roman" w:cs="Times New Roman"/>
                <w:color w:val="000000"/>
                <w:sz w:val="18"/>
                <w:szCs w:val="18"/>
                <w:lang w:eastAsia="sk-SK"/>
              </w:rPr>
              <w:t>x</w:t>
            </w:r>
          </w:p>
        </w:tc>
      </w:tr>
      <w:tr w:rsidR="00C006CB" w:rsidRPr="00070A80" w14:paraId="6338174D" w14:textId="77777777" w:rsidTr="00070A80">
        <w:trPr>
          <w:trHeight w:val="345"/>
          <w:jc w:val="center"/>
        </w:trPr>
        <w:tc>
          <w:tcPr>
            <w:tcW w:w="3959" w:type="dxa"/>
            <w:tcBorders>
              <w:top w:val="single" w:sz="4" w:space="0" w:color="auto"/>
              <w:left w:val="nil"/>
              <w:bottom w:val="single" w:sz="8" w:space="0" w:color="auto"/>
              <w:right w:val="nil"/>
            </w:tcBorders>
            <w:shd w:val="clear" w:color="000000" w:fill="FFFFFF"/>
            <w:noWrap/>
            <w:vAlign w:val="center"/>
            <w:hideMark/>
          </w:tcPr>
          <w:p w14:paraId="24748DCA" w14:textId="77777777" w:rsidR="00C006CB" w:rsidRPr="00070A80" w:rsidRDefault="00C006CB" w:rsidP="00C006CB">
            <w:pPr>
              <w:spacing w:after="0" w:line="240" w:lineRule="auto"/>
              <w:jc w:val="left"/>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Spolu</w:t>
            </w:r>
          </w:p>
        </w:tc>
        <w:tc>
          <w:tcPr>
            <w:tcW w:w="860" w:type="dxa"/>
            <w:tcBorders>
              <w:top w:val="single" w:sz="4" w:space="0" w:color="auto"/>
              <w:left w:val="nil"/>
              <w:bottom w:val="single" w:sz="8" w:space="0" w:color="auto"/>
              <w:right w:val="nil"/>
            </w:tcBorders>
            <w:shd w:val="clear" w:color="000000" w:fill="FFFFFF"/>
            <w:noWrap/>
            <w:vAlign w:val="center"/>
            <w:hideMark/>
          </w:tcPr>
          <w:p w14:paraId="26703B14" w14:textId="77777777" w:rsidR="00C006CB" w:rsidRPr="00070A80" w:rsidRDefault="00C006CB" w:rsidP="00C006CB">
            <w:pPr>
              <w:spacing w:after="0" w:line="240" w:lineRule="auto"/>
              <w:jc w:val="right"/>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457 344</w:t>
            </w:r>
          </w:p>
        </w:tc>
        <w:tc>
          <w:tcPr>
            <w:tcW w:w="820" w:type="dxa"/>
            <w:tcBorders>
              <w:top w:val="single" w:sz="4" w:space="0" w:color="auto"/>
              <w:left w:val="nil"/>
              <w:bottom w:val="single" w:sz="8" w:space="0" w:color="auto"/>
              <w:right w:val="nil"/>
            </w:tcBorders>
            <w:shd w:val="clear" w:color="000000" w:fill="FFFFFF"/>
            <w:noWrap/>
            <w:vAlign w:val="center"/>
            <w:hideMark/>
          </w:tcPr>
          <w:p w14:paraId="3A973DB1" w14:textId="77777777" w:rsidR="00C006CB" w:rsidRPr="00070A80" w:rsidRDefault="00C006CB" w:rsidP="00C006CB">
            <w:pPr>
              <w:spacing w:after="0" w:line="240" w:lineRule="auto"/>
              <w:jc w:val="right"/>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530 881</w:t>
            </w:r>
          </w:p>
        </w:tc>
        <w:tc>
          <w:tcPr>
            <w:tcW w:w="872" w:type="dxa"/>
            <w:tcBorders>
              <w:top w:val="single" w:sz="4" w:space="0" w:color="auto"/>
              <w:left w:val="nil"/>
              <w:bottom w:val="single" w:sz="8" w:space="0" w:color="auto"/>
              <w:right w:val="nil"/>
            </w:tcBorders>
            <w:shd w:val="clear" w:color="000000" w:fill="FFFFFF"/>
            <w:noWrap/>
            <w:vAlign w:val="center"/>
            <w:hideMark/>
          </w:tcPr>
          <w:p w14:paraId="57267775" w14:textId="77777777" w:rsidR="00C006CB" w:rsidRPr="00070A80" w:rsidRDefault="00C006CB" w:rsidP="00C006CB">
            <w:pPr>
              <w:spacing w:after="0" w:line="240" w:lineRule="auto"/>
              <w:jc w:val="right"/>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593 741</w:t>
            </w:r>
          </w:p>
        </w:tc>
        <w:tc>
          <w:tcPr>
            <w:tcW w:w="782" w:type="dxa"/>
            <w:tcBorders>
              <w:top w:val="single" w:sz="4" w:space="0" w:color="auto"/>
              <w:left w:val="nil"/>
              <w:bottom w:val="single" w:sz="8" w:space="0" w:color="auto"/>
              <w:right w:val="nil"/>
            </w:tcBorders>
            <w:shd w:val="clear" w:color="000000" w:fill="BFBFBF"/>
            <w:noWrap/>
            <w:vAlign w:val="center"/>
            <w:hideMark/>
          </w:tcPr>
          <w:p w14:paraId="79C19A45" w14:textId="77777777" w:rsidR="00C006CB" w:rsidRPr="00070A80" w:rsidRDefault="00C006CB" w:rsidP="00C006CB">
            <w:pPr>
              <w:spacing w:after="0" w:line="240" w:lineRule="auto"/>
              <w:jc w:val="right"/>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600 779</w:t>
            </w:r>
          </w:p>
        </w:tc>
        <w:tc>
          <w:tcPr>
            <w:tcW w:w="793" w:type="dxa"/>
            <w:tcBorders>
              <w:top w:val="single" w:sz="4" w:space="0" w:color="auto"/>
              <w:left w:val="nil"/>
              <w:bottom w:val="single" w:sz="8" w:space="0" w:color="auto"/>
              <w:right w:val="nil"/>
            </w:tcBorders>
            <w:shd w:val="clear" w:color="000000" w:fill="BFBFBF"/>
            <w:noWrap/>
            <w:vAlign w:val="center"/>
            <w:hideMark/>
          </w:tcPr>
          <w:p w14:paraId="13482FF2" w14:textId="77777777" w:rsidR="00C006CB" w:rsidRPr="00070A80" w:rsidRDefault="00C006CB" w:rsidP="00C006CB">
            <w:pPr>
              <w:spacing w:after="0" w:line="240" w:lineRule="auto"/>
              <w:jc w:val="right"/>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538 228</w:t>
            </w:r>
          </w:p>
        </w:tc>
        <w:tc>
          <w:tcPr>
            <w:tcW w:w="976" w:type="dxa"/>
            <w:tcBorders>
              <w:top w:val="single" w:sz="4" w:space="0" w:color="auto"/>
              <w:left w:val="nil"/>
              <w:bottom w:val="single" w:sz="8" w:space="0" w:color="auto"/>
              <w:right w:val="nil"/>
            </w:tcBorders>
            <w:shd w:val="clear" w:color="000000" w:fill="FFFFFF"/>
            <w:noWrap/>
            <w:vAlign w:val="center"/>
            <w:hideMark/>
          </w:tcPr>
          <w:p w14:paraId="53641986" w14:textId="77777777" w:rsidR="00C006CB" w:rsidRPr="00070A80" w:rsidRDefault="00C006CB" w:rsidP="00C006CB">
            <w:pPr>
              <w:spacing w:after="0" w:line="240" w:lineRule="auto"/>
              <w:jc w:val="right"/>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7 038</w:t>
            </w:r>
          </w:p>
        </w:tc>
        <w:tc>
          <w:tcPr>
            <w:tcW w:w="709" w:type="dxa"/>
            <w:tcBorders>
              <w:top w:val="single" w:sz="4" w:space="0" w:color="auto"/>
              <w:left w:val="nil"/>
              <w:bottom w:val="single" w:sz="8" w:space="0" w:color="auto"/>
              <w:right w:val="nil"/>
            </w:tcBorders>
            <w:shd w:val="clear" w:color="000000" w:fill="FFFFFF"/>
            <w:noWrap/>
            <w:vAlign w:val="center"/>
            <w:hideMark/>
          </w:tcPr>
          <w:p w14:paraId="423415E0" w14:textId="77777777" w:rsidR="00C006CB" w:rsidRPr="00070A80" w:rsidRDefault="00C006CB" w:rsidP="00C006CB">
            <w:pPr>
              <w:spacing w:after="0" w:line="240" w:lineRule="auto"/>
              <w:jc w:val="right"/>
              <w:rPr>
                <w:rFonts w:eastAsia="Times New Roman" w:cs="Times New Roman"/>
                <w:b/>
                <w:bCs/>
                <w:color w:val="000000"/>
                <w:sz w:val="18"/>
                <w:szCs w:val="18"/>
                <w:lang w:eastAsia="sk-SK"/>
              </w:rPr>
            </w:pPr>
            <w:r w:rsidRPr="00070A80">
              <w:rPr>
                <w:rFonts w:eastAsia="Times New Roman" w:cs="Times New Roman"/>
                <w:b/>
                <w:bCs/>
                <w:color w:val="000000"/>
                <w:sz w:val="18"/>
                <w:szCs w:val="18"/>
                <w:lang w:eastAsia="sk-SK"/>
              </w:rPr>
              <w:t>1,2</w:t>
            </w:r>
          </w:p>
        </w:tc>
      </w:tr>
    </w:tbl>
    <w:p w14:paraId="79E2D882" w14:textId="1CD7AE76" w:rsidR="00C006CB" w:rsidRPr="00C006CB" w:rsidRDefault="00C006CB" w:rsidP="00C006CB">
      <w:pPr>
        <w:spacing w:after="160" w:line="256" w:lineRule="auto"/>
        <w:jc w:val="left"/>
        <w:rPr>
          <w:sz w:val="18"/>
          <w:szCs w:val="18"/>
        </w:rPr>
      </w:pPr>
      <w:r w:rsidRPr="00C006CB">
        <w:rPr>
          <w:sz w:val="18"/>
          <w:szCs w:val="18"/>
        </w:rPr>
        <w:t>Poznámka: * len prostriedky š</w:t>
      </w:r>
      <w:r>
        <w:rPr>
          <w:sz w:val="18"/>
          <w:szCs w:val="18"/>
        </w:rPr>
        <w:t xml:space="preserve">tátneho rozpočtu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006CB">
        <w:rPr>
          <w:sz w:val="18"/>
          <w:szCs w:val="18"/>
        </w:rPr>
        <w:t xml:space="preserve"> Zdroj: MF SR</w:t>
      </w:r>
    </w:p>
    <w:p w14:paraId="0E98F6E1" w14:textId="4A306E68" w:rsidR="00C006CB" w:rsidRPr="00D715AF" w:rsidRDefault="00C006CB" w:rsidP="008D4C2B">
      <w:pPr>
        <w:spacing w:line="240" w:lineRule="auto"/>
        <w:rPr>
          <w:rFonts w:cs="Times New Roman"/>
          <w:sz w:val="24"/>
          <w:szCs w:val="24"/>
        </w:rPr>
      </w:pPr>
      <w:r w:rsidRPr="00D715AF">
        <w:rPr>
          <w:color w:val="000000" w:themeColor="text1"/>
          <w:sz w:val="24"/>
          <w:szCs w:val="24"/>
        </w:rPr>
        <w:t>Okrem kapitol, prostredníctvom ktorých sa každoročne financujú kompetencie preneseného výkonu štátnej správy (najmä Ministerstvo školstva, vedy, výskumu a športu SR) sa u ostatných </w:t>
      </w:r>
      <w:r w:rsidRPr="00D715AF">
        <w:rPr>
          <w:sz w:val="24"/>
          <w:szCs w:val="24"/>
        </w:rPr>
        <w:t xml:space="preserve">kapitol schvaľoval rozpočet nulový. </w:t>
      </w:r>
      <w:r w:rsidRPr="00D715AF">
        <w:rPr>
          <w:rFonts w:cs="Times New Roman"/>
          <w:sz w:val="24"/>
          <w:szCs w:val="24"/>
        </w:rPr>
        <w:t xml:space="preserve">Jedným z dôvodov je skutočnosť, že schválený rozpočet pre výdavky hradené z prostriedkov EÚ a prislúchajúceho spolufinancovania zo štátneho rozpočtu vychádza z očakávaných odhadov čerpania týchto prostriedkov v jednotlivých výzvach, a nie z už </w:t>
      </w:r>
      <w:proofErr w:type="spellStart"/>
      <w:r w:rsidRPr="00D715AF">
        <w:rPr>
          <w:rFonts w:cs="Times New Roman"/>
          <w:sz w:val="24"/>
          <w:szCs w:val="24"/>
        </w:rPr>
        <w:t>zazmluvnených</w:t>
      </w:r>
      <w:proofErr w:type="spellEnd"/>
      <w:r w:rsidRPr="00D715AF">
        <w:rPr>
          <w:rFonts w:cs="Times New Roman"/>
          <w:sz w:val="24"/>
          <w:szCs w:val="24"/>
        </w:rPr>
        <w:t xml:space="preserve"> prostriedkov. Uvedené odhady sa sledujú v štruktúre operačného programu na úrovni prioritných osí (opatrení), a nie v štruktúre podľa typu prijímateľov (odlíšených ekonomickou klasifikáciou). V schválenom rozpočte teda nie je možné presne definovať finančné objemy podľa konečných prijímateľov pomoci. Druhým dôvodom je skutočnosť, že finančné prostriedky, týkajúce sa už </w:t>
      </w:r>
      <w:proofErr w:type="spellStart"/>
      <w:r w:rsidRPr="00D715AF">
        <w:rPr>
          <w:rFonts w:cs="Times New Roman"/>
          <w:sz w:val="24"/>
          <w:szCs w:val="24"/>
        </w:rPr>
        <w:t>zazmluvnených</w:t>
      </w:r>
      <w:proofErr w:type="spellEnd"/>
      <w:r w:rsidRPr="00D715AF">
        <w:rPr>
          <w:rFonts w:cs="Times New Roman"/>
          <w:sz w:val="24"/>
          <w:szCs w:val="24"/>
        </w:rPr>
        <w:t xml:space="preserve"> projektov (rozpočtované už aj podľa reálnych prijímateľov) nie sú vždy vyplatené v danom rozpočtovom roku, ale až v nasledujúcom, čo umožňuje prevod finančných prostriedkov podľa § 8 zákona 523/2004 Z. z. Uvoľnené prostriedky z predošlého obdobia vstupujú až do upraveného rozpočtu, čím umožňujú čerpanie na tejto podpoložke bez predchádzajúceho schváleného rozpočtu.</w:t>
      </w:r>
    </w:p>
    <w:p w14:paraId="0F1CA43B" w14:textId="77777777" w:rsidR="005C4AEB" w:rsidRDefault="005C4AEB">
      <w:pPr>
        <w:spacing w:after="160" w:line="259" w:lineRule="auto"/>
        <w:jc w:val="left"/>
        <w:rPr>
          <w:color w:val="000000" w:themeColor="text1"/>
          <w:sz w:val="24"/>
          <w:szCs w:val="24"/>
        </w:rPr>
      </w:pPr>
      <w:r>
        <w:rPr>
          <w:color w:val="000000" w:themeColor="text1"/>
          <w:sz w:val="24"/>
          <w:szCs w:val="24"/>
        </w:rPr>
        <w:br w:type="page"/>
      </w:r>
    </w:p>
    <w:p w14:paraId="1D43CEC3" w14:textId="222F6404" w:rsidR="00C006CB" w:rsidRPr="00C006CB" w:rsidRDefault="00C006CB" w:rsidP="008D4C2B">
      <w:pPr>
        <w:suppressAutoHyphens/>
        <w:spacing w:line="240" w:lineRule="auto"/>
        <w:rPr>
          <w:color w:val="000000" w:themeColor="text1"/>
        </w:rPr>
      </w:pPr>
      <w:r w:rsidRPr="00D715AF">
        <w:rPr>
          <w:color w:val="000000" w:themeColor="text1"/>
          <w:sz w:val="24"/>
          <w:szCs w:val="24"/>
        </w:rPr>
        <w:t>Prehľad o poskytnutých kapitálových grantoch a transferoch podľa kapitol</w:t>
      </w:r>
    </w:p>
    <w:tbl>
      <w:tblPr>
        <w:tblW w:w="9640" w:type="dxa"/>
        <w:tblInd w:w="-10" w:type="dxa"/>
        <w:tblLayout w:type="fixed"/>
        <w:tblCellMar>
          <w:left w:w="70" w:type="dxa"/>
          <w:right w:w="70" w:type="dxa"/>
        </w:tblCellMar>
        <w:tblLook w:val="04A0" w:firstRow="1" w:lastRow="0" w:firstColumn="1" w:lastColumn="0" w:noHBand="0" w:noVBand="1"/>
      </w:tblPr>
      <w:tblGrid>
        <w:gridCol w:w="4112"/>
        <w:gridCol w:w="718"/>
        <w:gridCol w:w="841"/>
        <w:gridCol w:w="851"/>
        <w:gridCol w:w="840"/>
        <w:gridCol w:w="719"/>
        <w:gridCol w:w="850"/>
        <w:gridCol w:w="709"/>
      </w:tblGrid>
      <w:tr w:rsidR="0007053F" w:rsidRPr="007D12A6" w14:paraId="3E1750AE" w14:textId="77777777" w:rsidTr="007D12A6">
        <w:trPr>
          <w:trHeight w:val="330"/>
        </w:trPr>
        <w:tc>
          <w:tcPr>
            <w:tcW w:w="9640" w:type="dxa"/>
            <w:gridSpan w:val="8"/>
            <w:tcBorders>
              <w:top w:val="nil"/>
              <w:left w:val="single" w:sz="8" w:space="0" w:color="auto"/>
              <w:bottom w:val="nil"/>
              <w:right w:val="nil"/>
            </w:tcBorders>
            <w:shd w:val="clear" w:color="000000" w:fill="000000"/>
            <w:vAlign w:val="center"/>
            <w:hideMark/>
          </w:tcPr>
          <w:p w14:paraId="6EFEBFF7" w14:textId="595E4786" w:rsidR="0007053F" w:rsidRPr="007D12A6" w:rsidRDefault="0007053F" w:rsidP="0007053F">
            <w:pPr>
              <w:spacing w:after="0" w:line="240" w:lineRule="auto"/>
              <w:jc w:val="left"/>
              <w:rPr>
                <w:rFonts w:eastAsia="Times New Roman" w:cs="Times New Roman"/>
                <w:b/>
                <w:bCs/>
                <w:color w:val="FFFFFF"/>
                <w:sz w:val="18"/>
                <w:szCs w:val="18"/>
                <w:lang w:eastAsia="sk-SK"/>
              </w:rPr>
            </w:pPr>
            <w:r w:rsidRPr="007D12A6">
              <w:rPr>
                <w:rFonts w:eastAsia="Times New Roman" w:cs="Times New Roman"/>
                <w:b/>
                <w:bCs/>
                <w:color w:val="FFFFFF"/>
                <w:sz w:val="18"/>
                <w:szCs w:val="18"/>
                <w:lang w:eastAsia="sk-SK"/>
              </w:rPr>
              <w:t xml:space="preserve">Kapitálové granty a transfery poskytnuté VÚC podľa kapitol ŠR                                                                                </w:t>
            </w:r>
            <w:r w:rsidR="007E7471">
              <w:rPr>
                <w:rFonts w:eastAsia="Times New Roman" w:cs="Times New Roman"/>
                <w:b/>
                <w:bCs/>
                <w:color w:val="FFFFFF"/>
                <w:sz w:val="18"/>
                <w:szCs w:val="18"/>
                <w:lang w:eastAsia="sk-SK"/>
              </w:rPr>
              <w:t xml:space="preserve">    </w:t>
            </w:r>
            <w:r w:rsidRPr="007D12A6">
              <w:rPr>
                <w:rFonts w:eastAsia="Times New Roman" w:cs="Times New Roman"/>
                <w:b/>
                <w:bCs/>
                <w:color w:val="FFFFFF"/>
                <w:sz w:val="18"/>
                <w:szCs w:val="18"/>
                <w:lang w:eastAsia="sk-SK"/>
              </w:rPr>
              <w:t>v tis. eur</w:t>
            </w:r>
          </w:p>
        </w:tc>
      </w:tr>
      <w:tr w:rsidR="00C006CB" w:rsidRPr="007D12A6" w14:paraId="73A2DD86" w14:textId="77777777" w:rsidTr="007D12A6">
        <w:trPr>
          <w:trHeight w:val="330"/>
        </w:trPr>
        <w:tc>
          <w:tcPr>
            <w:tcW w:w="4112" w:type="dxa"/>
            <w:tcBorders>
              <w:top w:val="nil"/>
              <w:left w:val="nil"/>
              <w:bottom w:val="nil"/>
              <w:right w:val="nil"/>
            </w:tcBorders>
            <w:shd w:val="clear" w:color="000000" w:fill="BFBFBF"/>
            <w:vAlign w:val="center"/>
            <w:hideMark/>
          </w:tcPr>
          <w:p w14:paraId="1F7EF70F" w14:textId="77777777" w:rsidR="00C006CB" w:rsidRPr="007D12A6" w:rsidRDefault="00C006CB" w:rsidP="00C006CB">
            <w:pPr>
              <w:spacing w:after="0" w:line="240" w:lineRule="auto"/>
              <w:jc w:val="left"/>
              <w:rPr>
                <w:rFonts w:eastAsia="Times New Roman" w:cs="Times New Roman"/>
                <w:b/>
                <w:bCs/>
                <w:color w:val="FFFFFF"/>
                <w:sz w:val="18"/>
                <w:szCs w:val="18"/>
                <w:lang w:eastAsia="sk-SK"/>
              </w:rPr>
            </w:pPr>
            <w:r w:rsidRPr="007D12A6">
              <w:rPr>
                <w:rFonts w:eastAsia="Times New Roman" w:cs="Times New Roman"/>
                <w:b/>
                <w:bCs/>
                <w:color w:val="FFFFFF"/>
                <w:sz w:val="18"/>
                <w:szCs w:val="18"/>
                <w:lang w:eastAsia="sk-SK"/>
              </w:rPr>
              <w:t> </w:t>
            </w:r>
          </w:p>
        </w:tc>
        <w:tc>
          <w:tcPr>
            <w:tcW w:w="1559" w:type="dxa"/>
            <w:gridSpan w:val="2"/>
            <w:tcBorders>
              <w:top w:val="nil"/>
              <w:left w:val="nil"/>
              <w:bottom w:val="nil"/>
              <w:right w:val="nil"/>
            </w:tcBorders>
            <w:shd w:val="clear" w:color="000000" w:fill="BFBFBF"/>
            <w:vAlign w:val="center"/>
            <w:hideMark/>
          </w:tcPr>
          <w:p w14:paraId="64D8B7BD" w14:textId="77777777" w:rsidR="00C006CB" w:rsidRPr="007D12A6" w:rsidRDefault="00C006CB" w:rsidP="00C006CB">
            <w:pPr>
              <w:spacing w:after="0" w:line="240" w:lineRule="auto"/>
              <w:jc w:val="center"/>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Skutočnosť</w:t>
            </w:r>
          </w:p>
        </w:tc>
        <w:tc>
          <w:tcPr>
            <w:tcW w:w="851" w:type="dxa"/>
            <w:tcBorders>
              <w:top w:val="nil"/>
              <w:left w:val="nil"/>
              <w:bottom w:val="nil"/>
              <w:right w:val="nil"/>
            </w:tcBorders>
            <w:shd w:val="clear" w:color="000000" w:fill="BFBFBF"/>
            <w:vAlign w:val="center"/>
            <w:hideMark/>
          </w:tcPr>
          <w:p w14:paraId="690DBDD3" w14:textId="77777777" w:rsidR="00C006CB" w:rsidRPr="007D12A6" w:rsidRDefault="00C006CB" w:rsidP="00C006CB">
            <w:pPr>
              <w:spacing w:after="0" w:line="240" w:lineRule="auto"/>
              <w:jc w:val="center"/>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Rozpočet</w:t>
            </w:r>
          </w:p>
        </w:tc>
        <w:tc>
          <w:tcPr>
            <w:tcW w:w="1559" w:type="dxa"/>
            <w:gridSpan w:val="2"/>
            <w:tcBorders>
              <w:top w:val="nil"/>
              <w:left w:val="nil"/>
              <w:bottom w:val="nil"/>
              <w:right w:val="nil"/>
            </w:tcBorders>
            <w:shd w:val="clear" w:color="000000" w:fill="BFBFBF"/>
            <w:vAlign w:val="center"/>
            <w:hideMark/>
          </w:tcPr>
          <w:p w14:paraId="4F3844A2" w14:textId="77777777" w:rsidR="00C006CB" w:rsidRPr="007D12A6" w:rsidRDefault="00C006CB" w:rsidP="00C006CB">
            <w:pPr>
              <w:spacing w:after="0" w:line="240" w:lineRule="auto"/>
              <w:jc w:val="center"/>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Skutočnosť</w:t>
            </w:r>
          </w:p>
        </w:tc>
        <w:tc>
          <w:tcPr>
            <w:tcW w:w="1559" w:type="dxa"/>
            <w:gridSpan w:val="2"/>
            <w:tcBorders>
              <w:top w:val="nil"/>
              <w:left w:val="nil"/>
              <w:bottom w:val="nil"/>
              <w:right w:val="nil"/>
            </w:tcBorders>
            <w:shd w:val="clear" w:color="000000" w:fill="BFBFBF"/>
            <w:vAlign w:val="center"/>
            <w:hideMark/>
          </w:tcPr>
          <w:p w14:paraId="3CADD3CB" w14:textId="77777777" w:rsidR="00C006CB" w:rsidRPr="007D12A6" w:rsidRDefault="00C006CB" w:rsidP="00C006CB">
            <w:pPr>
              <w:spacing w:after="0" w:line="240" w:lineRule="auto"/>
              <w:jc w:val="center"/>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Rozdiel</w:t>
            </w:r>
          </w:p>
        </w:tc>
      </w:tr>
      <w:tr w:rsidR="00C006CB" w:rsidRPr="007D12A6" w14:paraId="05930B4A" w14:textId="77777777" w:rsidTr="007D12A6">
        <w:trPr>
          <w:trHeight w:val="765"/>
        </w:trPr>
        <w:tc>
          <w:tcPr>
            <w:tcW w:w="4112" w:type="dxa"/>
            <w:tcBorders>
              <w:top w:val="nil"/>
              <w:left w:val="nil"/>
              <w:bottom w:val="nil"/>
              <w:right w:val="nil"/>
            </w:tcBorders>
            <w:shd w:val="clear" w:color="000000" w:fill="BFBFBF"/>
            <w:vAlign w:val="center"/>
            <w:hideMark/>
          </w:tcPr>
          <w:p w14:paraId="4A194229" w14:textId="77777777" w:rsidR="00C006CB" w:rsidRPr="007D12A6" w:rsidRDefault="00C006CB" w:rsidP="00C006CB">
            <w:pPr>
              <w:spacing w:after="0" w:line="240" w:lineRule="auto"/>
              <w:jc w:val="center"/>
              <w:rPr>
                <w:rFonts w:eastAsia="Times New Roman" w:cs="Times New Roman"/>
                <w:b/>
                <w:bCs/>
                <w:sz w:val="18"/>
                <w:szCs w:val="18"/>
                <w:lang w:eastAsia="sk-SK"/>
              </w:rPr>
            </w:pPr>
            <w:r w:rsidRPr="007D12A6">
              <w:rPr>
                <w:rFonts w:eastAsia="Times New Roman" w:cs="Times New Roman"/>
                <w:b/>
                <w:bCs/>
                <w:sz w:val="18"/>
                <w:szCs w:val="18"/>
                <w:lang w:eastAsia="sk-SK"/>
              </w:rPr>
              <w:t> </w:t>
            </w:r>
          </w:p>
        </w:tc>
        <w:tc>
          <w:tcPr>
            <w:tcW w:w="718" w:type="dxa"/>
            <w:tcBorders>
              <w:top w:val="nil"/>
              <w:left w:val="nil"/>
              <w:bottom w:val="nil"/>
              <w:right w:val="nil"/>
            </w:tcBorders>
            <w:shd w:val="clear" w:color="000000" w:fill="BFBFBF"/>
            <w:vAlign w:val="center"/>
            <w:hideMark/>
          </w:tcPr>
          <w:p w14:paraId="460BE8B3" w14:textId="77777777" w:rsidR="00C006CB" w:rsidRPr="007D12A6" w:rsidRDefault="00C006CB" w:rsidP="00C006CB">
            <w:pPr>
              <w:spacing w:after="0" w:line="240" w:lineRule="auto"/>
              <w:jc w:val="center"/>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2018</w:t>
            </w:r>
          </w:p>
        </w:tc>
        <w:tc>
          <w:tcPr>
            <w:tcW w:w="841" w:type="dxa"/>
            <w:tcBorders>
              <w:top w:val="nil"/>
              <w:left w:val="nil"/>
              <w:bottom w:val="nil"/>
              <w:right w:val="nil"/>
            </w:tcBorders>
            <w:shd w:val="clear" w:color="000000" w:fill="BFBFBF"/>
            <w:vAlign w:val="center"/>
            <w:hideMark/>
          </w:tcPr>
          <w:p w14:paraId="51EAF1A5" w14:textId="77777777" w:rsidR="00C006CB" w:rsidRPr="007D12A6" w:rsidRDefault="00C006CB" w:rsidP="00C006CB">
            <w:pPr>
              <w:spacing w:after="0" w:line="240" w:lineRule="auto"/>
              <w:jc w:val="center"/>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2019</w:t>
            </w:r>
          </w:p>
        </w:tc>
        <w:tc>
          <w:tcPr>
            <w:tcW w:w="851" w:type="dxa"/>
            <w:tcBorders>
              <w:top w:val="nil"/>
              <w:left w:val="nil"/>
              <w:bottom w:val="nil"/>
              <w:right w:val="nil"/>
            </w:tcBorders>
            <w:shd w:val="clear" w:color="000000" w:fill="BFBFBF"/>
            <w:vAlign w:val="center"/>
            <w:hideMark/>
          </w:tcPr>
          <w:p w14:paraId="3D451FE2" w14:textId="77777777" w:rsidR="00C006CB" w:rsidRPr="007D12A6" w:rsidRDefault="00C006CB" w:rsidP="00C006CB">
            <w:pPr>
              <w:spacing w:after="0" w:line="240" w:lineRule="auto"/>
              <w:jc w:val="center"/>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2020</w:t>
            </w:r>
          </w:p>
        </w:tc>
        <w:tc>
          <w:tcPr>
            <w:tcW w:w="840" w:type="dxa"/>
            <w:tcBorders>
              <w:top w:val="nil"/>
              <w:left w:val="nil"/>
              <w:bottom w:val="nil"/>
              <w:right w:val="nil"/>
            </w:tcBorders>
            <w:shd w:val="clear" w:color="000000" w:fill="BFBFBF"/>
            <w:vAlign w:val="center"/>
            <w:hideMark/>
          </w:tcPr>
          <w:p w14:paraId="1FE4EBE2" w14:textId="77777777" w:rsidR="00C006CB" w:rsidRPr="007D12A6" w:rsidRDefault="00C006CB" w:rsidP="00C006CB">
            <w:pPr>
              <w:spacing w:after="0" w:line="240" w:lineRule="auto"/>
              <w:jc w:val="center"/>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2020</w:t>
            </w:r>
          </w:p>
        </w:tc>
        <w:tc>
          <w:tcPr>
            <w:tcW w:w="719" w:type="dxa"/>
            <w:tcBorders>
              <w:top w:val="nil"/>
              <w:left w:val="nil"/>
              <w:bottom w:val="nil"/>
              <w:right w:val="nil"/>
            </w:tcBorders>
            <w:shd w:val="clear" w:color="000000" w:fill="BFBFBF"/>
            <w:vAlign w:val="center"/>
            <w:hideMark/>
          </w:tcPr>
          <w:p w14:paraId="2C39FB38" w14:textId="77777777" w:rsidR="00C006CB" w:rsidRPr="007D12A6" w:rsidRDefault="00C006CB" w:rsidP="00C006CB">
            <w:pPr>
              <w:spacing w:after="0" w:line="240" w:lineRule="auto"/>
              <w:jc w:val="center"/>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z toho: zdroj 111</w:t>
            </w:r>
            <w:r w:rsidRPr="007D12A6">
              <w:rPr>
                <w:rFonts w:ascii="Arial Narrow" w:eastAsia="Times New Roman" w:hAnsi="Arial Narrow" w:cs="Times New Roman"/>
                <w:b/>
                <w:bCs/>
                <w:color w:val="000000"/>
                <w:sz w:val="18"/>
                <w:szCs w:val="18"/>
                <w:lang w:eastAsia="sk-SK"/>
              </w:rPr>
              <w:t>*</w:t>
            </w:r>
          </w:p>
        </w:tc>
        <w:tc>
          <w:tcPr>
            <w:tcW w:w="850" w:type="dxa"/>
            <w:tcBorders>
              <w:top w:val="nil"/>
              <w:left w:val="nil"/>
              <w:bottom w:val="nil"/>
              <w:right w:val="nil"/>
            </w:tcBorders>
            <w:shd w:val="clear" w:color="000000" w:fill="BFBFBF"/>
            <w:vAlign w:val="center"/>
            <w:hideMark/>
          </w:tcPr>
          <w:p w14:paraId="47675D13" w14:textId="77777777" w:rsidR="00C006CB" w:rsidRPr="007D12A6" w:rsidRDefault="00C006CB" w:rsidP="00C006CB">
            <w:pPr>
              <w:spacing w:after="0" w:line="240" w:lineRule="auto"/>
              <w:jc w:val="center"/>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 xml:space="preserve"> v tis. eur</w:t>
            </w:r>
          </w:p>
        </w:tc>
        <w:tc>
          <w:tcPr>
            <w:tcW w:w="709" w:type="dxa"/>
            <w:tcBorders>
              <w:top w:val="nil"/>
              <w:left w:val="nil"/>
              <w:bottom w:val="nil"/>
              <w:right w:val="nil"/>
            </w:tcBorders>
            <w:shd w:val="clear" w:color="000000" w:fill="BFBFBF"/>
            <w:vAlign w:val="center"/>
            <w:hideMark/>
          </w:tcPr>
          <w:p w14:paraId="636A718D" w14:textId="77777777" w:rsidR="00C006CB" w:rsidRPr="007D12A6" w:rsidRDefault="00C006CB" w:rsidP="00C006CB">
            <w:pPr>
              <w:spacing w:after="0" w:line="240" w:lineRule="auto"/>
              <w:jc w:val="center"/>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v %</w:t>
            </w:r>
          </w:p>
        </w:tc>
      </w:tr>
      <w:tr w:rsidR="00C006CB" w:rsidRPr="007D12A6" w14:paraId="319A6D23" w14:textId="77777777" w:rsidTr="007D12A6">
        <w:trPr>
          <w:trHeight w:val="345"/>
        </w:trPr>
        <w:tc>
          <w:tcPr>
            <w:tcW w:w="4112" w:type="dxa"/>
            <w:tcBorders>
              <w:top w:val="nil"/>
              <w:left w:val="nil"/>
              <w:bottom w:val="single" w:sz="8" w:space="0" w:color="auto"/>
              <w:right w:val="nil"/>
            </w:tcBorders>
            <w:shd w:val="clear" w:color="000000" w:fill="BFBFBF"/>
            <w:vAlign w:val="center"/>
            <w:hideMark/>
          </w:tcPr>
          <w:p w14:paraId="7524B9EC" w14:textId="77777777" w:rsidR="00C006CB" w:rsidRPr="007D12A6" w:rsidRDefault="00C006CB" w:rsidP="00C006CB">
            <w:pPr>
              <w:spacing w:after="0" w:line="240" w:lineRule="auto"/>
              <w:jc w:val="left"/>
              <w:rPr>
                <w:rFonts w:eastAsia="Times New Roman" w:cs="Times New Roman"/>
                <w:b/>
                <w:bCs/>
                <w:color w:val="FFFFFF"/>
                <w:sz w:val="18"/>
                <w:szCs w:val="18"/>
                <w:lang w:eastAsia="sk-SK"/>
              </w:rPr>
            </w:pPr>
            <w:r w:rsidRPr="007D12A6">
              <w:rPr>
                <w:rFonts w:eastAsia="Times New Roman" w:cs="Times New Roman"/>
                <w:b/>
                <w:bCs/>
                <w:color w:val="FFFFFF"/>
                <w:sz w:val="18"/>
                <w:szCs w:val="18"/>
                <w:lang w:eastAsia="sk-SK"/>
              </w:rPr>
              <w:t> </w:t>
            </w:r>
          </w:p>
        </w:tc>
        <w:tc>
          <w:tcPr>
            <w:tcW w:w="718" w:type="dxa"/>
            <w:tcBorders>
              <w:top w:val="nil"/>
              <w:left w:val="nil"/>
              <w:bottom w:val="single" w:sz="8" w:space="0" w:color="auto"/>
              <w:right w:val="nil"/>
            </w:tcBorders>
            <w:shd w:val="clear" w:color="000000" w:fill="BFBFBF"/>
            <w:vAlign w:val="center"/>
            <w:hideMark/>
          </w:tcPr>
          <w:p w14:paraId="1CFD7ABD" w14:textId="77777777" w:rsidR="00C006CB" w:rsidRPr="007D12A6" w:rsidRDefault="00C006CB" w:rsidP="00C006CB">
            <w:pPr>
              <w:spacing w:after="0" w:line="240" w:lineRule="auto"/>
              <w:jc w:val="center"/>
              <w:rPr>
                <w:rFonts w:eastAsia="Times New Roman" w:cs="Times New Roman"/>
                <w:b/>
                <w:bCs/>
                <w:sz w:val="18"/>
                <w:szCs w:val="18"/>
                <w:lang w:eastAsia="sk-SK"/>
              </w:rPr>
            </w:pPr>
            <w:r w:rsidRPr="007D12A6">
              <w:rPr>
                <w:rFonts w:eastAsia="Times New Roman" w:cs="Times New Roman"/>
                <w:b/>
                <w:bCs/>
                <w:sz w:val="18"/>
                <w:szCs w:val="18"/>
                <w:lang w:eastAsia="sk-SK"/>
              </w:rPr>
              <w:t>1</w:t>
            </w:r>
          </w:p>
        </w:tc>
        <w:tc>
          <w:tcPr>
            <w:tcW w:w="841" w:type="dxa"/>
            <w:tcBorders>
              <w:top w:val="nil"/>
              <w:left w:val="nil"/>
              <w:bottom w:val="single" w:sz="8" w:space="0" w:color="auto"/>
              <w:right w:val="nil"/>
            </w:tcBorders>
            <w:shd w:val="clear" w:color="000000" w:fill="BFBFBF"/>
            <w:vAlign w:val="center"/>
            <w:hideMark/>
          </w:tcPr>
          <w:p w14:paraId="435A5CA2" w14:textId="77777777" w:rsidR="00C006CB" w:rsidRPr="007D12A6" w:rsidRDefault="00C006CB" w:rsidP="00C006CB">
            <w:pPr>
              <w:spacing w:after="0" w:line="240" w:lineRule="auto"/>
              <w:jc w:val="center"/>
              <w:rPr>
                <w:rFonts w:eastAsia="Times New Roman" w:cs="Times New Roman"/>
                <w:b/>
                <w:bCs/>
                <w:sz w:val="18"/>
                <w:szCs w:val="18"/>
                <w:lang w:eastAsia="sk-SK"/>
              </w:rPr>
            </w:pPr>
            <w:r w:rsidRPr="007D12A6">
              <w:rPr>
                <w:rFonts w:eastAsia="Times New Roman" w:cs="Times New Roman"/>
                <w:b/>
                <w:bCs/>
                <w:sz w:val="18"/>
                <w:szCs w:val="18"/>
                <w:lang w:eastAsia="sk-SK"/>
              </w:rPr>
              <w:t>2</w:t>
            </w:r>
          </w:p>
        </w:tc>
        <w:tc>
          <w:tcPr>
            <w:tcW w:w="851" w:type="dxa"/>
            <w:tcBorders>
              <w:top w:val="nil"/>
              <w:left w:val="nil"/>
              <w:bottom w:val="single" w:sz="8" w:space="0" w:color="auto"/>
              <w:right w:val="nil"/>
            </w:tcBorders>
            <w:shd w:val="clear" w:color="000000" w:fill="BFBFBF"/>
            <w:vAlign w:val="center"/>
            <w:hideMark/>
          </w:tcPr>
          <w:p w14:paraId="7CA080A0" w14:textId="77777777" w:rsidR="00C006CB" w:rsidRPr="007D12A6" w:rsidRDefault="00C006CB" w:rsidP="00C006CB">
            <w:pPr>
              <w:spacing w:after="0" w:line="240" w:lineRule="auto"/>
              <w:jc w:val="center"/>
              <w:rPr>
                <w:rFonts w:eastAsia="Times New Roman" w:cs="Times New Roman"/>
                <w:b/>
                <w:bCs/>
                <w:sz w:val="18"/>
                <w:szCs w:val="18"/>
                <w:lang w:eastAsia="sk-SK"/>
              </w:rPr>
            </w:pPr>
            <w:r w:rsidRPr="007D12A6">
              <w:rPr>
                <w:rFonts w:eastAsia="Times New Roman" w:cs="Times New Roman"/>
                <w:b/>
                <w:bCs/>
                <w:sz w:val="18"/>
                <w:szCs w:val="18"/>
                <w:lang w:eastAsia="sk-SK"/>
              </w:rPr>
              <w:t>3</w:t>
            </w:r>
          </w:p>
        </w:tc>
        <w:tc>
          <w:tcPr>
            <w:tcW w:w="840" w:type="dxa"/>
            <w:tcBorders>
              <w:top w:val="nil"/>
              <w:left w:val="nil"/>
              <w:bottom w:val="single" w:sz="8" w:space="0" w:color="auto"/>
              <w:right w:val="nil"/>
            </w:tcBorders>
            <w:shd w:val="clear" w:color="000000" w:fill="BFBFBF"/>
            <w:vAlign w:val="center"/>
            <w:hideMark/>
          </w:tcPr>
          <w:p w14:paraId="347368CC" w14:textId="77777777" w:rsidR="00C006CB" w:rsidRPr="007D12A6" w:rsidRDefault="00C006CB" w:rsidP="00C006CB">
            <w:pPr>
              <w:spacing w:after="0" w:line="240" w:lineRule="auto"/>
              <w:jc w:val="center"/>
              <w:rPr>
                <w:rFonts w:eastAsia="Times New Roman" w:cs="Times New Roman"/>
                <w:b/>
                <w:bCs/>
                <w:sz w:val="18"/>
                <w:szCs w:val="18"/>
                <w:lang w:eastAsia="sk-SK"/>
              </w:rPr>
            </w:pPr>
            <w:r w:rsidRPr="007D12A6">
              <w:rPr>
                <w:rFonts w:eastAsia="Times New Roman" w:cs="Times New Roman"/>
                <w:b/>
                <w:bCs/>
                <w:sz w:val="18"/>
                <w:szCs w:val="18"/>
                <w:lang w:eastAsia="sk-SK"/>
              </w:rPr>
              <w:t>4</w:t>
            </w:r>
          </w:p>
        </w:tc>
        <w:tc>
          <w:tcPr>
            <w:tcW w:w="719" w:type="dxa"/>
            <w:tcBorders>
              <w:top w:val="nil"/>
              <w:left w:val="nil"/>
              <w:bottom w:val="single" w:sz="8" w:space="0" w:color="auto"/>
              <w:right w:val="nil"/>
            </w:tcBorders>
            <w:shd w:val="clear" w:color="000000" w:fill="BFBFBF"/>
            <w:vAlign w:val="center"/>
            <w:hideMark/>
          </w:tcPr>
          <w:p w14:paraId="4A881886" w14:textId="77777777" w:rsidR="00C006CB" w:rsidRPr="007D12A6" w:rsidRDefault="00C006CB" w:rsidP="00C006CB">
            <w:pPr>
              <w:spacing w:after="0" w:line="240" w:lineRule="auto"/>
              <w:jc w:val="center"/>
              <w:rPr>
                <w:rFonts w:eastAsia="Times New Roman" w:cs="Times New Roman"/>
                <w:b/>
                <w:bCs/>
                <w:sz w:val="18"/>
                <w:szCs w:val="18"/>
                <w:lang w:eastAsia="sk-SK"/>
              </w:rPr>
            </w:pPr>
            <w:r w:rsidRPr="007D12A6">
              <w:rPr>
                <w:rFonts w:eastAsia="Times New Roman" w:cs="Times New Roman"/>
                <w:b/>
                <w:bCs/>
                <w:sz w:val="18"/>
                <w:szCs w:val="18"/>
                <w:lang w:eastAsia="sk-SK"/>
              </w:rPr>
              <w:t>5</w:t>
            </w:r>
          </w:p>
        </w:tc>
        <w:tc>
          <w:tcPr>
            <w:tcW w:w="850" w:type="dxa"/>
            <w:tcBorders>
              <w:top w:val="nil"/>
              <w:left w:val="nil"/>
              <w:bottom w:val="single" w:sz="8" w:space="0" w:color="auto"/>
              <w:right w:val="nil"/>
            </w:tcBorders>
            <w:shd w:val="clear" w:color="000000" w:fill="BFBFBF"/>
            <w:vAlign w:val="center"/>
            <w:hideMark/>
          </w:tcPr>
          <w:p w14:paraId="6221B248" w14:textId="77777777" w:rsidR="00C006CB" w:rsidRPr="007D12A6" w:rsidRDefault="00C006CB" w:rsidP="00C006CB">
            <w:pPr>
              <w:spacing w:after="0" w:line="240" w:lineRule="auto"/>
              <w:jc w:val="center"/>
              <w:rPr>
                <w:rFonts w:eastAsia="Times New Roman" w:cs="Times New Roman"/>
                <w:b/>
                <w:bCs/>
                <w:sz w:val="18"/>
                <w:szCs w:val="18"/>
                <w:lang w:eastAsia="sk-SK"/>
              </w:rPr>
            </w:pPr>
            <w:r w:rsidRPr="007D12A6">
              <w:rPr>
                <w:rFonts w:eastAsia="Times New Roman" w:cs="Times New Roman"/>
                <w:b/>
                <w:bCs/>
                <w:sz w:val="18"/>
                <w:szCs w:val="18"/>
                <w:lang w:eastAsia="sk-SK"/>
              </w:rPr>
              <w:t>6=4-3</w:t>
            </w:r>
          </w:p>
        </w:tc>
        <w:tc>
          <w:tcPr>
            <w:tcW w:w="709" w:type="dxa"/>
            <w:tcBorders>
              <w:top w:val="nil"/>
              <w:left w:val="nil"/>
              <w:bottom w:val="single" w:sz="8" w:space="0" w:color="auto"/>
              <w:right w:val="nil"/>
            </w:tcBorders>
            <w:shd w:val="clear" w:color="000000" w:fill="BFBFBF"/>
            <w:vAlign w:val="center"/>
            <w:hideMark/>
          </w:tcPr>
          <w:p w14:paraId="41C159AF" w14:textId="77777777" w:rsidR="00C006CB" w:rsidRPr="007D12A6" w:rsidRDefault="00C006CB" w:rsidP="00C006CB">
            <w:pPr>
              <w:spacing w:after="0" w:line="240" w:lineRule="auto"/>
              <w:jc w:val="center"/>
              <w:rPr>
                <w:rFonts w:eastAsia="Times New Roman" w:cs="Times New Roman"/>
                <w:b/>
                <w:bCs/>
                <w:sz w:val="18"/>
                <w:szCs w:val="18"/>
                <w:lang w:eastAsia="sk-SK"/>
              </w:rPr>
            </w:pPr>
            <w:r w:rsidRPr="007D12A6">
              <w:rPr>
                <w:rFonts w:eastAsia="Times New Roman" w:cs="Times New Roman"/>
                <w:b/>
                <w:bCs/>
                <w:sz w:val="18"/>
                <w:szCs w:val="18"/>
                <w:lang w:eastAsia="sk-SK"/>
              </w:rPr>
              <w:t>7=4-3</w:t>
            </w:r>
          </w:p>
        </w:tc>
      </w:tr>
      <w:tr w:rsidR="00C006CB" w:rsidRPr="007D12A6" w14:paraId="4DAA7241" w14:textId="77777777" w:rsidTr="007D12A6">
        <w:trPr>
          <w:trHeight w:val="345"/>
        </w:trPr>
        <w:tc>
          <w:tcPr>
            <w:tcW w:w="4112" w:type="dxa"/>
            <w:tcBorders>
              <w:top w:val="nil"/>
              <w:left w:val="nil"/>
              <w:bottom w:val="nil"/>
              <w:right w:val="nil"/>
            </w:tcBorders>
            <w:shd w:val="clear" w:color="000000" w:fill="FFFFFF"/>
            <w:vAlign w:val="center"/>
            <w:hideMark/>
          </w:tcPr>
          <w:p w14:paraId="0C599409" w14:textId="77777777" w:rsidR="00C006CB" w:rsidRPr="007D12A6" w:rsidRDefault="00C006CB" w:rsidP="00C006CB">
            <w:pPr>
              <w:spacing w:after="0" w:line="240" w:lineRule="auto"/>
              <w:jc w:val="left"/>
              <w:rPr>
                <w:rFonts w:eastAsia="Times New Roman" w:cs="Times New Roman"/>
                <w:color w:val="000000"/>
                <w:sz w:val="18"/>
                <w:szCs w:val="18"/>
                <w:lang w:eastAsia="sk-SK"/>
              </w:rPr>
            </w:pPr>
            <w:r w:rsidRPr="007D12A6">
              <w:rPr>
                <w:rFonts w:eastAsia="Times New Roman" w:cs="Times New Roman"/>
                <w:color w:val="000000"/>
                <w:sz w:val="18"/>
                <w:szCs w:val="18"/>
                <w:lang w:eastAsia="sk-SK"/>
              </w:rPr>
              <w:t>Ministerstvo pôdohospodárstva a rozvoja vidieka SR</w:t>
            </w:r>
          </w:p>
        </w:tc>
        <w:tc>
          <w:tcPr>
            <w:tcW w:w="718" w:type="dxa"/>
            <w:tcBorders>
              <w:top w:val="nil"/>
              <w:left w:val="nil"/>
              <w:bottom w:val="nil"/>
              <w:right w:val="nil"/>
            </w:tcBorders>
            <w:shd w:val="clear" w:color="000000" w:fill="FFFFFF"/>
            <w:noWrap/>
            <w:vAlign w:val="bottom"/>
            <w:hideMark/>
          </w:tcPr>
          <w:p w14:paraId="6390D936"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5 023</w:t>
            </w:r>
          </w:p>
        </w:tc>
        <w:tc>
          <w:tcPr>
            <w:tcW w:w="841" w:type="dxa"/>
            <w:tcBorders>
              <w:top w:val="nil"/>
              <w:left w:val="nil"/>
              <w:bottom w:val="nil"/>
              <w:right w:val="nil"/>
            </w:tcBorders>
            <w:shd w:val="clear" w:color="000000" w:fill="FFFFFF"/>
            <w:noWrap/>
            <w:vAlign w:val="bottom"/>
            <w:hideMark/>
          </w:tcPr>
          <w:p w14:paraId="46E9D272"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46 729</w:t>
            </w:r>
          </w:p>
        </w:tc>
        <w:tc>
          <w:tcPr>
            <w:tcW w:w="851" w:type="dxa"/>
            <w:tcBorders>
              <w:top w:val="nil"/>
              <w:left w:val="nil"/>
              <w:bottom w:val="nil"/>
              <w:right w:val="nil"/>
            </w:tcBorders>
            <w:shd w:val="clear" w:color="000000" w:fill="FFFFFF"/>
            <w:noWrap/>
            <w:vAlign w:val="bottom"/>
            <w:hideMark/>
          </w:tcPr>
          <w:p w14:paraId="133B337D"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0</w:t>
            </w:r>
          </w:p>
        </w:tc>
        <w:tc>
          <w:tcPr>
            <w:tcW w:w="840" w:type="dxa"/>
            <w:tcBorders>
              <w:top w:val="nil"/>
              <w:left w:val="nil"/>
              <w:bottom w:val="nil"/>
              <w:right w:val="nil"/>
            </w:tcBorders>
            <w:shd w:val="clear" w:color="000000" w:fill="BFBFBF"/>
            <w:noWrap/>
            <w:vAlign w:val="bottom"/>
            <w:hideMark/>
          </w:tcPr>
          <w:p w14:paraId="6132EE3E"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28 222</w:t>
            </w:r>
          </w:p>
        </w:tc>
        <w:tc>
          <w:tcPr>
            <w:tcW w:w="719" w:type="dxa"/>
            <w:tcBorders>
              <w:top w:val="nil"/>
              <w:left w:val="nil"/>
              <w:bottom w:val="nil"/>
              <w:right w:val="nil"/>
            </w:tcBorders>
            <w:shd w:val="clear" w:color="000000" w:fill="BFBFBF"/>
            <w:noWrap/>
            <w:vAlign w:val="bottom"/>
            <w:hideMark/>
          </w:tcPr>
          <w:p w14:paraId="79EAA453"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0</w:t>
            </w:r>
          </w:p>
        </w:tc>
        <w:tc>
          <w:tcPr>
            <w:tcW w:w="850" w:type="dxa"/>
            <w:tcBorders>
              <w:top w:val="nil"/>
              <w:left w:val="nil"/>
              <w:bottom w:val="nil"/>
              <w:right w:val="nil"/>
            </w:tcBorders>
            <w:shd w:val="clear" w:color="000000" w:fill="FFFFFF"/>
            <w:vAlign w:val="bottom"/>
            <w:hideMark/>
          </w:tcPr>
          <w:p w14:paraId="39AF0242"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28 222</w:t>
            </w:r>
          </w:p>
        </w:tc>
        <w:tc>
          <w:tcPr>
            <w:tcW w:w="709" w:type="dxa"/>
            <w:tcBorders>
              <w:top w:val="nil"/>
              <w:left w:val="nil"/>
              <w:bottom w:val="nil"/>
              <w:right w:val="nil"/>
            </w:tcBorders>
            <w:shd w:val="clear" w:color="000000" w:fill="FFFFFF"/>
            <w:vAlign w:val="bottom"/>
            <w:hideMark/>
          </w:tcPr>
          <w:p w14:paraId="09F66C6E"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x</w:t>
            </w:r>
          </w:p>
        </w:tc>
      </w:tr>
      <w:tr w:rsidR="00C006CB" w:rsidRPr="007D12A6" w14:paraId="3852A85E" w14:textId="77777777" w:rsidTr="007D12A6">
        <w:trPr>
          <w:trHeight w:val="345"/>
        </w:trPr>
        <w:tc>
          <w:tcPr>
            <w:tcW w:w="4112" w:type="dxa"/>
            <w:tcBorders>
              <w:top w:val="nil"/>
              <w:left w:val="nil"/>
              <w:bottom w:val="nil"/>
              <w:right w:val="nil"/>
            </w:tcBorders>
            <w:shd w:val="clear" w:color="000000" w:fill="FFFFFF"/>
            <w:noWrap/>
            <w:vAlign w:val="center"/>
            <w:hideMark/>
          </w:tcPr>
          <w:p w14:paraId="1EEE0D98" w14:textId="490DF88E" w:rsidR="00C006CB" w:rsidRPr="007D12A6" w:rsidRDefault="00C006CB" w:rsidP="007D12A6">
            <w:pPr>
              <w:spacing w:after="0" w:line="240" w:lineRule="auto"/>
              <w:jc w:val="left"/>
              <w:rPr>
                <w:rFonts w:eastAsia="Times New Roman" w:cs="Times New Roman"/>
                <w:color w:val="000000"/>
                <w:sz w:val="18"/>
                <w:szCs w:val="18"/>
                <w:lang w:eastAsia="sk-SK"/>
              </w:rPr>
            </w:pPr>
            <w:r w:rsidRPr="007D12A6">
              <w:rPr>
                <w:rFonts w:eastAsia="Times New Roman" w:cs="Times New Roman"/>
                <w:color w:val="000000"/>
                <w:sz w:val="18"/>
                <w:szCs w:val="18"/>
                <w:lang w:eastAsia="sk-SK"/>
              </w:rPr>
              <w:t xml:space="preserve">Ministerstvo investícií, reg. rozvoja a </w:t>
            </w:r>
            <w:proofErr w:type="spellStart"/>
            <w:r w:rsidRPr="007D12A6">
              <w:rPr>
                <w:rFonts w:eastAsia="Times New Roman" w:cs="Times New Roman"/>
                <w:color w:val="000000"/>
                <w:sz w:val="18"/>
                <w:szCs w:val="18"/>
                <w:lang w:eastAsia="sk-SK"/>
              </w:rPr>
              <w:t>infor</w:t>
            </w:r>
            <w:proofErr w:type="spellEnd"/>
            <w:r w:rsidRPr="007D12A6">
              <w:rPr>
                <w:rFonts w:eastAsia="Times New Roman" w:cs="Times New Roman"/>
                <w:color w:val="000000"/>
                <w:sz w:val="18"/>
                <w:szCs w:val="18"/>
                <w:lang w:eastAsia="sk-SK"/>
              </w:rPr>
              <w:t>. SR</w:t>
            </w:r>
          </w:p>
        </w:tc>
        <w:tc>
          <w:tcPr>
            <w:tcW w:w="718" w:type="dxa"/>
            <w:tcBorders>
              <w:top w:val="nil"/>
              <w:left w:val="nil"/>
              <w:bottom w:val="nil"/>
              <w:right w:val="nil"/>
            </w:tcBorders>
            <w:shd w:val="clear" w:color="000000" w:fill="FFFFFF"/>
            <w:noWrap/>
            <w:vAlign w:val="bottom"/>
            <w:hideMark/>
          </w:tcPr>
          <w:p w14:paraId="2D8C3BDD"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0</w:t>
            </w:r>
          </w:p>
        </w:tc>
        <w:tc>
          <w:tcPr>
            <w:tcW w:w="841" w:type="dxa"/>
            <w:tcBorders>
              <w:top w:val="nil"/>
              <w:left w:val="nil"/>
              <w:bottom w:val="nil"/>
              <w:right w:val="nil"/>
            </w:tcBorders>
            <w:shd w:val="clear" w:color="000000" w:fill="FFFFFF"/>
            <w:noWrap/>
            <w:vAlign w:val="bottom"/>
            <w:hideMark/>
          </w:tcPr>
          <w:p w14:paraId="77E1573C"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52</w:t>
            </w:r>
          </w:p>
        </w:tc>
        <w:tc>
          <w:tcPr>
            <w:tcW w:w="851" w:type="dxa"/>
            <w:tcBorders>
              <w:top w:val="nil"/>
              <w:left w:val="nil"/>
              <w:bottom w:val="nil"/>
              <w:right w:val="nil"/>
            </w:tcBorders>
            <w:shd w:val="clear" w:color="000000" w:fill="FFFFFF"/>
            <w:noWrap/>
            <w:vAlign w:val="bottom"/>
            <w:hideMark/>
          </w:tcPr>
          <w:p w14:paraId="1ADCA3B7"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0</w:t>
            </w:r>
          </w:p>
        </w:tc>
        <w:tc>
          <w:tcPr>
            <w:tcW w:w="840" w:type="dxa"/>
            <w:tcBorders>
              <w:top w:val="nil"/>
              <w:left w:val="nil"/>
              <w:bottom w:val="nil"/>
              <w:right w:val="nil"/>
            </w:tcBorders>
            <w:shd w:val="clear" w:color="000000" w:fill="BFBFBF"/>
            <w:noWrap/>
            <w:vAlign w:val="bottom"/>
            <w:hideMark/>
          </w:tcPr>
          <w:p w14:paraId="1D817455"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14 254</w:t>
            </w:r>
          </w:p>
        </w:tc>
        <w:tc>
          <w:tcPr>
            <w:tcW w:w="719" w:type="dxa"/>
            <w:tcBorders>
              <w:top w:val="nil"/>
              <w:left w:val="nil"/>
              <w:bottom w:val="nil"/>
              <w:right w:val="nil"/>
            </w:tcBorders>
            <w:shd w:val="clear" w:color="000000" w:fill="BFBFBF"/>
            <w:noWrap/>
            <w:vAlign w:val="bottom"/>
            <w:hideMark/>
          </w:tcPr>
          <w:p w14:paraId="0A5893FC"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0</w:t>
            </w:r>
          </w:p>
        </w:tc>
        <w:tc>
          <w:tcPr>
            <w:tcW w:w="850" w:type="dxa"/>
            <w:tcBorders>
              <w:top w:val="nil"/>
              <w:left w:val="nil"/>
              <w:bottom w:val="nil"/>
              <w:right w:val="nil"/>
            </w:tcBorders>
            <w:shd w:val="clear" w:color="000000" w:fill="FFFFFF"/>
            <w:vAlign w:val="bottom"/>
            <w:hideMark/>
          </w:tcPr>
          <w:p w14:paraId="0331D962"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14 254</w:t>
            </w:r>
          </w:p>
        </w:tc>
        <w:tc>
          <w:tcPr>
            <w:tcW w:w="709" w:type="dxa"/>
            <w:tcBorders>
              <w:top w:val="nil"/>
              <w:left w:val="nil"/>
              <w:bottom w:val="nil"/>
              <w:right w:val="nil"/>
            </w:tcBorders>
            <w:shd w:val="clear" w:color="000000" w:fill="FFFFFF"/>
            <w:vAlign w:val="bottom"/>
            <w:hideMark/>
          </w:tcPr>
          <w:p w14:paraId="2A6D25DF"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x</w:t>
            </w:r>
          </w:p>
        </w:tc>
      </w:tr>
      <w:tr w:rsidR="00C006CB" w:rsidRPr="007D12A6" w14:paraId="09345E7C" w14:textId="77777777" w:rsidTr="007D12A6">
        <w:trPr>
          <w:trHeight w:val="330"/>
        </w:trPr>
        <w:tc>
          <w:tcPr>
            <w:tcW w:w="4112" w:type="dxa"/>
            <w:tcBorders>
              <w:top w:val="nil"/>
              <w:left w:val="nil"/>
              <w:bottom w:val="nil"/>
              <w:right w:val="nil"/>
            </w:tcBorders>
            <w:shd w:val="clear" w:color="000000" w:fill="FFFFFF"/>
            <w:noWrap/>
            <w:vAlign w:val="center"/>
            <w:hideMark/>
          </w:tcPr>
          <w:p w14:paraId="5611EC26" w14:textId="77777777" w:rsidR="00C006CB" w:rsidRPr="007D12A6" w:rsidRDefault="00C006CB" w:rsidP="00C006CB">
            <w:pPr>
              <w:spacing w:after="0" w:line="240" w:lineRule="auto"/>
              <w:jc w:val="left"/>
              <w:rPr>
                <w:rFonts w:eastAsia="Times New Roman" w:cs="Times New Roman"/>
                <w:color w:val="000000"/>
                <w:sz w:val="18"/>
                <w:szCs w:val="18"/>
                <w:lang w:eastAsia="sk-SK"/>
              </w:rPr>
            </w:pPr>
            <w:r w:rsidRPr="007D12A6">
              <w:rPr>
                <w:rFonts w:eastAsia="Times New Roman" w:cs="Times New Roman"/>
                <w:color w:val="000000"/>
                <w:sz w:val="18"/>
                <w:szCs w:val="18"/>
                <w:lang w:eastAsia="sk-SK"/>
              </w:rPr>
              <w:t>Všeobecná pokladničná správa</w:t>
            </w:r>
          </w:p>
        </w:tc>
        <w:tc>
          <w:tcPr>
            <w:tcW w:w="718" w:type="dxa"/>
            <w:tcBorders>
              <w:top w:val="nil"/>
              <w:left w:val="nil"/>
              <w:bottom w:val="nil"/>
              <w:right w:val="nil"/>
            </w:tcBorders>
            <w:shd w:val="clear" w:color="000000" w:fill="FFFFFF"/>
            <w:noWrap/>
            <w:vAlign w:val="bottom"/>
            <w:hideMark/>
          </w:tcPr>
          <w:p w14:paraId="089D4B05"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5 234</w:t>
            </w:r>
          </w:p>
        </w:tc>
        <w:tc>
          <w:tcPr>
            <w:tcW w:w="841" w:type="dxa"/>
            <w:tcBorders>
              <w:top w:val="nil"/>
              <w:left w:val="nil"/>
              <w:bottom w:val="nil"/>
              <w:right w:val="nil"/>
            </w:tcBorders>
            <w:shd w:val="clear" w:color="000000" w:fill="FFFFFF"/>
            <w:noWrap/>
            <w:vAlign w:val="bottom"/>
            <w:hideMark/>
          </w:tcPr>
          <w:p w14:paraId="1553B0CC"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2 652</w:t>
            </w:r>
          </w:p>
        </w:tc>
        <w:tc>
          <w:tcPr>
            <w:tcW w:w="851" w:type="dxa"/>
            <w:tcBorders>
              <w:top w:val="nil"/>
              <w:left w:val="nil"/>
              <w:bottom w:val="nil"/>
              <w:right w:val="nil"/>
            </w:tcBorders>
            <w:shd w:val="clear" w:color="000000" w:fill="FFFFFF"/>
            <w:noWrap/>
            <w:vAlign w:val="bottom"/>
            <w:hideMark/>
          </w:tcPr>
          <w:p w14:paraId="46B23B81"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0</w:t>
            </w:r>
          </w:p>
        </w:tc>
        <w:tc>
          <w:tcPr>
            <w:tcW w:w="840" w:type="dxa"/>
            <w:tcBorders>
              <w:top w:val="nil"/>
              <w:left w:val="nil"/>
              <w:bottom w:val="nil"/>
              <w:right w:val="nil"/>
            </w:tcBorders>
            <w:shd w:val="clear" w:color="000000" w:fill="BFBFBF"/>
            <w:noWrap/>
            <w:vAlign w:val="bottom"/>
            <w:hideMark/>
          </w:tcPr>
          <w:p w14:paraId="3EA1A2F3"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10 660</w:t>
            </w:r>
          </w:p>
        </w:tc>
        <w:tc>
          <w:tcPr>
            <w:tcW w:w="719" w:type="dxa"/>
            <w:tcBorders>
              <w:top w:val="nil"/>
              <w:left w:val="nil"/>
              <w:bottom w:val="nil"/>
              <w:right w:val="nil"/>
            </w:tcBorders>
            <w:shd w:val="clear" w:color="000000" w:fill="BFBFBF"/>
            <w:noWrap/>
            <w:vAlign w:val="bottom"/>
            <w:hideMark/>
          </w:tcPr>
          <w:p w14:paraId="59F50B02"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7 000</w:t>
            </w:r>
          </w:p>
        </w:tc>
        <w:tc>
          <w:tcPr>
            <w:tcW w:w="850" w:type="dxa"/>
            <w:tcBorders>
              <w:top w:val="nil"/>
              <w:left w:val="nil"/>
              <w:bottom w:val="nil"/>
              <w:right w:val="nil"/>
            </w:tcBorders>
            <w:shd w:val="clear" w:color="000000" w:fill="FFFFFF"/>
            <w:vAlign w:val="bottom"/>
            <w:hideMark/>
          </w:tcPr>
          <w:p w14:paraId="28B4378D"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10 660</w:t>
            </w:r>
          </w:p>
        </w:tc>
        <w:tc>
          <w:tcPr>
            <w:tcW w:w="709" w:type="dxa"/>
            <w:tcBorders>
              <w:top w:val="nil"/>
              <w:left w:val="nil"/>
              <w:bottom w:val="nil"/>
              <w:right w:val="nil"/>
            </w:tcBorders>
            <w:shd w:val="clear" w:color="000000" w:fill="FFFFFF"/>
            <w:vAlign w:val="bottom"/>
            <w:hideMark/>
          </w:tcPr>
          <w:p w14:paraId="24C3DE50"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x</w:t>
            </w:r>
          </w:p>
        </w:tc>
      </w:tr>
      <w:tr w:rsidR="00C006CB" w:rsidRPr="007D12A6" w14:paraId="7284F031" w14:textId="77777777" w:rsidTr="007D12A6">
        <w:trPr>
          <w:trHeight w:val="330"/>
        </w:trPr>
        <w:tc>
          <w:tcPr>
            <w:tcW w:w="4112" w:type="dxa"/>
            <w:tcBorders>
              <w:top w:val="nil"/>
              <w:left w:val="nil"/>
              <w:bottom w:val="nil"/>
              <w:right w:val="nil"/>
            </w:tcBorders>
            <w:shd w:val="clear" w:color="000000" w:fill="FFFFFF"/>
            <w:vAlign w:val="center"/>
            <w:hideMark/>
          </w:tcPr>
          <w:p w14:paraId="39197019" w14:textId="77777777" w:rsidR="00C006CB" w:rsidRPr="007D12A6" w:rsidRDefault="00C006CB" w:rsidP="00C006CB">
            <w:pPr>
              <w:spacing w:after="0" w:line="240" w:lineRule="auto"/>
              <w:jc w:val="left"/>
              <w:rPr>
                <w:rFonts w:eastAsia="Times New Roman" w:cs="Times New Roman"/>
                <w:color w:val="000000"/>
                <w:sz w:val="18"/>
                <w:szCs w:val="18"/>
                <w:lang w:eastAsia="sk-SK"/>
              </w:rPr>
            </w:pPr>
            <w:r w:rsidRPr="007D12A6">
              <w:rPr>
                <w:rFonts w:eastAsia="Times New Roman" w:cs="Times New Roman"/>
                <w:color w:val="000000"/>
                <w:sz w:val="18"/>
                <w:szCs w:val="18"/>
                <w:lang w:eastAsia="sk-SK"/>
              </w:rPr>
              <w:t>Ministerstvo životného prostredia SR</w:t>
            </w:r>
          </w:p>
        </w:tc>
        <w:tc>
          <w:tcPr>
            <w:tcW w:w="718" w:type="dxa"/>
            <w:tcBorders>
              <w:top w:val="nil"/>
              <w:left w:val="nil"/>
              <w:bottom w:val="nil"/>
              <w:right w:val="nil"/>
            </w:tcBorders>
            <w:shd w:val="clear" w:color="000000" w:fill="FFFFFF"/>
            <w:noWrap/>
            <w:vAlign w:val="bottom"/>
            <w:hideMark/>
          </w:tcPr>
          <w:p w14:paraId="1FEE39A3"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2 532</w:t>
            </w:r>
          </w:p>
        </w:tc>
        <w:tc>
          <w:tcPr>
            <w:tcW w:w="841" w:type="dxa"/>
            <w:tcBorders>
              <w:top w:val="nil"/>
              <w:left w:val="nil"/>
              <w:bottom w:val="nil"/>
              <w:right w:val="nil"/>
            </w:tcBorders>
            <w:shd w:val="clear" w:color="000000" w:fill="FFFFFF"/>
            <w:noWrap/>
            <w:vAlign w:val="bottom"/>
            <w:hideMark/>
          </w:tcPr>
          <w:p w14:paraId="1125F1CB"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2 593</w:t>
            </w:r>
          </w:p>
        </w:tc>
        <w:tc>
          <w:tcPr>
            <w:tcW w:w="851" w:type="dxa"/>
            <w:tcBorders>
              <w:top w:val="nil"/>
              <w:left w:val="nil"/>
              <w:bottom w:val="nil"/>
              <w:right w:val="nil"/>
            </w:tcBorders>
            <w:shd w:val="clear" w:color="000000" w:fill="FFFFFF"/>
            <w:noWrap/>
            <w:vAlign w:val="bottom"/>
            <w:hideMark/>
          </w:tcPr>
          <w:p w14:paraId="77B9A879"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0</w:t>
            </w:r>
          </w:p>
        </w:tc>
        <w:tc>
          <w:tcPr>
            <w:tcW w:w="840" w:type="dxa"/>
            <w:tcBorders>
              <w:top w:val="nil"/>
              <w:left w:val="nil"/>
              <w:bottom w:val="nil"/>
              <w:right w:val="nil"/>
            </w:tcBorders>
            <w:shd w:val="clear" w:color="000000" w:fill="BFBFBF"/>
            <w:noWrap/>
            <w:vAlign w:val="bottom"/>
            <w:hideMark/>
          </w:tcPr>
          <w:p w14:paraId="28811ED9"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2 497</w:t>
            </w:r>
          </w:p>
        </w:tc>
        <w:tc>
          <w:tcPr>
            <w:tcW w:w="719" w:type="dxa"/>
            <w:tcBorders>
              <w:top w:val="nil"/>
              <w:left w:val="nil"/>
              <w:bottom w:val="nil"/>
              <w:right w:val="nil"/>
            </w:tcBorders>
            <w:shd w:val="clear" w:color="000000" w:fill="BFBFBF"/>
            <w:noWrap/>
            <w:vAlign w:val="bottom"/>
            <w:hideMark/>
          </w:tcPr>
          <w:p w14:paraId="7C892C17"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0</w:t>
            </w:r>
          </w:p>
        </w:tc>
        <w:tc>
          <w:tcPr>
            <w:tcW w:w="850" w:type="dxa"/>
            <w:tcBorders>
              <w:top w:val="nil"/>
              <w:left w:val="nil"/>
              <w:bottom w:val="nil"/>
              <w:right w:val="nil"/>
            </w:tcBorders>
            <w:shd w:val="clear" w:color="000000" w:fill="FFFFFF"/>
            <w:vAlign w:val="bottom"/>
            <w:hideMark/>
          </w:tcPr>
          <w:p w14:paraId="356D7693"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2 497</w:t>
            </w:r>
          </w:p>
        </w:tc>
        <w:tc>
          <w:tcPr>
            <w:tcW w:w="709" w:type="dxa"/>
            <w:tcBorders>
              <w:top w:val="nil"/>
              <w:left w:val="nil"/>
              <w:bottom w:val="nil"/>
              <w:right w:val="nil"/>
            </w:tcBorders>
            <w:shd w:val="clear" w:color="000000" w:fill="FFFFFF"/>
            <w:vAlign w:val="bottom"/>
            <w:hideMark/>
          </w:tcPr>
          <w:p w14:paraId="436AC7EF"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x</w:t>
            </w:r>
          </w:p>
        </w:tc>
      </w:tr>
      <w:tr w:rsidR="00C006CB" w:rsidRPr="007D12A6" w14:paraId="1BBC0AB6" w14:textId="77777777" w:rsidTr="007D12A6">
        <w:trPr>
          <w:trHeight w:val="330"/>
        </w:trPr>
        <w:tc>
          <w:tcPr>
            <w:tcW w:w="4112" w:type="dxa"/>
            <w:tcBorders>
              <w:top w:val="nil"/>
              <w:left w:val="nil"/>
              <w:bottom w:val="nil"/>
              <w:right w:val="nil"/>
            </w:tcBorders>
            <w:shd w:val="clear" w:color="000000" w:fill="FFFFFF"/>
            <w:vAlign w:val="center"/>
            <w:hideMark/>
          </w:tcPr>
          <w:p w14:paraId="70FF75DE" w14:textId="3F0FE35E" w:rsidR="00C006CB" w:rsidRPr="007D12A6" w:rsidRDefault="00C006CB" w:rsidP="00E00F3E">
            <w:pPr>
              <w:spacing w:after="0" w:line="240" w:lineRule="auto"/>
              <w:jc w:val="left"/>
              <w:rPr>
                <w:rFonts w:eastAsia="Times New Roman" w:cs="Times New Roman"/>
                <w:color w:val="000000"/>
                <w:sz w:val="18"/>
                <w:szCs w:val="18"/>
                <w:lang w:eastAsia="sk-SK"/>
              </w:rPr>
            </w:pPr>
            <w:r w:rsidRPr="007D12A6">
              <w:rPr>
                <w:rFonts w:eastAsia="Times New Roman" w:cs="Times New Roman"/>
                <w:color w:val="000000"/>
                <w:sz w:val="18"/>
                <w:szCs w:val="18"/>
                <w:lang w:eastAsia="sk-SK"/>
              </w:rPr>
              <w:t>Ministerstvo dopravy a výstavby SR</w:t>
            </w:r>
          </w:p>
        </w:tc>
        <w:tc>
          <w:tcPr>
            <w:tcW w:w="718" w:type="dxa"/>
            <w:tcBorders>
              <w:top w:val="nil"/>
              <w:left w:val="nil"/>
              <w:bottom w:val="nil"/>
              <w:right w:val="nil"/>
            </w:tcBorders>
            <w:shd w:val="clear" w:color="000000" w:fill="FFFFFF"/>
            <w:noWrap/>
            <w:vAlign w:val="bottom"/>
            <w:hideMark/>
          </w:tcPr>
          <w:p w14:paraId="1359BF69"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7 200</w:t>
            </w:r>
          </w:p>
        </w:tc>
        <w:tc>
          <w:tcPr>
            <w:tcW w:w="841" w:type="dxa"/>
            <w:tcBorders>
              <w:top w:val="nil"/>
              <w:left w:val="nil"/>
              <w:bottom w:val="nil"/>
              <w:right w:val="nil"/>
            </w:tcBorders>
            <w:shd w:val="clear" w:color="000000" w:fill="FFFFFF"/>
            <w:noWrap/>
            <w:vAlign w:val="bottom"/>
            <w:hideMark/>
          </w:tcPr>
          <w:p w14:paraId="7510D910"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0</w:t>
            </w:r>
          </w:p>
        </w:tc>
        <w:tc>
          <w:tcPr>
            <w:tcW w:w="851" w:type="dxa"/>
            <w:tcBorders>
              <w:top w:val="nil"/>
              <w:left w:val="nil"/>
              <w:bottom w:val="nil"/>
              <w:right w:val="nil"/>
            </w:tcBorders>
            <w:shd w:val="clear" w:color="000000" w:fill="FFFFFF"/>
            <w:noWrap/>
            <w:vAlign w:val="bottom"/>
            <w:hideMark/>
          </w:tcPr>
          <w:p w14:paraId="22642450"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0</w:t>
            </w:r>
          </w:p>
        </w:tc>
        <w:tc>
          <w:tcPr>
            <w:tcW w:w="840" w:type="dxa"/>
            <w:tcBorders>
              <w:top w:val="nil"/>
              <w:left w:val="nil"/>
              <w:bottom w:val="nil"/>
              <w:right w:val="nil"/>
            </w:tcBorders>
            <w:shd w:val="clear" w:color="000000" w:fill="BFBFBF"/>
            <w:noWrap/>
            <w:vAlign w:val="bottom"/>
            <w:hideMark/>
          </w:tcPr>
          <w:p w14:paraId="76D1E14F"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231</w:t>
            </w:r>
          </w:p>
        </w:tc>
        <w:tc>
          <w:tcPr>
            <w:tcW w:w="719" w:type="dxa"/>
            <w:tcBorders>
              <w:top w:val="nil"/>
              <w:left w:val="nil"/>
              <w:bottom w:val="nil"/>
              <w:right w:val="nil"/>
            </w:tcBorders>
            <w:shd w:val="clear" w:color="000000" w:fill="BFBFBF"/>
            <w:noWrap/>
            <w:vAlign w:val="bottom"/>
            <w:hideMark/>
          </w:tcPr>
          <w:p w14:paraId="6CBD8224"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231</w:t>
            </w:r>
          </w:p>
        </w:tc>
        <w:tc>
          <w:tcPr>
            <w:tcW w:w="850" w:type="dxa"/>
            <w:tcBorders>
              <w:top w:val="nil"/>
              <w:left w:val="nil"/>
              <w:bottom w:val="nil"/>
              <w:right w:val="nil"/>
            </w:tcBorders>
            <w:shd w:val="clear" w:color="000000" w:fill="FFFFFF"/>
            <w:vAlign w:val="bottom"/>
            <w:hideMark/>
          </w:tcPr>
          <w:p w14:paraId="3D369564"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231</w:t>
            </w:r>
          </w:p>
        </w:tc>
        <w:tc>
          <w:tcPr>
            <w:tcW w:w="709" w:type="dxa"/>
            <w:tcBorders>
              <w:top w:val="nil"/>
              <w:left w:val="nil"/>
              <w:bottom w:val="nil"/>
              <w:right w:val="nil"/>
            </w:tcBorders>
            <w:shd w:val="clear" w:color="000000" w:fill="FFFFFF"/>
            <w:vAlign w:val="bottom"/>
            <w:hideMark/>
          </w:tcPr>
          <w:p w14:paraId="720DEFF9"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x</w:t>
            </w:r>
          </w:p>
        </w:tc>
      </w:tr>
      <w:tr w:rsidR="00C006CB" w:rsidRPr="007D12A6" w14:paraId="5F319577" w14:textId="77777777" w:rsidTr="007D12A6">
        <w:trPr>
          <w:trHeight w:val="330"/>
        </w:trPr>
        <w:tc>
          <w:tcPr>
            <w:tcW w:w="4112" w:type="dxa"/>
            <w:tcBorders>
              <w:top w:val="nil"/>
              <w:left w:val="nil"/>
              <w:bottom w:val="nil"/>
              <w:right w:val="nil"/>
            </w:tcBorders>
            <w:shd w:val="clear" w:color="000000" w:fill="FFFFFF"/>
            <w:vAlign w:val="center"/>
            <w:hideMark/>
          </w:tcPr>
          <w:p w14:paraId="17F3A749" w14:textId="77777777" w:rsidR="00C006CB" w:rsidRPr="007D12A6" w:rsidRDefault="00C006CB" w:rsidP="00C006CB">
            <w:pPr>
              <w:spacing w:after="0" w:line="240" w:lineRule="auto"/>
              <w:jc w:val="left"/>
              <w:rPr>
                <w:rFonts w:eastAsia="Times New Roman" w:cs="Times New Roman"/>
                <w:color w:val="000000"/>
                <w:sz w:val="18"/>
                <w:szCs w:val="18"/>
                <w:lang w:eastAsia="sk-SK"/>
              </w:rPr>
            </w:pPr>
            <w:r w:rsidRPr="007D12A6">
              <w:rPr>
                <w:rFonts w:eastAsia="Times New Roman" w:cs="Times New Roman"/>
                <w:color w:val="000000"/>
                <w:sz w:val="18"/>
                <w:szCs w:val="18"/>
                <w:lang w:eastAsia="sk-SK"/>
              </w:rPr>
              <w:t xml:space="preserve">Ministerstvo práce, </w:t>
            </w:r>
            <w:proofErr w:type="spellStart"/>
            <w:r w:rsidRPr="007D12A6">
              <w:rPr>
                <w:rFonts w:eastAsia="Times New Roman" w:cs="Times New Roman"/>
                <w:color w:val="000000"/>
                <w:sz w:val="18"/>
                <w:szCs w:val="18"/>
                <w:lang w:eastAsia="sk-SK"/>
              </w:rPr>
              <w:t>soc.vecí</w:t>
            </w:r>
            <w:proofErr w:type="spellEnd"/>
            <w:r w:rsidRPr="007D12A6">
              <w:rPr>
                <w:rFonts w:eastAsia="Times New Roman" w:cs="Times New Roman"/>
                <w:color w:val="000000"/>
                <w:sz w:val="18"/>
                <w:szCs w:val="18"/>
                <w:lang w:eastAsia="sk-SK"/>
              </w:rPr>
              <w:t xml:space="preserve"> a rodiny SR</w:t>
            </w:r>
          </w:p>
        </w:tc>
        <w:tc>
          <w:tcPr>
            <w:tcW w:w="718" w:type="dxa"/>
            <w:tcBorders>
              <w:top w:val="nil"/>
              <w:left w:val="nil"/>
              <w:bottom w:val="nil"/>
              <w:right w:val="nil"/>
            </w:tcBorders>
            <w:shd w:val="clear" w:color="000000" w:fill="FFFFFF"/>
            <w:noWrap/>
            <w:vAlign w:val="bottom"/>
            <w:hideMark/>
          </w:tcPr>
          <w:p w14:paraId="796553B6"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269</w:t>
            </w:r>
          </w:p>
        </w:tc>
        <w:tc>
          <w:tcPr>
            <w:tcW w:w="841" w:type="dxa"/>
            <w:tcBorders>
              <w:top w:val="nil"/>
              <w:left w:val="nil"/>
              <w:bottom w:val="nil"/>
              <w:right w:val="nil"/>
            </w:tcBorders>
            <w:shd w:val="clear" w:color="000000" w:fill="FFFFFF"/>
            <w:noWrap/>
            <w:vAlign w:val="bottom"/>
            <w:hideMark/>
          </w:tcPr>
          <w:p w14:paraId="3F497629"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359</w:t>
            </w:r>
          </w:p>
        </w:tc>
        <w:tc>
          <w:tcPr>
            <w:tcW w:w="851" w:type="dxa"/>
            <w:tcBorders>
              <w:top w:val="nil"/>
              <w:left w:val="nil"/>
              <w:bottom w:val="nil"/>
              <w:right w:val="nil"/>
            </w:tcBorders>
            <w:shd w:val="clear" w:color="000000" w:fill="FFFFFF"/>
            <w:noWrap/>
            <w:vAlign w:val="bottom"/>
            <w:hideMark/>
          </w:tcPr>
          <w:p w14:paraId="0046E548"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0</w:t>
            </w:r>
          </w:p>
        </w:tc>
        <w:tc>
          <w:tcPr>
            <w:tcW w:w="840" w:type="dxa"/>
            <w:tcBorders>
              <w:top w:val="nil"/>
              <w:left w:val="nil"/>
              <w:bottom w:val="nil"/>
              <w:right w:val="nil"/>
            </w:tcBorders>
            <w:shd w:val="clear" w:color="000000" w:fill="BFBFBF"/>
            <w:noWrap/>
            <w:vAlign w:val="bottom"/>
            <w:hideMark/>
          </w:tcPr>
          <w:p w14:paraId="3AD69B3A"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218</w:t>
            </w:r>
          </w:p>
        </w:tc>
        <w:tc>
          <w:tcPr>
            <w:tcW w:w="719" w:type="dxa"/>
            <w:tcBorders>
              <w:top w:val="nil"/>
              <w:left w:val="nil"/>
              <w:bottom w:val="nil"/>
              <w:right w:val="nil"/>
            </w:tcBorders>
            <w:shd w:val="clear" w:color="000000" w:fill="BFBFBF"/>
            <w:noWrap/>
            <w:vAlign w:val="bottom"/>
            <w:hideMark/>
          </w:tcPr>
          <w:p w14:paraId="560DD005"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184</w:t>
            </w:r>
          </w:p>
        </w:tc>
        <w:tc>
          <w:tcPr>
            <w:tcW w:w="850" w:type="dxa"/>
            <w:tcBorders>
              <w:top w:val="nil"/>
              <w:left w:val="nil"/>
              <w:bottom w:val="nil"/>
              <w:right w:val="nil"/>
            </w:tcBorders>
            <w:shd w:val="clear" w:color="000000" w:fill="FFFFFF"/>
            <w:vAlign w:val="bottom"/>
            <w:hideMark/>
          </w:tcPr>
          <w:p w14:paraId="6AF230C5"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218</w:t>
            </w:r>
          </w:p>
        </w:tc>
        <w:tc>
          <w:tcPr>
            <w:tcW w:w="709" w:type="dxa"/>
            <w:tcBorders>
              <w:top w:val="nil"/>
              <w:left w:val="nil"/>
              <w:bottom w:val="nil"/>
              <w:right w:val="nil"/>
            </w:tcBorders>
            <w:shd w:val="clear" w:color="000000" w:fill="FFFFFF"/>
            <w:vAlign w:val="bottom"/>
            <w:hideMark/>
          </w:tcPr>
          <w:p w14:paraId="6845F76A"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x</w:t>
            </w:r>
          </w:p>
        </w:tc>
      </w:tr>
      <w:tr w:rsidR="00C006CB" w:rsidRPr="007D12A6" w14:paraId="4BDC8A3F" w14:textId="77777777" w:rsidTr="007D12A6">
        <w:trPr>
          <w:trHeight w:val="330"/>
        </w:trPr>
        <w:tc>
          <w:tcPr>
            <w:tcW w:w="4112" w:type="dxa"/>
            <w:tcBorders>
              <w:top w:val="nil"/>
              <w:left w:val="nil"/>
              <w:bottom w:val="nil"/>
              <w:right w:val="nil"/>
            </w:tcBorders>
            <w:shd w:val="clear" w:color="000000" w:fill="FFFFFF"/>
            <w:vAlign w:val="center"/>
            <w:hideMark/>
          </w:tcPr>
          <w:p w14:paraId="0C3FEF05" w14:textId="22C81D7A" w:rsidR="00C006CB" w:rsidRPr="007D12A6" w:rsidRDefault="00C006CB" w:rsidP="007D12A6">
            <w:pPr>
              <w:spacing w:after="0" w:line="240" w:lineRule="auto"/>
              <w:jc w:val="left"/>
              <w:rPr>
                <w:rFonts w:eastAsia="Times New Roman" w:cs="Times New Roman"/>
                <w:color w:val="000000"/>
                <w:sz w:val="18"/>
                <w:szCs w:val="18"/>
                <w:lang w:eastAsia="sk-SK"/>
              </w:rPr>
            </w:pPr>
            <w:r w:rsidRPr="007D12A6">
              <w:rPr>
                <w:rFonts w:eastAsia="Times New Roman" w:cs="Times New Roman"/>
                <w:color w:val="000000"/>
                <w:sz w:val="18"/>
                <w:szCs w:val="18"/>
                <w:lang w:eastAsia="sk-SK"/>
              </w:rPr>
              <w:t>Ministerstvo školstva, vedy, výsk</w:t>
            </w:r>
            <w:r w:rsidR="007D12A6">
              <w:rPr>
                <w:rFonts w:eastAsia="Times New Roman" w:cs="Times New Roman"/>
                <w:color w:val="000000"/>
                <w:sz w:val="18"/>
                <w:szCs w:val="18"/>
                <w:lang w:eastAsia="sk-SK"/>
              </w:rPr>
              <w:t>.</w:t>
            </w:r>
            <w:r w:rsidRPr="007D12A6">
              <w:rPr>
                <w:rFonts w:eastAsia="Times New Roman" w:cs="Times New Roman"/>
                <w:color w:val="000000"/>
                <w:sz w:val="18"/>
                <w:szCs w:val="18"/>
                <w:lang w:eastAsia="sk-SK"/>
              </w:rPr>
              <w:t xml:space="preserve"> a športu SR</w:t>
            </w:r>
          </w:p>
        </w:tc>
        <w:tc>
          <w:tcPr>
            <w:tcW w:w="718" w:type="dxa"/>
            <w:tcBorders>
              <w:top w:val="nil"/>
              <w:left w:val="nil"/>
              <w:bottom w:val="nil"/>
              <w:right w:val="nil"/>
            </w:tcBorders>
            <w:shd w:val="clear" w:color="000000" w:fill="FFFFFF"/>
            <w:noWrap/>
            <w:vAlign w:val="bottom"/>
            <w:hideMark/>
          </w:tcPr>
          <w:p w14:paraId="0BC13ECE"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1 074</w:t>
            </w:r>
          </w:p>
        </w:tc>
        <w:tc>
          <w:tcPr>
            <w:tcW w:w="841" w:type="dxa"/>
            <w:tcBorders>
              <w:top w:val="nil"/>
              <w:left w:val="nil"/>
              <w:bottom w:val="nil"/>
              <w:right w:val="nil"/>
            </w:tcBorders>
            <w:shd w:val="clear" w:color="000000" w:fill="FFFFFF"/>
            <w:noWrap/>
            <w:vAlign w:val="bottom"/>
            <w:hideMark/>
          </w:tcPr>
          <w:p w14:paraId="0F9309DB"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46</w:t>
            </w:r>
          </w:p>
        </w:tc>
        <w:tc>
          <w:tcPr>
            <w:tcW w:w="851" w:type="dxa"/>
            <w:tcBorders>
              <w:top w:val="nil"/>
              <w:left w:val="nil"/>
              <w:bottom w:val="nil"/>
              <w:right w:val="nil"/>
            </w:tcBorders>
            <w:shd w:val="clear" w:color="000000" w:fill="FFFFFF"/>
            <w:noWrap/>
            <w:vAlign w:val="bottom"/>
            <w:hideMark/>
          </w:tcPr>
          <w:p w14:paraId="16EDBFB2"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1 000</w:t>
            </w:r>
          </w:p>
        </w:tc>
        <w:tc>
          <w:tcPr>
            <w:tcW w:w="840" w:type="dxa"/>
            <w:tcBorders>
              <w:top w:val="nil"/>
              <w:left w:val="nil"/>
              <w:bottom w:val="nil"/>
              <w:right w:val="nil"/>
            </w:tcBorders>
            <w:shd w:val="clear" w:color="000000" w:fill="BFBFBF"/>
            <w:noWrap/>
            <w:vAlign w:val="bottom"/>
            <w:hideMark/>
          </w:tcPr>
          <w:p w14:paraId="39DFDECA"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212</w:t>
            </w:r>
          </w:p>
        </w:tc>
        <w:tc>
          <w:tcPr>
            <w:tcW w:w="719" w:type="dxa"/>
            <w:tcBorders>
              <w:top w:val="nil"/>
              <w:left w:val="nil"/>
              <w:bottom w:val="nil"/>
              <w:right w:val="nil"/>
            </w:tcBorders>
            <w:shd w:val="clear" w:color="000000" w:fill="BFBFBF"/>
            <w:noWrap/>
            <w:vAlign w:val="bottom"/>
            <w:hideMark/>
          </w:tcPr>
          <w:p w14:paraId="5C72BE07"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130</w:t>
            </w:r>
          </w:p>
        </w:tc>
        <w:tc>
          <w:tcPr>
            <w:tcW w:w="850" w:type="dxa"/>
            <w:tcBorders>
              <w:top w:val="nil"/>
              <w:left w:val="nil"/>
              <w:bottom w:val="nil"/>
              <w:right w:val="nil"/>
            </w:tcBorders>
            <w:shd w:val="clear" w:color="000000" w:fill="FFFFFF"/>
            <w:vAlign w:val="bottom"/>
            <w:hideMark/>
          </w:tcPr>
          <w:p w14:paraId="38F0F9CB"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-788</w:t>
            </w:r>
          </w:p>
        </w:tc>
        <w:tc>
          <w:tcPr>
            <w:tcW w:w="709" w:type="dxa"/>
            <w:tcBorders>
              <w:top w:val="nil"/>
              <w:left w:val="nil"/>
              <w:bottom w:val="nil"/>
              <w:right w:val="nil"/>
            </w:tcBorders>
            <w:shd w:val="clear" w:color="000000" w:fill="FFFFFF"/>
            <w:vAlign w:val="bottom"/>
            <w:hideMark/>
          </w:tcPr>
          <w:p w14:paraId="0FABC621"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-78,8</w:t>
            </w:r>
          </w:p>
        </w:tc>
      </w:tr>
      <w:tr w:rsidR="00C006CB" w:rsidRPr="007D12A6" w14:paraId="676F0F82" w14:textId="77777777" w:rsidTr="007D12A6">
        <w:trPr>
          <w:trHeight w:val="330"/>
        </w:trPr>
        <w:tc>
          <w:tcPr>
            <w:tcW w:w="4112" w:type="dxa"/>
            <w:tcBorders>
              <w:top w:val="nil"/>
              <w:left w:val="nil"/>
              <w:bottom w:val="nil"/>
              <w:right w:val="nil"/>
            </w:tcBorders>
            <w:shd w:val="clear" w:color="000000" w:fill="FFFFFF"/>
            <w:noWrap/>
            <w:vAlign w:val="center"/>
            <w:hideMark/>
          </w:tcPr>
          <w:p w14:paraId="66B07DCF" w14:textId="77777777" w:rsidR="00C006CB" w:rsidRPr="007D12A6" w:rsidRDefault="00C006CB" w:rsidP="00C006CB">
            <w:pPr>
              <w:spacing w:after="0" w:line="240" w:lineRule="auto"/>
              <w:jc w:val="left"/>
              <w:rPr>
                <w:rFonts w:eastAsia="Times New Roman" w:cs="Times New Roman"/>
                <w:color w:val="000000"/>
                <w:sz w:val="18"/>
                <w:szCs w:val="18"/>
                <w:lang w:eastAsia="sk-SK"/>
              </w:rPr>
            </w:pPr>
            <w:r w:rsidRPr="007D12A6">
              <w:rPr>
                <w:rFonts w:eastAsia="Times New Roman" w:cs="Times New Roman"/>
                <w:color w:val="000000"/>
                <w:sz w:val="18"/>
                <w:szCs w:val="18"/>
                <w:lang w:eastAsia="sk-SK"/>
              </w:rPr>
              <w:t>Úrad vlády SR</w:t>
            </w:r>
          </w:p>
        </w:tc>
        <w:tc>
          <w:tcPr>
            <w:tcW w:w="718" w:type="dxa"/>
            <w:tcBorders>
              <w:top w:val="nil"/>
              <w:left w:val="nil"/>
              <w:bottom w:val="nil"/>
              <w:right w:val="nil"/>
            </w:tcBorders>
            <w:shd w:val="clear" w:color="000000" w:fill="FFFFFF"/>
            <w:noWrap/>
            <w:vAlign w:val="bottom"/>
            <w:hideMark/>
          </w:tcPr>
          <w:p w14:paraId="1BD74FC2"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177</w:t>
            </w:r>
          </w:p>
        </w:tc>
        <w:tc>
          <w:tcPr>
            <w:tcW w:w="841" w:type="dxa"/>
            <w:tcBorders>
              <w:top w:val="nil"/>
              <w:left w:val="nil"/>
              <w:bottom w:val="nil"/>
              <w:right w:val="nil"/>
            </w:tcBorders>
            <w:shd w:val="clear" w:color="000000" w:fill="FFFFFF"/>
            <w:noWrap/>
            <w:vAlign w:val="bottom"/>
            <w:hideMark/>
          </w:tcPr>
          <w:p w14:paraId="2E1B8BFC"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338</w:t>
            </w:r>
          </w:p>
        </w:tc>
        <w:tc>
          <w:tcPr>
            <w:tcW w:w="851" w:type="dxa"/>
            <w:tcBorders>
              <w:top w:val="nil"/>
              <w:left w:val="nil"/>
              <w:bottom w:val="nil"/>
              <w:right w:val="nil"/>
            </w:tcBorders>
            <w:shd w:val="clear" w:color="000000" w:fill="FFFFFF"/>
            <w:noWrap/>
            <w:vAlign w:val="bottom"/>
            <w:hideMark/>
          </w:tcPr>
          <w:p w14:paraId="71D61976"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0</w:t>
            </w:r>
          </w:p>
        </w:tc>
        <w:tc>
          <w:tcPr>
            <w:tcW w:w="840" w:type="dxa"/>
            <w:tcBorders>
              <w:top w:val="nil"/>
              <w:left w:val="nil"/>
              <w:bottom w:val="nil"/>
              <w:right w:val="nil"/>
            </w:tcBorders>
            <w:shd w:val="clear" w:color="000000" w:fill="BFBFBF"/>
            <w:noWrap/>
            <w:vAlign w:val="bottom"/>
            <w:hideMark/>
          </w:tcPr>
          <w:p w14:paraId="3D9BB8AE"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37</w:t>
            </w:r>
          </w:p>
        </w:tc>
        <w:tc>
          <w:tcPr>
            <w:tcW w:w="719" w:type="dxa"/>
            <w:tcBorders>
              <w:top w:val="nil"/>
              <w:left w:val="nil"/>
              <w:bottom w:val="nil"/>
              <w:right w:val="nil"/>
            </w:tcBorders>
            <w:shd w:val="clear" w:color="000000" w:fill="BFBFBF"/>
            <w:noWrap/>
            <w:vAlign w:val="bottom"/>
            <w:hideMark/>
          </w:tcPr>
          <w:p w14:paraId="1A08CBF2"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0</w:t>
            </w:r>
          </w:p>
        </w:tc>
        <w:tc>
          <w:tcPr>
            <w:tcW w:w="850" w:type="dxa"/>
            <w:tcBorders>
              <w:top w:val="nil"/>
              <w:left w:val="nil"/>
              <w:bottom w:val="nil"/>
              <w:right w:val="nil"/>
            </w:tcBorders>
            <w:shd w:val="clear" w:color="000000" w:fill="FFFFFF"/>
            <w:vAlign w:val="bottom"/>
            <w:hideMark/>
          </w:tcPr>
          <w:p w14:paraId="5E84C97F"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37</w:t>
            </w:r>
          </w:p>
        </w:tc>
        <w:tc>
          <w:tcPr>
            <w:tcW w:w="709" w:type="dxa"/>
            <w:tcBorders>
              <w:top w:val="nil"/>
              <w:left w:val="nil"/>
              <w:bottom w:val="nil"/>
              <w:right w:val="nil"/>
            </w:tcBorders>
            <w:shd w:val="clear" w:color="000000" w:fill="FFFFFF"/>
            <w:vAlign w:val="bottom"/>
            <w:hideMark/>
          </w:tcPr>
          <w:p w14:paraId="2732EB06"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x</w:t>
            </w:r>
          </w:p>
        </w:tc>
      </w:tr>
      <w:tr w:rsidR="00C006CB" w:rsidRPr="007D12A6" w14:paraId="61081BB5" w14:textId="77777777" w:rsidTr="007D12A6">
        <w:trPr>
          <w:trHeight w:val="330"/>
        </w:trPr>
        <w:tc>
          <w:tcPr>
            <w:tcW w:w="4112" w:type="dxa"/>
            <w:tcBorders>
              <w:top w:val="nil"/>
              <w:left w:val="nil"/>
              <w:bottom w:val="nil"/>
              <w:right w:val="nil"/>
            </w:tcBorders>
            <w:shd w:val="clear" w:color="000000" w:fill="FFFFFF"/>
            <w:vAlign w:val="center"/>
            <w:hideMark/>
          </w:tcPr>
          <w:p w14:paraId="2AB2CF43" w14:textId="77777777" w:rsidR="00C006CB" w:rsidRPr="007D12A6" w:rsidRDefault="00C006CB" w:rsidP="00C006CB">
            <w:pPr>
              <w:spacing w:after="0" w:line="240" w:lineRule="auto"/>
              <w:jc w:val="left"/>
              <w:rPr>
                <w:rFonts w:eastAsia="Times New Roman" w:cs="Times New Roman"/>
                <w:color w:val="000000"/>
                <w:sz w:val="18"/>
                <w:szCs w:val="18"/>
                <w:lang w:eastAsia="sk-SK"/>
              </w:rPr>
            </w:pPr>
            <w:r w:rsidRPr="007D12A6">
              <w:rPr>
                <w:rFonts w:eastAsia="Times New Roman" w:cs="Times New Roman"/>
                <w:color w:val="000000"/>
                <w:sz w:val="18"/>
                <w:szCs w:val="18"/>
                <w:lang w:eastAsia="sk-SK"/>
              </w:rPr>
              <w:t>Ministerstvo kultúry SR</w:t>
            </w:r>
          </w:p>
        </w:tc>
        <w:tc>
          <w:tcPr>
            <w:tcW w:w="718" w:type="dxa"/>
            <w:tcBorders>
              <w:top w:val="nil"/>
              <w:left w:val="nil"/>
              <w:bottom w:val="nil"/>
              <w:right w:val="nil"/>
            </w:tcBorders>
            <w:shd w:val="clear" w:color="000000" w:fill="FFFFFF"/>
            <w:noWrap/>
            <w:vAlign w:val="bottom"/>
            <w:hideMark/>
          </w:tcPr>
          <w:p w14:paraId="28C5F96F"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694</w:t>
            </w:r>
          </w:p>
        </w:tc>
        <w:tc>
          <w:tcPr>
            <w:tcW w:w="841" w:type="dxa"/>
            <w:tcBorders>
              <w:top w:val="nil"/>
              <w:left w:val="nil"/>
              <w:bottom w:val="nil"/>
              <w:right w:val="nil"/>
            </w:tcBorders>
            <w:shd w:val="clear" w:color="000000" w:fill="FFFFFF"/>
            <w:noWrap/>
            <w:vAlign w:val="bottom"/>
            <w:hideMark/>
          </w:tcPr>
          <w:p w14:paraId="4DFEE4BA"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43</w:t>
            </w:r>
          </w:p>
        </w:tc>
        <w:tc>
          <w:tcPr>
            <w:tcW w:w="851" w:type="dxa"/>
            <w:tcBorders>
              <w:top w:val="nil"/>
              <w:left w:val="nil"/>
              <w:bottom w:val="nil"/>
              <w:right w:val="nil"/>
            </w:tcBorders>
            <w:shd w:val="clear" w:color="000000" w:fill="FFFFFF"/>
            <w:noWrap/>
            <w:vAlign w:val="bottom"/>
            <w:hideMark/>
          </w:tcPr>
          <w:p w14:paraId="46997F66"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0</w:t>
            </w:r>
          </w:p>
        </w:tc>
        <w:tc>
          <w:tcPr>
            <w:tcW w:w="840" w:type="dxa"/>
            <w:tcBorders>
              <w:top w:val="nil"/>
              <w:left w:val="nil"/>
              <w:bottom w:val="nil"/>
              <w:right w:val="nil"/>
            </w:tcBorders>
            <w:shd w:val="clear" w:color="000000" w:fill="BFBFBF"/>
            <w:noWrap/>
            <w:vAlign w:val="bottom"/>
            <w:hideMark/>
          </w:tcPr>
          <w:p w14:paraId="09B93F01"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2</w:t>
            </w:r>
          </w:p>
        </w:tc>
        <w:tc>
          <w:tcPr>
            <w:tcW w:w="719" w:type="dxa"/>
            <w:tcBorders>
              <w:top w:val="nil"/>
              <w:left w:val="nil"/>
              <w:bottom w:val="nil"/>
              <w:right w:val="nil"/>
            </w:tcBorders>
            <w:shd w:val="clear" w:color="000000" w:fill="BFBFBF"/>
            <w:noWrap/>
            <w:vAlign w:val="bottom"/>
            <w:hideMark/>
          </w:tcPr>
          <w:p w14:paraId="22B2BFC3"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2</w:t>
            </w:r>
          </w:p>
        </w:tc>
        <w:tc>
          <w:tcPr>
            <w:tcW w:w="850" w:type="dxa"/>
            <w:tcBorders>
              <w:top w:val="nil"/>
              <w:left w:val="nil"/>
              <w:bottom w:val="nil"/>
              <w:right w:val="nil"/>
            </w:tcBorders>
            <w:shd w:val="clear" w:color="000000" w:fill="FFFFFF"/>
            <w:vAlign w:val="bottom"/>
            <w:hideMark/>
          </w:tcPr>
          <w:p w14:paraId="3E7370BC"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2</w:t>
            </w:r>
          </w:p>
        </w:tc>
        <w:tc>
          <w:tcPr>
            <w:tcW w:w="709" w:type="dxa"/>
            <w:tcBorders>
              <w:top w:val="nil"/>
              <w:left w:val="nil"/>
              <w:bottom w:val="nil"/>
              <w:right w:val="nil"/>
            </w:tcBorders>
            <w:shd w:val="clear" w:color="000000" w:fill="FFFFFF"/>
            <w:vAlign w:val="bottom"/>
            <w:hideMark/>
          </w:tcPr>
          <w:p w14:paraId="6DB8AE6A" w14:textId="77777777" w:rsidR="00C006CB" w:rsidRPr="007D12A6" w:rsidRDefault="00C006CB" w:rsidP="00C006CB">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x</w:t>
            </w:r>
          </w:p>
        </w:tc>
      </w:tr>
      <w:tr w:rsidR="00C006CB" w:rsidRPr="007D12A6" w14:paraId="0B522224" w14:textId="77777777" w:rsidTr="007D12A6">
        <w:trPr>
          <w:trHeight w:val="345"/>
        </w:trPr>
        <w:tc>
          <w:tcPr>
            <w:tcW w:w="4112" w:type="dxa"/>
            <w:tcBorders>
              <w:top w:val="single" w:sz="4" w:space="0" w:color="auto"/>
              <w:left w:val="nil"/>
              <w:bottom w:val="single" w:sz="8" w:space="0" w:color="auto"/>
              <w:right w:val="nil"/>
            </w:tcBorders>
            <w:shd w:val="clear" w:color="000000" w:fill="FFFFFF"/>
            <w:noWrap/>
            <w:vAlign w:val="center"/>
            <w:hideMark/>
          </w:tcPr>
          <w:p w14:paraId="0F1BCAB2" w14:textId="77777777" w:rsidR="00C006CB" w:rsidRPr="007D12A6" w:rsidRDefault="00C006CB" w:rsidP="00C006CB">
            <w:pPr>
              <w:spacing w:after="0" w:line="240" w:lineRule="auto"/>
              <w:jc w:val="lef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Spolu</w:t>
            </w:r>
          </w:p>
        </w:tc>
        <w:tc>
          <w:tcPr>
            <w:tcW w:w="718" w:type="dxa"/>
            <w:tcBorders>
              <w:top w:val="single" w:sz="4" w:space="0" w:color="auto"/>
              <w:left w:val="nil"/>
              <w:bottom w:val="single" w:sz="8" w:space="0" w:color="auto"/>
              <w:right w:val="nil"/>
            </w:tcBorders>
            <w:shd w:val="clear" w:color="000000" w:fill="FFFFFF"/>
            <w:noWrap/>
            <w:vAlign w:val="center"/>
            <w:hideMark/>
          </w:tcPr>
          <w:p w14:paraId="383BBD45" w14:textId="77777777" w:rsidR="00C006CB" w:rsidRPr="007D12A6" w:rsidRDefault="00C006CB" w:rsidP="00C006CB">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22 203</w:t>
            </w:r>
          </w:p>
        </w:tc>
        <w:tc>
          <w:tcPr>
            <w:tcW w:w="841" w:type="dxa"/>
            <w:tcBorders>
              <w:top w:val="single" w:sz="4" w:space="0" w:color="auto"/>
              <w:left w:val="nil"/>
              <w:bottom w:val="single" w:sz="8" w:space="0" w:color="auto"/>
              <w:right w:val="nil"/>
            </w:tcBorders>
            <w:shd w:val="clear" w:color="000000" w:fill="FFFFFF"/>
            <w:noWrap/>
            <w:vAlign w:val="center"/>
            <w:hideMark/>
          </w:tcPr>
          <w:p w14:paraId="66D8D927" w14:textId="77777777" w:rsidR="00C006CB" w:rsidRPr="007D12A6" w:rsidRDefault="00C006CB" w:rsidP="00C006CB">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52 812</w:t>
            </w:r>
          </w:p>
        </w:tc>
        <w:tc>
          <w:tcPr>
            <w:tcW w:w="851" w:type="dxa"/>
            <w:tcBorders>
              <w:top w:val="single" w:sz="4" w:space="0" w:color="auto"/>
              <w:left w:val="nil"/>
              <w:bottom w:val="single" w:sz="8" w:space="0" w:color="auto"/>
              <w:right w:val="nil"/>
            </w:tcBorders>
            <w:shd w:val="clear" w:color="000000" w:fill="FFFFFF"/>
            <w:noWrap/>
            <w:vAlign w:val="center"/>
            <w:hideMark/>
          </w:tcPr>
          <w:p w14:paraId="280FAC40" w14:textId="77777777" w:rsidR="00C006CB" w:rsidRPr="007D12A6" w:rsidRDefault="00C006CB" w:rsidP="00C006CB">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1 000</w:t>
            </w:r>
          </w:p>
        </w:tc>
        <w:tc>
          <w:tcPr>
            <w:tcW w:w="840" w:type="dxa"/>
            <w:tcBorders>
              <w:top w:val="single" w:sz="4" w:space="0" w:color="auto"/>
              <w:left w:val="nil"/>
              <w:bottom w:val="single" w:sz="8" w:space="0" w:color="auto"/>
              <w:right w:val="nil"/>
            </w:tcBorders>
            <w:shd w:val="clear" w:color="000000" w:fill="BFBFBF"/>
            <w:noWrap/>
            <w:vAlign w:val="center"/>
            <w:hideMark/>
          </w:tcPr>
          <w:p w14:paraId="7C4FC91F" w14:textId="77777777" w:rsidR="00C006CB" w:rsidRPr="007D12A6" w:rsidRDefault="00C006CB" w:rsidP="00C006CB">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56 333</w:t>
            </w:r>
          </w:p>
        </w:tc>
        <w:tc>
          <w:tcPr>
            <w:tcW w:w="719" w:type="dxa"/>
            <w:tcBorders>
              <w:top w:val="single" w:sz="4" w:space="0" w:color="auto"/>
              <w:left w:val="nil"/>
              <w:bottom w:val="single" w:sz="8" w:space="0" w:color="auto"/>
              <w:right w:val="nil"/>
            </w:tcBorders>
            <w:shd w:val="clear" w:color="000000" w:fill="BFBFBF"/>
            <w:noWrap/>
            <w:vAlign w:val="center"/>
            <w:hideMark/>
          </w:tcPr>
          <w:p w14:paraId="1BE39B1B" w14:textId="77777777" w:rsidR="00C006CB" w:rsidRPr="007D12A6" w:rsidRDefault="00C006CB" w:rsidP="00C006CB">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7 547</w:t>
            </w:r>
          </w:p>
        </w:tc>
        <w:tc>
          <w:tcPr>
            <w:tcW w:w="850" w:type="dxa"/>
            <w:tcBorders>
              <w:top w:val="single" w:sz="4" w:space="0" w:color="auto"/>
              <w:left w:val="nil"/>
              <w:bottom w:val="single" w:sz="8" w:space="0" w:color="auto"/>
              <w:right w:val="nil"/>
            </w:tcBorders>
            <w:shd w:val="clear" w:color="000000" w:fill="FFFFFF"/>
            <w:noWrap/>
            <w:vAlign w:val="center"/>
            <w:hideMark/>
          </w:tcPr>
          <w:p w14:paraId="05C22391" w14:textId="77777777" w:rsidR="00C006CB" w:rsidRPr="007D12A6" w:rsidRDefault="00C006CB" w:rsidP="00C006CB">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55 333</w:t>
            </w:r>
          </w:p>
        </w:tc>
        <w:tc>
          <w:tcPr>
            <w:tcW w:w="709" w:type="dxa"/>
            <w:tcBorders>
              <w:top w:val="single" w:sz="4" w:space="0" w:color="auto"/>
              <w:left w:val="nil"/>
              <w:bottom w:val="single" w:sz="8" w:space="0" w:color="auto"/>
              <w:right w:val="nil"/>
            </w:tcBorders>
            <w:shd w:val="clear" w:color="000000" w:fill="FFFFFF"/>
            <w:noWrap/>
            <w:vAlign w:val="center"/>
            <w:hideMark/>
          </w:tcPr>
          <w:p w14:paraId="03DB3378" w14:textId="77777777" w:rsidR="00C006CB" w:rsidRPr="007D12A6" w:rsidRDefault="00C006CB" w:rsidP="00C006CB">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5 533,3</w:t>
            </w:r>
          </w:p>
        </w:tc>
      </w:tr>
    </w:tbl>
    <w:p w14:paraId="68F4849C" w14:textId="0DE8FC92" w:rsidR="00C006CB" w:rsidRPr="00C006CB" w:rsidRDefault="00C006CB" w:rsidP="00C006CB">
      <w:pPr>
        <w:spacing w:after="160" w:line="256" w:lineRule="auto"/>
        <w:jc w:val="left"/>
        <w:rPr>
          <w:sz w:val="18"/>
          <w:szCs w:val="18"/>
        </w:rPr>
      </w:pPr>
      <w:r w:rsidRPr="00C006CB">
        <w:rPr>
          <w:sz w:val="18"/>
          <w:szCs w:val="18"/>
        </w:rPr>
        <w:t>Poznámka: * len prostriedky štátneho rozp</w:t>
      </w:r>
      <w:r>
        <w:rPr>
          <w:sz w:val="18"/>
          <w:szCs w:val="18"/>
        </w:rPr>
        <w:t xml:space="preserve">očtu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006CB">
        <w:rPr>
          <w:sz w:val="18"/>
          <w:szCs w:val="18"/>
        </w:rPr>
        <w:t>Zdroj: MF SR</w:t>
      </w:r>
    </w:p>
    <w:p w14:paraId="07904418" w14:textId="77777777" w:rsidR="00C006CB" w:rsidRPr="00C006CB" w:rsidRDefault="00C006CB" w:rsidP="00C006CB">
      <w:pPr>
        <w:suppressAutoHyphens/>
        <w:spacing w:after="0" w:line="360" w:lineRule="auto"/>
        <w:rPr>
          <w:color w:val="000000" w:themeColor="text1"/>
        </w:rPr>
      </w:pPr>
    </w:p>
    <w:p w14:paraId="44910404" w14:textId="3F085E21" w:rsidR="00C006CB" w:rsidRPr="00D715AF" w:rsidRDefault="00C006CB" w:rsidP="008D4C2B">
      <w:pPr>
        <w:suppressAutoHyphens/>
        <w:spacing w:line="240" w:lineRule="auto"/>
        <w:rPr>
          <w:sz w:val="24"/>
          <w:szCs w:val="24"/>
        </w:rPr>
      </w:pPr>
      <w:r w:rsidRPr="00D715AF">
        <w:rPr>
          <w:sz w:val="24"/>
          <w:szCs w:val="24"/>
        </w:rPr>
        <w:t xml:space="preserve">Na celkovom objeme poskytnutých grantov a transferov VÚC sa najväčšou sumou podieľalo </w:t>
      </w:r>
      <w:r w:rsidRPr="00D715AF">
        <w:rPr>
          <w:sz w:val="24"/>
          <w:szCs w:val="24"/>
          <w:u w:val="single"/>
        </w:rPr>
        <w:t>Ministerstvo školstva, vedy, výskumu a športu SR</w:t>
      </w:r>
      <w:r w:rsidRPr="00D715AF">
        <w:rPr>
          <w:sz w:val="24"/>
          <w:szCs w:val="24"/>
        </w:rPr>
        <w:t>, ktoré na tento účel vynaložilo 528 605 tis. eur. Z tejto sumy smerovala čiastka 520 691 tis. eur v rámci bežných výdavkov na financovanie kompetencií preneseného výkonu štátnej správy na úseku školstva. Išlo najmä o finančné prostriedky v sume 520 292 tis. eur školám v zriaďovateľskej pôsobnosti vyšších územných celkov podľa zákona č. 597/2003 Z. z. o financovaní základných škôl, stredných škôl a školských zariadení v znení neskorších predpisov (oproti roku 2019 zvýšenie o 48 846 tis. eur). Tieto boli poskytnuté na zabezpečenie miezd, platov, služobných príjmov a ostatných osobných vyrovnaní vrátane poistného a príspevkov do poisťovní, prevádzky a modernizácie učebných pomôcok, špeciálnych učebných pomôcok a na riešenie havarijných situácií. Oproti schválenému rozpočtu bolo skutočné plnenie výdavkov nižšie až o 71 284 tis. eur najmä z dôvodu, že tieto prostriedky boli rozpočtovými opatreniami presunuté na Ministerstvo vnútra SR. Ďalšia čiastka 399 tis. eur bola poskytnutá vyšším územným celkom na financovanie školských úradov v ich zriaďovateľskej pôsobnosti.</w:t>
      </w:r>
    </w:p>
    <w:p w14:paraId="0A53E93E" w14:textId="44B7E376" w:rsidR="00C006CB" w:rsidRPr="00D715AF" w:rsidRDefault="00C006CB" w:rsidP="008D4C2B">
      <w:pPr>
        <w:spacing w:line="240" w:lineRule="auto"/>
        <w:rPr>
          <w:sz w:val="24"/>
          <w:szCs w:val="24"/>
        </w:rPr>
      </w:pPr>
      <w:r w:rsidRPr="00D715AF">
        <w:rPr>
          <w:sz w:val="24"/>
          <w:szCs w:val="24"/>
        </w:rPr>
        <w:t xml:space="preserve">Z kapitoly </w:t>
      </w:r>
      <w:r w:rsidRPr="00D715AF">
        <w:rPr>
          <w:sz w:val="24"/>
          <w:szCs w:val="24"/>
          <w:u w:val="single"/>
        </w:rPr>
        <w:t>Ministerstva pôdohospodárstva a rozvoja vidieka SR</w:t>
      </w:r>
      <w:r w:rsidRPr="00D715AF">
        <w:rPr>
          <w:b/>
          <w:sz w:val="24"/>
          <w:szCs w:val="24"/>
        </w:rPr>
        <w:t xml:space="preserve"> </w:t>
      </w:r>
      <w:r w:rsidRPr="00D715AF">
        <w:rPr>
          <w:sz w:val="24"/>
          <w:szCs w:val="24"/>
        </w:rPr>
        <w:t>smerovala pre VÚC čiastka 29 179 tis. eur, z toho suma 28 222 tis. eur formou kapitálových transferov. Išlo výlučne o poskytnutie nenávratných finančných prostriedkov z Európskeho fondu regionálneho rozvoja 2014-2020. Najväčšia suma 25 209 tis. eur bola vyplatená prostredníctvom Integrovaného regionálneho operačného programu 2014-2020 najmä v rámci prioritných o</w:t>
      </w:r>
      <w:r w:rsidR="003027F4" w:rsidRPr="00D715AF">
        <w:rPr>
          <w:sz w:val="24"/>
          <w:szCs w:val="24"/>
        </w:rPr>
        <w:t>sí Bezpečná a ekologická doprava</w:t>
      </w:r>
      <w:r w:rsidRPr="00D715AF">
        <w:rPr>
          <w:sz w:val="24"/>
          <w:szCs w:val="24"/>
        </w:rPr>
        <w:t xml:space="preserve"> v regiónoch (najmä na rekonštrukcie ciest) a Ľahší prístup k efektívnym a kvalitnejším službám (projekty stredných škôl s cieľom zvýšiť počet žiakov na praktickom vyučovaní). Suma 2 692 tis. eur bola poukázaná prostredníctvom Operačného programu cezhraničnej spolupráce Slovensko – Česká republika 2014-2020, a to v rámci prioritnej osi Kvalitné životné prostredie.</w:t>
      </w:r>
      <w:r w:rsidRPr="00D715AF">
        <w:rPr>
          <w:color w:val="FF0000"/>
          <w:sz w:val="24"/>
          <w:szCs w:val="24"/>
        </w:rPr>
        <w:t xml:space="preserve"> </w:t>
      </w:r>
      <w:r w:rsidRPr="00D715AF">
        <w:rPr>
          <w:sz w:val="24"/>
          <w:szCs w:val="24"/>
        </w:rPr>
        <w:t>Najviac preplatených žiadostí o platbu bolo v rámci Nitrianskeho, Trenčianskeho a Prešovského kraja.</w:t>
      </w:r>
    </w:p>
    <w:p w14:paraId="5027B68E" w14:textId="77777777" w:rsidR="00C006CB" w:rsidRPr="00D715AF" w:rsidRDefault="00C006CB" w:rsidP="008D4C2B">
      <w:pPr>
        <w:spacing w:line="240" w:lineRule="auto"/>
        <w:rPr>
          <w:sz w:val="24"/>
          <w:szCs w:val="24"/>
        </w:rPr>
      </w:pPr>
      <w:r w:rsidRPr="00D715AF">
        <w:rPr>
          <w:sz w:val="24"/>
          <w:szCs w:val="24"/>
        </w:rPr>
        <w:t>Formou bežných transferov poskytla kapitola vyšším územným celkom sumu 957 tis. eur výlučne z Európskeho fondu regionálneho rozvoja 2014-2020. Najväčšia suma 506 tis. eur bola vyplatená prostredníctvom Operačného programu cezhraničnej spolupráce Slovensko – Česká republika 2014-2020 v rámci prioritných osí Kvalitné životné prostredie a Rozvoj miestnych iniciatív.</w:t>
      </w:r>
    </w:p>
    <w:p w14:paraId="1E9346EC" w14:textId="4A2EB722" w:rsidR="00C006CB" w:rsidRPr="00D715AF" w:rsidRDefault="00C006CB" w:rsidP="008D4C2B">
      <w:pPr>
        <w:spacing w:line="240" w:lineRule="auto"/>
        <w:rPr>
          <w:sz w:val="24"/>
          <w:szCs w:val="24"/>
        </w:rPr>
      </w:pPr>
      <w:r w:rsidRPr="00D715AF">
        <w:rPr>
          <w:color w:val="000000" w:themeColor="text1"/>
          <w:sz w:val="24"/>
          <w:szCs w:val="24"/>
          <w:u w:val="single"/>
        </w:rPr>
        <w:t>Ministerstvo investícií, regionálneho rozvoja a informatizácie SR</w:t>
      </w:r>
      <w:r w:rsidRPr="00D715AF">
        <w:rPr>
          <w:b/>
          <w:color w:val="000000" w:themeColor="text1"/>
          <w:sz w:val="24"/>
          <w:szCs w:val="24"/>
        </w:rPr>
        <w:t xml:space="preserve"> </w:t>
      </w:r>
      <w:r w:rsidRPr="00D715AF">
        <w:rPr>
          <w:sz w:val="24"/>
          <w:szCs w:val="24"/>
        </w:rPr>
        <w:t>poskytlo celkovú sumu 16 363 tis. eur, v tom kapitálové výdavky 14 254 tis. eur. Z kapitálových výdavkov bola suma 11 154 tis. eur vynaložená v rámci Integrovaného regionálneho operačného programu na ochranu prírodného a kultúrneho dedičstva a biodiverzity a suma 2 748 tis. eur v rámci Integrovaného regionálneho operačného programu – Ľahší prístup k efektívnym a kvalitnejším službám. Z bežných výdavkov bola čiastka 1 085 tis. eur poskytnutá v rámci Integrovaného regionálneho operačného programu – Technická pomoc a suma 802 tis. eur predstavovala transfery pre informačno-poradenské centrá.</w:t>
      </w:r>
    </w:p>
    <w:p w14:paraId="13147D57" w14:textId="3F2D8384" w:rsidR="00C006CB" w:rsidRPr="00D715AF" w:rsidRDefault="00C006CB" w:rsidP="008D4C2B">
      <w:pPr>
        <w:spacing w:line="240" w:lineRule="auto"/>
        <w:rPr>
          <w:sz w:val="24"/>
          <w:szCs w:val="24"/>
          <w:lang w:eastAsia="sk-SK"/>
        </w:rPr>
      </w:pPr>
      <w:r w:rsidRPr="00D715AF">
        <w:rPr>
          <w:sz w:val="24"/>
          <w:szCs w:val="24"/>
        </w:rPr>
        <w:t xml:space="preserve">Z kapitoly </w:t>
      </w:r>
      <w:r w:rsidRPr="00D715AF">
        <w:rPr>
          <w:sz w:val="24"/>
          <w:szCs w:val="24"/>
          <w:u w:val="single"/>
        </w:rPr>
        <w:t>Všeobecná pokladničná správa</w:t>
      </w:r>
      <w:r w:rsidRPr="00D715AF">
        <w:rPr>
          <w:b/>
          <w:sz w:val="24"/>
          <w:szCs w:val="24"/>
        </w:rPr>
        <w:t xml:space="preserve"> </w:t>
      </w:r>
      <w:r w:rsidRPr="00D715AF">
        <w:rPr>
          <w:sz w:val="24"/>
          <w:szCs w:val="24"/>
        </w:rPr>
        <w:t>sa poukázala suma 10 695 tis. eur</w:t>
      </w:r>
      <w:r w:rsidR="007E4E10">
        <w:rPr>
          <w:sz w:val="24"/>
          <w:szCs w:val="24"/>
        </w:rPr>
        <w:t xml:space="preserve">, z toho </w:t>
      </w:r>
      <w:r w:rsidRPr="00D715AF">
        <w:rPr>
          <w:sz w:val="24"/>
          <w:szCs w:val="24"/>
        </w:rPr>
        <w:t>formou kapitálových transferov</w:t>
      </w:r>
      <w:r w:rsidR="007E4E10">
        <w:rPr>
          <w:sz w:val="24"/>
          <w:szCs w:val="24"/>
        </w:rPr>
        <w:t xml:space="preserve"> 10 660 tis. eur.</w:t>
      </w:r>
      <w:r w:rsidRPr="00D715AF">
        <w:rPr>
          <w:sz w:val="24"/>
          <w:szCs w:val="24"/>
        </w:rPr>
        <w:t xml:space="preserve"> Najvyššia čiastka 5 000 tis. eur smerovala Banskobystrickému samosprávnemu kraju na </w:t>
      </w:r>
      <w:r w:rsidRPr="00D715AF">
        <w:rPr>
          <w:sz w:val="24"/>
          <w:szCs w:val="24"/>
          <w:lang w:eastAsia="sk-SK"/>
        </w:rPr>
        <w:t>sanáciu cesty II/531 Muráň - Muránska Huta. Trenčiansky samosprávny kraj dostal sumu 3 660 tis. eur na sanáciu starého mostného objektu a realizáciu výstavby nového mostného objektu cez Vážsky kanál v Ilave a Prešovský samosprávny kraj čiastku 2 000 tis. eur na projekt rekonštrukcie Múzea moderného umenia Andy Warhola v Medzilaborciach.</w:t>
      </w:r>
    </w:p>
    <w:p w14:paraId="14192F86" w14:textId="0CF91B6F" w:rsidR="00C006CB" w:rsidRPr="00D715AF" w:rsidRDefault="00C006CB" w:rsidP="008D4C2B">
      <w:pPr>
        <w:spacing w:line="240" w:lineRule="auto"/>
        <w:rPr>
          <w:rFonts w:cs="Times New Roman"/>
          <w:sz w:val="24"/>
          <w:szCs w:val="24"/>
        </w:rPr>
      </w:pPr>
      <w:r w:rsidRPr="00D715AF">
        <w:rPr>
          <w:sz w:val="24"/>
          <w:szCs w:val="24"/>
          <w:lang w:eastAsia="sk-SK"/>
        </w:rPr>
        <w:t xml:space="preserve">Kapitola </w:t>
      </w:r>
      <w:r w:rsidRPr="00D715AF">
        <w:rPr>
          <w:sz w:val="24"/>
          <w:szCs w:val="24"/>
          <w:u w:val="single"/>
          <w:lang w:eastAsia="sk-SK"/>
        </w:rPr>
        <w:t>Ministerstva práce, sociálnych vecí a rodiny SR</w:t>
      </w:r>
      <w:r w:rsidRPr="00D715AF">
        <w:rPr>
          <w:b/>
          <w:sz w:val="24"/>
          <w:szCs w:val="24"/>
          <w:lang w:eastAsia="sk-SK"/>
        </w:rPr>
        <w:t xml:space="preserve"> </w:t>
      </w:r>
      <w:r w:rsidRPr="00D715AF">
        <w:rPr>
          <w:sz w:val="24"/>
          <w:szCs w:val="24"/>
          <w:lang w:eastAsia="sk-SK"/>
        </w:rPr>
        <w:t>poukázala čiastku 9 555 tis. eur, z toho suma 9 243 tis. eur predstavovala dotácie poskytnuté v súlad</w:t>
      </w:r>
      <w:r w:rsidR="00E00F3E" w:rsidRPr="00D715AF">
        <w:rPr>
          <w:sz w:val="24"/>
          <w:szCs w:val="24"/>
          <w:lang w:eastAsia="sk-SK"/>
        </w:rPr>
        <w:t xml:space="preserve">e so zákonom č. 544/2010 Z. z. </w:t>
      </w:r>
      <w:r w:rsidRPr="00D715AF">
        <w:rPr>
          <w:sz w:val="24"/>
          <w:szCs w:val="24"/>
          <w:lang w:eastAsia="sk-SK"/>
        </w:rPr>
        <w:t xml:space="preserve">a </w:t>
      </w:r>
      <w:r w:rsidRPr="00D715AF">
        <w:rPr>
          <w:rFonts w:cs="Times New Roman"/>
          <w:sz w:val="24"/>
          <w:szCs w:val="24"/>
        </w:rPr>
        <w:t>Nariadením vlády SR č. 103/2020 Z. z. o niektorých opatreniach v oblasti dotácií v pôsobnosti Ministerstva práce, sociálnych vecí a rodiny Slovenskej republiky v čase mimoriadnej situácie, núdzového stavu alebo výnimočného stavu vyhláseného v súvislosti s ochorením COVID-19. Tieto prostriedky boli vynaložené najmä na odmeny zamestnancom v 1. línii za sociálne služby a sociálnu kuratelu a na výživové doplnky.</w:t>
      </w:r>
    </w:p>
    <w:p w14:paraId="2540F502" w14:textId="4B9E1D9B" w:rsidR="00C006CB" w:rsidRPr="00D715AF" w:rsidRDefault="00C006CB" w:rsidP="008D4C2B">
      <w:pPr>
        <w:spacing w:line="240" w:lineRule="auto"/>
        <w:rPr>
          <w:sz w:val="24"/>
          <w:szCs w:val="24"/>
        </w:rPr>
      </w:pPr>
      <w:r w:rsidRPr="00D715AF">
        <w:rPr>
          <w:sz w:val="24"/>
          <w:szCs w:val="24"/>
        </w:rPr>
        <w:t xml:space="preserve">Kapitola </w:t>
      </w:r>
      <w:r w:rsidRPr="00D715AF">
        <w:rPr>
          <w:sz w:val="24"/>
          <w:szCs w:val="24"/>
          <w:u w:val="single"/>
        </w:rPr>
        <w:t>Ministerstva životného prostredia SR</w:t>
      </w:r>
      <w:r w:rsidRPr="00D715AF">
        <w:rPr>
          <w:b/>
          <w:sz w:val="24"/>
          <w:szCs w:val="24"/>
        </w:rPr>
        <w:t xml:space="preserve"> </w:t>
      </w:r>
      <w:r w:rsidRPr="00D715AF">
        <w:rPr>
          <w:sz w:val="24"/>
          <w:szCs w:val="24"/>
        </w:rPr>
        <w:t xml:space="preserve">vynaložila na transfery vyšším územným celkom celkovú sumu 2 859 tis. eur, z toho kapitálové transfery 2 497 tis. eur a bežné transfery 362 tis. eur. Kapitálové transfery boli realizované v rámci Operačného programu Kvalita životného prostredia a príjemcami finančných prostriedkov boli Prešovský samosprávny kraj (1 021 tis. eur), Trenčiansky samosprávny kraj (934 tis. eur) a Žilinský samosprávny kraj (542 tis. eur). </w:t>
      </w:r>
      <w:r w:rsidRPr="00D715AF">
        <w:rPr>
          <w:rFonts w:cs="Times New Roman"/>
          <w:color w:val="000000"/>
          <w:sz w:val="24"/>
          <w:szCs w:val="24"/>
        </w:rPr>
        <w:t>Prostriedky boli použité najmä na účely zníženia energetickej náročnosti budov.</w:t>
      </w:r>
    </w:p>
    <w:p w14:paraId="48041296" w14:textId="0929BB64" w:rsidR="00C006CB" w:rsidRPr="00D715AF" w:rsidRDefault="00C006CB" w:rsidP="008D4C2B">
      <w:pPr>
        <w:suppressAutoHyphens/>
        <w:spacing w:line="240" w:lineRule="auto"/>
        <w:rPr>
          <w:sz w:val="24"/>
          <w:szCs w:val="24"/>
        </w:rPr>
      </w:pPr>
      <w:r w:rsidRPr="00D715AF">
        <w:rPr>
          <w:b/>
          <w:sz w:val="24"/>
          <w:szCs w:val="24"/>
        </w:rPr>
        <w:t>Podľa zákona č. 564/2004 Z. z. o rozpočtovom určení výnosu dane z príjmov bolo 30 % z</w:t>
      </w:r>
      <w:r w:rsidR="004D24AB">
        <w:rPr>
          <w:b/>
          <w:sz w:val="24"/>
          <w:szCs w:val="24"/>
        </w:rPr>
        <w:t> </w:t>
      </w:r>
      <w:r w:rsidRPr="00D715AF">
        <w:rPr>
          <w:b/>
          <w:sz w:val="24"/>
          <w:szCs w:val="24"/>
        </w:rPr>
        <w:t>celkového výnosu dane z príjmov fyzických osôb</w:t>
      </w:r>
      <w:r w:rsidRPr="00D715AF">
        <w:rPr>
          <w:sz w:val="24"/>
          <w:szCs w:val="24"/>
        </w:rPr>
        <w:t xml:space="preserve"> príjmom rozpočtov vyšších územných celkov, rovnako ako v roku 2019. Skutočný prevod dane z príjmov fyzických osôb do rozpočtov vyšších územných celkov bol vykonaný vo výške 943 867 tis. eur (2019: 950 252 tis. eur). </w:t>
      </w:r>
    </w:p>
    <w:p w14:paraId="5F49DB8F" w14:textId="7CC88875" w:rsidR="000A2B3E" w:rsidRDefault="00C006CB" w:rsidP="008D4C2B">
      <w:pPr>
        <w:spacing w:line="240" w:lineRule="auto"/>
        <w:rPr>
          <w:b/>
          <w:i/>
        </w:rPr>
      </w:pPr>
      <w:r w:rsidRPr="00CC1476">
        <w:rPr>
          <w:b/>
          <w:i/>
        </w:rPr>
        <w:t>Prehľad záväzných limitov dotácií VÚC za rok 2020 je uvedený v tabuľkovej časti štátneho záverečného účtu SR, v tabuľke č. 21.</w:t>
      </w:r>
    </w:p>
    <w:p w14:paraId="293FDEE4" w14:textId="58D51671" w:rsidR="005C4AEB" w:rsidRDefault="005C4AEB">
      <w:pPr>
        <w:spacing w:after="160" w:line="259" w:lineRule="auto"/>
        <w:jc w:val="left"/>
        <w:rPr>
          <w:b/>
          <w:i/>
        </w:rPr>
      </w:pPr>
      <w:r>
        <w:rPr>
          <w:b/>
          <w:i/>
        </w:rPr>
        <w:br w:type="page"/>
      </w:r>
    </w:p>
    <w:p w14:paraId="73979A5F" w14:textId="60F4CA95" w:rsidR="008254BE" w:rsidRPr="00CC1476" w:rsidRDefault="008254BE" w:rsidP="00C006CB">
      <w:pPr>
        <w:pStyle w:val="Nadpis3"/>
        <w:numPr>
          <w:ilvl w:val="2"/>
          <w:numId w:val="36"/>
        </w:numPr>
        <w:rPr>
          <w:sz w:val="24"/>
        </w:rPr>
      </w:pPr>
      <w:bookmarkStart w:id="58" w:name="_Toc6415650"/>
      <w:bookmarkStart w:id="59" w:name="_Toc70026103"/>
      <w:r w:rsidRPr="00CC1476">
        <w:rPr>
          <w:sz w:val="24"/>
        </w:rPr>
        <w:t>Čerpanie rezerv štátneho rozpočtu</w:t>
      </w:r>
      <w:bookmarkEnd w:id="58"/>
      <w:bookmarkEnd w:id="59"/>
    </w:p>
    <w:p w14:paraId="2CEE51AC" w14:textId="77777777" w:rsidR="00AB10A9" w:rsidRPr="00D715AF" w:rsidRDefault="00AB10A9" w:rsidP="008D4C2B">
      <w:pPr>
        <w:spacing w:line="240" w:lineRule="auto"/>
        <w:rPr>
          <w:sz w:val="24"/>
          <w:szCs w:val="24"/>
        </w:rPr>
      </w:pPr>
      <w:r w:rsidRPr="00D715AF">
        <w:rPr>
          <w:sz w:val="24"/>
          <w:szCs w:val="24"/>
        </w:rPr>
        <w:t xml:space="preserve">V zmysle § 10 zákona o rozpočtových pravidlách verejnej správy a o zmene a doplnení niektorých zákonov v znení neskorších predpisov (ďalej len ,,zákon o rozpočtových pravidlách) sa na krytie nepredvídaných výdavkov nevyhnutných na zabezpečenie rozpočtového hospodárenia alebo na krytie zníženia rozpočtovaných príjmov vytvárajú v štátnom rozpočte rozpočtové rezervy. </w:t>
      </w:r>
    </w:p>
    <w:tbl>
      <w:tblPr>
        <w:tblW w:w="9204" w:type="dxa"/>
        <w:tblLayout w:type="fixed"/>
        <w:tblCellMar>
          <w:left w:w="70" w:type="dxa"/>
          <w:right w:w="70" w:type="dxa"/>
        </w:tblCellMar>
        <w:tblLook w:val="04A0" w:firstRow="1" w:lastRow="0" w:firstColumn="1" w:lastColumn="0" w:noHBand="0" w:noVBand="1"/>
      </w:tblPr>
      <w:tblGrid>
        <w:gridCol w:w="3676"/>
        <w:gridCol w:w="567"/>
        <w:gridCol w:w="850"/>
        <w:gridCol w:w="850"/>
        <w:gridCol w:w="1025"/>
        <w:gridCol w:w="971"/>
        <w:gridCol w:w="1265"/>
      </w:tblGrid>
      <w:tr w:rsidR="007D12A6" w:rsidRPr="007D12A6" w14:paraId="65F86477" w14:textId="77777777" w:rsidTr="007D12A6">
        <w:trPr>
          <w:trHeight w:val="413"/>
        </w:trPr>
        <w:tc>
          <w:tcPr>
            <w:tcW w:w="9204" w:type="dxa"/>
            <w:gridSpan w:val="7"/>
            <w:tcBorders>
              <w:top w:val="nil"/>
              <w:left w:val="single" w:sz="8" w:space="0" w:color="auto"/>
              <w:bottom w:val="nil"/>
              <w:right w:val="nil"/>
            </w:tcBorders>
            <w:shd w:val="clear" w:color="000000" w:fill="000000"/>
            <w:vAlign w:val="center"/>
            <w:hideMark/>
          </w:tcPr>
          <w:p w14:paraId="7F727B7D" w14:textId="763DD897" w:rsidR="007D12A6" w:rsidRPr="007D12A6" w:rsidRDefault="007D12A6" w:rsidP="007D12A6">
            <w:pPr>
              <w:spacing w:after="0" w:line="240" w:lineRule="auto"/>
              <w:rPr>
                <w:b/>
                <w:bCs/>
                <w:sz w:val="18"/>
                <w:szCs w:val="18"/>
              </w:rPr>
            </w:pPr>
            <w:r w:rsidRPr="007D12A6">
              <w:rPr>
                <w:b/>
                <w:bCs/>
                <w:sz w:val="18"/>
                <w:szCs w:val="18"/>
              </w:rPr>
              <w:t>Zákonné rezervy uvoľnené platobným príkazom</w:t>
            </w:r>
            <w:r>
              <w:rPr>
                <w:b/>
                <w:bCs/>
                <w:sz w:val="18"/>
                <w:szCs w:val="18"/>
              </w:rPr>
              <w:t xml:space="preserve">                                                                                  </w:t>
            </w:r>
            <w:r w:rsidR="004D24AB">
              <w:rPr>
                <w:b/>
                <w:bCs/>
                <w:sz w:val="18"/>
                <w:szCs w:val="18"/>
              </w:rPr>
              <w:t xml:space="preserve">           </w:t>
            </w:r>
            <w:r>
              <w:rPr>
                <w:b/>
                <w:bCs/>
                <w:sz w:val="18"/>
                <w:szCs w:val="18"/>
              </w:rPr>
              <w:t xml:space="preserve">         </w:t>
            </w:r>
            <w:r w:rsidRPr="007D12A6">
              <w:rPr>
                <w:b/>
                <w:bCs/>
                <w:sz w:val="18"/>
                <w:szCs w:val="18"/>
              </w:rPr>
              <w:t>v tis. eur</w:t>
            </w:r>
          </w:p>
        </w:tc>
      </w:tr>
      <w:tr w:rsidR="00AB10A9" w:rsidRPr="007D12A6" w14:paraId="5306CED2" w14:textId="77777777" w:rsidTr="007D12A6">
        <w:trPr>
          <w:trHeight w:val="278"/>
        </w:trPr>
        <w:tc>
          <w:tcPr>
            <w:tcW w:w="3676" w:type="dxa"/>
            <w:tcBorders>
              <w:top w:val="nil"/>
              <w:left w:val="nil"/>
              <w:bottom w:val="nil"/>
              <w:right w:val="nil"/>
            </w:tcBorders>
            <w:shd w:val="clear" w:color="000000" w:fill="BFBFBF"/>
            <w:vAlign w:val="center"/>
            <w:hideMark/>
          </w:tcPr>
          <w:p w14:paraId="05332564" w14:textId="77777777" w:rsidR="00AB10A9" w:rsidRPr="007D12A6" w:rsidRDefault="00AB10A9" w:rsidP="00AB10A9">
            <w:pPr>
              <w:rPr>
                <w:b/>
                <w:bCs/>
                <w:sz w:val="18"/>
                <w:szCs w:val="18"/>
              </w:rPr>
            </w:pPr>
            <w:r w:rsidRPr="007D12A6">
              <w:rPr>
                <w:b/>
                <w:bCs/>
                <w:sz w:val="18"/>
                <w:szCs w:val="18"/>
              </w:rPr>
              <w:t> </w:t>
            </w:r>
          </w:p>
        </w:tc>
        <w:tc>
          <w:tcPr>
            <w:tcW w:w="1417" w:type="dxa"/>
            <w:gridSpan w:val="2"/>
            <w:tcBorders>
              <w:top w:val="nil"/>
              <w:left w:val="nil"/>
              <w:bottom w:val="nil"/>
              <w:right w:val="nil"/>
            </w:tcBorders>
            <w:shd w:val="clear" w:color="000000" w:fill="BFBFBF"/>
            <w:vAlign w:val="center"/>
            <w:hideMark/>
          </w:tcPr>
          <w:p w14:paraId="162E1FFC" w14:textId="77777777" w:rsidR="00AB10A9" w:rsidRPr="007D12A6" w:rsidRDefault="00AB10A9" w:rsidP="00AB10A9">
            <w:pPr>
              <w:spacing w:after="0"/>
              <w:jc w:val="center"/>
              <w:rPr>
                <w:b/>
                <w:bCs/>
                <w:sz w:val="18"/>
                <w:szCs w:val="18"/>
              </w:rPr>
            </w:pPr>
            <w:r w:rsidRPr="007D12A6">
              <w:rPr>
                <w:b/>
                <w:bCs/>
                <w:sz w:val="18"/>
                <w:szCs w:val="18"/>
              </w:rPr>
              <w:t>Skutočnosť</w:t>
            </w:r>
          </w:p>
        </w:tc>
        <w:tc>
          <w:tcPr>
            <w:tcW w:w="850" w:type="dxa"/>
            <w:tcBorders>
              <w:top w:val="nil"/>
              <w:left w:val="nil"/>
              <w:bottom w:val="nil"/>
              <w:right w:val="nil"/>
            </w:tcBorders>
            <w:shd w:val="clear" w:color="000000" w:fill="BFBFBF"/>
            <w:vAlign w:val="center"/>
            <w:hideMark/>
          </w:tcPr>
          <w:p w14:paraId="028DB1EF" w14:textId="77777777" w:rsidR="00AB10A9" w:rsidRPr="007D12A6" w:rsidRDefault="00AB10A9" w:rsidP="00AB10A9">
            <w:pPr>
              <w:spacing w:after="0"/>
              <w:jc w:val="center"/>
              <w:rPr>
                <w:b/>
                <w:bCs/>
                <w:sz w:val="18"/>
                <w:szCs w:val="18"/>
              </w:rPr>
            </w:pPr>
            <w:r w:rsidRPr="007D12A6">
              <w:rPr>
                <w:b/>
                <w:bCs/>
                <w:sz w:val="18"/>
                <w:szCs w:val="18"/>
              </w:rPr>
              <w:t>Rozpočet</w:t>
            </w:r>
          </w:p>
        </w:tc>
        <w:tc>
          <w:tcPr>
            <w:tcW w:w="1025" w:type="dxa"/>
            <w:tcBorders>
              <w:top w:val="nil"/>
              <w:left w:val="nil"/>
              <w:bottom w:val="nil"/>
              <w:right w:val="nil"/>
            </w:tcBorders>
            <w:shd w:val="clear" w:color="000000" w:fill="BFBFBF"/>
            <w:vAlign w:val="center"/>
            <w:hideMark/>
          </w:tcPr>
          <w:p w14:paraId="10EFD7D2" w14:textId="77777777" w:rsidR="00AB10A9" w:rsidRPr="007D12A6" w:rsidRDefault="00AB10A9" w:rsidP="00AB10A9">
            <w:pPr>
              <w:spacing w:after="0"/>
              <w:jc w:val="center"/>
              <w:rPr>
                <w:b/>
                <w:bCs/>
                <w:sz w:val="18"/>
                <w:szCs w:val="18"/>
              </w:rPr>
            </w:pPr>
            <w:r w:rsidRPr="007D12A6">
              <w:rPr>
                <w:b/>
                <w:bCs/>
                <w:sz w:val="18"/>
                <w:szCs w:val="18"/>
              </w:rPr>
              <w:t>Skutočnosť</w:t>
            </w:r>
          </w:p>
        </w:tc>
        <w:tc>
          <w:tcPr>
            <w:tcW w:w="2236" w:type="dxa"/>
            <w:gridSpan w:val="2"/>
            <w:tcBorders>
              <w:top w:val="nil"/>
              <w:left w:val="nil"/>
              <w:bottom w:val="nil"/>
              <w:right w:val="nil"/>
            </w:tcBorders>
            <w:shd w:val="clear" w:color="000000" w:fill="BFBFBF"/>
            <w:vAlign w:val="center"/>
            <w:hideMark/>
          </w:tcPr>
          <w:p w14:paraId="5C375D65" w14:textId="77777777" w:rsidR="00AB10A9" w:rsidRPr="007D12A6" w:rsidRDefault="00AB10A9" w:rsidP="00AB10A9">
            <w:pPr>
              <w:spacing w:after="0"/>
              <w:jc w:val="center"/>
              <w:rPr>
                <w:b/>
                <w:bCs/>
                <w:sz w:val="18"/>
                <w:szCs w:val="18"/>
              </w:rPr>
            </w:pPr>
            <w:r w:rsidRPr="007D12A6">
              <w:rPr>
                <w:b/>
                <w:bCs/>
                <w:sz w:val="18"/>
                <w:szCs w:val="18"/>
              </w:rPr>
              <w:t>Rozdiel</w:t>
            </w:r>
          </w:p>
        </w:tc>
      </w:tr>
      <w:tr w:rsidR="00AB10A9" w:rsidRPr="007D12A6" w14:paraId="4D3F0DE3" w14:textId="77777777" w:rsidTr="007D12A6">
        <w:trPr>
          <w:trHeight w:val="230"/>
        </w:trPr>
        <w:tc>
          <w:tcPr>
            <w:tcW w:w="3676" w:type="dxa"/>
            <w:tcBorders>
              <w:top w:val="nil"/>
              <w:left w:val="nil"/>
              <w:bottom w:val="nil"/>
              <w:right w:val="nil"/>
            </w:tcBorders>
            <w:shd w:val="clear" w:color="000000" w:fill="BFBFBF"/>
            <w:vAlign w:val="center"/>
            <w:hideMark/>
          </w:tcPr>
          <w:p w14:paraId="4739340B" w14:textId="77777777" w:rsidR="00AB10A9" w:rsidRPr="007D12A6" w:rsidRDefault="00AB10A9" w:rsidP="00AB10A9">
            <w:pPr>
              <w:jc w:val="center"/>
              <w:rPr>
                <w:b/>
                <w:bCs/>
                <w:sz w:val="18"/>
                <w:szCs w:val="18"/>
              </w:rPr>
            </w:pPr>
            <w:r w:rsidRPr="007D12A6">
              <w:rPr>
                <w:b/>
                <w:bCs/>
                <w:sz w:val="18"/>
                <w:szCs w:val="18"/>
              </w:rPr>
              <w:t> </w:t>
            </w:r>
          </w:p>
        </w:tc>
        <w:tc>
          <w:tcPr>
            <w:tcW w:w="567" w:type="dxa"/>
            <w:tcBorders>
              <w:top w:val="nil"/>
              <w:left w:val="nil"/>
              <w:bottom w:val="nil"/>
              <w:right w:val="nil"/>
            </w:tcBorders>
            <w:shd w:val="clear" w:color="000000" w:fill="BFBFBF"/>
            <w:vAlign w:val="center"/>
            <w:hideMark/>
          </w:tcPr>
          <w:p w14:paraId="788E5718" w14:textId="77777777" w:rsidR="00AB10A9" w:rsidRPr="007D12A6" w:rsidRDefault="00AB10A9" w:rsidP="00AB10A9">
            <w:pPr>
              <w:spacing w:after="0"/>
              <w:jc w:val="center"/>
              <w:rPr>
                <w:b/>
                <w:bCs/>
                <w:sz w:val="18"/>
                <w:szCs w:val="18"/>
              </w:rPr>
            </w:pPr>
            <w:r w:rsidRPr="007D12A6">
              <w:rPr>
                <w:b/>
                <w:bCs/>
                <w:sz w:val="18"/>
                <w:szCs w:val="18"/>
              </w:rPr>
              <w:t>2018</w:t>
            </w:r>
          </w:p>
        </w:tc>
        <w:tc>
          <w:tcPr>
            <w:tcW w:w="850" w:type="dxa"/>
            <w:tcBorders>
              <w:top w:val="nil"/>
              <w:left w:val="nil"/>
              <w:bottom w:val="nil"/>
              <w:right w:val="nil"/>
            </w:tcBorders>
            <w:shd w:val="clear" w:color="000000" w:fill="BFBFBF"/>
            <w:vAlign w:val="center"/>
            <w:hideMark/>
          </w:tcPr>
          <w:p w14:paraId="07B03067" w14:textId="77777777" w:rsidR="00AB10A9" w:rsidRPr="007D12A6" w:rsidRDefault="00AB10A9" w:rsidP="00AB10A9">
            <w:pPr>
              <w:spacing w:after="0"/>
              <w:jc w:val="center"/>
              <w:rPr>
                <w:b/>
                <w:bCs/>
                <w:sz w:val="18"/>
                <w:szCs w:val="18"/>
              </w:rPr>
            </w:pPr>
            <w:r w:rsidRPr="007D12A6">
              <w:rPr>
                <w:b/>
                <w:bCs/>
                <w:sz w:val="18"/>
                <w:szCs w:val="18"/>
              </w:rPr>
              <w:t>2019</w:t>
            </w:r>
          </w:p>
        </w:tc>
        <w:tc>
          <w:tcPr>
            <w:tcW w:w="850" w:type="dxa"/>
            <w:tcBorders>
              <w:top w:val="nil"/>
              <w:left w:val="nil"/>
              <w:bottom w:val="nil"/>
              <w:right w:val="nil"/>
            </w:tcBorders>
            <w:shd w:val="clear" w:color="000000" w:fill="BFBFBF"/>
            <w:vAlign w:val="center"/>
            <w:hideMark/>
          </w:tcPr>
          <w:p w14:paraId="0D3D9C7D" w14:textId="77777777" w:rsidR="00AB10A9" w:rsidRPr="007D12A6" w:rsidRDefault="00AB10A9" w:rsidP="00AB10A9">
            <w:pPr>
              <w:spacing w:after="0"/>
              <w:jc w:val="center"/>
              <w:rPr>
                <w:b/>
                <w:bCs/>
                <w:sz w:val="18"/>
                <w:szCs w:val="18"/>
              </w:rPr>
            </w:pPr>
            <w:r w:rsidRPr="007D12A6">
              <w:rPr>
                <w:b/>
                <w:bCs/>
                <w:sz w:val="18"/>
                <w:szCs w:val="18"/>
              </w:rPr>
              <w:t>2020</w:t>
            </w:r>
          </w:p>
        </w:tc>
        <w:tc>
          <w:tcPr>
            <w:tcW w:w="1025" w:type="dxa"/>
            <w:tcBorders>
              <w:top w:val="nil"/>
              <w:left w:val="nil"/>
              <w:bottom w:val="nil"/>
              <w:right w:val="nil"/>
            </w:tcBorders>
            <w:shd w:val="clear" w:color="000000" w:fill="BFBFBF"/>
            <w:vAlign w:val="center"/>
            <w:hideMark/>
          </w:tcPr>
          <w:p w14:paraId="0FA91C50" w14:textId="77777777" w:rsidR="00AB10A9" w:rsidRPr="007D12A6" w:rsidRDefault="00AB10A9" w:rsidP="00AB10A9">
            <w:pPr>
              <w:spacing w:after="0"/>
              <w:jc w:val="center"/>
              <w:rPr>
                <w:b/>
                <w:bCs/>
                <w:sz w:val="18"/>
                <w:szCs w:val="18"/>
              </w:rPr>
            </w:pPr>
            <w:r w:rsidRPr="007D12A6">
              <w:rPr>
                <w:b/>
                <w:bCs/>
                <w:sz w:val="18"/>
                <w:szCs w:val="18"/>
              </w:rPr>
              <w:t>2020</w:t>
            </w:r>
          </w:p>
        </w:tc>
        <w:tc>
          <w:tcPr>
            <w:tcW w:w="971" w:type="dxa"/>
            <w:tcBorders>
              <w:top w:val="nil"/>
              <w:left w:val="nil"/>
              <w:bottom w:val="nil"/>
              <w:right w:val="nil"/>
            </w:tcBorders>
            <w:shd w:val="clear" w:color="000000" w:fill="BFBFBF"/>
            <w:vAlign w:val="center"/>
            <w:hideMark/>
          </w:tcPr>
          <w:p w14:paraId="65AFE5AD" w14:textId="77777777" w:rsidR="00AB10A9" w:rsidRPr="007D12A6" w:rsidRDefault="00AB10A9" w:rsidP="00014F97">
            <w:pPr>
              <w:spacing w:after="0"/>
              <w:ind w:right="-206"/>
              <w:jc w:val="center"/>
              <w:rPr>
                <w:b/>
                <w:bCs/>
                <w:sz w:val="18"/>
                <w:szCs w:val="18"/>
              </w:rPr>
            </w:pPr>
            <w:r w:rsidRPr="007D12A6">
              <w:rPr>
                <w:b/>
                <w:bCs/>
                <w:sz w:val="18"/>
                <w:szCs w:val="18"/>
              </w:rPr>
              <w:t xml:space="preserve"> v tis. eur</w:t>
            </w:r>
          </w:p>
        </w:tc>
        <w:tc>
          <w:tcPr>
            <w:tcW w:w="1265" w:type="dxa"/>
            <w:tcBorders>
              <w:top w:val="nil"/>
              <w:left w:val="nil"/>
              <w:bottom w:val="nil"/>
              <w:right w:val="nil"/>
            </w:tcBorders>
            <w:shd w:val="clear" w:color="000000" w:fill="BFBFBF"/>
            <w:vAlign w:val="center"/>
            <w:hideMark/>
          </w:tcPr>
          <w:p w14:paraId="280B1C07" w14:textId="77777777" w:rsidR="00AB10A9" w:rsidRPr="007D12A6" w:rsidRDefault="00AB10A9" w:rsidP="00014F97">
            <w:pPr>
              <w:spacing w:after="0"/>
              <w:ind w:right="-210"/>
              <w:jc w:val="center"/>
              <w:rPr>
                <w:b/>
                <w:bCs/>
                <w:sz w:val="18"/>
                <w:szCs w:val="18"/>
              </w:rPr>
            </w:pPr>
            <w:r w:rsidRPr="007D12A6">
              <w:rPr>
                <w:b/>
                <w:bCs/>
                <w:sz w:val="18"/>
                <w:szCs w:val="18"/>
              </w:rPr>
              <w:t>v %</w:t>
            </w:r>
          </w:p>
        </w:tc>
      </w:tr>
      <w:tr w:rsidR="00AB10A9" w:rsidRPr="007D12A6" w14:paraId="46842830" w14:textId="77777777" w:rsidTr="007D12A6">
        <w:trPr>
          <w:trHeight w:val="73"/>
        </w:trPr>
        <w:tc>
          <w:tcPr>
            <w:tcW w:w="3676" w:type="dxa"/>
            <w:tcBorders>
              <w:top w:val="nil"/>
              <w:left w:val="nil"/>
              <w:bottom w:val="single" w:sz="8" w:space="0" w:color="auto"/>
              <w:right w:val="nil"/>
            </w:tcBorders>
            <w:shd w:val="clear" w:color="000000" w:fill="BFBFBF"/>
            <w:vAlign w:val="center"/>
            <w:hideMark/>
          </w:tcPr>
          <w:p w14:paraId="07049309" w14:textId="77777777" w:rsidR="00AB10A9" w:rsidRPr="007D12A6" w:rsidRDefault="00AB10A9" w:rsidP="00AB10A9">
            <w:pPr>
              <w:rPr>
                <w:b/>
                <w:bCs/>
                <w:sz w:val="18"/>
                <w:szCs w:val="18"/>
              </w:rPr>
            </w:pPr>
            <w:r w:rsidRPr="007D12A6">
              <w:rPr>
                <w:b/>
                <w:bCs/>
                <w:sz w:val="18"/>
                <w:szCs w:val="18"/>
              </w:rPr>
              <w:t> </w:t>
            </w:r>
          </w:p>
        </w:tc>
        <w:tc>
          <w:tcPr>
            <w:tcW w:w="567" w:type="dxa"/>
            <w:tcBorders>
              <w:top w:val="nil"/>
              <w:left w:val="nil"/>
              <w:bottom w:val="single" w:sz="8" w:space="0" w:color="auto"/>
              <w:right w:val="nil"/>
            </w:tcBorders>
            <w:shd w:val="clear" w:color="000000" w:fill="BFBFBF"/>
            <w:vAlign w:val="center"/>
            <w:hideMark/>
          </w:tcPr>
          <w:p w14:paraId="55898461" w14:textId="77777777" w:rsidR="00AB10A9" w:rsidRPr="007D12A6" w:rsidRDefault="00AB10A9" w:rsidP="00AB10A9">
            <w:pPr>
              <w:spacing w:after="0"/>
              <w:jc w:val="center"/>
              <w:rPr>
                <w:b/>
                <w:bCs/>
                <w:sz w:val="18"/>
                <w:szCs w:val="18"/>
              </w:rPr>
            </w:pPr>
            <w:r w:rsidRPr="007D12A6">
              <w:rPr>
                <w:b/>
                <w:bCs/>
                <w:sz w:val="18"/>
                <w:szCs w:val="18"/>
              </w:rPr>
              <w:t>1</w:t>
            </w:r>
          </w:p>
        </w:tc>
        <w:tc>
          <w:tcPr>
            <w:tcW w:w="850" w:type="dxa"/>
            <w:tcBorders>
              <w:top w:val="nil"/>
              <w:left w:val="nil"/>
              <w:bottom w:val="single" w:sz="8" w:space="0" w:color="auto"/>
              <w:right w:val="nil"/>
            </w:tcBorders>
            <w:shd w:val="clear" w:color="000000" w:fill="BFBFBF"/>
            <w:vAlign w:val="center"/>
            <w:hideMark/>
          </w:tcPr>
          <w:p w14:paraId="17A85B5A" w14:textId="77777777" w:rsidR="00AB10A9" w:rsidRPr="007D12A6" w:rsidRDefault="00AB10A9" w:rsidP="00AB10A9">
            <w:pPr>
              <w:spacing w:after="0"/>
              <w:jc w:val="center"/>
              <w:rPr>
                <w:b/>
                <w:bCs/>
                <w:sz w:val="18"/>
                <w:szCs w:val="18"/>
              </w:rPr>
            </w:pPr>
            <w:r w:rsidRPr="007D12A6">
              <w:rPr>
                <w:b/>
                <w:bCs/>
                <w:sz w:val="18"/>
                <w:szCs w:val="18"/>
              </w:rPr>
              <w:t>2</w:t>
            </w:r>
          </w:p>
        </w:tc>
        <w:tc>
          <w:tcPr>
            <w:tcW w:w="850" w:type="dxa"/>
            <w:tcBorders>
              <w:top w:val="nil"/>
              <w:left w:val="nil"/>
              <w:bottom w:val="single" w:sz="8" w:space="0" w:color="auto"/>
              <w:right w:val="nil"/>
            </w:tcBorders>
            <w:shd w:val="clear" w:color="000000" w:fill="BFBFBF"/>
            <w:vAlign w:val="center"/>
            <w:hideMark/>
          </w:tcPr>
          <w:p w14:paraId="30C54491" w14:textId="77777777" w:rsidR="00AB10A9" w:rsidRPr="007D12A6" w:rsidRDefault="00AB10A9" w:rsidP="00AB10A9">
            <w:pPr>
              <w:spacing w:after="0"/>
              <w:jc w:val="center"/>
              <w:rPr>
                <w:b/>
                <w:bCs/>
                <w:sz w:val="18"/>
                <w:szCs w:val="18"/>
              </w:rPr>
            </w:pPr>
            <w:r w:rsidRPr="007D12A6">
              <w:rPr>
                <w:b/>
                <w:bCs/>
                <w:sz w:val="18"/>
                <w:szCs w:val="18"/>
              </w:rPr>
              <w:t>3</w:t>
            </w:r>
          </w:p>
        </w:tc>
        <w:tc>
          <w:tcPr>
            <w:tcW w:w="1025" w:type="dxa"/>
            <w:tcBorders>
              <w:top w:val="nil"/>
              <w:left w:val="nil"/>
              <w:bottom w:val="single" w:sz="8" w:space="0" w:color="auto"/>
              <w:right w:val="nil"/>
            </w:tcBorders>
            <w:shd w:val="clear" w:color="000000" w:fill="BFBFBF"/>
            <w:vAlign w:val="center"/>
            <w:hideMark/>
          </w:tcPr>
          <w:p w14:paraId="1AE44359" w14:textId="77777777" w:rsidR="00AB10A9" w:rsidRPr="007D12A6" w:rsidRDefault="00AB10A9" w:rsidP="00AB10A9">
            <w:pPr>
              <w:spacing w:after="0"/>
              <w:jc w:val="center"/>
              <w:rPr>
                <w:b/>
                <w:bCs/>
                <w:sz w:val="18"/>
                <w:szCs w:val="18"/>
              </w:rPr>
            </w:pPr>
            <w:r w:rsidRPr="007D12A6">
              <w:rPr>
                <w:b/>
                <w:bCs/>
                <w:sz w:val="18"/>
                <w:szCs w:val="18"/>
              </w:rPr>
              <w:t>4</w:t>
            </w:r>
          </w:p>
        </w:tc>
        <w:tc>
          <w:tcPr>
            <w:tcW w:w="971" w:type="dxa"/>
            <w:tcBorders>
              <w:top w:val="nil"/>
              <w:left w:val="nil"/>
              <w:bottom w:val="single" w:sz="8" w:space="0" w:color="auto"/>
              <w:right w:val="nil"/>
            </w:tcBorders>
            <w:shd w:val="clear" w:color="000000" w:fill="BFBFBF"/>
            <w:vAlign w:val="center"/>
            <w:hideMark/>
          </w:tcPr>
          <w:p w14:paraId="41F86A8C" w14:textId="77777777" w:rsidR="00AB10A9" w:rsidRPr="007D12A6" w:rsidRDefault="00AB10A9" w:rsidP="00014F97">
            <w:pPr>
              <w:spacing w:after="0"/>
              <w:ind w:right="-348"/>
              <w:jc w:val="center"/>
              <w:rPr>
                <w:b/>
                <w:bCs/>
                <w:sz w:val="18"/>
                <w:szCs w:val="18"/>
              </w:rPr>
            </w:pPr>
            <w:r w:rsidRPr="007D12A6">
              <w:rPr>
                <w:b/>
                <w:bCs/>
                <w:sz w:val="18"/>
                <w:szCs w:val="18"/>
              </w:rPr>
              <w:t>5=4-3</w:t>
            </w:r>
          </w:p>
        </w:tc>
        <w:tc>
          <w:tcPr>
            <w:tcW w:w="1265" w:type="dxa"/>
            <w:tcBorders>
              <w:top w:val="nil"/>
              <w:left w:val="nil"/>
              <w:bottom w:val="single" w:sz="8" w:space="0" w:color="auto"/>
              <w:right w:val="nil"/>
            </w:tcBorders>
            <w:shd w:val="clear" w:color="000000" w:fill="BFBFBF"/>
            <w:vAlign w:val="center"/>
            <w:hideMark/>
          </w:tcPr>
          <w:p w14:paraId="721C660E" w14:textId="4EF0E9C4" w:rsidR="00AB10A9" w:rsidRPr="007D12A6" w:rsidRDefault="00AB10A9" w:rsidP="004D24AB">
            <w:pPr>
              <w:spacing w:after="0"/>
              <w:ind w:right="215"/>
              <w:jc w:val="right"/>
              <w:rPr>
                <w:b/>
                <w:bCs/>
                <w:sz w:val="18"/>
                <w:szCs w:val="18"/>
              </w:rPr>
            </w:pPr>
            <w:r w:rsidRPr="007D12A6">
              <w:rPr>
                <w:b/>
                <w:bCs/>
                <w:sz w:val="18"/>
                <w:szCs w:val="18"/>
              </w:rPr>
              <w:t>6=4-3</w:t>
            </w:r>
          </w:p>
        </w:tc>
      </w:tr>
      <w:tr w:rsidR="00AB10A9" w:rsidRPr="007D12A6" w14:paraId="56725C76" w14:textId="77777777" w:rsidTr="007D12A6">
        <w:trPr>
          <w:trHeight w:val="278"/>
        </w:trPr>
        <w:tc>
          <w:tcPr>
            <w:tcW w:w="3676" w:type="dxa"/>
            <w:tcBorders>
              <w:top w:val="nil"/>
              <w:left w:val="nil"/>
              <w:bottom w:val="nil"/>
              <w:right w:val="nil"/>
            </w:tcBorders>
            <w:shd w:val="clear" w:color="000000" w:fill="FFFFFF"/>
            <w:noWrap/>
            <w:vAlign w:val="center"/>
            <w:hideMark/>
          </w:tcPr>
          <w:p w14:paraId="57069214" w14:textId="77777777" w:rsidR="00AB10A9" w:rsidRPr="007D12A6" w:rsidRDefault="00AB10A9" w:rsidP="00AB10A9">
            <w:pPr>
              <w:spacing w:after="0" w:line="240" w:lineRule="auto"/>
              <w:jc w:val="left"/>
              <w:rPr>
                <w:rFonts w:eastAsia="Times New Roman" w:cs="Times New Roman"/>
                <w:sz w:val="18"/>
                <w:szCs w:val="18"/>
                <w:lang w:eastAsia="sk-SK"/>
              </w:rPr>
            </w:pPr>
            <w:r w:rsidRPr="007D12A6">
              <w:rPr>
                <w:rFonts w:eastAsia="Times New Roman" w:cs="Times New Roman"/>
                <w:sz w:val="18"/>
                <w:szCs w:val="18"/>
                <w:lang w:eastAsia="sk-SK"/>
              </w:rPr>
              <w:t>Rezerva vlády SR</w:t>
            </w:r>
          </w:p>
        </w:tc>
        <w:tc>
          <w:tcPr>
            <w:tcW w:w="567" w:type="dxa"/>
            <w:tcBorders>
              <w:top w:val="nil"/>
              <w:left w:val="nil"/>
              <w:bottom w:val="nil"/>
              <w:right w:val="nil"/>
            </w:tcBorders>
            <w:shd w:val="clear" w:color="auto" w:fill="auto"/>
            <w:noWrap/>
            <w:vAlign w:val="center"/>
          </w:tcPr>
          <w:p w14:paraId="321EDE89" w14:textId="77777777" w:rsidR="00AB10A9" w:rsidRPr="007D12A6" w:rsidRDefault="00AB10A9" w:rsidP="00AB10A9">
            <w:pPr>
              <w:spacing w:after="0" w:line="240" w:lineRule="auto"/>
              <w:jc w:val="right"/>
              <w:rPr>
                <w:rFonts w:eastAsia="Times New Roman" w:cs="Times New Roman"/>
                <w:sz w:val="18"/>
                <w:szCs w:val="18"/>
                <w:lang w:eastAsia="sk-SK"/>
              </w:rPr>
            </w:pPr>
            <w:r w:rsidRPr="007D12A6">
              <w:rPr>
                <w:rFonts w:eastAsia="Times New Roman" w:cs="Times New Roman"/>
                <w:sz w:val="18"/>
                <w:szCs w:val="18"/>
                <w:lang w:eastAsia="sk-SK"/>
              </w:rPr>
              <w:t>3 477</w:t>
            </w:r>
          </w:p>
        </w:tc>
        <w:tc>
          <w:tcPr>
            <w:tcW w:w="850" w:type="dxa"/>
            <w:tcBorders>
              <w:top w:val="nil"/>
              <w:left w:val="nil"/>
              <w:bottom w:val="nil"/>
              <w:right w:val="nil"/>
            </w:tcBorders>
            <w:shd w:val="clear" w:color="000000" w:fill="FFFFFF"/>
            <w:noWrap/>
            <w:vAlign w:val="center"/>
          </w:tcPr>
          <w:p w14:paraId="654BFC5E" w14:textId="77777777" w:rsidR="00AB10A9" w:rsidRPr="007D12A6" w:rsidRDefault="00AB10A9" w:rsidP="00AB10A9">
            <w:pPr>
              <w:spacing w:after="0" w:line="240" w:lineRule="auto"/>
              <w:jc w:val="right"/>
              <w:rPr>
                <w:rFonts w:eastAsia="Times New Roman" w:cs="Times New Roman"/>
                <w:sz w:val="18"/>
                <w:szCs w:val="18"/>
                <w:lang w:eastAsia="sk-SK"/>
              </w:rPr>
            </w:pPr>
            <w:r w:rsidRPr="007D12A6">
              <w:rPr>
                <w:rFonts w:eastAsia="Times New Roman" w:cs="Times New Roman"/>
                <w:sz w:val="18"/>
                <w:szCs w:val="18"/>
                <w:lang w:eastAsia="sk-SK"/>
              </w:rPr>
              <w:t>5 083</w:t>
            </w:r>
          </w:p>
        </w:tc>
        <w:tc>
          <w:tcPr>
            <w:tcW w:w="850" w:type="dxa"/>
            <w:tcBorders>
              <w:top w:val="nil"/>
              <w:left w:val="nil"/>
              <w:bottom w:val="nil"/>
              <w:right w:val="nil"/>
            </w:tcBorders>
            <w:shd w:val="clear" w:color="000000" w:fill="FFFFFF"/>
            <w:noWrap/>
            <w:vAlign w:val="center"/>
          </w:tcPr>
          <w:p w14:paraId="2F1D90BE" w14:textId="77777777" w:rsidR="00AB10A9" w:rsidRPr="007D12A6" w:rsidRDefault="00AB10A9" w:rsidP="00AB10A9">
            <w:pPr>
              <w:spacing w:after="0" w:line="240" w:lineRule="auto"/>
              <w:jc w:val="right"/>
              <w:rPr>
                <w:rFonts w:eastAsia="Times New Roman" w:cs="Times New Roman"/>
                <w:sz w:val="18"/>
                <w:szCs w:val="18"/>
                <w:lang w:eastAsia="sk-SK"/>
              </w:rPr>
            </w:pPr>
            <w:r w:rsidRPr="007D12A6">
              <w:rPr>
                <w:rFonts w:eastAsia="Times New Roman" w:cs="Times New Roman"/>
                <w:sz w:val="18"/>
                <w:szCs w:val="18"/>
                <w:lang w:eastAsia="sk-SK"/>
              </w:rPr>
              <w:t>5 000</w:t>
            </w:r>
          </w:p>
        </w:tc>
        <w:tc>
          <w:tcPr>
            <w:tcW w:w="1025" w:type="dxa"/>
            <w:tcBorders>
              <w:top w:val="nil"/>
              <w:left w:val="nil"/>
              <w:bottom w:val="nil"/>
              <w:right w:val="nil"/>
            </w:tcBorders>
            <w:shd w:val="clear" w:color="auto" w:fill="BFBFBF" w:themeFill="background1" w:themeFillShade="BF"/>
            <w:noWrap/>
            <w:vAlign w:val="center"/>
          </w:tcPr>
          <w:p w14:paraId="1C46A6C3" w14:textId="77777777" w:rsidR="00AB10A9" w:rsidRPr="007D12A6" w:rsidRDefault="00AB10A9" w:rsidP="00AB10A9">
            <w:pPr>
              <w:spacing w:after="0" w:line="240" w:lineRule="auto"/>
              <w:jc w:val="right"/>
              <w:rPr>
                <w:rFonts w:eastAsia="Times New Roman" w:cs="Times New Roman"/>
                <w:sz w:val="18"/>
                <w:szCs w:val="18"/>
                <w:lang w:eastAsia="sk-SK"/>
              </w:rPr>
            </w:pPr>
            <w:r w:rsidRPr="007D12A6">
              <w:rPr>
                <w:rFonts w:eastAsia="Times New Roman" w:cs="Times New Roman"/>
                <w:sz w:val="18"/>
                <w:szCs w:val="18"/>
                <w:lang w:eastAsia="sk-SK"/>
              </w:rPr>
              <w:t>1 015</w:t>
            </w:r>
          </w:p>
        </w:tc>
        <w:tc>
          <w:tcPr>
            <w:tcW w:w="971" w:type="dxa"/>
            <w:tcBorders>
              <w:top w:val="nil"/>
              <w:left w:val="nil"/>
              <w:bottom w:val="nil"/>
              <w:right w:val="nil"/>
            </w:tcBorders>
            <w:shd w:val="clear" w:color="000000" w:fill="FFFFFF"/>
            <w:vAlign w:val="center"/>
          </w:tcPr>
          <w:p w14:paraId="5D78433B" w14:textId="77777777" w:rsidR="00AB10A9" w:rsidRPr="007D12A6" w:rsidRDefault="00AB10A9" w:rsidP="00AB10A9">
            <w:pPr>
              <w:spacing w:after="0" w:line="240" w:lineRule="auto"/>
              <w:jc w:val="right"/>
              <w:rPr>
                <w:rFonts w:eastAsia="Times New Roman" w:cs="Times New Roman"/>
                <w:sz w:val="18"/>
                <w:szCs w:val="18"/>
                <w:lang w:eastAsia="sk-SK"/>
              </w:rPr>
            </w:pPr>
            <w:r w:rsidRPr="007D12A6">
              <w:rPr>
                <w:rFonts w:eastAsia="Times New Roman" w:cs="Times New Roman"/>
                <w:sz w:val="18"/>
                <w:szCs w:val="18"/>
                <w:lang w:eastAsia="sk-SK"/>
              </w:rPr>
              <w:t>-3 985</w:t>
            </w:r>
          </w:p>
        </w:tc>
        <w:tc>
          <w:tcPr>
            <w:tcW w:w="1265" w:type="dxa"/>
            <w:tcBorders>
              <w:top w:val="nil"/>
              <w:left w:val="nil"/>
              <w:bottom w:val="nil"/>
              <w:right w:val="nil"/>
            </w:tcBorders>
            <w:shd w:val="clear" w:color="000000" w:fill="FFFFFF"/>
            <w:vAlign w:val="center"/>
          </w:tcPr>
          <w:p w14:paraId="69B817B5" w14:textId="77777777" w:rsidR="00AB10A9" w:rsidRPr="007D12A6" w:rsidRDefault="00AB10A9" w:rsidP="004D24AB">
            <w:pPr>
              <w:spacing w:after="0" w:line="240" w:lineRule="auto"/>
              <w:ind w:right="309"/>
              <w:jc w:val="right"/>
              <w:rPr>
                <w:rFonts w:eastAsia="Times New Roman" w:cs="Times New Roman"/>
                <w:sz w:val="18"/>
                <w:szCs w:val="18"/>
                <w:lang w:eastAsia="sk-SK"/>
              </w:rPr>
            </w:pPr>
            <w:r w:rsidRPr="007D12A6">
              <w:rPr>
                <w:rFonts w:eastAsia="Times New Roman" w:cs="Times New Roman"/>
                <w:sz w:val="18"/>
                <w:szCs w:val="18"/>
                <w:lang w:eastAsia="sk-SK"/>
              </w:rPr>
              <w:t>20,3</w:t>
            </w:r>
          </w:p>
        </w:tc>
      </w:tr>
      <w:tr w:rsidR="00AB10A9" w:rsidRPr="007D12A6" w14:paraId="29B1E178" w14:textId="77777777" w:rsidTr="007D12A6">
        <w:trPr>
          <w:trHeight w:val="278"/>
        </w:trPr>
        <w:tc>
          <w:tcPr>
            <w:tcW w:w="3676" w:type="dxa"/>
            <w:tcBorders>
              <w:top w:val="nil"/>
              <w:left w:val="nil"/>
              <w:bottom w:val="nil"/>
              <w:right w:val="nil"/>
            </w:tcBorders>
            <w:shd w:val="clear" w:color="000000" w:fill="FFFFFF"/>
            <w:noWrap/>
            <w:vAlign w:val="center"/>
            <w:hideMark/>
          </w:tcPr>
          <w:p w14:paraId="7C51EF4F" w14:textId="77777777" w:rsidR="00AB10A9" w:rsidRPr="007D12A6" w:rsidRDefault="00AB10A9" w:rsidP="00AB10A9">
            <w:pPr>
              <w:spacing w:after="0" w:line="240" w:lineRule="auto"/>
              <w:jc w:val="left"/>
              <w:rPr>
                <w:rFonts w:eastAsia="Times New Roman" w:cs="Times New Roman"/>
                <w:sz w:val="18"/>
                <w:szCs w:val="18"/>
                <w:lang w:eastAsia="sk-SK"/>
              </w:rPr>
            </w:pPr>
            <w:r w:rsidRPr="007D12A6">
              <w:rPr>
                <w:rFonts w:eastAsia="Times New Roman" w:cs="Times New Roman"/>
                <w:sz w:val="18"/>
                <w:szCs w:val="18"/>
                <w:lang w:eastAsia="sk-SK"/>
              </w:rPr>
              <w:t>Rezerva predsedu vlády SR</w:t>
            </w:r>
          </w:p>
        </w:tc>
        <w:tc>
          <w:tcPr>
            <w:tcW w:w="567" w:type="dxa"/>
            <w:tcBorders>
              <w:top w:val="nil"/>
              <w:left w:val="nil"/>
              <w:bottom w:val="nil"/>
              <w:right w:val="nil"/>
            </w:tcBorders>
            <w:shd w:val="clear" w:color="auto" w:fill="auto"/>
            <w:noWrap/>
            <w:vAlign w:val="center"/>
          </w:tcPr>
          <w:p w14:paraId="6E569EBC" w14:textId="77777777" w:rsidR="00AB10A9" w:rsidRPr="007D12A6" w:rsidRDefault="00AB10A9" w:rsidP="00AB10A9">
            <w:pPr>
              <w:spacing w:after="0" w:line="240" w:lineRule="auto"/>
              <w:jc w:val="right"/>
              <w:rPr>
                <w:rFonts w:eastAsia="Times New Roman" w:cs="Times New Roman"/>
                <w:sz w:val="18"/>
                <w:szCs w:val="18"/>
                <w:lang w:eastAsia="sk-SK"/>
              </w:rPr>
            </w:pPr>
            <w:r w:rsidRPr="007D12A6">
              <w:rPr>
                <w:rFonts w:eastAsia="Times New Roman" w:cs="Times New Roman"/>
                <w:sz w:val="18"/>
                <w:szCs w:val="18"/>
                <w:lang w:eastAsia="sk-SK"/>
              </w:rPr>
              <w:t>3 144</w:t>
            </w:r>
          </w:p>
        </w:tc>
        <w:tc>
          <w:tcPr>
            <w:tcW w:w="850" w:type="dxa"/>
            <w:tcBorders>
              <w:top w:val="nil"/>
              <w:left w:val="nil"/>
              <w:bottom w:val="nil"/>
              <w:right w:val="nil"/>
            </w:tcBorders>
            <w:shd w:val="clear" w:color="000000" w:fill="FFFFFF"/>
            <w:noWrap/>
            <w:vAlign w:val="center"/>
          </w:tcPr>
          <w:p w14:paraId="0C148803" w14:textId="77777777" w:rsidR="00AB10A9" w:rsidRPr="007D12A6" w:rsidRDefault="00AB10A9" w:rsidP="00AB10A9">
            <w:pPr>
              <w:spacing w:after="0" w:line="240" w:lineRule="auto"/>
              <w:jc w:val="right"/>
              <w:rPr>
                <w:rFonts w:eastAsia="Times New Roman" w:cs="Times New Roman"/>
                <w:sz w:val="18"/>
                <w:szCs w:val="18"/>
                <w:lang w:eastAsia="sk-SK"/>
              </w:rPr>
            </w:pPr>
            <w:r w:rsidRPr="007D12A6">
              <w:rPr>
                <w:rFonts w:eastAsia="Times New Roman" w:cs="Times New Roman"/>
                <w:sz w:val="18"/>
                <w:szCs w:val="18"/>
                <w:lang w:eastAsia="sk-SK"/>
              </w:rPr>
              <w:t>3 360</w:t>
            </w:r>
          </w:p>
        </w:tc>
        <w:tc>
          <w:tcPr>
            <w:tcW w:w="850" w:type="dxa"/>
            <w:tcBorders>
              <w:top w:val="nil"/>
              <w:left w:val="nil"/>
              <w:bottom w:val="nil"/>
              <w:right w:val="nil"/>
            </w:tcBorders>
            <w:shd w:val="clear" w:color="000000" w:fill="FFFFFF"/>
            <w:noWrap/>
            <w:vAlign w:val="center"/>
          </w:tcPr>
          <w:p w14:paraId="0AB29C5B" w14:textId="77777777" w:rsidR="00AB10A9" w:rsidRPr="007D12A6" w:rsidRDefault="00AB10A9" w:rsidP="00AB10A9">
            <w:pPr>
              <w:spacing w:after="0" w:line="240" w:lineRule="auto"/>
              <w:jc w:val="right"/>
              <w:rPr>
                <w:rFonts w:eastAsia="Times New Roman" w:cs="Times New Roman"/>
                <w:sz w:val="18"/>
                <w:szCs w:val="18"/>
                <w:lang w:eastAsia="sk-SK"/>
              </w:rPr>
            </w:pPr>
            <w:r w:rsidRPr="007D12A6">
              <w:rPr>
                <w:rFonts w:eastAsia="Times New Roman" w:cs="Times New Roman"/>
                <w:sz w:val="18"/>
                <w:szCs w:val="18"/>
                <w:lang w:eastAsia="sk-SK"/>
              </w:rPr>
              <w:t>1 500</w:t>
            </w:r>
          </w:p>
        </w:tc>
        <w:tc>
          <w:tcPr>
            <w:tcW w:w="1025" w:type="dxa"/>
            <w:tcBorders>
              <w:top w:val="nil"/>
              <w:left w:val="nil"/>
              <w:bottom w:val="nil"/>
              <w:right w:val="nil"/>
            </w:tcBorders>
            <w:shd w:val="clear" w:color="auto" w:fill="BFBFBF" w:themeFill="background1" w:themeFillShade="BF"/>
            <w:noWrap/>
            <w:vAlign w:val="center"/>
          </w:tcPr>
          <w:p w14:paraId="01250A8E" w14:textId="77777777" w:rsidR="00AB10A9" w:rsidRPr="007D12A6" w:rsidRDefault="00AB10A9" w:rsidP="00AB10A9">
            <w:pPr>
              <w:spacing w:after="0" w:line="240" w:lineRule="auto"/>
              <w:jc w:val="right"/>
              <w:rPr>
                <w:rFonts w:eastAsia="Times New Roman" w:cs="Times New Roman"/>
                <w:sz w:val="18"/>
                <w:szCs w:val="18"/>
                <w:lang w:eastAsia="sk-SK"/>
              </w:rPr>
            </w:pPr>
            <w:r w:rsidRPr="007D12A6">
              <w:rPr>
                <w:rFonts w:eastAsia="Times New Roman" w:cs="Times New Roman"/>
                <w:sz w:val="18"/>
                <w:szCs w:val="18"/>
                <w:lang w:eastAsia="sk-SK"/>
              </w:rPr>
              <w:t>1 755</w:t>
            </w:r>
          </w:p>
        </w:tc>
        <w:tc>
          <w:tcPr>
            <w:tcW w:w="971" w:type="dxa"/>
            <w:tcBorders>
              <w:top w:val="nil"/>
              <w:left w:val="nil"/>
              <w:bottom w:val="nil"/>
              <w:right w:val="nil"/>
            </w:tcBorders>
            <w:shd w:val="clear" w:color="000000" w:fill="FFFFFF"/>
            <w:vAlign w:val="center"/>
          </w:tcPr>
          <w:p w14:paraId="0512A59C" w14:textId="77777777" w:rsidR="00AB10A9" w:rsidRPr="007D12A6" w:rsidRDefault="00AB10A9" w:rsidP="00AB10A9">
            <w:pPr>
              <w:spacing w:after="0" w:line="240" w:lineRule="auto"/>
              <w:jc w:val="right"/>
              <w:rPr>
                <w:rFonts w:eastAsia="Times New Roman" w:cs="Times New Roman"/>
                <w:sz w:val="18"/>
                <w:szCs w:val="18"/>
                <w:lang w:eastAsia="sk-SK"/>
              </w:rPr>
            </w:pPr>
            <w:r w:rsidRPr="007D12A6">
              <w:rPr>
                <w:rFonts w:eastAsia="Times New Roman" w:cs="Times New Roman"/>
                <w:sz w:val="18"/>
                <w:szCs w:val="18"/>
                <w:lang w:eastAsia="sk-SK"/>
              </w:rPr>
              <w:t>255</w:t>
            </w:r>
          </w:p>
        </w:tc>
        <w:tc>
          <w:tcPr>
            <w:tcW w:w="1265" w:type="dxa"/>
            <w:tcBorders>
              <w:top w:val="nil"/>
              <w:left w:val="nil"/>
              <w:bottom w:val="nil"/>
              <w:right w:val="nil"/>
            </w:tcBorders>
            <w:shd w:val="clear" w:color="000000" w:fill="FFFFFF"/>
            <w:vAlign w:val="center"/>
          </w:tcPr>
          <w:p w14:paraId="3767F1BE" w14:textId="77777777" w:rsidR="00AB10A9" w:rsidRPr="007D12A6" w:rsidRDefault="00AB10A9" w:rsidP="004D24AB">
            <w:pPr>
              <w:spacing w:after="0" w:line="240" w:lineRule="auto"/>
              <w:ind w:left="63" w:right="309"/>
              <w:jc w:val="right"/>
              <w:rPr>
                <w:rFonts w:eastAsia="Times New Roman" w:cs="Times New Roman"/>
                <w:sz w:val="18"/>
                <w:szCs w:val="18"/>
                <w:lang w:eastAsia="sk-SK"/>
              </w:rPr>
            </w:pPr>
            <w:r w:rsidRPr="007D12A6">
              <w:rPr>
                <w:rFonts w:eastAsia="Times New Roman" w:cs="Times New Roman"/>
                <w:sz w:val="18"/>
                <w:szCs w:val="18"/>
                <w:lang w:eastAsia="sk-SK"/>
              </w:rPr>
              <w:t>17</w:t>
            </w:r>
          </w:p>
        </w:tc>
      </w:tr>
      <w:tr w:rsidR="00AB10A9" w:rsidRPr="007D12A6" w14:paraId="499E197B" w14:textId="77777777" w:rsidTr="007D12A6">
        <w:trPr>
          <w:trHeight w:val="278"/>
        </w:trPr>
        <w:tc>
          <w:tcPr>
            <w:tcW w:w="3676" w:type="dxa"/>
            <w:tcBorders>
              <w:top w:val="nil"/>
              <w:left w:val="nil"/>
              <w:bottom w:val="nil"/>
              <w:right w:val="nil"/>
            </w:tcBorders>
            <w:shd w:val="clear" w:color="000000" w:fill="FFFFFF"/>
            <w:noWrap/>
            <w:vAlign w:val="center"/>
            <w:hideMark/>
          </w:tcPr>
          <w:p w14:paraId="28239236" w14:textId="1CF2C7B0" w:rsidR="00AB10A9" w:rsidRPr="007D12A6" w:rsidRDefault="00AB10A9" w:rsidP="007D12A6">
            <w:pPr>
              <w:spacing w:after="0" w:line="240" w:lineRule="auto"/>
              <w:jc w:val="left"/>
              <w:rPr>
                <w:rFonts w:eastAsia="Times New Roman" w:cs="Times New Roman"/>
                <w:sz w:val="18"/>
                <w:szCs w:val="18"/>
                <w:lang w:eastAsia="sk-SK"/>
              </w:rPr>
            </w:pPr>
            <w:r w:rsidRPr="007D12A6">
              <w:rPr>
                <w:rFonts w:eastAsia="Times New Roman" w:cs="Times New Roman"/>
                <w:sz w:val="18"/>
                <w:szCs w:val="18"/>
                <w:lang w:eastAsia="sk-SK"/>
              </w:rPr>
              <w:t>Rezerva na prostriedky a odvody EÚ</w:t>
            </w:r>
          </w:p>
        </w:tc>
        <w:tc>
          <w:tcPr>
            <w:tcW w:w="567" w:type="dxa"/>
            <w:tcBorders>
              <w:top w:val="nil"/>
              <w:left w:val="nil"/>
              <w:bottom w:val="nil"/>
              <w:right w:val="nil"/>
            </w:tcBorders>
            <w:shd w:val="clear" w:color="auto" w:fill="auto"/>
            <w:noWrap/>
            <w:vAlign w:val="center"/>
          </w:tcPr>
          <w:p w14:paraId="77ACDE62" w14:textId="77777777" w:rsidR="00AB10A9" w:rsidRPr="007D12A6" w:rsidRDefault="00AB10A9" w:rsidP="00AB10A9">
            <w:pPr>
              <w:spacing w:after="0" w:line="240" w:lineRule="auto"/>
              <w:jc w:val="right"/>
              <w:rPr>
                <w:rFonts w:eastAsia="Times New Roman" w:cs="Times New Roman"/>
                <w:sz w:val="18"/>
                <w:szCs w:val="18"/>
                <w:lang w:eastAsia="sk-SK"/>
              </w:rPr>
            </w:pPr>
            <w:r w:rsidRPr="007D12A6">
              <w:rPr>
                <w:rFonts w:eastAsia="Times New Roman" w:cs="Times New Roman"/>
                <w:sz w:val="18"/>
                <w:szCs w:val="18"/>
                <w:lang w:eastAsia="sk-SK"/>
              </w:rPr>
              <w:t>0</w:t>
            </w:r>
          </w:p>
        </w:tc>
        <w:tc>
          <w:tcPr>
            <w:tcW w:w="850" w:type="dxa"/>
            <w:tcBorders>
              <w:top w:val="nil"/>
              <w:left w:val="nil"/>
              <w:bottom w:val="nil"/>
              <w:right w:val="nil"/>
            </w:tcBorders>
            <w:shd w:val="clear" w:color="000000" w:fill="FFFFFF"/>
            <w:noWrap/>
            <w:vAlign w:val="center"/>
          </w:tcPr>
          <w:p w14:paraId="3DDC3B5B" w14:textId="77777777" w:rsidR="00AB10A9" w:rsidRPr="007D12A6" w:rsidRDefault="00AB10A9" w:rsidP="00AB10A9">
            <w:pPr>
              <w:spacing w:after="0" w:line="240" w:lineRule="auto"/>
              <w:jc w:val="right"/>
              <w:rPr>
                <w:rFonts w:eastAsia="Times New Roman" w:cs="Times New Roman"/>
                <w:sz w:val="18"/>
                <w:szCs w:val="18"/>
                <w:lang w:eastAsia="sk-SK"/>
              </w:rPr>
            </w:pPr>
            <w:r w:rsidRPr="007D12A6">
              <w:rPr>
                <w:rFonts w:eastAsia="Times New Roman" w:cs="Times New Roman"/>
                <w:sz w:val="18"/>
                <w:szCs w:val="18"/>
                <w:lang w:eastAsia="sk-SK"/>
              </w:rPr>
              <w:t>0</w:t>
            </w:r>
          </w:p>
        </w:tc>
        <w:tc>
          <w:tcPr>
            <w:tcW w:w="850" w:type="dxa"/>
            <w:tcBorders>
              <w:top w:val="nil"/>
              <w:left w:val="nil"/>
              <w:bottom w:val="nil"/>
              <w:right w:val="nil"/>
            </w:tcBorders>
            <w:shd w:val="clear" w:color="000000" w:fill="FFFFFF"/>
            <w:noWrap/>
            <w:vAlign w:val="center"/>
          </w:tcPr>
          <w:p w14:paraId="44DDDF4F" w14:textId="77777777" w:rsidR="00AB10A9" w:rsidRPr="007D12A6" w:rsidRDefault="00AB10A9" w:rsidP="00AB10A9">
            <w:pPr>
              <w:spacing w:after="0" w:line="240" w:lineRule="auto"/>
              <w:jc w:val="right"/>
              <w:rPr>
                <w:rFonts w:eastAsia="Times New Roman" w:cs="Times New Roman"/>
                <w:sz w:val="18"/>
                <w:szCs w:val="18"/>
                <w:lang w:eastAsia="sk-SK"/>
              </w:rPr>
            </w:pPr>
            <w:r w:rsidRPr="007D12A6">
              <w:rPr>
                <w:rFonts w:eastAsia="Times New Roman" w:cs="Times New Roman"/>
                <w:sz w:val="18"/>
                <w:szCs w:val="18"/>
                <w:lang w:eastAsia="sk-SK"/>
              </w:rPr>
              <w:t>79 698</w:t>
            </w:r>
          </w:p>
        </w:tc>
        <w:tc>
          <w:tcPr>
            <w:tcW w:w="1025" w:type="dxa"/>
            <w:tcBorders>
              <w:top w:val="nil"/>
              <w:left w:val="nil"/>
              <w:bottom w:val="nil"/>
              <w:right w:val="nil"/>
            </w:tcBorders>
            <w:shd w:val="clear" w:color="auto" w:fill="BFBFBF" w:themeFill="background1" w:themeFillShade="BF"/>
            <w:noWrap/>
            <w:vAlign w:val="center"/>
          </w:tcPr>
          <w:p w14:paraId="0ECCBDF5" w14:textId="77777777" w:rsidR="00AB10A9" w:rsidRPr="007D12A6" w:rsidRDefault="00AB10A9" w:rsidP="00AB10A9">
            <w:pPr>
              <w:spacing w:after="0" w:line="240" w:lineRule="auto"/>
              <w:jc w:val="right"/>
              <w:rPr>
                <w:rFonts w:eastAsia="Times New Roman" w:cs="Times New Roman"/>
                <w:sz w:val="18"/>
                <w:szCs w:val="18"/>
                <w:lang w:eastAsia="sk-SK"/>
              </w:rPr>
            </w:pPr>
            <w:r w:rsidRPr="007D12A6">
              <w:rPr>
                <w:rFonts w:eastAsia="Times New Roman" w:cs="Times New Roman"/>
                <w:sz w:val="18"/>
                <w:szCs w:val="18"/>
                <w:lang w:eastAsia="sk-SK"/>
              </w:rPr>
              <w:t>0</w:t>
            </w:r>
          </w:p>
        </w:tc>
        <w:tc>
          <w:tcPr>
            <w:tcW w:w="971" w:type="dxa"/>
            <w:tcBorders>
              <w:top w:val="nil"/>
              <w:left w:val="nil"/>
              <w:bottom w:val="nil"/>
              <w:right w:val="nil"/>
            </w:tcBorders>
            <w:shd w:val="clear" w:color="000000" w:fill="FFFFFF"/>
            <w:vAlign w:val="center"/>
          </w:tcPr>
          <w:p w14:paraId="5FA014D4" w14:textId="77777777" w:rsidR="00AB10A9" w:rsidRPr="007D12A6" w:rsidRDefault="00AB10A9" w:rsidP="00AB10A9">
            <w:pPr>
              <w:spacing w:after="0" w:line="240" w:lineRule="auto"/>
              <w:jc w:val="right"/>
              <w:rPr>
                <w:rFonts w:eastAsia="Times New Roman" w:cs="Times New Roman"/>
                <w:sz w:val="18"/>
                <w:szCs w:val="18"/>
                <w:lang w:eastAsia="sk-SK"/>
              </w:rPr>
            </w:pPr>
            <w:r w:rsidRPr="007D12A6">
              <w:rPr>
                <w:rFonts w:eastAsia="Times New Roman" w:cs="Times New Roman"/>
                <w:sz w:val="18"/>
                <w:szCs w:val="18"/>
                <w:lang w:eastAsia="sk-SK"/>
              </w:rPr>
              <w:t>-79 698</w:t>
            </w:r>
          </w:p>
        </w:tc>
        <w:tc>
          <w:tcPr>
            <w:tcW w:w="1265" w:type="dxa"/>
            <w:tcBorders>
              <w:top w:val="nil"/>
              <w:left w:val="nil"/>
              <w:bottom w:val="nil"/>
              <w:right w:val="nil"/>
            </w:tcBorders>
            <w:shd w:val="clear" w:color="000000" w:fill="FFFFFF"/>
            <w:vAlign w:val="center"/>
          </w:tcPr>
          <w:p w14:paraId="1B4BE508" w14:textId="77777777" w:rsidR="00AB10A9" w:rsidRPr="007D12A6" w:rsidRDefault="00AB10A9" w:rsidP="004D24AB">
            <w:pPr>
              <w:spacing w:after="0" w:line="240" w:lineRule="auto"/>
              <w:ind w:right="309"/>
              <w:jc w:val="right"/>
              <w:rPr>
                <w:rFonts w:eastAsia="Times New Roman" w:cs="Times New Roman"/>
                <w:sz w:val="18"/>
                <w:szCs w:val="18"/>
                <w:lang w:eastAsia="sk-SK"/>
              </w:rPr>
            </w:pPr>
            <w:r w:rsidRPr="007D12A6">
              <w:rPr>
                <w:rFonts w:eastAsia="Times New Roman" w:cs="Times New Roman"/>
                <w:sz w:val="18"/>
                <w:szCs w:val="18"/>
                <w:lang w:eastAsia="sk-SK"/>
              </w:rPr>
              <w:t>0</w:t>
            </w:r>
          </w:p>
        </w:tc>
      </w:tr>
      <w:tr w:rsidR="00AB10A9" w:rsidRPr="007D12A6" w14:paraId="05DE47D5" w14:textId="77777777" w:rsidTr="007D12A6">
        <w:trPr>
          <w:trHeight w:val="290"/>
        </w:trPr>
        <w:tc>
          <w:tcPr>
            <w:tcW w:w="3676" w:type="dxa"/>
            <w:tcBorders>
              <w:top w:val="single" w:sz="4" w:space="0" w:color="auto"/>
              <w:left w:val="nil"/>
              <w:bottom w:val="single" w:sz="8" w:space="0" w:color="auto"/>
              <w:right w:val="nil"/>
            </w:tcBorders>
            <w:shd w:val="clear" w:color="000000" w:fill="FFFFFF"/>
            <w:noWrap/>
            <w:vAlign w:val="center"/>
            <w:hideMark/>
          </w:tcPr>
          <w:p w14:paraId="514458A7" w14:textId="77777777" w:rsidR="00AB10A9" w:rsidRPr="007D12A6" w:rsidRDefault="00AB10A9" w:rsidP="00AB10A9">
            <w:pPr>
              <w:spacing w:after="0" w:line="240" w:lineRule="auto"/>
              <w:jc w:val="left"/>
              <w:rPr>
                <w:rFonts w:eastAsia="Times New Roman" w:cs="Times New Roman"/>
                <w:b/>
                <w:sz w:val="18"/>
                <w:szCs w:val="18"/>
                <w:lang w:eastAsia="sk-SK"/>
              </w:rPr>
            </w:pPr>
            <w:r w:rsidRPr="007D12A6">
              <w:rPr>
                <w:rFonts w:eastAsia="Times New Roman" w:cs="Times New Roman"/>
                <w:b/>
                <w:sz w:val="18"/>
                <w:szCs w:val="18"/>
                <w:lang w:eastAsia="sk-SK"/>
              </w:rPr>
              <w:t>Spolu</w:t>
            </w:r>
          </w:p>
        </w:tc>
        <w:tc>
          <w:tcPr>
            <w:tcW w:w="567" w:type="dxa"/>
            <w:tcBorders>
              <w:top w:val="single" w:sz="4" w:space="0" w:color="auto"/>
              <w:left w:val="nil"/>
              <w:bottom w:val="single" w:sz="8" w:space="0" w:color="auto"/>
              <w:right w:val="nil"/>
            </w:tcBorders>
            <w:shd w:val="clear" w:color="auto" w:fill="auto"/>
            <w:noWrap/>
            <w:vAlign w:val="center"/>
          </w:tcPr>
          <w:p w14:paraId="4609D7C2" w14:textId="77777777" w:rsidR="00AB10A9" w:rsidRPr="007D12A6" w:rsidRDefault="00AB10A9" w:rsidP="00AB10A9">
            <w:pPr>
              <w:spacing w:after="0" w:line="240" w:lineRule="auto"/>
              <w:jc w:val="right"/>
              <w:rPr>
                <w:rFonts w:eastAsia="Times New Roman" w:cs="Times New Roman"/>
                <w:b/>
                <w:sz w:val="18"/>
                <w:szCs w:val="18"/>
                <w:lang w:eastAsia="sk-SK"/>
              </w:rPr>
            </w:pPr>
            <w:r w:rsidRPr="007D12A6">
              <w:rPr>
                <w:rFonts w:eastAsia="Times New Roman" w:cs="Times New Roman"/>
                <w:b/>
                <w:sz w:val="18"/>
                <w:szCs w:val="18"/>
                <w:lang w:eastAsia="sk-SK"/>
              </w:rPr>
              <w:t>6 621</w:t>
            </w:r>
          </w:p>
        </w:tc>
        <w:tc>
          <w:tcPr>
            <w:tcW w:w="850" w:type="dxa"/>
            <w:tcBorders>
              <w:top w:val="single" w:sz="4" w:space="0" w:color="auto"/>
              <w:left w:val="nil"/>
              <w:bottom w:val="single" w:sz="8" w:space="0" w:color="auto"/>
              <w:right w:val="nil"/>
            </w:tcBorders>
            <w:shd w:val="clear" w:color="000000" w:fill="FFFFFF"/>
            <w:noWrap/>
            <w:vAlign w:val="center"/>
          </w:tcPr>
          <w:p w14:paraId="02A70632" w14:textId="77777777" w:rsidR="00AB10A9" w:rsidRPr="007D12A6" w:rsidRDefault="00AB10A9" w:rsidP="00AB10A9">
            <w:pPr>
              <w:spacing w:after="0" w:line="240" w:lineRule="auto"/>
              <w:jc w:val="right"/>
              <w:rPr>
                <w:rFonts w:eastAsia="Times New Roman" w:cs="Times New Roman"/>
                <w:b/>
                <w:sz w:val="18"/>
                <w:szCs w:val="18"/>
                <w:lang w:eastAsia="sk-SK"/>
              </w:rPr>
            </w:pPr>
            <w:r w:rsidRPr="007D12A6">
              <w:rPr>
                <w:rFonts w:eastAsia="Times New Roman" w:cs="Times New Roman"/>
                <w:b/>
                <w:sz w:val="18"/>
                <w:szCs w:val="18"/>
                <w:lang w:eastAsia="sk-SK"/>
              </w:rPr>
              <w:t>8 443</w:t>
            </w:r>
          </w:p>
        </w:tc>
        <w:tc>
          <w:tcPr>
            <w:tcW w:w="850" w:type="dxa"/>
            <w:tcBorders>
              <w:top w:val="single" w:sz="4" w:space="0" w:color="auto"/>
              <w:left w:val="nil"/>
              <w:bottom w:val="single" w:sz="8" w:space="0" w:color="auto"/>
              <w:right w:val="nil"/>
            </w:tcBorders>
            <w:shd w:val="clear" w:color="000000" w:fill="FFFFFF"/>
            <w:noWrap/>
            <w:vAlign w:val="center"/>
          </w:tcPr>
          <w:p w14:paraId="5CA56209" w14:textId="77777777" w:rsidR="00AB10A9" w:rsidRPr="007D12A6" w:rsidRDefault="00AB10A9" w:rsidP="00AB10A9">
            <w:pPr>
              <w:spacing w:after="0" w:line="240" w:lineRule="auto"/>
              <w:jc w:val="right"/>
              <w:rPr>
                <w:rFonts w:eastAsia="Times New Roman" w:cs="Times New Roman"/>
                <w:b/>
                <w:sz w:val="18"/>
                <w:szCs w:val="18"/>
                <w:lang w:eastAsia="sk-SK"/>
              </w:rPr>
            </w:pPr>
            <w:r w:rsidRPr="007D12A6">
              <w:rPr>
                <w:rFonts w:eastAsia="Times New Roman" w:cs="Times New Roman"/>
                <w:b/>
                <w:sz w:val="18"/>
                <w:szCs w:val="18"/>
                <w:lang w:eastAsia="sk-SK"/>
              </w:rPr>
              <w:t>86 198</w:t>
            </w:r>
          </w:p>
        </w:tc>
        <w:tc>
          <w:tcPr>
            <w:tcW w:w="1025" w:type="dxa"/>
            <w:tcBorders>
              <w:top w:val="single" w:sz="4" w:space="0" w:color="auto"/>
              <w:left w:val="nil"/>
              <w:bottom w:val="single" w:sz="8" w:space="0" w:color="auto"/>
              <w:right w:val="nil"/>
            </w:tcBorders>
            <w:shd w:val="clear" w:color="000000" w:fill="BFBFBF"/>
            <w:noWrap/>
            <w:vAlign w:val="center"/>
          </w:tcPr>
          <w:p w14:paraId="4FAEE41D" w14:textId="77777777" w:rsidR="00AB10A9" w:rsidRPr="007D12A6" w:rsidRDefault="00AB10A9" w:rsidP="00AB10A9">
            <w:pPr>
              <w:spacing w:after="0" w:line="240" w:lineRule="auto"/>
              <w:jc w:val="right"/>
              <w:rPr>
                <w:rFonts w:eastAsia="Times New Roman" w:cs="Times New Roman"/>
                <w:b/>
                <w:sz w:val="18"/>
                <w:szCs w:val="18"/>
                <w:lang w:eastAsia="sk-SK"/>
              </w:rPr>
            </w:pPr>
            <w:r w:rsidRPr="007D12A6">
              <w:rPr>
                <w:rFonts w:eastAsia="Times New Roman" w:cs="Times New Roman"/>
                <w:b/>
                <w:sz w:val="18"/>
                <w:szCs w:val="18"/>
                <w:lang w:eastAsia="sk-SK"/>
              </w:rPr>
              <w:t>2 770</w:t>
            </w:r>
          </w:p>
        </w:tc>
        <w:tc>
          <w:tcPr>
            <w:tcW w:w="971" w:type="dxa"/>
            <w:tcBorders>
              <w:top w:val="single" w:sz="4" w:space="0" w:color="auto"/>
              <w:left w:val="nil"/>
              <w:bottom w:val="single" w:sz="8" w:space="0" w:color="auto"/>
              <w:right w:val="nil"/>
            </w:tcBorders>
            <w:shd w:val="clear" w:color="000000" w:fill="FFFFFF"/>
            <w:noWrap/>
            <w:vAlign w:val="center"/>
          </w:tcPr>
          <w:p w14:paraId="03720C26" w14:textId="77777777" w:rsidR="00AB10A9" w:rsidRPr="007D12A6" w:rsidRDefault="00AB10A9" w:rsidP="00AB10A9">
            <w:pPr>
              <w:spacing w:after="0" w:line="240" w:lineRule="auto"/>
              <w:jc w:val="right"/>
              <w:rPr>
                <w:rFonts w:eastAsia="Times New Roman" w:cs="Times New Roman"/>
                <w:b/>
                <w:sz w:val="18"/>
                <w:szCs w:val="18"/>
                <w:lang w:eastAsia="sk-SK"/>
              </w:rPr>
            </w:pPr>
            <w:r w:rsidRPr="007D12A6">
              <w:rPr>
                <w:rFonts w:eastAsia="Times New Roman" w:cs="Times New Roman"/>
                <w:b/>
                <w:sz w:val="18"/>
                <w:szCs w:val="18"/>
                <w:lang w:eastAsia="sk-SK"/>
              </w:rPr>
              <w:t>-83 428</w:t>
            </w:r>
          </w:p>
        </w:tc>
        <w:tc>
          <w:tcPr>
            <w:tcW w:w="1265" w:type="dxa"/>
            <w:tcBorders>
              <w:top w:val="single" w:sz="4" w:space="0" w:color="auto"/>
              <w:left w:val="nil"/>
              <w:bottom w:val="single" w:sz="8" w:space="0" w:color="auto"/>
              <w:right w:val="nil"/>
            </w:tcBorders>
            <w:shd w:val="clear" w:color="000000" w:fill="FFFFFF"/>
            <w:noWrap/>
            <w:vAlign w:val="center"/>
          </w:tcPr>
          <w:p w14:paraId="4948B897" w14:textId="77777777" w:rsidR="00AB10A9" w:rsidRPr="007D12A6" w:rsidRDefault="00AB10A9" w:rsidP="004D24AB">
            <w:pPr>
              <w:spacing w:after="0" w:line="240" w:lineRule="auto"/>
              <w:ind w:right="309"/>
              <w:jc w:val="right"/>
              <w:rPr>
                <w:rFonts w:eastAsia="Times New Roman" w:cs="Times New Roman"/>
                <w:b/>
                <w:sz w:val="18"/>
                <w:szCs w:val="18"/>
                <w:lang w:eastAsia="sk-SK"/>
              </w:rPr>
            </w:pPr>
            <w:r w:rsidRPr="007D12A6">
              <w:rPr>
                <w:rFonts w:eastAsia="Times New Roman" w:cs="Times New Roman"/>
                <w:b/>
                <w:sz w:val="18"/>
                <w:szCs w:val="18"/>
                <w:lang w:eastAsia="sk-SK"/>
              </w:rPr>
              <w:t>3,2</w:t>
            </w:r>
          </w:p>
        </w:tc>
      </w:tr>
    </w:tbl>
    <w:p w14:paraId="7C417383" w14:textId="77777777" w:rsidR="00AB10A9" w:rsidRPr="00AB10A9" w:rsidRDefault="00AB10A9" w:rsidP="00AB10A9">
      <w:pPr>
        <w:spacing w:after="0" w:line="240" w:lineRule="auto"/>
        <w:jc w:val="right"/>
        <w:rPr>
          <w:rFonts w:eastAsia="Times New Roman" w:cs="Times New Roman"/>
          <w:sz w:val="18"/>
          <w:szCs w:val="18"/>
          <w:highlight w:val="yellow"/>
          <w:lang w:eastAsia="sk-SK"/>
        </w:rPr>
      </w:pPr>
      <w:r w:rsidRPr="00AB10A9">
        <w:rPr>
          <w:rFonts w:eastAsia="Times New Roman" w:cs="Times New Roman"/>
          <w:sz w:val="18"/>
          <w:szCs w:val="18"/>
          <w:lang w:eastAsia="sk-SK"/>
        </w:rPr>
        <w:t>Zdroj: MF SR</w:t>
      </w:r>
    </w:p>
    <w:p w14:paraId="179B73F3" w14:textId="77777777" w:rsidR="00AB10A9" w:rsidRPr="00D715AF" w:rsidRDefault="00AB10A9" w:rsidP="008D4C2B">
      <w:pPr>
        <w:tabs>
          <w:tab w:val="left" w:pos="284"/>
        </w:tabs>
        <w:spacing w:line="240" w:lineRule="auto"/>
        <w:contextualSpacing/>
        <w:rPr>
          <w:rFonts w:cs="Times New Roman"/>
          <w:b/>
          <w:sz w:val="24"/>
          <w:szCs w:val="24"/>
        </w:rPr>
      </w:pPr>
      <w:r w:rsidRPr="00D715AF">
        <w:rPr>
          <w:rFonts w:cs="Times New Roman"/>
          <w:b/>
          <w:sz w:val="24"/>
          <w:szCs w:val="24"/>
        </w:rPr>
        <w:t>Rezerva vlády Slovenskej republiky</w:t>
      </w:r>
    </w:p>
    <w:p w14:paraId="5F9439AC" w14:textId="3CC6A494" w:rsidR="00AB10A9" w:rsidRDefault="00AB10A9" w:rsidP="008D4C2B">
      <w:pPr>
        <w:spacing w:line="240" w:lineRule="auto"/>
        <w:rPr>
          <w:sz w:val="24"/>
          <w:szCs w:val="24"/>
        </w:rPr>
      </w:pPr>
      <w:r w:rsidRPr="00D715AF">
        <w:rPr>
          <w:sz w:val="24"/>
          <w:szCs w:val="24"/>
        </w:rPr>
        <w:t>Rezerva vlády SR je rozpočtovaná na krytie nepredvídaných a mimoriadnych potrieb súvisiacich so zabezpečením plnenia vnútorných a zahraničných úloh Slovenskej republiky. O jej použití rozhoduje vláda SR na návrh ministra financií.</w:t>
      </w:r>
      <w:r w:rsidR="00CC1476">
        <w:rPr>
          <w:rFonts w:eastAsia="Times New Roman" w:cs="Times New Roman"/>
          <w:sz w:val="24"/>
          <w:szCs w:val="24"/>
          <w:lang w:eastAsia="sk-SK"/>
        </w:rPr>
        <w:t xml:space="preserve"> </w:t>
      </w:r>
      <w:r w:rsidRPr="00D715AF">
        <w:rPr>
          <w:sz w:val="24"/>
          <w:szCs w:val="24"/>
        </w:rPr>
        <w:t>Rezerva vlády bola rozpočtovaná v sume 5 000 tis. eur. Z rezervy vlády SR bola uvoľnená suma 1 015 tis. eur prostredníctvom platobných príkazov.</w:t>
      </w:r>
    </w:p>
    <w:p w14:paraId="670C5BD6" w14:textId="7EB20E52" w:rsidR="00FF197E" w:rsidRPr="00FF197E" w:rsidRDefault="00FF197E" w:rsidP="00FF197E">
      <w:pPr>
        <w:spacing w:line="240" w:lineRule="auto"/>
        <w:rPr>
          <w:sz w:val="24"/>
          <w:szCs w:val="24"/>
        </w:rPr>
      </w:pPr>
      <w:r w:rsidRPr="00FF197E">
        <w:rPr>
          <w:sz w:val="24"/>
          <w:szCs w:val="24"/>
        </w:rPr>
        <w:t>V zmysle uznesenia vlády SR č. 146 z 3. apríla 2019 k návrhu Ideového zámeru zriadiť Hrob neznámeho vojaka ako protokolárne miesto SR v hlavnom meste Slovenskej republiky</w:t>
      </w:r>
      <w:r>
        <w:rPr>
          <w:sz w:val="24"/>
          <w:szCs w:val="24"/>
        </w:rPr>
        <w:t xml:space="preserve"> Bratislava v celkovej sume 795 </w:t>
      </w:r>
      <w:r w:rsidRPr="00FF197E">
        <w:rPr>
          <w:sz w:val="24"/>
          <w:szCs w:val="24"/>
        </w:rPr>
        <w:t>tis. eur</w:t>
      </w:r>
      <w:r>
        <w:rPr>
          <w:sz w:val="24"/>
          <w:szCs w:val="24"/>
        </w:rPr>
        <w:t>.</w:t>
      </w:r>
      <w:r w:rsidRPr="00FF197E">
        <w:rPr>
          <w:sz w:val="24"/>
          <w:szCs w:val="24"/>
        </w:rPr>
        <w:t xml:space="preserve"> Podľa uznesenia vlády SR č. 146/2019 síce boli p</w:t>
      </w:r>
      <w:r>
        <w:rPr>
          <w:sz w:val="24"/>
          <w:szCs w:val="24"/>
        </w:rPr>
        <w:t>oukázané prostriedky v sume 820 </w:t>
      </w:r>
      <w:r w:rsidRPr="00FF197E">
        <w:rPr>
          <w:sz w:val="24"/>
          <w:szCs w:val="24"/>
        </w:rPr>
        <w:t>tis. eur, no zároveň príjemca hlavného mesta Brat</w:t>
      </w:r>
      <w:r>
        <w:rPr>
          <w:sz w:val="24"/>
          <w:szCs w:val="24"/>
        </w:rPr>
        <w:t>islava dňa 18.12.2021 vrátil 25 </w:t>
      </w:r>
      <w:r w:rsidRPr="00FF197E">
        <w:rPr>
          <w:sz w:val="24"/>
          <w:szCs w:val="24"/>
        </w:rPr>
        <w:t>tis. eur. Reálne čerpanie výdavkov na uvedený účel predstavovalo 795</w:t>
      </w:r>
      <w:r>
        <w:rPr>
          <w:sz w:val="24"/>
          <w:szCs w:val="24"/>
        </w:rPr>
        <w:t> </w:t>
      </w:r>
      <w:r w:rsidRPr="00FF197E">
        <w:rPr>
          <w:sz w:val="24"/>
          <w:szCs w:val="24"/>
        </w:rPr>
        <w:t>tis. eur.</w:t>
      </w:r>
    </w:p>
    <w:p w14:paraId="6C6B2F8E" w14:textId="57D15F51" w:rsidR="00FF197E" w:rsidRPr="00FF197E" w:rsidRDefault="00FF197E" w:rsidP="008D4C2B">
      <w:pPr>
        <w:spacing w:line="240" w:lineRule="auto"/>
        <w:rPr>
          <w:sz w:val="24"/>
          <w:szCs w:val="24"/>
        </w:rPr>
      </w:pPr>
      <w:r w:rsidRPr="00FF197E">
        <w:rPr>
          <w:sz w:val="24"/>
          <w:szCs w:val="24"/>
        </w:rPr>
        <w:t>V zmysle uznesenia vlády SR č. 105 zo dňa 5. marca 2020 k návrhu podpory pilotných projektov pastoračnej práce v rómskych</w:t>
      </w:r>
      <w:r>
        <w:rPr>
          <w:sz w:val="24"/>
          <w:szCs w:val="24"/>
        </w:rPr>
        <w:t xml:space="preserve"> komunitách v celkovej sume 219 </w:t>
      </w:r>
      <w:r w:rsidR="001802D9">
        <w:rPr>
          <w:sz w:val="24"/>
          <w:szCs w:val="24"/>
        </w:rPr>
        <w:t>tis. eur</w:t>
      </w:r>
      <w:r w:rsidRPr="00FF197E">
        <w:rPr>
          <w:sz w:val="24"/>
          <w:szCs w:val="24"/>
        </w:rPr>
        <w:t>. Podľa bodu C.1. uznesenia vlády SR č. 105/2020 boli p</w:t>
      </w:r>
      <w:r>
        <w:rPr>
          <w:sz w:val="24"/>
          <w:szCs w:val="24"/>
        </w:rPr>
        <w:t>oukázané prostriedky v sume 219 </w:t>
      </w:r>
      <w:r w:rsidRPr="00FF197E">
        <w:rPr>
          <w:sz w:val="24"/>
          <w:szCs w:val="24"/>
        </w:rPr>
        <w:t xml:space="preserve">tis. eur do 31. marca 2020. V bode C.2. uznesenia vlády č. 105/2020 bola uložená úloha pre ministra financií uvoľniť </w:t>
      </w:r>
      <w:r>
        <w:rPr>
          <w:sz w:val="24"/>
          <w:szCs w:val="24"/>
        </w:rPr>
        <w:t>finančné prostriedky v sume 192 </w:t>
      </w:r>
      <w:r w:rsidRPr="00FF197E">
        <w:rPr>
          <w:sz w:val="24"/>
          <w:szCs w:val="24"/>
        </w:rPr>
        <w:t>tis. eur v termíne do 31. januára 2021. Reálne čerpanie výdavkov na uvedený úče</w:t>
      </w:r>
      <w:r>
        <w:rPr>
          <w:sz w:val="24"/>
          <w:szCs w:val="24"/>
        </w:rPr>
        <w:t>l za rok 2020 predstavovalo 219 </w:t>
      </w:r>
      <w:r w:rsidRPr="00FF197E">
        <w:rPr>
          <w:sz w:val="24"/>
          <w:szCs w:val="24"/>
        </w:rPr>
        <w:t>tis. eur.</w:t>
      </w:r>
    </w:p>
    <w:p w14:paraId="601065C1" w14:textId="77777777" w:rsidR="00AB10A9" w:rsidRPr="00D715AF" w:rsidRDefault="00AB10A9" w:rsidP="008D4C2B">
      <w:pPr>
        <w:spacing w:line="240" w:lineRule="auto"/>
        <w:rPr>
          <w:color w:val="FF0000"/>
          <w:sz w:val="24"/>
          <w:szCs w:val="24"/>
        </w:rPr>
      </w:pPr>
      <w:r w:rsidRPr="00D715AF">
        <w:rPr>
          <w:rFonts w:eastAsia="Times New Roman" w:cs="Times New Roman"/>
          <w:sz w:val="24"/>
          <w:szCs w:val="24"/>
          <w:lang w:eastAsia="sk-SK"/>
        </w:rPr>
        <w:t>Nevyčerpané zostali finančné prostriedky v sume 3 985 tis. eur.</w:t>
      </w:r>
    </w:p>
    <w:p w14:paraId="701C8663" w14:textId="77777777" w:rsidR="00AB10A9" w:rsidRPr="00D715AF" w:rsidRDefault="00AB10A9" w:rsidP="008D4C2B">
      <w:pPr>
        <w:tabs>
          <w:tab w:val="left" w:pos="284"/>
        </w:tabs>
        <w:spacing w:line="240" w:lineRule="auto"/>
        <w:contextualSpacing/>
        <w:rPr>
          <w:rFonts w:cs="Times New Roman"/>
          <w:b/>
          <w:sz w:val="24"/>
          <w:szCs w:val="24"/>
        </w:rPr>
      </w:pPr>
      <w:r w:rsidRPr="00D715AF">
        <w:rPr>
          <w:rFonts w:cs="Times New Roman"/>
          <w:b/>
          <w:sz w:val="24"/>
          <w:szCs w:val="24"/>
        </w:rPr>
        <w:t>Rezerva predsedu vlády Slovenskej republiky</w:t>
      </w:r>
    </w:p>
    <w:p w14:paraId="115C65AD" w14:textId="0D531758" w:rsidR="00AB10A9" w:rsidRPr="00D715AF" w:rsidRDefault="00AB10A9" w:rsidP="008D4C2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rFonts w:eastAsia="Times New Roman" w:cs="Times New Roman"/>
          <w:sz w:val="24"/>
          <w:szCs w:val="24"/>
          <w:lang w:eastAsia="sk-SK"/>
        </w:rPr>
      </w:pPr>
      <w:r w:rsidRPr="00D715AF">
        <w:rPr>
          <w:rFonts w:eastAsia="Times New Roman" w:cs="Times New Roman"/>
          <w:sz w:val="24"/>
          <w:szCs w:val="24"/>
          <w:lang w:eastAsia="sk-SK"/>
        </w:rPr>
        <w:t>Rezerva predsedu vlády SR je rozpočtovaná v rámci kapitoly Úrad vlády SR. Údaje uvedené za skutočnosť za roky 2018, 2019 a 2020 predstavujú čerpanie podľa</w:t>
      </w:r>
      <w:r w:rsidR="00E47978" w:rsidRPr="00D715AF">
        <w:rPr>
          <w:rFonts w:eastAsia="Times New Roman" w:cs="Times New Roman"/>
          <w:sz w:val="24"/>
          <w:szCs w:val="24"/>
          <w:lang w:eastAsia="sk-SK"/>
        </w:rPr>
        <w:t xml:space="preserve"> stavu Štátnej pokladnice k 31. </w:t>
      </w:r>
      <w:r w:rsidRPr="00D715AF">
        <w:rPr>
          <w:rFonts w:eastAsia="Times New Roman" w:cs="Times New Roman"/>
          <w:sz w:val="24"/>
          <w:szCs w:val="24"/>
          <w:lang w:eastAsia="sk-SK"/>
        </w:rPr>
        <w:t xml:space="preserve">12. príslušného rozpočtového roka, na základe realizovaných platobných príkazov a upravené o vrátené dotácie. </w:t>
      </w:r>
    </w:p>
    <w:p w14:paraId="20B54BEE" w14:textId="3A21AF6E" w:rsidR="00AB10A9" w:rsidRPr="00D715AF" w:rsidRDefault="00AB10A9" w:rsidP="008D4C2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rFonts w:eastAsia="Times New Roman" w:cs="Times New Roman"/>
          <w:sz w:val="24"/>
          <w:szCs w:val="24"/>
          <w:lang w:eastAsia="sk-SK"/>
        </w:rPr>
      </w:pPr>
      <w:r w:rsidRPr="00D715AF">
        <w:rPr>
          <w:rFonts w:eastAsia="Times New Roman" w:cs="Times New Roman"/>
          <w:sz w:val="24"/>
          <w:szCs w:val="24"/>
          <w:lang w:eastAsia="sk-SK"/>
        </w:rPr>
        <w:t>Schválený rozpočet rezervy v sume 1 500 tis. eur bol úpravami</w:t>
      </w:r>
      <w:r w:rsidR="001802D9">
        <w:rPr>
          <w:rFonts w:eastAsia="Times New Roman" w:cs="Times New Roman"/>
          <w:sz w:val="24"/>
          <w:szCs w:val="24"/>
          <w:lang w:eastAsia="sk-SK"/>
        </w:rPr>
        <w:t xml:space="preserve"> zvýšený na čiastku 1 755 tis. </w:t>
      </w:r>
      <w:r w:rsidRPr="00D715AF">
        <w:rPr>
          <w:rFonts w:eastAsia="Times New Roman" w:cs="Times New Roman"/>
          <w:sz w:val="24"/>
          <w:szCs w:val="24"/>
          <w:lang w:eastAsia="sk-SK"/>
        </w:rPr>
        <w:t xml:space="preserve">eur. Celkovo sa príjemcom, ktorými boli najmä obce a mestá, občianske združenia, neziskové organizácie, cirkev a náboženské organizácie, poskytlo 1 755 tis. eur, a to platobným príkazom 1 755 tis. eur a rozpočtovými opatreniami sa poskytlo 80 tis. eur prostredníctvom jednotlivých kapitol štátneho rozpočtu pre konečných príjemcov. </w:t>
      </w:r>
    </w:p>
    <w:p w14:paraId="662EB822" w14:textId="43EDBBE3" w:rsidR="00AB10A9" w:rsidRPr="00D715AF" w:rsidRDefault="00AB10A9" w:rsidP="008D4C2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rFonts w:eastAsia="Times New Roman" w:cs="Times New Roman"/>
          <w:sz w:val="24"/>
          <w:szCs w:val="24"/>
          <w:lang w:eastAsia="sk-SK"/>
        </w:rPr>
      </w:pPr>
      <w:r w:rsidRPr="00D715AF">
        <w:rPr>
          <w:rFonts w:eastAsia="Times New Roman" w:cs="Times New Roman"/>
          <w:sz w:val="24"/>
          <w:szCs w:val="24"/>
          <w:lang w:eastAsia="sk-SK"/>
        </w:rPr>
        <w:t>K zvýšeniu čerpania oproti schválenému rozpočtu prišlo z dôvo</w:t>
      </w:r>
      <w:r w:rsidR="00E47978" w:rsidRPr="00D715AF">
        <w:rPr>
          <w:rFonts w:eastAsia="Times New Roman" w:cs="Times New Roman"/>
          <w:sz w:val="24"/>
          <w:szCs w:val="24"/>
          <w:lang w:eastAsia="sk-SK"/>
        </w:rPr>
        <w:t>du úprav schváleného rozpočtu v </w:t>
      </w:r>
      <w:r w:rsidRPr="00D715AF">
        <w:rPr>
          <w:rFonts w:eastAsia="Times New Roman" w:cs="Times New Roman"/>
          <w:sz w:val="24"/>
          <w:szCs w:val="24"/>
          <w:lang w:eastAsia="sk-SK"/>
        </w:rPr>
        <w:t>priebehu roka. Rezerva predsedu vlády SR bola použitá na dotácie poskytované najmä obciam, mestám, občianskym združeniam, neziskovým organizáciám, cirkevným inštitúciám a kapitolám na základe rozhodnutia predsedu vlády SR formou bežných, resp. kapitálových transferov.</w:t>
      </w:r>
    </w:p>
    <w:p w14:paraId="1F331BA0" w14:textId="77777777" w:rsidR="00AB10A9" w:rsidRPr="00D715AF" w:rsidRDefault="00AB10A9" w:rsidP="008D4C2B">
      <w:pPr>
        <w:tabs>
          <w:tab w:val="left" w:pos="284"/>
        </w:tabs>
        <w:spacing w:line="240" w:lineRule="auto"/>
        <w:contextualSpacing/>
        <w:rPr>
          <w:rFonts w:cs="Times New Roman"/>
          <w:b/>
          <w:sz w:val="24"/>
          <w:szCs w:val="24"/>
        </w:rPr>
      </w:pPr>
      <w:r w:rsidRPr="00D715AF">
        <w:rPr>
          <w:rFonts w:cs="Times New Roman"/>
          <w:b/>
          <w:sz w:val="24"/>
          <w:szCs w:val="24"/>
        </w:rPr>
        <w:t>Rezerva na prostriedky EÚ a odvody EÚ</w:t>
      </w:r>
    </w:p>
    <w:p w14:paraId="06B785E5" w14:textId="29AFA4CE" w:rsidR="00AB10A9" w:rsidRPr="00D715AF" w:rsidRDefault="00AB10A9" w:rsidP="008D4C2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rFonts w:eastAsia="Times New Roman" w:cs="Times New Roman"/>
          <w:sz w:val="24"/>
          <w:szCs w:val="24"/>
          <w:lang w:eastAsia="sk-SK"/>
        </w:rPr>
      </w:pPr>
      <w:r w:rsidRPr="00D715AF">
        <w:rPr>
          <w:rFonts w:eastAsia="Times New Roman" w:cs="Times New Roman"/>
          <w:sz w:val="24"/>
          <w:szCs w:val="24"/>
          <w:lang w:eastAsia="sk-SK"/>
        </w:rPr>
        <w:t>Rezerva na prostriedky Európskej únie a odvody Európskej únii bola rozpočtovaná</w:t>
      </w:r>
      <w:r w:rsidR="001802D9">
        <w:rPr>
          <w:rFonts w:eastAsia="Times New Roman" w:cs="Times New Roman"/>
          <w:sz w:val="24"/>
          <w:szCs w:val="24"/>
          <w:lang w:eastAsia="sk-SK"/>
        </w:rPr>
        <w:t xml:space="preserve"> na rok 2020 v sume 79 698 tis. </w:t>
      </w:r>
      <w:r w:rsidRPr="00D715AF">
        <w:rPr>
          <w:rFonts w:eastAsia="Times New Roman" w:cs="Times New Roman"/>
          <w:sz w:val="24"/>
          <w:szCs w:val="24"/>
          <w:lang w:eastAsia="sk-SK"/>
        </w:rPr>
        <w:t xml:space="preserve">eur. Uvedená rezerva sa vytvorila na zabezpečenie plynulého financovania spoločných programov Slovenskej republiky a Európskej únie. Prostriedky z rezervy v roku 2020 boli určené na rýchlejšiu realizáciu a väčší počet projektov, ďalšie výdavky súvisiace s financovaním spoločných programov a na zefektívnenie systému finančného riadenia fondov EÚ a iných finančných nástrojov. </w:t>
      </w:r>
    </w:p>
    <w:p w14:paraId="38C1542E" w14:textId="34943EA8" w:rsidR="00CC1476" w:rsidRDefault="00AB10A9" w:rsidP="008D4C2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rFonts w:eastAsia="Times New Roman" w:cs="Times New Roman"/>
          <w:lang w:eastAsia="sk-SK"/>
        </w:rPr>
      </w:pPr>
      <w:r w:rsidRPr="00D715AF">
        <w:rPr>
          <w:rFonts w:eastAsia="Times New Roman" w:cs="Times New Roman"/>
          <w:sz w:val="24"/>
          <w:szCs w:val="24"/>
          <w:lang w:eastAsia="sk-SK"/>
        </w:rPr>
        <w:t>Počas roka boli z rezervy použité prostriedky v sume 32 237 tis. eur prostredníctvom rozpočtových opatrení na základe predložených žiadostí príslušných kapitol štátneho rozpočtu. Uvedená rezerva bola v priebehu roka upravená o sumu 39 555 tis. eur. Nevyčerpané prostriedky rezervy z roku 2020 v celkovom objeme 87 016 tis. eur boli spolu so zostatkom z rozviazaných prostriedkov z predchádzajúcich rokov v sume 35 860 tis. eur viazané na použitie v nasledujúcich rokoch</w:t>
      </w:r>
      <w:r w:rsidRPr="00AB10A9">
        <w:rPr>
          <w:rFonts w:eastAsia="Times New Roman" w:cs="Times New Roman"/>
          <w:lang w:eastAsia="sk-SK"/>
        </w:rPr>
        <w:t>.</w:t>
      </w:r>
    </w:p>
    <w:p w14:paraId="363483BB" w14:textId="372250EB" w:rsidR="00CC1476" w:rsidRDefault="00CC1476">
      <w:pPr>
        <w:spacing w:after="160" w:line="259" w:lineRule="auto"/>
        <w:jc w:val="left"/>
        <w:rPr>
          <w:rFonts w:eastAsia="Times New Roman" w:cs="Times New Roman"/>
          <w:lang w:eastAsia="sk-SK"/>
        </w:rPr>
      </w:pPr>
    </w:p>
    <w:p w14:paraId="1A0A2DAB" w14:textId="57099E94" w:rsidR="008254BE" w:rsidRDefault="008254BE" w:rsidP="008A6314">
      <w:pPr>
        <w:pStyle w:val="Nadpis2"/>
      </w:pPr>
      <w:bookmarkStart w:id="60" w:name="_Toc6415651"/>
      <w:bookmarkStart w:id="61" w:name="_Toc70026104"/>
      <w:r>
        <w:t>Štátne finančné aktíva</w:t>
      </w:r>
      <w:bookmarkEnd w:id="60"/>
      <w:bookmarkEnd w:id="61"/>
    </w:p>
    <w:p w14:paraId="6731A715" w14:textId="77777777" w:rsidR="006E204D" w:rsidRPr="00D715AF" w:rsidRDefault="006E204D" w:rsidP="008D4C2B">
      <w:pPr>
        <w:spacing w:line="240" w:lineRule="auto"/>
        <w:contextualSpacing/>
        <w:rPr>
          <w:sz w:val="24"/>
          <w:szCs w:val="24"/>
        </w:rPr>
      </w:pPr>
      <w:r w:rsidRPr="00D715AF">
        <w:rPr>
          <w:sz w:val="24"/>
          <w:szCs w:val="24"/>
        </w:rPr>
        <w:t>Štátne finančné aktíva (ŠFA) rovnako ako aj štátne finančné pasíva</w:t>
      </w:r>
      <w:r w:rsidRPr="00D715AF">
        <w:rPr>
          <w:rStyle w:val="Odkaznapoznmkupodiarou"/>
          <w:sz w:val="24"/>
          <w:szCs w:val="24"/>
        </w:rPr>
        <w:footnoteReference w:id="40"/>
      </w:r>
      <w:r w:rsidRPr="00D715AF">
        <w:rPr>
          <w:sz w:val="24"/>
          <w:szCs w:val="24"/>
        </w:rPr>
        <w:t xml:space="preserve"> sú súčasťou návrhu štátneho rozpočtu verejnej správy na príslušný rok. Finančné operácie so štátnymi finančnými aktívami a iné operácie, ktoré ovplyvňujú stav štátnych finančných aktív, nie sú súčasťou príjmov štátneho rozpočtu a výdavkov štátneho rozpočtu. Správu štátnych finančných aktív vykonáva Ministerstvo financií SR, v rozsahu zákona o rozpočtových pravidlách, pričom na niektoré transakcie sa vyžaduje súhlas vlády a na niektoré aj súhlas národnej rady SR</w:t>
      </w:r>
      <w:r w:rsidRPr="00D715AF">
        <w:rPr>
          <w:rStyle w:val="Odkaznapoznmkupodiarou"/>
          <w:sz w:val="24"/>
          <w:szCs w:val="24"/>
        </w:rPr>
        <w:footnoteReference w:id="41"/>
      </w:r>
      <w:r w:rsidRPr="00D715AF">
        <w:rPr>
          <w:sz w:val="24"/>
          <w:szCs w:val="24"/>
        </w:rPr>
        <w:t>.</w:t>
      </w:r>
    </w:p>
    <w:p w14:paraId="76E3B913" w14:textId="77777777" w:rsidR="006E204D" w:rsidRPr="00D715AF" w:rsidRDefault="006E204D" w:rsidP="008D4C2B">
      <w:pPr>
        <w:spacing w:after="0" w:line="240" w:lineRule="auto"/>
        <w:contextualSpacing/>
        <w:rPr>
          <w:sz w:val="24"/>
          <w:szCs w:val="24"/>
        </w:rPr>
      </w:pPr>
      <w:r w:rsidRPr="00D715AF">
        <w:rPr>
          <w:sz w:val="24"/>
          <w:szCs w:val="24"/>
        </w:rPr>
        <w:t>Podľa zákona o rozpočtových pravidlách sú štátnymi finančnými aktívami:</w:t>
      </w:r>
    </w:p>
    <w:p w14:paraId="1940160D" w14:textId="77777777" w:rsidR="006E204D" w:rsidRPr="00D715AF" w:rsidRDefault="006E204D" w:rsidP="008D4C2B">
      <w:pPr>
        <w:pStyle w:val="Odsekzoznamu"/>
        <w:numPr>
          <w:ilvl w:val="0"/>
          <w:numId w:val="6"/>
        </w:numPr>
        <w:tabs>
          <w:tab w:val="left" w:pos="284"/>
        </w:tabs>
        <w:spacing w:after="120"/>
        <w:ind w:left="284" w:hanging="284"/>
        <w:jc w:val="both"/>
        <w:rPr>
          <w:rFonts w:ascii="Times New Roman" w:hAnsi="Times New Roman"/>
          <w:sz w:val="24"/>
          <w:szCs w:val="24"/>
        </w:rPr>
      </w:pPr>
      <w:r w:rsidRPr="00D715AF">
        <w:rPr>
          <w:rFonts w:ascii="Times New Roman" w:hAnsi="Times New Roman"/>
          <w:sz w:val="24"/>
          <w:szCs w:val="24"/>
        </w:rPr>
        <w:t>peňažné prostriedky štátu vytvorené z výsledkov rozpočtového hospodárenia štátneho rozpočtu z minulých rokov,</w:t>
      </w:r>
    </w:p>
    <w:p w14:paraId="4A9AA5D9" w14:textId="77777777" w:rsidR="006E204D" w:rsidRPr="00D715AF" w:rsidRDefault="006E204D" w:rsidP="00CC1476">
      <w:pPr>
        <w:pStyle w:val="Odsekzoznamu"/>
        <w:numPr>
          <w:ilvl w:val="0"/>
          <w:numId w:val="6"/>
        </w:numPr>
        <w:tabs>
          <w:tab w:val="left" w:pos="284"/>
        </w:tabs>
        <w:spacing w:after="120"/>
        <w:ind w:left="284" w:hanging="284"/>
        <w:jc w:val="both"/>
        <w:rPr>
          <w:rFonts w:ascii="Times New Roman" w:hAnsi="Times New Roman"/>
          <w:sz w:val="24"/>
          <w:szCs w:val="24"/>
        </w:rPr>
      </w:pPr>
      <w:r w:rsidRPr="00D715AF">
        <w:rPr>
          <w:rFonts w:ascii="Times New Roman" w:hAnsi="Times New Roman"/>
          <w:sz w:val="24"/>
          <w:szCs w:val="24"/>
        </w:rPr>
        <w:t>peňažné prostriedky štátu zo splácania istín poskytnutých návratných výpomocí, úverov a pôžičiek,</w:t>
      </w:r>
    </w:p>
    <w:p w14:paraId="29D9475B" w14:textId="77777777" w:rsidR="006E204D" w:rsidRPr="00D715AF" w:rsidRDefault="006E204D" w:rsidP="008D4C2B">
      <w:pPr>
        <w:pStyle w:val="Odsekzoznamu"/>
        <w:numPr>
          <w:ilvl w:val="0"/>
          <w:numId w:val="6"/>
        </w:numPr>
        <w:tabs>
          <w:tab w:val="left" w:pos="284"/>
        </w:tabs>
        <w:spacing w:after="120"/>
        <w:ind w:left="284" w:hanging="284"/>
        <w:jc w:val="both"/>
        <w:rPr>
          <w:rFonts w:ascii="Times New Roman" w:hAnsi="Times New Roman"/>
          <w:sz w:val="24"/>
          <w:szCs w:val="24"/>
        </w:rPr>
      </w:pPr>
      <w:r w:rsidRPr="00D715AF">
        <w:rPr>
          <w:rFonts w:ascii="Times New Roman" w:hAnsi="Times New Roman"/>
          <w:sz w:val="24"/>
          <w:szCs w:val="24"/>
        </w:rPr>
        <w:t>peňažné prostriedky v pokladnici a na bežných účtoch štátnych rozpočtových organizácií a štátnych príspevkových organizácií a odvod za porušenie finančnej disciplíny pri nakladaní so štátnymi finančnými aktívami,</w:t>
      </w:r>
    </w:p>
    <w:p w14:paraId="0F933984" w14:textId="77777777" w:rsidR="006E204D" w:rsidRPr="00D715AF" w:rsidRDefault="006E204D" w:rsidP="008D4C2B">
      <w:pPr>
        <w:pStyle w:val="Odsekzoznamu"/>
        <w:numPr>
          <w:ilvl w:val="0"/>
          <w:numId w:val="6"/>
        </w:numPr>
        <w:tabs>
          <w:tab w:val="left" w:pos="284"/>
        </w:tabs>
        <w:spacing w:after="120"/>
        <w:ind w:left="0" w:firstLine="0"/>
        <w:jc w:val="both"/>
        <w:rPr>
          <w:rFonts w:ascii="Times New Roman" w:hAnsi="Times New Roman"/>
          <w:sz w:val="24"/>
          <w:szCs w:val="24"/>
        </w:rPr>
      </w:pPr>
      <w:r w:rsidRPr="00D715AF">
        <w:rPr>
          <w:rFonts w:ascii="Times New Roman" w:hAnsi="Times New Roman"/>
          <w:sz w:val="24"/>
          <w:szCs w:val="24"/>
        </w:rPr>
        <w:t>pohľadávky štátu z poskytnutých návratných finančných výpomocí, úverov a pôžičiek,</w:t>
      </w:r>
    </w:p>
    <w:p w14:paraId="1E122D0F" w14:textId="77777777" w:rsidR="006E204D" w:rsidRPr="00D715AF" w:rsidRDefault="006E204D" w:rsidP="008D4C2B">
      <w:pPr>
        <w:pStyle w:val="Odsekzoznamu"/>
        <w:numPr>
          <w:ilvl w:val="0"/>
          <w:numId w:val="6"/>
        </w:numPr>
        <w:tabs>
          <w:tab w:val="left" w:pos="284"/>
        </w:tabs>
        <w:spacing w:after="120"/>
        <w:ind w:left="0" w:firstLine="0"/>
        <w:jc w:val="both"/>
        <w:rPr>
          <w:rFonts w:ascii="Times New Roman" w:hAnsi="Times New Roman"/>
          <w:sz w:val="24"/>
          <w:szCs w:val="24"/>
        </w:rPr>
      </w:pPr>
      <w:r w:rsidRPr="00D715AF">
        <w:rPr>
          <w:rFonts w:ascii="Times New Roman" w:hAnsi="Times New Roman"/>
          <w:sz w:val="24"/>
          <w:szCs w:val="24"/>
        </w:rPr>
        <w:t>cenné papiere vo vlastníctve štátu,</w:t>
      </w:r>
    </w:p>
    <w:p w14:paraId="3A576374" w14:textId="77777777" w:rsidR="006E204D" w:rsidRPr="00D715AF" w:rsidRDefault="006E204D" w:rsidP="008D4C2B">
      <w:pPr>
        <w:pStyle w:val="Odsekzoznamu"/>
        <w:numPr>
          <w:ilvl w:val="0"/>
          <w:numId w:val="6"/>
        </w:numPr>
        <w:tabs>
          <w:tab w:val="left" w:pos="284"/>
        </w:tabs>
        <w:spacing w:after="120"/>
        <w:ind w:left="0" w:firstLine="0"/>
        <w:jc w:val="both"/>
        <w:rPr>
          <w:rFonts w:ascii="Times New Roman" w:hAnsi="Times New Roman"/>
          <w:sz w:val="24"/>
          <w:szCs w:val="24"/>
        </w:rPr>
      </w:pPr>
      <w:r w:rsidRPr="00D715AF">
        <w:rPr>
          <w:rFonts w:ascii="Times New Roman" w:hAnsi="Times New Roman"/>
          <w:sz w:val="24"/>
          <w:szCs w:val="24"/>
        </w:rPr>
        <w:t>majetkové účasti štátu,</w:t>
      </w:r>
    </w:p>
    <w:p w14:paraId="458F2C29" w14:textId="77777777" w:rsidR="006E204D" w:rsidRPr="00D715AF" w:rsidRDefault="006E204D" w:rsidP="008D4C2B">
      <w:pPr>
        <w:pStyle w:val="Odsekzoznamu"/>
        <w:numPr>
          <w:ilvl w:val="0"/>
          <w:numId w:val="6"/>
        </w:numPr>
        <w:tabs>
          <w:tab w:val="left" w:pos="284"/>
        </w:tabs>
        <w:spacing w:after="120"/>
        <w:ind w:left="0" w:firstLine="0"/>
        <w:jc w:val="both"/>
        <w:rPr>
          <w:rFonts w:ascii="Times New Roman" w:hAnsi="Times New Roman"/>
          <w:sz w:val="24"/>
          <w:szCs w:val="24"/>
        </w:rPr>
      </w:pPr>
      <w:r w:rsidRPr="00D715AF">
        <w:rPr>
          <w:rFonts w:ascii="Times New Roman" w:hAnsi="Times New Roman"/>
          <w:sz w:val="24"/>
          <w:szCs w:val="24"/>
        </w:rPr>
        <w:t>ďalšie peňažné prostriedky na základe rozhodnutia vlády alebo národnej rady.</w:t>
      </w:r>
    </w:p>
    <w:p w14:paraId="68A348BF" w14:textId="77777777" w:rsidR="00CC1476" w:rsidRDefault="006E204D" w:rsidP="008D4C2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sz w:val="24"/>
          <w:szCs w:val="24"/>
        </w:rPr>
      </w:pPr>
      <w:r w:rsidRPr="00D715AF">
        <w:rPr>
          <w:sz w:val="24"/>
          <w:szCs w:val="24"/>
        </w:rPr>
        <w:t xml:space="preserve">Prostriedky ŠFA sú vedené na samostatných (bežných) účtoch v Štátnej pokladnici a ich zostatok prechádza vždy do nasledujúceho rozpočtového roka. Na účtoch ŠFA sa klasifikujú príjmy, výdavky </w:t>
      </w:r>
      <w:r w:rsidRPr="00CC1476">
        <w:rPr>
          <w:sz w:val="24"/>
          <w:szCs w:val="24"/>
        </w:rPr>
        <w:t>a fina</w:t>
      </w:r>
      <w:r w:rsidR="00CC1476">
        <w:rPr>
          <w:sz w:val="24"/>
          <w:szCs w:val="24"/>
        </w:rPr>
        <w:t>nčné operácie.</w:t>
      </w:r>
    </w:p>
    <w:p w14:paraId="725372FD" w14:textId="77777777" w:rsidR="00CC1476" w:rsidRDefault="006E204D" w:rsidP="008D4C2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sz w:val="24"/>
          <w:szCs w:val="24"/>
        </w:rPr>
      </w:pPr>
      <w:r w:rsidRPr="00CC1476">
        <w:rPr>
          <w:i/>
          <w:sz w:val="24"/>
          <w:szCs w:val="24"/>
        </w:rPr>
        <w:t>Do príjmov ŠFA patria</w:t>
      </w:r>
      <w:r w:rsidRPr="00CC1476">
        <w:rPr>
          <w:sz w:val="24"/>
          <w:szCs w:val="24"/>
        </w:rPr>
        <w:t xml:space="preserve"> napr. dividendy, osobitný odvod vybraných finančných inštitúcií</w:t>
      </w:r>
      <w:r w:rsidRPr="00CC1476">
        <w:rPr>
          <w:rStyle w:val="Odkaznapoznmkupodiarou"/>
          <w:sz w:val="24"/>
          <w:szCs w:val="24"/>
        </w:rPr>
        <w:footnoteReference w:id="42"/>
      </w:r>
      <w:r w:rsidRPr="00CC1476">
        <w:rPr>
          <w:sz w:val="24"/>
          <w:szCs w:val="24"/>
        </w:rPr>
        <w:t xml:space="preserve"> a osobitný odvod z podnikania v regulovaných odvetviach</w:t>
      </w:r>
      <w:r w:rsidRPr="00D715AF">
        <w:rPr>
          <w:rStyle w:val="Odkaznapoznmkupodiarou"/>
          <w:sz w:val="24"/>
          <w:szCs w:val="24"/>
        </w:rPr>
        <w:footnoteReference w:id="43"/>
      </w:r>
      <w:r w:rsidR="00CC1476">
        <w:rPr>
          <w:sz w:val="24"/>
          <w:szCs w:val="24"/>
        </w:rPr>
        <w:t>.</w:t>
      </w:r>
    </w:p>
    <w:p w14:paraId="1CA33767" w14:textId="77777777" w:rsidR="00CC1476" w:rsidRDefault="006E204D" w:rsidP="008D4C2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sz w:val="24"/>
          <w:szCs w:val="24"/>
        </w:rPr>
      </w:pPr>
      <w:r w:rsidRPr="00D715AF">
        <w:rPr>
          <w:i/>
          <w:sz w:val="24"/>
          <w:szCs w:val="24"/>
        </w:rPr>
        <w:t>Ako výdavky sa klasifikujú</w:t>
      </w:r>
      <w:r w:rsidRPr="00D715AF">
        <w:rPr>
          <w:sz w:val="24"/>
          <w:szCs w:val="24"/>
        </w:rPr>
        <w:t xml:space="preserve"> napríklad kapitálové trans</w:t>
      </w:r>
      <w:r w:rsidR="00CC1476">
        <w:rPr>
          <w:sz w:val="24"/>
          <w:szCs w:val="24"/>
        </w:rPr>
        <w:t>fery do obchodných spoločností.</w:t>
      </w:r>
    </w:p>
    <w:p w14:paraId="209E04A0" w14:textId="3C9122FD" w:rsidR="006E204D" w:rsidRPr="00D715AF" w:rsidRDefault="006E204D" w:rsidP="008D4C2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sz w:val="24"/>
          <w:szCs w:val="24"/>
        </w:rPr>
      </w:pPr>
      <w:r w:rsidRPr="00D715AF">
        <w:rPr>
          <w:sz w:val="24"/>
          <w:szCs w:val="24"/>
        </w:rPr>
        <w:t xml:space="preserve">Medzi </w:t>
      </w:r>
      <w:r w:rsidRPr="00D715AF">
        <w:rPr>
          <w:i/>
          <w:sz w:val="24"/>
          <w:szCs w:val="24"/>
        </w:rPr>
        <w:t>finančné operácie na strane výdavkov</w:t>
      </w:r>
      <w:r w:rsidRPr="00D715AF">
        <w:rPr>
          <w:sz w:val="24"/>
          <w:szCs w:val="24"/>
        </w:rPr>
        <w:t xml:space="preserve"> patrí poskytovanie návratných finančných výpomocí, úhrada podielov na základnom imaní zahraničných finančných inštitúcií (napríklad Európskej investičnej banky) a ďalšie transakcie. </w:t>
      </w:r>
      <w:r w:rsidRPr="00D715AF">
        <w:rPr>
          <w:i/>
          <w:sz w:val="24"/>
          <w:szCs w:val="24"/>
        </w:rPr>
        <w:t>Príjmové finančné operácie</w:t>
      </w:r>
      <w:r w:rsidRPr="00D715AF">
        <w:rPr>
          <w:sz w:val="24"/>
          <w:szCs w:val="24"/>
        </w:rPr>
        <w:t xml:space="preserve"> predstavujú najmä splátky istín poskytnutých návratných finančných výpomocí, úverov a pôžičiek.</w:t>
      </w:r>
    </w:p>
    <w:p w14:paraId="1866373E" w14:textId="69D04BCB" w:rsidR="00CC1476" w:rsidRDefault="006E204D" w:rsidP="005C4AE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sz w:val="24"/>
          <w:szCs w:val="24"/>
        </w:rPr>
      </w:pPr>
      <w:r w:rsidRPr="00D715AF">
        <w:rPr>
          <w:sz w:val="24"/>
          <w:szCs w:val="24"/>
        </w:rPr>
        <w:t>Štátne finančné aktíva v roku 2020 plnili dôležitú úlohu v transferovaní prostriedkov štátneho rozpočtu na financovanie niektorých opatrení na zmiernenie dopadu pandémie COVID-19 na subjekty verejnej správy resp. hospodárstvo SR. Objem takto určených prostriedkov sa podľa novely štátneho rozpočtu predpokladal na úrovni 979 919 tis. eur.</w:t>
      </w:r>
    </w:p>
    <w:p w14:paraId="11735C0A" w14:textId="26F82312" w:rsidR="006E204D" w:rsidRPr="00D715AF" w:rsidRDefault="006E204D" w:rsidP="008D4C2B">
      <w:pPr>
        <w:spacing w:before="120" w:after="360" w:line="240" w:lineRule="auto"/>
        <w:contextualSpacing/>
        <w:rPr>
          <w:sz w:val="24"/>
          <w:szCs w:val="24"/>
        </w:rPr>
      </w:pPr>
      <w:r w:rsidRPr="00D715AF">
        <w:rPr>
          <w:sz w:val="24"/>
          <w:szCs w:val="24"/>
        </w:rPr>
        <w:t xml:space="preserve">Nasledovný prehľad ŠFA abstrahuje od účtov, ktoré slúžia na operácie so štátnym dlhom. Odpočet plnenia ŠFA pod tabuľkou reflektuje na návrh rozpočtu verejnej správy na rok 2020. </w:t>
      </w:r>
    </w:p>
    <w:tbl>
      <w:tblPr>
        <w:tblpPr w:leftFromText="141" w:rightFromText="141" w:vertAnchor="text" w:horzAnchor="margin" w:tblpXSpec="center" w:tblpY="59"/>
        <w:tblW w:w="8852" w:type="dxa"/>
        <w:tblCellMar>
          <w:left w:w="70" w:type="dxa"/>
          <w:right w:w="70" w:type="dxa"/>
        </w:tblCellMar>
        <w:tblLook w:val="04A0" w:firstRow="1" w:lastRow="0" w:firstColumn="1" w:lastColumn="0" w:noHBand="0" w:noVBand="1"/>
      </w:tblPr>
      <w:tblGrid>
        <w:gridCol w:w="5032"/>
        <w:gridCol w:w="1276"/>
        <w:gridCol w:w="1271"/>
        <w:gridCol w:w="1273"/>
      </w:tblGrid>
      <w:tr w:rsidR="006E204D" w:rsidRPr="007D12A6" w14:paraId="1041A4B4" w14:textId="77777777" w:rsidTr="00562DF6">
        <w:trPr>
          <w:trHeight w:val="279"/>
        </w:trPr>
        <w:tc>
          <w:tcPr>
            <w:tcW w:w="8852" w:type="dxa"/>
            <w:gridSpan w:val="4"/>
            <w:tcBorders>
              <w:top w:val="single" w:sz="4" w:space="0" w:color="auto"/>
              <w:left w:val="nil"/>
              <w:bottom w:val="nil"/>
              <w:right w:val="nil"/>
            </w:tcBorders>
            <w:shd w:val="clear" w:color="000000" w:fill="000000"/>
            <w:noWrap/>
            <w:vAlign w:val="center"/>
          </w:tcPr>
          <w:p w14:paraId="119EB2E5" w14:textId="77777777" w:rsidR="006E204D" w:rsidRPr="007D12A6" w:rsidRDefault="006E204D" w:rsidP="00562DF6">
            <w:pPr>
              <w:spacing w:after="0" w:line="240" w:lineRule="auto"/>
              <w:jc w:val="left"/>
              <w:rPr>
                <w:b/>
                <w:bCs/>
                <w:color w:val="FFFFFF"/>
                <w:sz w:val="18"/>
                <w:szCs w:val="18"/>
              </w:rPr>
            </w:pPr>
            <w:r w:rsidRPr="007D12A6">
              <w:rPr>
                <w:sz w:val="18"/>
                <w:szCs w:val="18"/>
              </w:rPr>
              <w:br w:type="page"/>
            </w:r>
            <w:r w:rsidRPr="007D12A6">
              <w:rPr>
                <w:b/>
                <w:bCs/>
                <w:color w:val="FFFFFF"/>
                <w:sz w:val="18"/>
                <w:szCs w:val="18"/>
                <w:lang w:eastAsia="sk-SK"/>
              </w:rPr>
              <w:t>Vybrané účty štátnych finančných aktív                                                                                                            v tis. eur</w:t>
            </w:r>
          </w:p>
        </w:tc>
      </w:tr>
      <w:tr w:rsidR="006E204D" w:rsidRPr="007D12A6" w14:paraId="755AECAD" w14:textId="77777777" w:rsidTr="00562DF6">
        <w:trPr>
          <w:trHeight w:hRule="exact" w:val="284"/>
        </w:trPr>
        <w:tc>
          <w:tcPr>
            <w:tcW w:w="8852" w:type="dxa"/>
            <w:gridSpan w:val="4"/>
            <w:tcBorders>
              <w:top w:val="nil"/>
              <w:left w:val="nil"/>
              <w:right w:val="nil"/>
            </w:tcBorders>
            <w:shd w:val="clear" w:color="000000" w:fill="BFBFBF"/>
            <w:noWrap/>
            <w:vAlign w:val="center"/>
          </w:tcPr>
          <w:p w14:paraId="415858FE" w14:textId="77777777" w:rsidR="006E204D" w:rsidRPr="007D12A6" w:rsidRDefault="006E204D" w:rsidP="00562DF6">
            <w:pPr>
              <w:spacing w:after="0" w:line="240" w:lineRule="auto"/>
              <w:ind w:firstLine="6804"/>
              <w:rPr>
                <w:b/>
                <w:bCs/>
                <w:color w:val="000000"/>
                <w:sz w:val="18"/>
                <w:szCs w:val="18"/>
              </w:rPr>
            </w:pPr>
            <w:r w:rsidRPr="007D12A6">
              <w:rPr>
                <w:b/>
                <w:bCs/>
                <w:color w:val="000000"/>
                <w:sz w:val="18"/>
                <w:szCs w:val="18"/>
              </w:rPr>
              <w:t>Skutočnosť</w:t>
            </w:r>
          </w:p>
        </w:tc>
      </w:tr>
      <w:tr w:rsidR="006E204D" w:rsidRPr="007D12A6" w14:paraId="30E1BFDD" w14:textId="77777777" w:rsidTr="00562DF6">
        <w:trPr>
          <w:trHeight w:hRule="exact" w:val="284"/>
        </w:trPr>
        <w:tc>
          <w:tcPr>
            <w:tcW w:w="5032" w:type="dxa"/>
            <w:tcBorders>
              <w:top w:val="nil"/>
              <w:left w:val="nil"/>
              <w:bottom w:val="single" w:sz="4" w:space="0" w:color="auto"/>
              <w:right w:val="nil"/>
            </w:tcBorders>
            <w:shd w:val="clear" w:color="000000" w:fill="BFBFBF"/>
            <w:noWrap/>
            <w:vAlign w:val="center"/>
          </w:tcPr>
          <w:p w14:paraId="3C3691F9" w14:textId="77777777" w:rsidR="006E204D" w:rsidRPr="007D12A6" w:rsidRDefault="006E204D" w:rsidP="00562DF6">
            <w:pPr>
              <w:spacing w:after="0" w:line="240" w:lineRule="auto"/>
              <w:rPr>
                <w:color w:val="000000"/>
                <w:sz w:val="18"/>
                <w:szCs w:val="18"/>
              </w:rPr>
            </w:pPr>
            <w:r w:rsidRPr="007D12A6">
              <w:rPr>
                <w:color w:val="000000"/>
                <w:sz w:val="18"/>
                <w:szCs w:val="18"/>
              </w:rPr>
              <w:t> </w:t>
            </w:r>
          </w:p>
        </w:tc>
        <w:tc>
          <w:tcPr>
            <w:tcW w:w="1276" w:type="dxa"/>
            <w:tcBorders>
              <w:top w:val="nil"/>
              <w:left w:val="nil"/>
              <w:bottom w:val="single" w:sz="4" w:space="0" w:color="auto"/>
              <w:right w:val="nil"/>
            </w:tcBorders>
            <w:shd w:val="clear" w:color="000000" w:fill="BFBFBF"/>
            <w:noWrap/>
            <w:vAlign w:val="center"/>
          </w:tcPr>
          <w:p w14:paraId="148AD14E" w14:textId="77777777" w:rsidR="006E204D" w:rsidRPr="007D12A6" w:rsidRDefault="006E204D" w:rsidP="00562DF6">
            <w:pPr>
              <w:spacing w:after="0" w:line="240" w:lineRule="auto"/>
              <w:jc w:val="right"/>
              <w:rPr>
                <w:b/>
                <w:bCs/>
                <w:color w:val="000000"/>
                <w:sz w:val="18"/>
                <w:szCs w:val="18"/>
              </w:rPr>
            </w:pPr>
            <w:r w:rsidRPr="007D12A6">
              <w:rPr>
                <w:b/>
                <w:bCs/>
                <w:color w:val="000000"/>
                <w:sz w:val="18"/>
                <w:szCs w:val="18"/>
              </w:rPr>
              <w:t>2018</w:t>
            </w:r>
          </w:p>
        </w:tc>
        <w:tc>
          <w:tcPr>
            <w:tcW w:w="1271" w:type="dxa"/>
            <w:tcBorders>
              <w:top w:val="nil"/>
              <w:left w:val="nil"/>
              <w:bottom w:val="single" w:sz="4" w:space="0" w:color="auto"/>
              <w:right w:val="nil"/>
            </w:tcBorders>
            <w:shd w:val="clear" w:color="000000" w:fill="BFBFBF"/>
            <w:noWrap/>
            <w:vAlign w:val="center"/>
          </w:tcPr>
          <w:p w14:paraId="2C8C5AA1" w14:textId="77777777" w:rsidR="006E204D" w:rsidRPr="007D12A6" w:rsidRDefault="006E204D" w:rsidP="00562DF6">
            <w:pPr>
              <w:spacing w:after="0" w:line="240" w:lineRule="auto"/>
              <w:jc w:val="right"/>
              <w:rPr>
                <w:b/>
                <w:bCs/>
                <w:color w:val="000000"/>
                <w:sz w:val="18"/>
                <w:szCs w:val="18"/>
              </w:rPr>
            </w:pPr>
            <w:r w:rsidRPr="007D12A6">
              <w:rPr>
                <w:b/>
                <w:bCs/>
                <w:color w:val="000000"/>
                <w:sz w:val="18"/>
                <w:szCs w:val="18"/>
              </w:rPr>
              <w:t>2019</w:t>
            </w:r>
          </w:p>
        </w:tc>
        <w:tc>
          <w:tcPr>
            <w:tcW w:w="1273" w:type="dxa"/>
            <w:tcBorders>
              <w:top w:val="nil"/>
              <w:left w:val="nil"/>
              <w:bottom w:val="single" w:sz="4" w:space="0" w:color="auto"/>
              <w:right w:val="nil"/>
            </w:tcBorders>
            <w:shd w:val="clear" w:color="auto" w:fill="BFBFBF" w:themeFill="background1" w:themeFillShade="BF"/>
            <w:noWrap/>
            <w:vAlign w:val="center"/>
          </w:tcPr>
          <w:p w14:paraId="1F7D9C4C" w14:textId="77777777" w:rsidR="006E204D" w:rsidRPr="007D12A6" w:rsidRDefault="006E204D" w:rsidP="00562DF6">
            <w:pPr>
              <w:spacing w:after="0" w:line="240" w:lineRule="auto"/>
              <w:jc w:val="right"/>
              <w:rPr>
                <w:b/>
                <w:bCs/>
                <w:color w:val="000000"/>
                <w:sz w:val="18"/>
                <w:szCs w:val="18"/>
              </w:rPr>
            </w:pPr>
            <w:r w:rsidRPr="007D12A6">
              <w:rPr>
                <w:b/>
                <w:bCs/>
                <w:color w:val="000000"/>
                <w:sz w:val="18"/>
                <w:szCs w:val="18"/>
              </w:rPr>
              <w:t>2020</w:t>
            </w:r>
          </w:p>
        </w:tc>
      </w:tr>
      <w:tr w:rsidR="006E204D" w:rsidRPr="007D12A6" w14:paraId="6F687B64" w14:textId="77777777" w:rsidTr="00562DF6">
        <w:trPr>
          <w:trHeight w:hRule="exact" w:val="284"/>
        </w:trPr>
        <w:tc>
          <w:tcPr>
            <w:tcW w:w="5032" w:type="dxa"/>
            <w:tcBorders>
              <w:top w:val="single" w:sz="4" w:space="0" w:color="auto"/>
              <w:left w:val="nil"/>
              <w:right w:val="nil"/>
            </w:tcBorders>
            <w:noWrap/>
            <w:vAlign w:val="center"/>
          </w:tcPr>
          <w:p w14:paraId="5F8A5A39" w14:textId="77777777" w:rsidR="006E204D" w:rsidRPr="007D12A6" w:rsidRDefault="006E204D" w:rsidP="00562DF6">
            <w:pPr>
              <w:spacing w:after="0" w:line="240" w:lineRule="auto"/>
              <w:rPr>
                <w:b/>
                <w:color w:val="000000"/>
                <w:sz w:val="18"/>
                <w:szCs w:val="18"/>
              </w:rPr>
            </w:pPr>
            <w:r w:rsidRPr="007D12A6">
              <w:rPr>
                <w:b/>
                <w:color w:val="000000"/>
                <w:sz w:val="18"/>
                <w:szCs w:val="18"/>
              </w:rPr>
              <w:t>Stav k 1.1.</w:t>
            </w:r>
          </w:p>
        </w:tc>
        <w:tc>
          <w:tcPr>
            <w:tcW w:w="1276" w:type="dxa"/>
            <w:tcBorders>
              <w:top w:val="single" w:sz="4" w:space="0" w:color="auto"/>
              <w:left w:val="nil"/>
              <w:right w:val="nil"/>
            </w:tcBorders>
            <w:noWrap/>
            <w:vAlign w:val="center"/>
          </w:tcPr>
          <w:p w14:paraId="59B42DD9" w14:textId="77777777" w:rsidR="006E204D" w:rsidRPr="007D12A6" w:rsidRDefault="006E204D" w:rsidP="00562DF6">
            <w:pPr>
              <w:spacing w:after="0" w:line="240" w:lineRule="auto"/>
              <w:jc w:val="right"/>
              <w:rPr>
                <w:b/>
                <w:color w:val="000000"/>
                <w:sz w:val="18"/>
                <w:szCs w:val="18"/>
              </w:rPr>
            </w:pPr>
            <w:r w:rsidRPr="007D12A6">
              <w:rPr>
                <w:b/>
                <w:color w:val="000000"/>
                <w:sz w:val="18"/>
                <w:szCs w:val="18"/>
              </w:rPr>
              <w:t>2 116 449</w:t>
            </w:r>
          </w:p>
        </w:tc>
        <w:tc>
          <w:tcPr>
            <w:tcW w:w="1271" w:type="dxa"/>
            <w:tcBorders>
              <w:top w:val="single" w:sz="4" w:space="0" w:color="auto"/>
              <w:left w:val="nil"/>
              <w:right w:val="nil"/>
            </w:tcBorders>
            <w:noWrap/>
            <w:vAlign w:val="center"/>
          </w:tcPr>
          <w:p w14:paraId="704FC24F" w14:textId="77777777" w:rsidR="006E204D" w:rsidRPr="007D12A6" w:rsidRDefault="006E204D" w:rsidP="00562DF6">
            <w:pPr>
              <w:spacing w:after="0" w:line="240" w:lineRule="auto"/>
              <w:jc w:val="right"/>
              <w:rPr>
                <w:b/>
                <w:color w:val="000000"/>
                <w:sz w:val="18"/>
                <w:szCs w:val="18"/>
              </w:rPr>
            </w:pPr>
            <w:r w:rsidRPr="007D12A6">
              <w:rPr>
                <w:b/>
                <w:color w:val="000000"/>
                <w:sz w:val="18"/>
                <w:szCs w:val="18"/>
              </w:rPr>
              <w:t>2 107 459</w:t>
            </w:r>
          </w:p>
        </w:tc>
        <w:tc>
          <w:tcPr>
            <w:tcW w:w="1273" w:type="dxa"/>
            <w:tcBorders>
              <w:top w:val="single" w:sz="4" w:space="0" w:color="auto"/>
              <w:left w:val="nil"/>
              <w:right w:val="nil"/>
            </w:tcBorders>
            <w:shd w:val="clear" w:color="auto" w:fill="BFBFBF" w:themeFill="background1" w:themeFillShade="BF"/>
            <w:noWrap/>
            <w:vAlign w:val="center"/>
          </w:tcPr>
          <w:p w14:paraId="3EDE40CB" w14:textId="77777777" w:rsidR="006E204D" w:rsidRPr="007D12A6" w:rsidRDefault="006E204D" w:rsidP="00562DF6">
            <w:pPr>
              <w:spacing w:after="0" w:line="240" w:lineRule="auto"/>
              <w:jc w:val="right"/>
              <w:rPr>
                <w:b/>
                <w:color w:val="000000"/>
                <w:sz w:val="18"/>
                <w:szCs w:val="18"/>
              </w:rPr>
            </w:pPr>
            <w:r w:rsidRPr="007D12A6">
              <w:rPr>
                <w:b/>
                <w:color w:val="000000"/>
                <w:sz w:val="18"/>
                <w:szCs w:val="18"/>
              </w:rPr>
              <w:t>2 122 602</w:t>
            </w:r>
          </w:p>
        </w:tc>
      </w:tr>
      <w:tr w:rsidR="006E204D" w:rsidRPr="007D12A6" w14:paraId="6F486168" w14:textId="77777777" w:rsidTr="00562DF6">
        <w:trPr>
          <w:trHeight w:hRule="exact" w:val="284"/>
        </w:trPr>
        <w:tc>
          <w:tcPr>
            <w:tcW w:w="5032" w:type="dxa"/>
            <w:tcBorders>
              <w:top w:val="single" w:sz="4" w:space="0" w:color="auto"/>
              <w:left w:val="nil"/>
              <w:right w:val="nil"/>
            </w:tcBorders>
            <w:noWrap/>
            <w:vAlign w:val="center"/>
          </w:tcPr>
          <w:p w14:paraId="1652AEC1" w14:textId="77777777" w:rsidR="006E204D" w:rsidRPr="007D12A6" w:rsidRDefault="006E204D" w:rsidP="00562DF6">
            <w:pPr>
              <w:spacing w:after="0" w:line="240" w:lineRule="auto"/>
              <w:rPr>
                <w:b/>
                <w:color w:val="000000"/>
                <w:sz w:val="18"/>
                <w:szCs w:val="18"/>
              </w:rPr>
            </w:pPr>
            <w:r w:rsidRPr="007D12A6">
              <w:rPr>
                <w:b/>
                <w:color w:val="000000"/>
                <w:sz w:val="18"/>
                <w:szCs w:val="18"/>
              </w:rPr>
              <w:t>Príjmy – zvýšenie ŠFA</w:t>
            </w:r>
          </w:p>
          <w:p w14:paraId="7D06ECAA" w14:textId="77777777" w:rsidR="006E204D" w:rsidRPr="007D12A6" w:rsidRDefault="006E204D" w:rsidP="00562DF6">
            <w:pPr>
              <w:spacing w:after="0" w:line="240" w:lineRule="auto"/>
              <w:rPr>
                <w:b/>
                <w:color w:val="000000"/>
                <w:sz w:val="18"/>
                <w:szCs w:val="18"/>
              </w:rPr>
            </w:pPr>
          </w:p>
        </w:tc>
        <w:tc>
          <w:tcPr>
            <w:tcW w:w="1276" w:type="dxa"/>
            <w:tcBorders>
              <w:top w:val="single" w:sz="4" w:space="0" w:color="auto"/>
              <w:left w:val="nil"/>
              <w:right w:val="nil"/>
            </w:tcBorders>
            <w:noWrap/>
            <w:vAlign w:val="center"/>
          </w:tcPr>
          <w:p w14:paraId="0DB22BB3" w14:textId="77777777" w:rsidR="006E204D" w:rsidRPr="007D12A6" w:rsidRDefault="006E204D" w:rsidP="00562DF6">
            <w:pPr>
              <w:spacing w:after="0" w:line="240" w:lineRule="auto"/>
              <w:jc w:val="right"/>
              <w:rPr>
                <w:b/>
                <w:color w:val="000000"/>
                <w:sz w:val="18"/>
                <w:szCs w:val="18"/>
              </w:rPr>
            </w:pPr>
            <w:r w:rsidRPr="007D12A6">
              <w:rPr>
                <w:b/>
                <w:color w:val="000000"/>
                <w:sz w:val="18"/>
                <w:szCs w:val="18"/>
              </w:rPr>
              <w:t>645 719</w:t>
            </w:r>
          </w:p>
        </w:tc>
        <w:tc>
          <w:tcPr>
            <w:tcW w:w="1271" w:type="dxa"/>
            <w:tcBorders>
              <w:top w:val="single" w:sz="4" w:space="0" w:color="auto"/>
              <w:left w:val="nil"/>
              <w:right w:val="nil"/>
            </w:tcBorders>
            <w:noWrap/>
            <w:vAlign w:val="center"/>
          </w:tcPr>
          <w:p w14:paraId="074321E9" w14:textId="77777777" w:rsidR="006E204D" w:rsidRPr="007D12A6" w:rsidRDefault="006E204D" w:rsidP="00562DF6">
            <w:pPr>
              <w:spacing w:after="0" w:line="240" w:lineRule="auto"/>
              <w:jc w:val="right"/>
              <w:rPr>
                <w:b/>
                <w:color w:val="000000"/>
                <w:sz w:val="18"/>
                <w:szCs w:val="18"/>
              </w:rPr>
            </w:pPr>
            <w:r w:rsidRPr="007D12A6">
              <w:rPr>
                <w:b/>
                <w:color w:val="000000"/>
                <w:sz w:val="18"/>
                <w:szCs w:val="18"/>
              </w:rPr>
              <w:t>336 524</w:t>
            </w:r>
          </w:p>
        </w:tc>
        <w:tc>
          <w:tcPr>
            <w:tcW w:w="1273" w:type="dxa"/>
            <w:tcBorders>
              <w:top w:val="single" w:sz="4" w:space="0" w:color="auto"/>
              <w:left w:val="nil"/>
              <w:right w:val="nil"/>
            </w:tcBorders>
            <w:shd w:val="clear" w:color="auto" w:fill="BFBFBF" w:themeFill="background1" w:themeFillShade="BF"/>
            <w:noWrap/>
            <w:vAlign w:val="center"/>
          </w:tcPr>
          <w:p w14:paraId="35789DBE" w14:textId="77777777" w:rsidR="006E204D" w:rsidRPr="007D12A6" w:rsidRDefault="006E204D" w:rsidP="00562DF6">
            <w:pPr>
              <w:spacing w:after="0" w:line="240" w:lineRule="auto"/>
              <w:jc w:val="right"/>
              <w:rPr>
                <w:b/>
                <w:color w:val="000000"/>
                <w:sz w:val="18"/>
                <w:szCs w:val="18"/>
              </w:rPr>
            </w:pPr>
            <w:r w:rsidRPr="007D12A6">
              <w:rPr>
                <w:b/>
                <w:color w:val="000000"/>
                <w:sz w:val="18"/>
                <w:szCs w:val="18"/>
              </w:rPr>
              <w:t>2 143 859</w:t>
            </w:r>
          </w:p>
        </w:tc>
      </w:tr>
      <w:tr w:rsidR="006E204D" w:rsidRPr="007D12A6" w14:paraId="0194A3AF" w14:textId="77777777" w:rsidTr="00562DF6">
        <w:trPr>
          <w:trHeight w:hRule="exact" w:val="284"/>
        </w:trPr>
        <w:tc>
          <w:tcPr>
            <w:tcW w:w="5032" w:type="dxa"/>
            <w:tcBorders>
              <w:top w:val="nil"/>
              <w:left w:val="nil"/>
              <w:right w:val="nil"/>
            </w:tcBorders>
            <w:noWrap/>
            <w:vAlign w:val="center"/>
          </w:tcPr>
          <w:p w14:paraId="46CDB563" w14:textId="77777777" w:rsidR="006E204D" w:rsidRPr="007D12A6" w:rsidRDefault="006E204D" w:rsidP="00562DF6">
            <w:pPr>
              <w:spacing w:after="0" w:line="240" w:lineRule="auto"/>
              <w:rPr>
                <w:color w:val="000000"/>
                <w:sz w:val="18"/>
                <w:szCs w:val="18"/>
              </w:rPr>
            </w:pPr>
            <w:r w:rsidRPr="007D12A6">
              <w:rPr>
                <w:color w:val="000000"/>
                <w:sz w:val="18"/>
                <w:szCs w:val="18"/>
              </w:rPr>
              <w:t>z toho:</w:t>
            </w:r>
          </w:p>
        </w:tc>
        <w:tc>
          <w:tcPr>
            <w:tcW w:w="1276" w:type="dxa"/>
            <w:tcBorders>
              <w:top w:val="nil"/>
              <w:left w:val="nil"/>
              <w:right w:val="nil"/>
            </w:tcBorders>
            <w:noWrap/>
            <w:vAlign w:val="center"/>
          </w:tcPr>
          <w:p w14:paraId="5CB4724D" w14:textId="77777777" w:rsidR="006E204D" w:rsidRPr="007D12A6" w:rsidRDefault="006E204D" w:rsidP="00562DF6">
            <w:pPr>
              <w:spacing w:after="0" w:line="240" w:lineRule="auto"/>
              <w:jc w:val="right"/>
              <w:rPr>
                <w:color w:val="000000"/>
                <w:sz w:val="18"/>
                <w:szCs w:val="18"/>
              </w:rPr>
            </w:pPr>
          </w:p>
        </w:tc>
        <w:tc>
          <w:tcPr>
            <w:tcW w:w="1271" w:type="dxa"/>
            <w:tcBorders>
              <w:top w:val="nil"/>
              <w:left w:val="nil"/>
              <w:right w:val="nil"/>
            </w:tcBorders>
            <w:noWrap/>
            <w:vAlign w:val="center"/>
          </w:tcPr>
          <w:p w14:paraId="1191DDED" w14:textId="77777777" w:rsidR="006E204D" w:rsidRPr="007D12A6" w:rsidRDefault="006E204D" w:rsidP="00562DF6">
            <w:pPr>
              <w:spacing w:after="0" w:line="240" w:lineRule="auto"/>
              <w:jc w:val="right"/>
              <w:rPr>
                <w:color w:val="000000"/>
                <w:sz w:val="18"/>
                <w:szCs w:val="18"/>
              </w:rPr>
            </w:pPr>
          </w:p>
        </w:tc>
        <w:tc>
          <w:tcPr>
            <w:tcW w:w="1273" w:type="dxa"/>
            <w:tcBorders>
              <w:top w:val="nil"/>
              <w:left w:val="nil"/>
              <w:right w:val="nil"/>
            </w:tcBorders>
            <w:shd w:val="clear" w:color="auto" w:fill="BFBFBF" w:themeFill="background1" w:themeFillShade="BF"/>
            <w:noWrap/>
            <w:vAlign w:val="center"/>
          </w:tcPr>
          <w:p w14:paraId="23FB7A6E" w14:textId="77777777" w:rsidR="006E204D" w:rsidRPr="007D12A6" w:rsidRDefault="006E204D" w:rsidP="00562DF6">
            <w:pPr>
              <w:spacing w:after="0" w:line="240" w:lineRule="auto"/>
              <w:jc w:val="right"/>
              <w:rPr>
                <w:color w:val="000000"/>
                <w:sz w:val="18"/>
                <w:szCs w:val="18"/>
              </w:rPr>
            </w:pPr>
          </w:p>
        </w:tc>
      </w:tr>
      <w:tr w:rsidR="006E204D" w:rsidRPr="007D12A6" w14:paraId="73A8C334" w14:textId="77777777" w:rsidTr="00562DF6">
        <w:trPr>
          <w:trHeight w:hRule="exact" w:val="284"/>
        </w:trPr>
        <w:tc>
          <w:tcPr>
            <w:tcW w:w="5032" w:type="dxa"/>
            <w:tcBorders>
              <w:left w:val="nil"/>
              <w:right w:val="nil"/>
            </w:tcBorders>
            <w:noWrap/>
            <w:vAlign w:val="center"/>
          </w:tcPr>
          <w:p w14:paraId="3E581C42" w14:textId="77777777" w:rsidR="006E204D" w:rsidRPr="007D12A6" w:rsidRDefault="006E204D" w:rsidP="00562DF6">
            <w:pPr>
              <w:spacing w:after="0" w:line="240" w:lineRule="auto"/>
              <w:rPr>
                <w:color w:val="000000"/>
                <w:sz w:val="18"/>
                <w:szCs w:val="18"/>
              </w:rPr>
            </w:pPr>
            <w:r w:rsidRPr="007D12A6">
              <w:rPr>
                <w:color w:val="000000"/>
                <w:sz w:val="18"/>
                <w:szCs w:val="18"/>
              </w:rPr>
              <w:t xml:space="preserve">   účelové prostriedky z FNM/MH Manažment, a.s.</w:t>
            </w:r>
          </w:p>
        </w:tc>
        <w:tc>
          <w:tcPr>
            <w:tcW w:w="1276" w:type="dxa"/>
            <w:tcBorders>
              <w:left w:val="nil"/>
              <w:right w:val="nil"/>
            </w:tcBorders>
            <w:noWrap/>
            <w:vAlign w:val="center"/>
          </w:tcPr>
          <w:p w14:paraId="5540E5D8" w14:textId="77777777" w:rsidR="006E204D" w:rsidRPr="007D12A6" w:rsidRDefault="006E204D" w:rsidP="00562DF6">
            <w:pPr>
              <w:spacing w:after="0" w:line="240" w:lineRule="auto"/>
              <w:jc w:val="right"/>
              <w:rPr>
                <w:color w:val="000000"/>
                <w:sz w:val="18"/>
                <w:szCs w:val="18"/>
              </w:rPr>
            </w:pPr>
            <w:r w:rsidRPr="007D12A6">
              <w:rPr>
                <w:color w:val="000000"/>
                <w:sz w:val="18"/>
                <w:szCs w:val="18"/>
              </w:rPr>
              <w:t>518</w:t>
            </w:r>
          </w:p>
        </w:tc>
        <w:tc>
          <w:tcPr>
            <w:tcW w:w="1271" w:type="dxa"/>
            <w:tcBorders>
              <w:left w:val="nil"/>
              <w:right w:val="nil"/>
            </w:tcBorders>
            <w:noWrap/>
            <w:vAlign w:val="center"/>
          </w:tcPr>
          <w:p w14:paraId="35BE7AEB" w14:textId="77777777" w:rsidR="006E204D" w:rsidRPr="007D12A6" w:rsidRDefault="006E204D" w:rsidP="00562DF6">
            <w:pPr>
              <w:spacing w:after="0" w:line="240" w:lineRule="auto"/>
              <w:jc w:val="right"/>
              <w:rPr>
                <w:color w:val="000000"/>
                <w:sz w:val="18"/>
                <w:szCs w:val="18"/>
              </w:rPr>
            </w:pPr>
            <w:r w:rsidRPr="007D12A6">
              <w:rPr>
                <w:color w:val="000000"/>
                <w:sz w:val="18"/>
                <w:szCs w:val="18"/>
              </w:rPr>
              <w:t>7 655</w:t>
            </w:r>
          </w:p>
        </w:tc>
        <w:tc>
          <w:tcPr>
            <w:tcW w:w="1273" w:type="dxa"/>
            <w:tcBorders>
              <w:left w:val="nil"/>
              <w:right w:val="nil"/>
            </w:tcBorders>
            <w:shd w:val="clear" w:color="auto" w:fill="BFBFBF" w:themeFill="background1" w:themeFillShade="BF"/>
            <w:noWrap/>
            <w:vAlign w:val="center"/>
          </w:tcPr>
          <w:p w14:paraId="677E4EFA" w14:textId="77777777" w:rsidR="006E204D" w:rsidRPr="007D12A6" w:rsidRDefault="006E204D" w:rsidP="00562DF6">
            <w:pPr>
              <w:spacing w:after="0" w:line="240" w:lineRule="auto"/>
              <w:jc w:val="right"/>
              <w:rPr>
                <w:color w:val="000000"/>
                <w:sz w:val="18"/>
                <w:szCs w:val="18"/>
              </w:rPr>
            </w:pPr>
            <w:r w:rsidRPr="007D12A6">
              <w:rPr>
                <w:color w:val="000000"/>
                <w:sz w:val="18"/>
                <w:szCs w:val="18"/>
              </w:rPr>
              <w:t>1 126 303</w:t>
            </w:r>
          </w:p>
        </w:tc>
      </w:tr>
      <w:tr w:rsidR="006E204D" w:rsidRPr="007D12A6" w14:paraId="3E43FEC3" w14:textId="77777777" w:rsidTr="00562DF6">
        <w:trPr>
          <w:trHeight w:hRule="exact" w:val="284"/>
        </w:trPr>
        <w:tc>
          <w:tcPr>
            <w:tcW w:w="5032" w:type="dxa"/>
            <w:tcBorders>
              <w:top w:val="nil"/>
              <w:left w:val="nil"/>
              <w:right w:val="nil"/>
            </w:tcBorders>
            <w:noWrap/>
            <w:vAlign w:val="center"/>
          </w:tcPr>
          <w:p w14:paraId="2C55A1CB" w14:textId="77777777" w:rsidR="006E204D" w:rsidRPr="007D12A6" w:rsidRDefault="006E204D" w:rsidP="00562DF6">
            <w:pPr>
              <w:spacing w:after="0" w:line="240" w:lineRule="auto"/>
              <w:rPr>
                <w:color w:val="000000"/>
                <w:sz w:val="18"/>
                <w:szCs w:val="18"/>
              </w:rPr>
            </w:pPr>
            <w:r w:rsidRPr="007D12A6">
              <w:rPr>
                <w:color w:val="000000"/>
                <w:sz w:val="18"/>
                <w:szCs w:val="18"/>
              </w:rPr>
              <w:t xml:space="preserve">   návratné finančné výpomocí </w:t>
            </w:r>
          </w:p>
        </w:tc>
        <w:tc>
          <w:tcPr>
            <w:tcW w:w="1276" w:type="dxa"/>
            <w:tcBorders>
              <w:top w:val="nil"/>
              <w:left w:val="nil"/>
              <w:right w:val="nil"/>
            </w:tcBorders>
            <w:noWrap/>
            <w:vAlign w:val="center"/>
          </w:tcPr>
          <w:p w14:paraId="6C2CC4FB" w14:textId="77777777" w:rsidR="006E204D" w:rsidRPr="007D12A6" w:rsidRDefault="006E204D" w:rsidP="00562DF6">
            <w:pPr>
              <w:spacing w:after="0" w:line="240" w:lineRule="auto"/>
              <w:jc w:val="right"/>
              <w:rPr>
                <w:color w:val="000000"/>
                <w:sz w:val="18"/>
                <w:szCs w:val="18"/>
              </w:rPr>
            </w:pPr>
            <w:r w:rsidRPr="007D12A6">
              <w:rPr>
                <w:color w:val="000000"/>
                <w:sz w:val="18"/>
                <w:szCs w:val="18"/>
              </w:rPr>
              <w:t>52 172</w:t>
            </w:r>
          </w:p>
        </w:tc>
        <w:tc>
          <w:tcPr>
            <w:tcW w:w="1271" w:type="dxa"/>
            <w:tcBorders>
              <w:top w:val="nil"/>
              <w:left w:val="nil"/>
              <w:right w:val="nil"/>
            </w:tcBorders>
            <w:noWrap/>
            <w:vAlign w:val="center"/>
          </w:tcPr>
          <w:p w14:paraId="0C8DC207" w14:textId="77777777" w:rsidR="006E204D" w:rsidRPr="007D12A6" w:rsidRDefault="006E204D" w:rsidP="00562DF6">
            <w:pPr>
              <w:spacing w:after="0" w:line="240" w:lineRule="auto"/>
              <w:jc w:val="right"/>
              <w:rPr>
                <w:color w:val="000000"/>
                <w:sz w:val="18"/>
                <w:szCs w:val="18"/>
              </w:rPr>
            </w:pPr>
            <w:r w:rsidRPr="007D12A6">
              <w:rPr>
                <w:color w:val="000000"/>
                <w:sz w:val="18"/>
                <w:szCs w:val="18"/>
              </w:rPr>
              <w:t>61 934</w:t>
            </w:r>
          </w:p>
        </w:tc>
        <w:tc>
          <w:tcPr>
            <w:tcW w:w="1273" w:type="dxa"/>
            <w:tcBorders>
              <w:top w:val="nil"/>
              <w:left w:val="nil"/>
              <w:right w:val="nil"/>
            </w:tcBorders>
            <w:shd w:val="clear" w:color="auto" w:fill="BFBFBF" w:themeFill="background1" w:themeFillShade="BF"/>
            <w:noWrap/>
            <w:vAlign w:val="center"/>
          </w:tcPr>
          <w:p w14:paraId="35594F4D" w14:textId="77777777" w:rsidR="006E204D" w:rsidRPr="007D12A6" w:rsidRDefault="006E204D" w:rsidP="00562DF6">
            <w:pPr>
              <w:spacing w:after="0" w:line="240" w:lineRule="auto"/>
              <w:jc w:val="right"/>
              <w:rPr>
                <w:color w:val="000000"/>
                <w:sz w:val="18"/>
                <w:szCs w:val="18"/>
              </w:rPr>
            </w:pPr>
            <w:r w:rsidRPr="007D12A6">
              <w:rPr>
                <w:color w:val="000000"/>
                <w:sz w:val="18"/>
                <w:szCs w:val="18"/>
              </w:rPr>
              <w:t>517 173</w:t>
            </w:r>
          </w:p>
        </w:tc>
      </w:tr>
      <w:tr w:rsidR="006E204D" w:rsidRPr="007D12A6" w14:paraId="0C4BEE9A" w14:textId="77777777" w:rsidTr="00562DF6">
        <w:trPr>
          <w:trHeight w:hRule="exact" w:val="284"/>
        </w:trPr>
        <w:tc>
          <w:tcPr>
            <w:tcW w:w="5032" w:type="dxa"/>
            <w:tcBorders>
              <w:top w:val="nil"/>
              <w:left w:val="nil"/>
              <w:right w:val="nil"/>
            </w:tcBorders>
            <w:noWrap/>
            <w:vAlign w:val="center"/>
          </w:tcPr>
          <w:p w14:paraId="519144BF" w14:textId="77777777" w:rsidR="006E204D" w:rsidRPr="007D12A6" w:rsidRDefault="006E204D" w:rsidP="00562DF6">
            <w:pPr>
              <w:spacing w:after="0" w:line="240" w:lineRule="auto"/>
              <w:rPr>
                <w:color w:val="000000"/>
                <w:sz w:val="18"/>
                <w:szCs w:val="18"/>
              </w:rPr>
            </w:pPr>
            <w:r w:rsidRPr="007D12A6">
              <w:rPr>
                <w:color w:val="000000"/>
                <w:sz w:val="18"/>
                <w:szCs w:val="18"/>
              </w:rPr>
              <w:t xml:space="preserve">   osobitný odvod finančných inštitúcií</w:t>
            </w:r>
          </w:p>
        </w:tc>
        <w:tc>
          <w:tcPr>
            <w:tcW w:w="1276" w:type="dxa"/>
            <w:tcBorders>
              <w:top w:val="nil"/>
              <w:left w:val="nil"/>
              <w:right w:val="nil"/>
            </w:tcBorders>
            <w:noWrap/>
            <w:vAlign w:val="center"/>
          </w:tcPr>
          <w:p w14:paraId="4D073F48" w14:textId="77777777" w:rsidR="006E204D" w:rsidRPr="007D12A6" w:rsidRDefault="006E204D" w:rsidP="00562DF6">
            <w:pPr>
              <w:spacing w:after="0" w:line="240" w:lineRule="auto"/>
              <w:jc w:val="right"/>
              <w:rPr>
                <w:color w:val="000000"/>
                <w:sz w:val="18"/>
                <w:szCs w:val="18"/>
              </w:rPr>
            </w:pPr>
            <w:r w:rsidRPr="007D12A6">
              <w:rPr>
                <w:color w:val="000000"/>
                <w:sz w:val="18"/>
                <w:szCs w:val="18"/>
              </w:rPr>
              <w:t>134 177</w:t>
            </w:r>
          </w:p>
        </w:tc>
        <w:tc>
          <w:tcPr>
            <w:tcW w:w="1271" w:type="dxa"/>
            <w:tcBorders>
              <w:top w:val="nil"/>
              <w:left w:val="nil"/>
              <w:right w:val="nil"/>
            </w:tcBorders>
            <w:noWrap/>
            <w:vAlign w:val="center"/>
          </w:tcPr>
          <w:p w14:paraId="2A139C94" w14:textId="77777777" w:rsidR="006E204D" w:rsidRPr="007D12A6" w:rsidRDefault="006E204D" w:rsidP="00562DF6">
            <w:pPr>
              <w:spacing w:after="0" w:line="240" w:lineRule="auto"/>
              <w:jc w:val="right"/>
              <w:rPr>
                <w:color w:val="000000"/>
                <w:sz w:val="18"/>
                <w:szCs w:val="18"/>
              </w:rPr>
            </w:pPr>
            <w:r w:rsidRPr="007D12A6">
              <w:rPr>
                <w:color w:val="000000"/>
                <w:sz w:val="18"/>
                <w:szCs w:val="18"/>
              </w:rPr>
              <w:t>153 411</w:t>
            </w:r>
          </w:p>
        </w:tc>
        <w:tc>
          <w:tcPr>
            <w:tcW w:w="1273" w:type="dxa"/>
            <w:tcBorders>
              <w:top w:val="nil"/>
              <w:left w:val="nil"/>
              <w:right w:val="nil"/>
            </w:tcBorders>
            <w:shd w:val="clear" w:color="auto" w:fill="BFBFBF" w:themeFill="background1" w:themeFillShade="BF"/>
            <w:noWrap/>
            <w:vAlign w:val="center"/>
          </w:tcPr>
          <w:p w14:paraId="4D6A9110" w14:textId="77777777" w:rsidR="006E204D" w:rsidRPr="007D12A6" w:rsidRDefault="006E204D" w:rsidP="00562DF6">
            <w:pPr>
              <w:spacing w:after="0" w:line="240" w:lineRule="auto"/>
              <w:jc w:val="right"/>
              <w:rPr>
                <w:color w:val="000000"/>
                <w:sz w:val="18"/>
                <w:szCs w:val="18"/>
              </w:rPr>
            </w:pPr>
            <w:r w:rsidRPr="007D12A6">
              <w:rPr>
                <w:color w:val="000000"/>
                <w:sz w:val="18"/>
                <w:szCs w:val="18"/>
              </w:rPr>
              <w:t>148 950</w:t>
            </w:r>
          </w:p>
        </w:tc>
      </w:tr>
      <w:tr w:rsidR="006E204D" w:rsidRPr="007D12A6" w14:paraId="1C557B2E" w14:textId="77777777" w:rsidTr="00562DF6">
        <w:trPr>
          <w:trHeight w:hRule="exact" w:val="265"/>
        </w:trPr>
        <w:tc>
          <w:tcPr>
            <w:tcW w:w="5032" w:type="dxa"/>
            <w:tcBorders>
              <w:top w:val="nil"/>
              <w:left w:val="nil"/>
              <w:right w:val="nil"/>
            </w:tcBorders>
            <w:noWrap/>
            <w:vAlign w:val="center"/>
          </w:tcPr>
          <w:p w14:paraId="580D50FA" w14:textId="77777777" w:rsidR="006E204D" w:rsidRPr="007D12A6" w:rsidRDefault="006E204D" w:rsidP="00562DF6">
            <w:pPr>
              <w:spacing w:after="0" w:line="240" w:lineRule="auto"/>
              <w:rPr>
                <w:color w:val="000000"/>
                <w:sz w:val="18"/>
                <w:szCs w:val="18"/>
              </w:rPr>
            </w:pPr>
            <w:r w:rsidRPr="007D12A6">
              <w:rPr>
                <w:color w:val="000000"/>
                <w:sz w:val="18"/>
                <w:szCs w:val="18"/>
              </w:rPr>
              <w:t xml:space="preserve">   osobitný odvod z podnikania v regulovaných odvetviach</w:t>
            </w:r>
          </w:p>
        </w:tc>
        <w:tc>
          <w:tcPr>
            <w:tcW w:w="1276" w:type="dxa"/>
            <w:tcBorders>
              <w:top w:val="nil"/>
              <w:left w:val="nil"/>
              <w:right w:val="nil"/>
            </w:tcBorders>
            <w:noWrap/>
            <w:vAlign w:val="center"/>
          </w:tcPr>
          <w:p w14:paraId="11E86828" w14:textId="77777777" w:rsidR="006E204D" w:rsidRPr="007D12A6" w:rsidRDefault="006E204D" w:rsidP="00562DF6">
            <w:pPr>
              <w:spacing w:after="0" w:line="240" w:lineRule="auto"/>
              <w:jc w:val="right"/>
              <w:rPr>
                <w:color w:val="000000"/>
                <w:sz w:val="18"/>
                <w:szCs w:val="18"/>
              </w:rPr>
            </w:pPr>
            <w:r w:rsidRPr="007D12A6">
              <w:rPr>
                <w:color w:val="000000"/>
                <w:sz w:val="18"/>
                <w:szCs w:val="18"/>
              </w:rPr>
              <w:t>458 788</w:t>
            </w:r>
          </w:p>
        </w:tc>
        <w:tc>
          <w:tcPr>
            <w:tcW w:w="1271" w:type="dxa"/>
            <w:tcBorders>
              <w:top w:val="nil"/>
              <w:left w:val="nil"/>
              <w:right w:val="nil"/>
            </w:tcBorders>
            <w:noWrap/>
            <w:vAlign w:val="center"/>
          </w:tcPr>
          <w:p w14:paraId="1BF07823" w14:textId="77777777" w:rsidR="006E204D" w:rsidRPr="007D12A6" w:rsidRDefault="006E204D" w:rsidP="00562DF6">
            <w:pPr>
              <w:spacing w:after="0" w:line="240" w:lineRule="auto"/>
              <w:jc w:val="right"/>
              <w:rPr>
                <w:color w:val="000000"/>
                <w:sz w:val="18"/>
                <w:szCs w:val="18"/>
              </w:rPr>
            </w:pPr>
            <w:r w:rsidRPr="007D12A6">
              <w:rPr>
                <w:color w:val="000000"/>
                <w:sz w:val="18"/>
                <w:szCs w:val="18"/>
              </w:rPr>
              <w:t>112 597</w:t>
            </w:r>
          </w:p>
        </w:tc>
        <w:tc>
          <w:tcPr>
            <w:tcW w:w="1273" w:type="dxa"/>
            <w:tcBorders>
              <w:top w:val="nil"/>
              <w:left w:val="nil"/>
              <w:right w:val="nil"/>
            </w:tcBorders>
            <w:shd w:val="clear" w:color="auto" w:fill="BFBFBF" w:themeFill="background1" w:themeFillShade="BF"/>
            <w:noWrap/>
            <w:vAlign w:val="center"/>
          </w:tcPr>
          <w:p w14:paraId="733D93A1" w14:textId="77777777" w:rsidR="006E204D" w:rsidRPr="007D12A6" w:rsidRDefault="006E204D" w:rsidP="00562DF6">
            <w:pPr>
              <w:spacing w:after="0" w:line="240" w:lineRule="auto"/>
              <w:jc w:val="right"/>
              <w:rPr>
                <w:color w:val="000000"/>
                <w:sz w:val="18"/>
                <w:szCs w:val="18"/>
              </w:rPr>
            </w:pPr>
            <w:r w:rsidRPr="007D12A6">
              <w:rPr>
                <w:color w:val="000000"/>
                <w:sz w:val="18"/>
                <w:szCs w:val="18"/>
              </w:rPr>
              <w:t>210 535</w:t>
            </w:r>
          </w:p>
        </w:tc>
      </w:tr>
      <w:tr w:rsidR="006E204D" w:rsidRPr="007D12A6" w14:paraId="58CBCA5D" w14:textId="77777777" w:rsidTr="00562DF6">
        <w:trPr>
          <w:trHeight w:hRule="exact" w:val="284"/>
        </w:trPr>
        <w:tc>
          <w:tcPr>
            <w:tcW w:w="5032" w:type="dxa"/>
            <w:tcBorders>
              <w:top w:val="nil"/>
              <w:left w:val="nil"/>
              <w:right w:val="nil"/>
            </w:tcBorders>
            <w:noWrap/>
            <w:vAlign w:val="center"/>
          </w:tcPr>
          <w:p w14:paraId="16635893" w14:textId="77777777" w:rsidR="006E204D" w:rsidRPr="007D12A6" w:rsidRDefault="006E204D" w:rsidP="00562DF6">
            <w:pPr>
              <w:spacing w:after="0" w:line="240" w:lineRule="auto"/>
              <w:rPr>
                <w:color w:val="000000"/>
                <w:sz w:val="18"/>
                <w:szCs w:val="18"/>
              </w:rPr>
            </w:pPr>
            <w:r w:rsidRPr="007D12A6">
              <w:rPr>
                <w:color w:val="000000"/>
                <w:sz w:val="18"/>
                <w:szCs w:val="18"/>
              </w:rPr>
              <w:t xml:space="preserve">   anonymné vklady</w:t>
            </w:r>
          </w:p>
        </w:tc>
        <w:tc>
          <w:tcPr>
            <w:tcW w:w="1276" w:type="dxa"/>
            <w:tcBorders>
              <w:top w:val="nil"/>
              <w:left w:val="nil"/>
              <w:right w:val="nil"/>
            </w:tcBorders>
            <w:noWrap/>
            <w:vAlign w:val="center"/>
          </w:tcPr>
          <w:p w14:paraId="7C49B01A" w14:textId="77777777" w:rsidR="006E204D" w:rsidRPr="007D12A6" w:rsidRDefault="006E204D" w:rsidP="00562DF6">
            <w:pPr>
              <w:spacing w:after="0" w:line="240" w:lineRule="auto"/>
              <w:jc w:val="right"/>
              <w:rPr>
                <w:color w:val="000000"/>
                <w:sz w:val="18"/>
                <w:szCs w:val="18"/>
              </w:rPr>
            </w:pPr>
            <w:r w:rsidRPr="007D12A6">
              <w:rPr>
                <w:color w:val="000000"/>
                <w:sz w:val="18"/>
                <w:szCs w:val="18"/>
              </w:rPr>
              <w:t>44</w:t>
            </w:r>
          </w:p>
        </w:tc>
        <w:tc>
          <w:tcPr>
            <w:tcW w:w="1271" w:type="dxa"/>
            <w:tcBorders>
              <w:top w:val="nil"/>
              <w:left w:val="nil"/>
              <w:right w:val="nil"/>
            </w:tcBorders>
            <w:noWrap/>
            <w:vAlign w:val="center"/>
          </w:tcPr>
          <w:p w14:paraId="31F5D832" w14:textId="77777777" w:rsidR="006E204D" w:rsidRPr="007D12A6" w:rsidRDefault="006E204D" w:rsidP="00562DF6">
            <w:pPr>
              <w:spacing w:after="0" w:line="240" w:lineRule="auto"/>
              <w:jc w:val="right"/>
              <w:rPr>
                <w:color w:val="000000"/>
                <w:sz w:val="18"/>
                <w:szCs w:val="18"/>
              </w:rPr>
            </w:pPr>
            <w:r w:rsidRPr="007D12A6">
              <w:rPr>
                <w:color w:val="000000"/>
                <w:sz w:val="18"/>
                <w:szCs w:val="18"/>
              </w:rPr>
              <w:t>28</w:t>
            </w:r>
          </w:p>
        </w:tc>
        <w:tc>
          <w:tcPr>
            <w:tcW w:w="1273" w:type="dxa"/>
            <w:tcBorders>
              <w:top w:val="nil"/>
              <w:left w:val="nil"/>
              <w:right w:val="nil"/>
            </w:tcBorders>
            <w:shd w:val="clear" w:color="auto" w:fill="BFBFBF" w:themeFill="background1" w:themeFillShade="BF"/>
            <w:noWrap/>
            <w:vAlign w:val="center"/>
          </w:tcPr>
          <w:p w14:paraId="3F73CEA8" w14:textId="77777777" w:rsidR="006E204D" w:rsidRPr="007D12A6" w:rsidRDefault="006E204D" w:rsidP="00562DF6">
            <w:pPr>
              <w:spacing w:after="0" w:line="240" w:lineRule="auto"/>
              <w:jc w:val="right"/>
              <w:rPr>
                <w:color w:val="000000"/>
                <w:sz w:val="18"/>
                <w:szCs w:val="18"/>
              </w:rPr>
            </w:pPr>
            <w:r w:rsidRPr="007D12A6">
              <w:rPr>
                <w:color w:val="000000"/>
                <w:sz w:val="18"/>
                <w:szCs w:val="18"/>
              </w:rPr>
              <w:t>1</w:t>
            </w:r>
          </w:p>
        </w:tc>
      </w:tr>
      <w:tr w:rsidR="006E204D" w:rsidRPr="007D12A6" w14:paraId="2C32A591" w14:textId="77777777" w:rsidTr="00562DF6">
        <w:trPr>
          <w:trHeight w:hRule="exact" w:val="284"/>
        </w:trPr>
        <w:tc>
          <w:tcPr>
            <w:tcW w:w="5032" w:type="dxa"/>
            <w:tcBorders>
              <w:top w:val="nil"/>
              <w:left w:val="nil"/>
              <w:right w:val="nil"/>
            </w:tcBorders>
            <w:noWrap/>
            <w:vAlign w:val="center"/>
          </w:tcPr>
          <w:p w14:paraId="1D1F28A1" w14:textId="77777777" w:rsidR="006E204D" w:rsidRPr="007D12A6" w:rsidRDefault="006E204D" w:rsidP="00562DF6">
            <w:pPr>
              <w:spacing w:after="0" w:line="240" w:lineRule="auto"/>
              <w:rPr>
                <w:color w:val="000000"/>
                <w:sz w:val="18"/>
                <w:szCs w:val="18"/>
              </w:rPr>
            </w:pPr>
            <w:r w:rsidRPr="007D12A6">
              <w:rPr>
                <w:color w:val="000000"/>
                <w:sz w:val="18"/>
                <w:szCs w:val="18"/>
              </w:rPr>
              <w:t xml:space="preserve">   ostatné</w:t>
            </w:r>
          </w:p>
        </w:tc>
        <w:tc>
          <w:tcPr>
            <w:tcW w:w="1276" w:type="dxa"/>
            <w:tcBorders>
              <w:top w:val="nil"/>
              <w:left w:val="nil"/>
              <w:right w:val="nil"/>
            </w:tcBorders>
            <w:noWrap/>
            <w:vAlign w:val="center"/>
          </w:tcPr>
          <w:p w14:paraId="4F666FF8" w14:textId="77777777" w:rsidR="006E204D" w:rsidRPr="007D12A6" w:rsidRDefault="006E204D" w:rsidP="00562DF6">
            <w:pPr>
              <w:spacing w:after="0" w:line="240" w:lineRule="auto"/>
              <w:jc w:val="right"/>
              <w:rPr>
                <w:color w:val="000000"/>
                <w:sz w:val="18"/>
                <w:szCs w:val="18"/>
              </w:rPr>
            </w:pPr>
            <w:r w:rsidRPr="007D12A6">
              <w:rPr>
                <w:color w:val="000000"/>
                <w:sz w:val="18"/>
                <w:szCs w:val="18"/>
              </w:rPr>
              <w:t>20</w:t>
            </w:r>
          </w:p>
        </w:tc>
        <w:tc>
          <w:tcPr>
            <w:tcW w:w="1271" w:type="dxa"/>
            <w:tcBorders>
              <w:top w:val="nil"/>
              <w:left w:val="nil"/>
              <w:right w:val="nil"/>
            </w:tcBorders>
            <w:noWrap/>
            <w:vAlign w:val="center"/>
          </w:tcPr>
          <w:p w14:paraId="27E261E0" w14:textId="78039E7F" w:rsidR="006E204D" w:rsidRPr="007D12A6" w:rsidRDefault="006E204D" w:rsidP="00D719DE">
            <w:pPr>
              <w:spacing w:after="0" w:line="240" w:lineRule="auto"/>
              <w:jc w:val="right"/>
              <w:rPr>
                <w:color w:val="000000"/>
                <w:sz w:val="18"/>
                <w:szCs w:val="18"/>
              </w:rPr>
            </w:pPr>
            <w:r w:rsidRPr="007D12A6">
              <w:rPr>
                <w:color w:val="000000"/>
                <w:sz w:val="18"/>
                <w:szCs w:val="18"/>
              </w:rPr>
              <w:t>89</w:t>
            </w:r>
            <w:r w:rsidR="00D719DE" w:rsidRPr="007D12A6">
              <w:rPr>
                <w:color w:val="000000"/>
                <w:sz w:val="18"/>
                <w:szCs w:val="18"/>
              </w:rPr>
              <w:t>9</w:t>
            </w:r>
          </w:p>
        </w:tc>
        <w:tc>
          <w:tcPr>
            <w:tcW w:w="1273" w:type="dxa"/>
            <w:tcBorders>
              <w:top w:val="nil"/>
              <w:left w:val="nil"/>
              <w:right w:val="nil"/>
            </w:tcBorders>
            <w:shd w:val="clear" w:color="auto" w:fill="BFBFBF" w:themeFill="background1" w:themeFillShade="BF"/>
            <w:noWrap/>
            <w:vAlign w:val="center"/>
          </w:tcPr>
          <w:p w14:paraId="32D18D9E" w14:textId="77777777" w:rsidR="006E204D" w:rsidRPr="007D12A6" w:rsidRDefault="006E204D" w:rsidP="00562DF6">
            <w:pPr>
              <w:spacing w:after="0" w:line="240" w:lineRule="auto"/>
              <w:jc w:val="right"/>
              <w:rPr>
                <w:color w:val="000000"/>
                <w:sz w:val="18"/>
                <w:szCs w:val="18"/>
              </w:rPr>
            </w:pPr>
            <w:r w:rsidRPr="007D12A6">
              <w:rPr>
                <w:color w:val="000000"/>
                <w:sz w:val="18"/>
                <w:szCs w:val="18"/>
              </w:rPr>
              <w:t>140 897</w:t>
            </w:r>
          </w:p>
        </w:tc>
      </w:tr>
      <w:tr w:rsidR="006E204D" w:rsidRPr="007D12A6" w14:paraId="05C5AECA" w14:textId="77777777" w:rsidTr="00562DF6">
        <w:trPr>
          <w:trHeight w:hRule="exact" w:val="284"/>
        </w:trPr>
        <w:tc>
          <w:tcPr>
            <w:tcW w:w="5032" w:type="dxa"/>
            <w:tcBorders>
              <w:top w:val="nil"/>
              <w:left w:val="nil"/>
              <w:right w:val="nil"/>
            </w:tcBorders>
            <w:noWrap/>
            <w:vAlign w:val="center"/>
          </w:tcPr>
          <w:p w14:paraId="2E0663E0" w14:textId="77777777" w:rsidR="006E204D" w:rsidRPr="007D12A6" w:rsidRDefault="006E204D" w:rsidP="00562DF6">
            <w:pPr>
              <w:spacing w:after="0" w:line="240" w:lineRule="auto"/>
              <w:rPr>
                <w:b/>
                <w:color w:val="000000"/>
                <w:sz w:val="18"/>
                <w:szCs w:val="18"/>
              </w:rPr>
            </w:pPr>
            <w:r w:rsidRPr="007D12A6">
              <w:rPr>
                <w:b/>
                <w:color w:val="000000"/>
                <w:sz w:val="18"/>
                <w:szCs w:val="18"/>
              </w:rPr>
              <w:t>Výdavky – zníženie ŠFA</w:t>
            </w:r>
          </w:p>
        </w:tc>
        <w:tc>
          <w:tcPr>
            <w:tcW w:w="1276" w:type="dxa"/>
            <w:tcBorders>
              <w:top w:val="nil"/>
              <w:left w:val="nil"/>
              <w:right w:val="nil"/>
            </w:tcBorders>
            <w:noWrap/>
            <w:vAlign w:val="center"/>
          </w:tcPr>
          <w:p w14:paraId="463244B1" w14:textId="77777777" w:rsidR="006E204D" w:rsidRPr="007D12A6" w:rsidRDefault="006E204D" w:rsidP="00562DF6">
            <w:pPr>
              <w:spacing w:after="0" w:line="240" w:lineRule="auto"/>
              <w:jc w:val="right"/>
              <w:rPr>
                <w:b/>
                <w:color w:val="000000"/>
                <w:sz w:val="18"/>
                <w:szCs w:val="18"/>
              </w:rPr>
            </w:pPr>
            <w:r w:rsidRPr="007D12A6">
              <w:rPr>
                <w:b/>
                <w:color w:val="000000"/>
                <w:sz w:val="18"/>
                <w:szCs w:val="18"/>
              </w:rPr>
              <w:t>654 709</w:t>
            </w:r>
          </w:p>
        </w:tc>
        <w:tc>
          <w:tcPr>
            <w:tcW w:w="1271" w:type="dxa"/>
            <w:tcBorders>
              <w:top w:val="nil"/>
              <w:left w:val="nil"/>
              <w:right w:val="nil"/>
            </w:tcBorders>
            <w:noWrap/>
            <w:vAlign w:val="center"/>
          </w:tcPr>
          <w:p w14:paraId="11821C9C" w14:textId="77777777" w:rsidR="006E204D" w:rsidRPr="007D12A6" w:rsidRDefault="006E204D" w:rsidP="00562DF6">
            <w:pPr>
              <w:spacing w:after="0" w:line="240" w:lineRule="auto"/>
              <w:jc w:val="right"/>
              <w:rPr>
                <w:b/>
                <w:color w:val="000000"/>
                <w:sz w:val="18"/>
                <w:szCs w:val="18"/>
              </w:rPr>
            </w:pPr>
            <w:r w:rsidRPr="007D12A6">
              <w:rPr>
                <w:b/>
                <w:color w:val="000000"/>
                <w:sz w:val="18"/>
                <w:szCs w:val="18"/>
              </w:rPr>
              <w:t>321 381</w:t>
            </w:r>
          </w:p>
        </w:tc>
        <w:tc>
          <w:tcPr>
            <w:tcW w:w="1273" w:type="dxa"/>
            <w:tcBorders>
              <w:top w:val="nil"/>
              <w:left w:val="nil"/>
              <w:right w:val="nil"/>
            </w:tcBorders>
            <w:shd w:val="clear" w:color="auto" w:fill="BFBFBF" w:themeFill="background1" w:themeFillShade="BF"/>
            <w:noWrap/>
            <w:vAlign w:val="center"/>
          </w:tcPr>
          <w:p w14:paraId="47904C23" w14:textId="77777777" w:rsidR="006E204D" w:rsidRPr="007D12A6" w:rsidRDefault="006E204D" w:rsidP="00562DF6">
            <w:pPr>
              <w:spacing w:after="0" w:line="240" w:lineRule="auto"/>
              <w:jc w:val="right"/>
              <w:rPr>
                <w:b/>
                <w:color w:val="000000"/>
                <w:sz w:val="18"/>
                <w:szCs w:val="18"/>
              </w:rPr>
            </w:pPr>
            <w:r w:rsidRPr="007D12A6">
              <w:rPr>
                <w:b/>
                <w:color w:val="000000"/>
                <w:sz w:val="18"/>
                <w:szCs w:val="18"/>
              </w:rPr>
              <w:t>911 996</w:t>
            </w:r>
          </w:p>
        </w:tc>
      </w:tr>
      <w:tr w:rsidR="006E204D" w:rsidRPr="007D12A6" w14:paraId="65BE44AB" w14:textId="77777777" w:rsidTr="00562DF6">
        <w:trPr>
          <w:trHeight w:hRule="exact" w:val="284"/>
        </w:trPr>
        <w:tc>
          <w:tcPr>
            <w:tcW w:w="5032" w:type="dxa"/>
            <w:tcBorders>
              <w:left w:val="nil"/>
              <w:right w:val="nil"/>
            </w:tcBorders>
            <w:noWrap/>
            <w:vAlign w:val="center"/>
          </w:tcPr>
          <w:p w14:paraId="0BCF2738" w14:textId="77777777" w:rsidR="006E204D" w:rsidRPr="007D12A6" w:rsidRDefault="006E204D" w:rsidP="00562DF6">
            <w:pPr>
              <w:spacing w:after="0" w:line="240" w:lineRule="auto"/>
              <w:rPr>
                <w:color w:val="000000"/>
                <w:sz w:val="18"/>
                <w:szCs w:val="18"/>
              </w:rPr>
            </w:pPr>
            <w:r w:rsidRPr="007D12A6">
              <w:rPr>
                <w:color w:val="000000"/>
                <w:sz w:val="18"/>
                <w:szCs w:val="18"/>
              </w:rPr>
              <w:t>z toho:</w:t>
            </w:r>
          </w:p>
        </w:tc>
        <w:tc>
          <w:tcPr>
            <w:tcW w:w="1276" w:type="dxa"/>
            <w:tcBorders>
              <w:left w:val="nil"/>
              <w:right w:val="nil"/>
            </w:tcBorders>
            <w:noWrap/>
            <w:vAlign w:val="center"/>
          </w:tcPr>
          <w:p w14:paraId="25204CC9" w14:textId="77777777" w:rsidR="006E204D" w:rsidRPr="007D12A6" w:rsidRDefault="006E204D" w:rsidP="00562DF6">
            <w:pPr>
              <w:spacing w:after="0" w:line="240" w:lineRule="auto"/>
              <w:jc w:val="right"/>
              <w:rPr>
                <w:b/>
                <w:color w:val="000000"/>
                <w:sz w:val="18"/>
                <w:szCs w:val="18"/>
              </w:rPr>
            </w:pPr>
          </w:p>
        </w:tc>
        <w:tc>
          <w:tcPr>
            <w:tcW w:w="1271" w:type="dxa"/>
            <w:tcBorders>
              <w:left w:val="nil"/>
              <w:right w:val="nil"/>
            </w:tcBorders>
            <w:noWrap/>
            <w:vAlign w:val="center"/>
          </w:tcPr>
          <w:p w14:paraId="632E92C2" w14:textId="77777777" w:rsidR="006E204D" w:rsidRPr="007D12A6" w:rsidRDefault="006E204D" w:rsidP="00562DF6">
            <w:pPr>
              <w:spacing w:after="0" w:line="240" w:lineRule="auto"/>
              <w:jc w:val="right"/>
              <w:rPr>
                <w:b/>
                <w:color w:val="000000"/>
                <w:sz w:val="18"/>
                <w:szCs w:val="18"/>
              </w:rPr>
            </w:pPr>
          </w:p>
        </w:tc>
        <w:tc>
          <w:tcPr>
            <w:tcW w:w="1273" w:type="dxa"/>
            <w:tcBorders>
              <w:left w:val="nil"/>
              <w:right w:val="nil"/>
            </w:tcBorders>
            <w:shd w:val="clear" w:color="auto" w:fill="BFBFBF" w:themeFill="background1" w:themeFillShade="BF"/>
            <w:noWrap/>
            <w:vAlign w:val="center"/>
          </w:tcPr>
          <w:p w14:paraId="0CC11138" w14:textId="77777777" w:rsidR="006E204D" w:rsidRPr="007D12A6" w:rsidRDefault="006E204D" w:rsidP="00562DF6">
            <w:pPr>
              <w:spacing w:after="0" w:line="240" w:lineRule="auto"/>
              <w:jc w:val="right"/>
              <w:rPr>
                <w:b/>
                <w:color w:val="000000"/>
                <w:sz w:val="18"/>
                <w:szCs w:val="18"/>
              </w:rPr>
            </w:pPr>
          </w:p>
        </w:tc>
      </w:tr>
      <w:tr w:rsidR="006E204D" w:rsidRPr="007D12A6" w14:paraId="50FB5D9C" w14:textId="77777777" w:rsidTr="00562DF6">
        <w:trPr>
          <w:trHeight w:hRule="exact" w:val="284"/>
        </w:trPr>
        <w:tc>
          <w:tcPr>
            <w:tcW w:w="5032" w:type="dxa"/>
            <w:tcBorders>
              <w:left w:val="nil"/>
              <w:right w:val="nil"/>
            </w:tcBorders>
            <w:noWrap/>
            <w:vAlign w:val="center"/>
          </w:tcPr>
          <w:p w14:paraId="4F5D3E38" w14:textId="77777777" w:rsidR="006E204D" w:rsidRPr="007D12A6" w:rsidRDefault="006E204D" w:rsidP="00562DF6">
            <w:pPr>
              <w:spacing w:after="0" w:line="240" w:lineRule="auto"/>
              <w:rPr>
                <w:color w:val="000000"/>
                <w:sz w:val="18"/>
                <w:szCs w:val="18"/>
              </w:rPr>
            </w:pPr>
            <w:r w:rsidRPr="007D12A6">
              <w:rPr>
                <w:color w:val="000000"/>
                <w:sz w:val="18"/>
                <w:szCs w:val="18"/>
              </w:rPr>
              <w:t xml:space="preserve">   účelové prostriedky z FNM/ MH Manažment, a.s.</w:t>
            </w:r>
          </w:p>
        </w:tc>
        <w:tc>
          <w:tcPr>
            <w:tcW w:w="1276" w:type="dxa"/>
            <w:tcBorders>
              <w:left w:val="nil"/>
              <w:right w:val="nil"/>
            </w:tcBorders>
            <w:noWrap/>
            <w:vAlign w:val="center"/>
          </w:tcPr>
          <w:p w14:paraId="4728CBFA" w14:textId="77777777" w:rsidR="006E204D" w:rsidRPr="007D12A6" w:rsidRDefault="006E204D" w:rsidP="00562DF6">
            <w:pPr>
              <w:spacing w:after="0" w:line="240" w:lineRule="auto"/>
              <w:jc w:val="right"/>
              <w:rPr>
                <w:color w:val="000000"/>
                <w:sz w:val="18"/>
                <w:szCs w:val="18"/>
              </w:rPr>
            </w:pPr>
            <w:r w:rsidRPr="007D12A6">
              <w:rPr>
                <w:color w:val="000000"/>
                <w:sz w:val="18"/>
                <w:szCs w:val="18"/>
              </w:rPr>
              <w:t>312 483</w:t>
            </w:r>
          </w:p>
        </w:tc>
        <w:tc>
          <w:tcPr>
            <w:tcW w:w="1271" w:type="dxa"/>
            <w:tcBorders>
              <w:left w:val="nil"/>
              <w:right w:val="nil"/>
            </w:tcBorders>
            <w:noWrap/>
            <w:vAlign w:val="center"/>
          </w:tcPr>
          <w:p w14:paraId="0326034D" w14:textId="77777777" w:rsidR="006E204D" w:rsidRPr="007D12A6" w:rsidRDefault="006E204D" w:rsidP="00562DF6">
            <w:pPr>
              <w:spacing w:after="0" w:line="240" w:lineRule="auto"/>
              <w:jc w:val="right"/>
              <w:rPr>
                <w:color w:val="000000"/>
                <w:sz w:val="18"/>
                <w:szCs w:val="18"/>
              </w:rPr>
            </w:pPr>
            <w:r w:rsidRPr="007D12A6">
              <w:rPr>
                <w:color w:val="000000"/>
                <w:sz w:val="18"/>
                <w:szCs w:val="18"/>
              </w:rPr>
              <w:t>312 586</w:t>
            </w:r>
          </w:p>
        </w:tc>
        <w:tc>
          <w:tcPr>
            <w:tcW w:w="1273" w:type="dxa"/>
            <w:tcBorders>
              <w:left w:val="nil"/>
              <w:right w:val="nil"/>
            </w:tcBorders>
            <w:shd w:val="clear" w:color="auto" w:fill="BFBFBF" w:themeFill="background1" w:themeFillShade="BF"/>
            <w:noWrap/>
            <w:vAlign w:val="center"/>
          </w:tcPr>
          <w:p w14:paraId="64594D67" w14:textId="77777777" w:rsidR="006E204D" w:rsidRPr="007D12A6" w:rsidRDefault="006E204D" w:rsidP="00562DF6">
            <w:pPr>
              <w:spacing w:after="0" w:line="240" w:lineRule="auto"/>
              <w:jc w:val="right"/>
              <w:rPr>
                <w:color w:val="000000"/>
                <w:sz w:val="18"/>
                <w:szCs w:val="18"/>
              </w:rPr>
            </w:pPr>
            <w:r w:rsidRPr="007D12A6">
              <w:rPr>
                <w:color w:val="000000"/>
                <w:sz w:val="18"/>
                <w:szCs w:val="18"/>
              </w:rPr>
              <w:t>41 244</w:t>
            </w:r>
          </w:p>
        </w:tc>
      </w:tr>
      <w:tr w:rsidR="006E204D" w:rsidRPr="007D12A6" w14:paraId="522C6F3D" w14:textId="77777777" w:rsidTr="00562DF6">
        <w:trPr>
          <w:trHeight w:hRule="exact" w:val="284"/>
        </w:trPr>
        <w:tc>
          <w:tcPr>
            <w:tcW w:w="5032" w:type="dxa"/>
            <w:tcBorders>
              <w:left w:val="nil"/>
              <w:right w:val="nil"/>
            </w:tcBorders>
            <w:noWrap/>
            <w:vAlign w:val="center"/>
          </w:tcPr>
          <w:p w14:paraId="5642F772" w14:textId="77777777" w:rsidR="006E204D" w:rsidRPr="007D12A6" w:rsidRDefault="006E204D" w:rsidP="00562DF6">
            <w:pPr>
              <w:spacing w:after="0" w:line="240" w:lineRule="auto"/>
              <w:rPr>
                <w:color w:val="000000"/>
                <w:sz w:val="18"/>
                <w:szCs w:val="18"/>
              </w:rPr>
            </w:pPr>
            <w:r w:rsidRPr="007D12A6">
              <w:rPr>
                <w:color w:val="000000"/>
                <w:sz w:val="18"/>
                <w:szCs w:val="18"/>
              </w:rPr>
              <w:t xml:space="preserve">   návratné finančné výpomocí</w:t>
            </w:r>
          </w:p>
        </w:tc>
        <w:tc>
          <w:tcPr>
            <w:tcW w:w="1276" w:type="dxa"/>
            <w:tcBorders>
              <w:left w:val="nil"/>
              <w:right w:val="nil"/>
            </w:tcBorders>
            <w:noWrap/>
            <w:vAlign w:val="center"/>
          </w:tcPr>
          <w:p w14:paraId="621BBF15" w14:textId="77777777" w:rsidR="006E204D" w:rsidRPr="007D12A6" w:rsidRDefault="006E204D" w:rsidP="00562DF6">
            <w:pPr>
              <w:spacing w:after="0" w:line="240" w:lineRule="auto"/>
              <w:jc w:val="right"/>
              <w:rPr>
                <w:color w:val="000000"/>
                <w:sz w:val="18"/>
                <w:szCs w:val="18"/>
              </w:rPr>
            </w:pPr>
            <w:r w:rsidRPr="007D12A6">
              <w:rPr>
                <w:color w:val="000000"/>
                <w:sz w:val="18"/>
                <w:szCs w:val="18"/>
              </w:rPr>
              <w:t>64 154</w:t>
            </w:r>
          </w:p>
        </w:tc>
        <w:tc>
          <w:tcPr>
            <w:tcW w:w="1271" w:type="dxa"/>
            <w:tcBorders>
              <w:left w:val="nil"/>
              <w:right w:val="nil"/>
            </w:tcBorders>
            <w:noWrap/>
            <w:vAlign w:val="center"/>
          </w:tcPr>
          <w:p w14:paraId="5D7E6D55" w14:textId="77777777" w:rsidR="006E204D" w:rsidRPr="007D12A6" w:rsidRDefault="006E204D" w:rsidP="00562DF6">
            <w:pPr>
              <w:spacing w:after="0" w:line="240" w:lineRule="auto"/>
              <w:jc w:val="right"/>
              <w:rPr>
                <w:color w:val="000000"/>
                <w:sz w:val="18"/>
                <w:szCs w:val="18"/>
              </w:rPr>
            </w:pPr>
            <w:r w:rsidRPr="007D12A6">
              <w:rPr>
                <w:color w:val="000000"/>
                <w:sz w:val="18"/>
                <w:szCs w:val="18"/>
              </w:rPr>
              <w:t>1 605</w:t>
            </w:r>
          </w:p>
        </w:tc>
        <w:tc>
          <w:tcPr>
            <w:tcW w:w="1273" w:type="dxa"/>
            <w:tcBorders>
              <w:left w:val="nil"/>
              <w:right w:val="nil"/>
            </w:tcBorders>
            <w:shd w:val="clear" w:color="auto" w:fill="BFBFBF" w:themeFill="background1" w:themeFillShade="BF"/>
            <w:noWrap/>
            <w:vAlign w:val="center"/>
          </w:tcPr>
          <w:p w14:paraId="56353483" w14:textId="77777777" w:rsidR="006E204D" w:rsidRPr="007D12A6" w:rsidRDefault="006E204D" w:rsidP="00562DF6">
            <w:pPr>
              <w:spacing w:after="0" w:line="240" w:lineRule="auto"/>
              <w:jc w:val="right"/>
              <w:rPr>
                <w:color w:val="000000"/>
                <w:sz w:val="18"/>
                <w:szCs w:val="18"/>
              </w:rPr>
            </w:pPr>
            <w:r w:rsidRPr="007D12A6">
              <w:rPr>
                <w:color w:val="000000"/>
                <w:sz w:val="18"/>
                <w:szCs w:val="18"/>
              </w:rPr>
              <w:t>645 299</w:t>
            </w:r>
          </w:p>
        </w:tc>
      </w:tr>
      <w:tr w:rsidR="006E204D" w:rsidRPr="007D12A6" w14:paraId="7D923B19" w14:textId="77777777" w:rsidTr="00562DF6">
        <w:trPr>
          <w:trHeight w:hRule="exact" w:val="284"/>
        </w:trPr>
        <w:tc>
          <w:tcPr>
            <w:tcW w:w="5032" w:type="dxa"/>
            <w:tcBorders>
              <w:left w:val="nil"/>
              <w:right w:val="nil"/>
            </w:tcBorders>
            <w:noWrap/>
            <w:vAlign w:val="center"/>
          </w:tcPr>
          <w:p w14:paraId="0DB45559" w14:textId="77777777" w:rsidR="006E204D" w:rsidRPr="007D12A6" w:rsidRDefault="006E204D" w:rsidP="00562DF6">
            <w:pPr>
              <w:spacing w:after="0" w:line="240" w:lineRule="auto"/>
              <w:rPr>
                <w:color w:val="000000"/>
                <w:sz w:val="18"/>
                <w:szCs w:val="18"/>
              </w:rPr>
            </w:pPr>
            <w:r w:rsidRPr="007D12A6">
              <w:rPr>
                <w:color w:val="000000"/>
                <w:sz w:val="18"/>
                <w:szCs w:val="18"/>
              </w:rPr>
              <w:t xml:space="preserve">   osobitný odvod finančných inštitúcií</w:t>
            </w:r>
          </w:p>
        </w:tc>
        <w:tc>
          <w:tcPr>
            <w:tcW w:w="1276" w:type="dxa"/>
            <w:tcBorders>
              <w:left w:val="nil"/>
              <w:right w:val="nil"/>
            </w:tcBorders>
            <w:noWrap/>
            <w:vAlign w:val="center"/>
          </w:tcPr>
          <w:p w14:paraId="5A3AF72B" w14:textId="77777777" w:rsidR="006E204D" w:rsidRPr="007D12A6" w:rsidRDefault="006E204D" w:rsidP="00562DF6">
            <w:pPr>
              <w:spacing w:after="0" w:line="240" w:lineRule="auto"/>
              <w:jc w:val="right"/>
              <w:rPr>
                <w:color w:val="000000"/>
                <w:sz w:val="18"/>
                <w:szCs w:val="18"/>
              </w:rPr>
            </w:pPr>
            <w:r w:rsidRPr="007D12A6">
              <w:rPr>
                <w:color w:val="000000"/>
                <w:sz w:val="18"/>
                <w:szCs w:val="18"/>
              </w:rPr>
              <w:t>0</w:t>
            </w:r>
          </w:p>
        </w:tc>
        <w:tc>
          <w:tcPr>
            <w:tcW w:w="1271" w:type="dxa"/>
            <w:tcBorders>
              <w:left w:val="nil"/>
              <w:right w:val="nil"/>
            </w:tcBorders>
            <w:noWrap/>
            <w:vAlign w:val="center"/>
          </w:tcPr>
          <w:p w14:paraId="23292389" w14:textId="77777777" w:rsidR="006E204D" w:rsidRPr="007D12A6" w:rsidRDefault="006E204D" w:rsidP="00562DF6">
            <w:pPr>
              <w:spacing w:after="0" w:line="240" w:lineRule="auto"/>
              <w:jc w:val="right"/>
              <w:rPr>
                <w:color w:val="000000"/>
                <w:sz w:val="18"/>
                <w:szCs w:val="18"/>
              </w:rPr>
            </w:pPr>
            <w:r w:rsidRPr="007D12A6">
              <w:rPr>
                <w:color w:val="000000"/>
                <w:sz w:val="18"/>
                <w:szCs w:val="18"/>
              </w:rPr>
              <w:t>0</w:t>
            </w:r>
          </w:p>
        </w:tc>
        <w:tc>
          <w:tcPr>
            <w:tcW w:w="1273" w:type="dxa"/>
            <w:tcBorders>
              <w:left w:val="nil"/>
              <w:right w:val="nil"/>
            </w:tcBorders>
            <w:shd w:val="clear" w:color="auto" w:fill="BFBFBF" w:themeFill="background1" w:themeFillShade="BF"/>
            <w:noWrap/>
            <w:vAlign w:val="center"/>
          </w:tcPr>
          <w:p w14:paraId="7C44FC5B" w14:textId="77777777" w:rsidR="006E204D" w:rsidRPr="007D12A6" w:rsidRDefault="006E204D" w:rsidP="00562DF6">
            <w:pPr>
              <w:spacing w:after="0" w:line="240" w:lineRule="auto"/>
              <w:jc w:val="right"/>
              <w:rPr>
                <w:color w:val="000000"/>
                <w:sz w:val="18"/>
                <w:szCs w:val="18"/>
              </w:rPr>
            </w:pPr>
            <w:r w:rsidRPr="007D12A6">
              <w:rPr>
                <w:color w:val="000000"/>
                <w:sz w:val="18"/>
                <w:szCs w:val="18"/>
              </w:rPr>
              <w:t>0</w:t>
            </w:r>
          </w:p>
        </w:tc>
      </w:tr>
      <w:tr w:rsidR="006E204D" w:rsidRPr="007D12A6" w14:paraId="4244A695" w14:textId="77777777" w:rsidTr="00562DF6">
        <w:trPr>
          <w:trHeight w:hRule="exact" w:val="284"/>
        </w:trPr>
        <w:tc>
          <w:tcPr>
            <w:tcW w:w="5032" w:type="dxa"/>
            <w:tcBorders>
              <w:left w:val="nil"/>
              <w:right w:val="nil"/>
            </w:tcBorders>
            <w:noWrap/>
            <w:vAlign w:val="center"/>
          </w:tcPr>
          <w:p w14:paraId="6DF21AA7" w14:textId="77777777" w:rsidR="006E204D" w:rsidRPr="007D12A6" w:rsidRDefault="006E204D" w:rsidP="00562DF6">
            <w:pPr>
              <w:spacing w:after="0" w:line="240" w:lineRule="auto"/>
              <w:rPr>
                <w:color w:val="000000"/>
                <w:sz w:val="18"/>
                <w:szCs w:val="18"/>
              </w:rPr>
            </w:pPr>
            <w:r w:rsidRPr="007D12A6">
              <w:rPr>
                <w:color w:val="000000"/>
                <w:sz w:val="18"/>
                <w:szCs w:val="18"/>
              </w:rPr>
              <w:t xml:space="preserve">   osobitný odvod z podnikania v regulovaných odvetviach</w:t>
            </w:r>
          </w:p>
        </w:tc>
        <w:tc>
          <w:tcPr>
            <w:tcW w:w="1276" w:type="dxa"/>
            <w:tcBorders>
              <w:left w:val="nil"/>
              <w:right w:val="nil"/>
            </w:tcBorders>
            <w:noWrap/>
            <w:vAlign w:val="center"/>
          </w:tcPr>
          <w:p w14:paraId="7BF55A25" w14:textId="77777777" w:rsidR="006E204D" w:rsidRPr="007D12A6" w:rsidRDefault="006E204D" w:rsidP="00562DF6">
            <w:pPr>
              <w:spacing w:after="0" w:line="240" w:lineRule="auto"/>
              <w:jc w:val="right"/>
              <w:rPr>
                <w:color w:val="000000"/>
                <w:sz w:val="18"/>
                <w:szCs w:val="18"/>
              </w:rPr>
            </w:pPr>
            <w:r w:rsidRPr="007D12A6">
              <w:rPr>
                <w:color w:val="000000"/>
                <w:sz w:val="18"/>
                <w:szCs w:val="18"/>
              </w:rPr>
              <w:t>277 923</w:t>
            </w:r>
          </w:p>
        </w:tc>
        <w:tc>
          <w:tcPr>
            <w:tcW w:w="1271" w:type="dxa"/>
            <w:tcBorders>
              <w:left w:val="nil"/>
              <w:right w:val="nil"/>
            </w:tcBorders>
            <w:noWrap/>
            <w:vAlign w:val="center"/>
          </w:tcPr>
          <w:p w14:paraId="0E9049C9" w14:textId="77777777" w:rsidR="006E204D" w:rsidRPr="007D12A6" w:rsidRDefault="006E204D" w:rsidP="00562DF6">
            <w:pPr>
              <w:spacing w:after="0" w:line="240" w:lineRule="auto"/>
              <w:jc w:val="right"/>
              <w:rPr>
                <w:color w:val="000000"/>
                <w:sz w:val="18"/>
                <w:szCs w:val="18"/>
              </w:rPr>
            </w:pPr>
            <w:r w:rsidRPr="007D12A6">
              <w:rPr>
                <w:color w:val="000000"/>
                <w:sz w:val="18"/>
                <w:szCs w:val="18"/>
              </w:rPr>
              <w:t>0</w:t>
            </w:r>
          </w:p>
        </w:tc>
        <w:tc>
          <w:tcPr>
            <w:tcW w:w="1273" w:type="dxa"/>
            <w:tcBorders>
              <w:left w:val="nil"/>
              <w:right w:val="nil"/>
            </w:tcBorders>
            <w:shd w:val="clear" w:color="auto" w:fill="BFBFBF" w:themeFill="background1" w:themeFillShade="BF"/>
            <w:noWrap/>
            <w:vAlign w:val="center"/>
          </w:tcPr>
          <w:p w14:paraId="506B5FBD" w14:textId="77777777" w:rsidR="006E204D" w:rsidRPr="007D12A6" w:rsidRDefault="006E204D" w:rsidP="00562DF6">
            <w:pPr>
              <w:spacing w:after="0" w:line="240" w:lineRule="auto"/>
              <w:jc w:val="right"/>
              <w:rPr>
                <w:color w:val="000000"/>
                <w:sz w:val="18"/>
                <w:szCs w:val="18"/>
              </w:rPr>
            </w:pPr>
            <w:r w:rsidRPr="007D12A6">
              <w:rPr>
                <w:color w:val="000000"/>
                <w:sz w:val="18"/>
                <w:szCs w:val="18"/>
              </w:rPr>
              <w:t>90 936</w:t>
            </w:r>
          </w:p>
        </w:tc>
      </w:tr>
      <w:tr w:rsidR="006E204D" w:rsidRPr="007D12A6" w14:paraId="494B54A3" w14:textId="77777777" w:rsidTr="00562DF6">
        <w:trPr>
          <w:trHeight w:hRule="exact" w:val="284"/>
        </w:trPr>
        <w:tc>
          <w:tcPr>
            <w:tcW w:w="5032" w:type="dxa"/>
            <w:tcBorders>
              <w:left w:val="nil"/>
              <w:right w:val="nil"/>
            </w:tcBorders>
            <w:noWrap/>
            <w:vAlign w:val="center"/>
          </w:tcPr>
          <w:p w14:paraId="5EB7828F" w14:textId="77777777" w:rsidR="006E204D" w:rsidRPr="007D12A6" w:rsidRDefault="006E204D" w:rsidP="00562DF6">
            <w:pPr>
              <w:spacing w:after="0" w:line="240" w:lineRule="auto"/>
              <w:rPr>
                <w:color w:val="000000"/>
                <w:sz w:val="18"/>
                <w:szCs w:val="18"/>
              </w:rPr>
            </w:pPr>
            <w:r w:rsidRPr="007D12A6">
              <w:rPr>
                <w:color w:val="000000"/>
                <w:sz w:val="18"/>
                <w:szCs w:val="18"/>
              </w:rPr>
              <w:t xml:space="preserve">   anonymné vklady</w:t>
            </w:r>
          </w:p>
        </w:tc>
        <w:tc>
          <w:tcPr>
            <w:tcW w:w="1276" w:type="dxa"/>
            <w:tcBorders>
              <w:left w:val="nil"/>
              <w:right w:val="nil"/>
            </w:tcBorders>
            <w:noWrap/>
            <w:vAlign w:val="center"/>
          </w:tcPr>
          <w:p w14:paraId="41189F63" w14:textId="77777777" w:rsidR="006E204D" w:rsidRPr="007D12A6" w:rsidRDefault="006E204D" w:rsidP="00562DF6">
            <w:pPr>
              <w:spacing w:after="0" w:line="240" w:lineRule="auto"/>
              <w:jc w:val="right"/>
              <w:rPr>
                <w:color w:val="000000"/>
                <w:sz w:val="18"/>
                <w:szCs w:val="18"/>
              </w:rPr>
            </w:pPr>
            <w:r w:rsidRPr="007D12A6">
              <w:rPr>
                <w:color w:val="000000"/>
                <w:sz w:val="18"/>
                <w:szCs w:val="18"/>
              </w:rPr>
              <w:t>0</w:t>
            </w:r>
          </w:p>
        </w:tc>
        <w:tc>
          <w:tcPr>
            <w:tcW w:w="1271" w:type="dxa"/>
            <w:tcBorders>
              <w:left w:val="nil"/>
              <w:right w:val="nil"/>
            </w:tcBorders>
            <w:noWrap/>
            <w:vAlign w:val="center"/>
          </w:tcPr>
          <w:p w14:paraId="68A760F8" w14:textId="77777777" w:rsidR="006E204D" w:rsidRPr="007D12A6" w:rsidRDefault="006E204D" w:rsidP="00562DF6">
            <w:pPr>
              <w:spacing w:after="0" w:line="240" w:lineRule="auto"/>
              <w:jc w:val="right"/>
              <w:rPr>
                <w:color w:val="000000"/>
                <w:sz w:val="18"/>
                <w:szCs w:val="18"/>
              </w:rPr>
            </w:pPr>
            <w:r w:rsidRPr="007D12A6">
              <w:rPr>
                <w:color w:val="000000"/>
                <w:sz w:val="18"/>
                <w:szCs w:val="18"/>
              </w:rPr>
              <w:t>0</w:t>
            </w:r>
          </w:p>
        </w:tc>
        <w:tc>
          <w:tcPr>
            <w:tcW w:w="1273" w:type="dxa"/>
            <w:tcBorders>
              <w:left w:val="nil"/>
              <w:right w:val="nil"/>
            </w:tcBorders>
            <w:shd w:val="clear" w:color="auto" w:fill="BFBFBF" w:themeFill="background1" w:themeFillShade="BF"/>
            <w:noWrap/>
            <w:vAlign w:val="center"/>
          </w:tcPr>
          <w:p w14:paraId="783FF949" w14:textId="77777777" w:rsidR="006E204D" w:rsidRPr="007D12A6" w:rsidRDefault="006E204D" w:rsidP="00562DF6">
            <w:pPr>
              <w:spacing w:after="0" w:line="240" w:lineRule="auto"/>
              <w:jc w:val="right"/>
              <w:rPr>
                <w:color w:val="000000"/>
                <w:sz w:val="18"/>
                <w:szCs w:val="18"/>
              </w:rPr>
            </w:pPr>
            <w:r w:rsidRPr="007D12A6">
              <w:rPr>
                <w:color w:val="000000"/>
                <w:sz w:val="18"/>
                <w:szCs w:val="18"/>
              </w:rPr>
              <w:t>72</w:t>
            </w:r>
          </w:p>
        </w:tc>
      </w:tr>
      <w:tr w:rsidR="006E204D" w:rsidRPr="007D12A6" w14:paraId="3F283DFA" w14:textId="77777777" w:rsidTr="00562DF6">
        <w:trPr>
          <w:trHeight w:hRule="exact" w:val="284"/>
        </w:trPr>
        <w:tc>
          <w:tcPr>
            <w:tcW w:w="5032" w:type="dxa"/>
            <w:tcBorders>
              <w:left w:val="nil"/>
              <w:bottom w:val="single" w:sz="4" w:space="0" w:color="auto"/>
              <w:right w:val="nil"/>
            </w:tcBorders>
            <w:noWrap/>
            <w:vAlign w:val="center"/>
          </w:tcPr>
          <w:p w14:paraId="69FAD970" w14:textId="77777777" w:rsidR="006E204D" w:rsidRPr="007D12A6" w:rsidRDefault="006E204D" w:rsidP="00562DF6">
            <w:pPr>
              <w:spacing w:after="0" w:line="240" w:lineRule="auto"/>
              <w:rPr>
                <w:color w:val="000000"/>
                <w:sz w:val="18"/>
                <w:szCs w:val="18"/>
              </w:rPr>
            </w:pPr>
            <w:r w:rsidRPr="007D12A6">
              <w:rPr>
                <w:color w:val="000000"/>
                <w:sz w:val="18"/>
                <w:szCs w:val="18"/>
              </w:rPr>
              <w:t xml:space="preserve">   ostatné</w:t>
            </w:r>
          </w:p>
        </w:tc>
        <w:tc>
          <w:tcPr>
            <w:tcW w:w="1276" w:type="dxa"/>
            <w:tcBorders>
              <w:left w:val="nil"/>
              <w:bottom w:val="single" w:sz="4" w:space="0" w:color="auto"/>
              <w:right w:val="nil"/>
            </w:tcBorders>
            <w:noWrap/>
            <w:vAlign w:val="center"/>
          </w:tcPr>
          <w:p w14:paraId="577490ED" w14:textId="77777777" w:rsidR="006E204D" w:rsidRPr="007D12A6" w:rsidRDefault="006E204D" w:rsidP="00562DF6">
            <w:pPr>
              <w:spacing w:after="0" w:line="240" w:lineRule="auto"/>
              <w:jc w:val="right"/>
              <w:rPr>
                <w:color w:val="000000"/>
                <w:sz w:val="18"/>
                <w:szCs w:val="18"/>
              </w:rPr>
            </w:pPr>
            <w:r w:rsidRPr="007D12A6">
              <w:rPr>
                <w:color w:val="000000"/>
                <w:sz w:val="18"/>
                <w:szCs w:val="18"/>
              </w:rPr>
              <w:t>149</w:t>
            </w:r>
          </w:p>
        </w:tc>
        <w:tc>
          <w:tcPr>
            <w:tcW w:w="1271" w:type="dxa"/>
            <w:tcBorders>
              <w:left w:val="nil"/>
              <w:bottom w:val="single" w:sz="4" w:space="0" w:color="auto"/>
              <w:right w:val="nil"/>
            </w:tcBorders>
            <w:noWrap/>
            <w:vAlign w:val="center"/>
          </w:tcPr>
          <w:p w14:paraId="2DE8BBE0" w14:textId="77777777" w:rsidR="006E204D" w:rsidRPr="007D12A6" w:rsidRDefault="006E204D" w:rsidP="00562DF6">
            <w:pPr>
              <w:spacing w:after="0" w:line="240" w:lineRule="auto"/>
              <w:jc w:val="right"/>
              <w:rPr>
                <w:color w:val="000000"/>
                <w:sz w:val="18"/>
                <w:szCs w:val="18"/>
              </w:rPr>
            </w:pPr>
            <w:r w:rsidRPr="007D12A6">
              <w:rPr>
                <w:color w:val="000000"/>
                <w:sz w:val="18"/>
                <w:szCs w:val="18"/>
              </w:rPr>
              <w:t>7 190</w:t>
            </w:r>
          </w:p>
        </w:tc>
        <w:tc>
          <w:tcPr>
            <w:tcW w:w="1273" w:type="dxa"/>
            <w:tcBorders>
              <w:left w:val="nil"/>
              <w:bottom w:val="single" w:sz="4" w:space="0" w:color="auto"/>
              <w:right w:val="nil"/>
            </w:tcBorders>
            <w:shd w:val="clear" w:color="auto" w:fill="BFBFBF" w:themeFill="background1" w:themeFillShade="BF"/>
            <w:noWrap/>
            <w:vAlign w:val="center"/>
          </w:tcPr>
          <w:p w14:paraId="547C49CE" w14:textId="77777777" w:rsidR="006E204D" w:rsidRPr="007D12A6" w:rsidRDefault="006E204D" w:rsidP="00562DF6">
            <w:pPr>
              <w:spacing w:after="0" w:line="240" w:lineRule="auto"/>
              <w:jc w:val="right"/>
              <w:rPr>
                <w:color w:val="000000"/>
                <w:sz w:val="18"/>
                <w:szCs w:val="18"/>
              </w:rPr>
            </w:pPr>
            <w:r w:rsidRPr="007D12A6">
              <w:rPr>
                <w:color w:val="000000"/>
                <w:sz w:val="18"/>
                <w:szCs w:val="18"/>
              </w:rPr>
              <w:t>134 445</w:t>
            </w:r>
          </w:p>
        </w:tc>
      </w:tr>
      <w:tr w:rsidR="006E204D" w:rsidRPr="007D12A6" w14:paraId="5D1725CA" w14:textId="77777777" w:rsidTr="005A6812">
        <w:trPr>
          <w:trHeight w:hRule="exact" w:val="302"/>
        </w:trPr>
        <w:tc>
          <w:tcPr>
            <w:tcW w:w="5032" w:type="dxa"/>
            <w:tcBorders>
              <w:top w:val="single" w:sz="4" w:space="0" w:color="auto"/>
              <w:left w:val="nil"/>
              <w:bottom w:val="single" w:sz="4" w:space="0" w:color="auto"/>
              <w:right w:val="nil"/>
            </w:tcBorders>
            <w:noWrap/>
            <w:vAlign w:val="center"/>
          </w:tcPr>
          <w:p w14:paraId="05DE6702" w14:textId="77777777" w:rsidR="006E204D" w:rsidRPr="007D12A6" w:rsidRDefault="006E204D" w:rsidP="00562DF6">
            <w:pPr>
              <w:spacing w:after="0" w:line="240" w:lineRule="auto"/>
              <w:rPr>
                <w:b/>
                <w:bCs/>
                <w:color w:val="000000"/>
                <w:sz w:val="18"/>
                <w:szCs w:val="18"/>
              </w:rPr>
            </w:pPr>
            <w:r w:rsidRPr="007D12A6">
              <w:rPr>
                <w:b/>
                <w:bCs/>
                <w:color w:val="000000"/>
                <w:sz w:val="18"/>
                <w:szCs w:val="18"/>
              </w:rPr>
              <w:t>Stav k 31.12.</w:t>
            </w:r>
          </w:p>
        </w:tc>
        <w:tc>
          <w:tcPr>
            <w:tcW w:w="1276" w:type="dxa"/>
            <w:tcBorders>
              <w:top w:val="single" w:sz="4" w:space="0" w:color="auto"/>
              <w:left w:val="nil"/>
              <w:bottom w:val="single" w:sz="4" w:space="0" w:color="auto"/>
              <w:right w:val="nil"/>
            </w:tcBorders>
            <w:noWrap/>
            <w:vAlign w:val="center"/>
          </w:tcPr>
          <w:p w14:paraId="40225A45" w14:textId="77777777" w:rsidR="006E204D" w:rsidRPr="007D12A6" w:rsidRDefault="006E204D" w:rsidP="00562DF6">
            <w:pPr>
              <w:spacing w:after="0" w:line="240" w:lineRule="auto"/>
              <w:jc w:val="right"/>
              <w:rPr>
                <w:b/>
                <w:color w:val="000000"/>
                <w:sz w:val="18"/>
                <w:szCs w:val="18"/>
              </w:rPr>
            </w:pPr>
            <w:r w:rsidRPr="007D12A6">
              <w:rPr>
                <w:b/>
                <w:color w:val="000000"/>
                <w:sz w:val="18"/>
                <w:szCs w:val="18"/>
              </w:rPr>
              <w:t>2 107 459</w:t>
            </w:r>
          </w:p>
        </w:tc>
        <w:tc>
          <w:tcPr>
            <w:tcW w:w="1271" w:type="dxa"/>
            <w:tcBorders>
              <w:top w:val="single" w:sz="4" w:space="0" w:color="auto"/>
              <w:left w:val="nil"/>
              <w:bottom w:val="single" w:sz="4" w:space="0" w:color="auto"/>
              <w:right w:val="nil"/>
            </w:tcBorders>
            <w:noWrap/>
            <w:vAlign w:val="center"/>
          </w:tcPr>
          <w:p w14:paraId="00EDD8CB" w14:textId="77777777" w:rsidR="006E204D" w:rsidRPr="007D12A6" w:rsidRDefault="006E204D" w:rsidP="00562DF6">
            <w:pPr>
              <w:spacing w:after="0" w:line="240" w:lineRule="auto"/>
              <w:jc w:val="right"/>
              <w:rPr>
                <w:b/>
                <w:color w:val="000000"/>
                <w:sz w:val="18"/>
                <w:szCs w:val="18"/>
              </w:rPr>
            </w:pPr>
            <w:r w:rsidRPr="007D12A6">
              <w:rPr>
                <w:b/>
                <w:color w:val="000000"/>
                <w:sz w:val="18"/>
                <w:szCs w:val="18"/>
              </w:rPr>
              <w:t>2 122 602</w:t>
            </w:r>
          </w:p>
        </w:tc>
        <w:tc>
          <w:tcPr>
            <w:tcW w:w="1273" w:type="dxa"/>
            <w:tcBorders>
              <w:top w:val="single" w:sz="4" w:space="0" w:color="auto"/>
              <w:left w:val="nil"/>
              <w:bottom w:val="single" w:sz="4" w:space="0" w:color="auto"/>
              <w:right w:val="nil"/>
            </w:tcBorders>
            <w:shd w:val="clear" w:color="auto" w:fill="BFBFBF" w:themeFill="background1" w:themeFillShade="BF"/>
            <w:noWrap/>
            <w:vAlign w:val="center"/>
          </w:tcPr>
          <w:p w14:paraId="3FA2A16A" w14:textId="77777777" w:rsidR="006E204D" w:rsidRPr="007D12A6" w:rsidRDefault="006E204D" w:rsidP="00562DF6">
            <w:pPr>
              <w:spacing w:after="0" w:line="240" w:lineRule="auto"/>
              <w:jc w:val="right"/>
              <w:rPr>
                <w:b/>
                <w:color w:val="000000"/>
                <w:sz w:val="18"/>
                <w:szCs w:val="18"/>
              </w:rPr>
            </w:pPr>
            <w:r w:rsidRPr="007D12A6">
              <w:rPr>
                <w:b/>
                <w:color w:val="000000"/>
                <w:sz w:val="18"/>
                <w:szCs w:val="18"/>
              </w:rPr>
              <w:t>3 354 465</w:t>
            </w:r>
          </w:p>
        </w:tc>
      </w:tr>
    </w:tbl>
    <w:p w14:paraId="5C11AA38" w14:textId="77777777" w:rsidR="006E204D" w:rsidRDefault="006E204D" w:rsidP="006E204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color w:val="000000"/>
          <w:sz w:val="18"/>
          <w:szCs w:val="18"/>
        </w:rPr>
      </w:pPr>
      <w:r>
        <w:rPr>
          <w:color w:val="000000"/>
          <w:sz w:val="18"/>
          <w:szCs w:val="18"/>
        </w:rPr>
        <w:t>Zdroj: MF SR</w:t>
      </w:r>
    </w:p>
    <w:p w14:paraId="2CBC1F81" w14:textId="6AEE818F" w:rsidR="006E204D" w:rsidRPr="00D715AF" w:rsidRDefault="006E204D" w:rsidP="008D4C2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sz w:val="24"/>
          <w:szCs w:val="24"/>
        </w:rPr>
      </w:pPr>
      <w:r w:rsidRPr="00D715AF">
        <w:rPr>
          <w:sz w:val="24"/>
          <w:szCs w:val="24"/>
          <w:u w:val="single"/>
        </w:rPr>
        <w:t>Rozpočtované príjmy štátnych finančných aktív</w:t>
      </w:r>
      <w:r w:rsidRPr="00D715AF">
        <w:rPr>
          <w:sz w:val="24"/>
          <w:szCs w:val="24"/>
        </w:rPr>
        <w:t xml:space="preserve"> pre rok 2020 boli v sume 524 347 tis. eur, z čoho príjmové finančné operácie tvorili 99 420 tis. eur (ako splátky NFV). Oproti roku 2019 sa príjmy spolu s príjmovými finančnými operáciami rozpočtovali vyššie úhrnom o 149 924 tis. eur, pričom išlo najmä o predpokladané vyššie príjmy z osobitného odvodu vybraných finančných inštitúcií (o 145 763 tis. eur) v nadväznosti na novelu príslušnej legislatívy</w:t>
      </w:r>
      <w:r w:rsidRPr="00D715AF">
        <w:rPr>
          <w:rStyle w:val="Odkaznapoznmkupodiarou"/>
          <w:sz w:val="24"/>
          <w:szCs w:val="24"/>
        </w:rPr>
        <w:footnoteReference w:id="44"/>
      </w:r>
      <w:r w:rsidRPr="00D715AF">
        <w:rPr>
          <w:sz w:val="24"/>
          <w:szCs w:val="24"/>
        </w:rPr>
        <w:t xml:space="preserve"> v roku 2019, ktor</w:t>
      </w:r>
      <w:r w:rsidR="003027F4" w:rsidRPr="00D715AF">
        <w:rPr>
          <w:sz w:val="24"/>
          <w:szCs w:val="24"/>
        </w:rPr>
        <w:t>ej</w:t>
      </w:r>
      <w:r w:rsidRPr="00D715AF">
        <w:rPr>
          <w:sz w:val="24"/>
          <w:szCs w:val="24"/>
        </w:rPr>
        <w:t xml:space="preserve"> cieľom bolo predĺženie platnosti odvodu a zvýšenia sadzby odvodu z 0,2 % na 0,4 %. Medziročne vyššie sa rozpočtovali aj príjmy (finančné operácie) zo splátok poskytnutých návratných finančných výpomocí (o 3 549 tis. eur). </w:t>
      </w:r>
    </w:p>
    <w:p w14:paraId="481166B0" w14:textId="68447E6D" w:rsidR="006E204D" w:rsidRPr="00D715AF" w:rsidRDefault="006E204D" w:rsidP="008D4C2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sz w:val="24"/>
          <w:szCs w:val="24"/>
        </w:rPr>
      </w:pPr>
      <w:r w:rsidRPr="00D715AF">
        <w:rPr>
          <w:sz w:val="24"/>
          <w:szCs w:val="24"/>
          <w:u w:val="single"/>
        </w:rPr>
        <w:t>Rozpočtované výdavky štátnych finančných aktív</w:t>
      </w:r>
      <w:r w:rsidRPr="00D715AF">
        <w:rPr>
          <w:sz w:val="24"/>
          <w:szCs w:val="24"/>
        </w:rPr>
        <w:t xml:space="preserve"> pre rok 2020 boli v sume 151 715 tis. eur, z čoho výdavkové finančné operácie tvorili 151 605 tis. eur. Oproti roku 2019 sa výdavky spolu s výdavkovými finančnými operáciami rozpočtovali vyššie úhrnom o 88 765 tis. eur, a to čisto z dôvodu príspevkov a vkladov do imania medzinárodných finančných inštitúcií. Išlo najmä o vklad do Európskeho mechanizmu pre stabilitu (ESM) 136 000 tis. eur, Rozvojovej banky Rady Európy (6 000 tis. eur), Medzinárodnej investičnej banky (2 955 tis. eur), Medzinárodnej finančnej korporácie (3 000 tis. eur), Medzinárodnej banky pre obnovu a rozvoj (3 000 tis. eur) a ďalších subjektov. Ostatné výdavky, napríklad na poskytnuté NFV územnej samospráve (mimo COVID opatrení) neboli na rok 2020 rozpočtované a vznikli na základe aktuálnych požiadaviek subjektov.</w:t>
      </w:r>
    </w:p>
    <w:p w14:paraId="5E9D4B12" w14:textId="136E00B3" w:rsidR="006E204D" w:rsidRPr="00D715AF" w:rsidRDefault="006E204D" w:rsidP="008D4C2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sz w:val="24"/>
          <w:szCs w:val="24"/>
        </w:rPr>
      </w:pPr>
      <w:r w:rsidRPr="00D715AF">
        <w:rPr>
          <w:b/>
          <w:sz w:val="24"/>
          <w:szCs w:val="24"/>
        </w:rPr>
        <w:t xml:space="preserve">Celkové </w:t>
      </w:r>
      <w:r w:rsidRPr="00CC1476">
        <w:rPr>
          <w:b/>
          <w:sz w:val="24"/>
          <w:szCs w:val="24"/>
        </w:rPr>
        <w:t>saldo príjmov a výdavkov ŠFA v roku 2020 sa pô</w:t>
      </w:r>
      <w:r w:rsidR="001802D9">
        <w:rPr>
          <w:b/>
          <w:sz w:val="24"/>
          <w:szCs w:val="24"/>
        </w:rPr>
        <w:t>vodne rozpočtovalo vo výške 362 633 tis. </w:t>
      </w:r>
      <w:r w:rsidRPr="00CC1476">
        <w:rPr>
          <w:b/>
          <w:sz w:val="24"/>
          <w:szCs w:val="24"/>
        </w:rPr>
        <w:t>eur a po vylúčení finančných operácií 414 818 tis. eur</w:t>
      </w:r>
      <w:r w:rsidR="001802D9">
        <w:rPr>
          <w:sz w:val="24"/>
          <w:szCs w:val="24"/>
        </w:rPr>
        <w:t>, čo je o 162 146 tis. </w:t>
      </w:r>
      <w:r w:rsidRPr="00D715AF">
        <w:rPr>
          <w:sz w:val="24"/>
          <w:szCs w:val="24"/>
        </w:rPr>
        <w:t>eur viac ako v roku 2019. Skutočné plnenie vybraných úč</w:t>
      </w:r>
      <w:r w:rsidR="001802D9">
        <w:rPr>
          <w:sz w:val="24"/>
          <w:szCs w:val="24"/>
        </w:rPr>
        <w:t>tov ŠFA predstavovalo 1 231 862 </w:t>
      </w:r>
      <w:r w:rsidRPr="00D715AF">
        <w:rPr>
          <w:sz w:val="24"/>
          <w:szCs w:val="24"/>
        </w:rPr>
        <w:t>tis.</w:t>
      </w:r>
      <w:r w:rsidR="001802D9">
        <w:rPr>
          <w:sz w:val="24"/>
          <w:szCs w:val="24"/>
        </w:rPr>
        <w:t> </w:t>
      </w:r>
      <w:r w:rsidRPr="00D715AF">
        <w:rPr>
          <w:sz w:val="24"/>
          <w:szCs w:val="24"/>
        </w:rPr>
        <w:t>eur.</w:t>
      </w:r>
    </w:p>
    <w:p w14:paraId="5355E946" w14:textId="77777777" w:rsidR="006E204D" w:rsidRPr="00D715AF" w:rsidRDefault="006E204D" w:rsidP="008D4C2B">
      <w:pPr>
        <w:spacing w:before="120" w:line="240" w:lineRule="auto"/>
        <w:rPr>
          <w:i/>
          <w:sz w:val="24"/>
          <w:szCs w:val="24"/>
        </w:rPr>
      </w:pPr>
      <w:r w:rsidRPr="00D715AF">
        <w:rPr>
          <w:i/>
          <w:sz w:val="24"/>
          <w:szCs w:val="24"/>
          <w:u w:val="single"/>
        </w:rPr>
        <w:t>Účelové prostriedky FNM/MH Manažment, a.s.</w:t>
      </w:r>
      <w:r w:rsidRPr="00D715AF">
        <w:rPr>
          <w:i/>
          <w:sz w:val="24"/>
          <w:szCs w:val="24"/>
        </w:rPr>
        <w:t xml:space="preserve"> </w:t>
      </w:r>
      <w:r w:rsidRPr="00D715AF">
        <w:rPr>
          <w:sz w:val="24"/>
          <w:szCs w:val="24"/>
        </w:rPr>
        <w:t>boli v minulosti tvorené najmä prevodom dividend obchodných spoločností štátu, v ktorých podiely do roku 2016 spravoval Fond národného majetku.</w:t>
      </w:r>
      <w:r w:rsidRPr="00D715AF">
        <w:rPr>
          <w:i/>
          <w:sz w:val="24"/>
          <w:szCs w:val="24"/>
        </w:rPr>
        <w:t xml:space="preserve"> </w:t>
      </w:r>
    </w:p>
    <w:p w14:paraId="21E30650" w14:textId="77777777" w:rsidR="006E204D" w:rsidRPr="00D715AF" w:rsidRDefault="006E204D" w:rsidP="008D4C2B">
      <w:pPr>
        <w:spacing w:before="120" w:line="240" w:lineRule="auto"/>
        <w:rPr>
          <w:sz w:val="24"/>
          <w:szCs w:val="24"/>
        </w:rPr>
      </w:pPr>
      <w:r w:rsidRPr="00D715AF">
        <w:rPr>
          <w:i/>
          <w:sz w:val="24"/>
          <w:szCs w:val="24"/>
        </w:rPr>
        <w:t>Medziročný nárast príjmov</w:t>
      </w:r>
      <w:r w:rsidRPr="00D715AF">
        <w:rPr>
          <w:sz w:val="24"/>
          <w:szCs w:val="24"/>
        </w:rPr>
        <w:t xml:space="preserve"> o 1 118 648 tis. eur súvisel najmä s tvorbou finančnej rezervy na opatrenia proti pandémii COVID-19 vo výške 500 000 tis. eur a vytvorenie finančného krytia ďalšej fázy oddlžovania zdravotníckych zariadení v objeme 575 000 tis. eur. Tieto prostriedky boli rozpočtované vo výdavkoch novelizovaného štátneho rozpočtu</w:t>
      </w:r>
      <w:r w:rsidRPr="00723D77">
        <w:rPr>
          <w:rStyle w:val="Odkaznapoznmkupodiarou"/>
          <w:sz w:val="24"/>
          <w:szCs w:val="24"/>
        </w:rPr>
        <w:footnoteReference w:id="45"/>
      </w:r>
      <w:r w:rsidRPr="00D715AF">
        <w:rPr>
          <w:sz w:val="24"/>
          <w:szCs w:val="24"/>
        </w:rPr>
        <w:t xml:space="preserve"> a budú realizované prostredníctvom účtov ŠFA. Ďalšie príjmy tvorili napríklad </w:t>
      </w:r>
      <w:proofErr w:type="spellStart"/>
      <w:r w:rsidRPr="00D715AF">
        <w:rPr>
          <w:sz w:val="24"/>
          <w:szCs w:val="24"/>
        </w:rPr>
        <w:t>vratka</w:t>
      </w:r>
      <w:proofErr w:type="spellEnd"/>
      <w:r w:rsidRPr="00D715AF">
        <w:rPr>
          <w:sz w:val="24"/>
          <w:szCs w:val="24"/>
        </w:rPr>
        <w:t xml:space="preserve"> nevyčerpaných prostriedkov Ministerstva zdravotníctva SR (50 528 tis. eur), ktoré boli poskytnuté v roku 2011 na účel stabilizácie príspevkových organizácií</w:t>
      </w:r>
      <w:r w:rsidRPr="00D715AF">
        <w:rPr>
          <w:rStyle w:val="Odkaznapoznmkupodiarou"/>
          <w:sz w:val="24"/>
          <w:szCs w:val="24"/>
        </w:rPr>
        <w:footnoteReference w:id="46"/>
      </w:r>
      <w:r w:rsidRPr="00D715AF">
        <w:rPr>
          <w:sz w:val="24"/>
          <w:szCs w:val="24"/>
        </w:rPr>
        <w:t xml:space="preserve"> v pôsobnosti rezortu zdravotníctva a obrany, v ktorých prebiehala zmena právnej formy, výťažok z oddlženia Somálska voči členom MMF (616 tis. eur) a vrátenie nevyčerpaných prostriedkov z Medzinárodnej finančnej korporácie (145 tis. eur). </w:t>
      </w:r>
    </w:p>
    <w:p w14:paraId="1D75E369" w14:textId="2A6148A9" w:rsidR="006E204D" w:rsidRPr="00D715AF" w:rsidRDefault="006E204D" w:rsidP="008D4C2B">
      <w:pPr>
        <w:spacing w:before="120" w:line="240" w:lineRule="auto"/>
        <w:rPr>
          <w:sz w:val="24"/>
          <w:szCs w:val="24"/>
        </w:rPr>
      </w:pPr>
      <w:r w:rsidRPr="00D715AF">
        <w:rPr>
          <w:i/>
          <w:sz w:val="24"/>
          <w:szCs w:val="24"/>
        </w:rPr>
        <w:t>Na strane výdavkov</w:t>
      </w:r>
      <w:r w:rsidRPr="00D715AF">
        <w:rPr>
          <w:sz w:val="24"/>
          <w:szCs w:val="24"/>
        </w:rPr>
        <w:t xml:space="preserve"> sa z objemu 41 244 tis. eur realizovali navýšenia základného imania spoločností štátu (Letové prevádzkové služby, </w:t>
      </w:r>
      <w:proofErr w:type="spellStart"/>
      <w:r w:rsidRPr="00D715AF">
        <w:rPr>
          <w:sz w:val="24"/>
          <w:szCs w:val="24"/>
        </w:rPr>
        <w:t>š.p</w:t>
      </w:r>
      <w:proofErr w:type="spellEnd"/>
      <w:r w:rsidRPr="00D715AF">
        <w:rPr>
          <w:sz w:val="24"/>
          <w:szCs w:val="24"/>
        </w:rPr>
        <w:t xml:space="preserve">. 13 200 tis. eur, Nemocnica sv. Michala 10 000 tis. eur a Slovensko-IT 4 000 tis. eur.), navýšenia základného imania resp. účasti v zahraničných inštitúciách (Medzinárodná banka pre obnovu a rozvoj 2 220 tis. eur, Medzinárodná investičná banka 2 955 tis. eur a Medzinárodná rozvojová agentúra 100 tis. eur). Prešovskému samosprávnemu kraju bola poskytnutá NFV vo výške 8 000 tis. eur ako posledná </w:t>
      </w:r>
      <w:proofErr w:type="spellStart"/>
      <w:r w:rsidRPr="00D715AF">
        <w:rPr>
          <w:sz w:val="24"/>
          <w:szCs w:val="24"/>
        </w:rPr>
        <w:t>tranža</w:t>
      </w:r>
      <w:proofErr w:type="spellEnd"/>
      <w:r w:rsidRPr="00D715AF">
        <w:rPr>
          <w:sz w:val="24"/>
          <w:szCs w:val="24"/>
        </w:rPr>
        <w:t xml:space="preserve"> na opravu ciest II. a III. triedy v pôsobnosti samosprávneho kraja.  </w:t>
      </w:r>
    </w:p>
    <w:p w14:paraId="4EA1FD66" w14:textId="6B9B96C0" w:rsidR="006E204D" w:rsidRPr="00D715AF" w:rsidRDefault="006E204D" w:rsidP="008D4C2B">
      <w:pPr>
        <w:spacing w:before="120" w:line="240" w:lineRule="auto"/>
        <w:rPr>
          <w:sz w:val="24"/>
          <w:szCs w:val="24"/>
        </w:rPr>
      </w:pPr>
      <w:r w:rsidRPr="00D715AF">
        <w:rPr>
          <w:i/>
          <w:sz w:val="24"/>
          <w:szCs w:val="24"/>
          <w:u w:val="single"/>
        </w:rPr>
        <w:t>Bežný účet návratných finančných výpomocí (NFV)</w:t>
      </w:r>
      <w:r w:rsidRPr="00D715AF">
        <w:rPr>
          <w:i/>
          <w:sz w:val="24"/>
          <w:szCs w:val="24"/>
        </w:rPr>
        <w:t xml:space="preserve"> </w:t>
      </w:r>
      <w:r w:rsidRPr="00D715AF">
        <w:rPr>
          <w:sz w:val="24"/>
          <w:szCs w:val="24"/>
        </w:rPr>
        <w:t>zaznamenal v roku 2020 príjem vo výške 517 173 tis. eur čo je medziročne viac o 455 239 tis. eur. Príjmy na tomto účte boli v roku 2020 tvorené najmä prevodom prostriedkov z účtu rozpočtových výdavkov kapitoly Všeobecná pokladničná správa, ktoré boli zároveň použité vo výdavkoch resp. výdavkových finančných operáciách. Novelou štátneho rozpočtu sa zabezpečili zdroje aj na realizáciu opatrení na zmiernenie dopadu pandémie, medzi ktoré patrili najmä poskytnutie návratných finančných výpomocí územnej samospráve (151 919 tis. eur), zvýšenie základného imania Všeobecnej zdravotnej poisťovne (198 000 tis. eur), úhrada deficitu z podpory zelenej energie (130 000 tis. eur) a ďalšie. Hodnota týchto prostriedkov, ktoré tvorili príjmy a zároveň výdavky na ,,účte NFV“ bola spolu 479 919 tis. eur.</w:t>
      </w:r>
    </w:p>
    <w:p w14:paraId="37830C1F" w14:textId="4AF33D0F" w:rsidR="006E204D" w:rsidRPr="00D715AF" w:rsidRDefault="006E204D" w:rsidP="008D4C2B">
      <w:pPr>
        <w:spacing w:before="120" w:line="240" w:lineRule="auto"/>
        <w:rPr>
          <w:sz w:val="24"/>
          <w:szCs w:val="24"/>
        </w:rPr>
      </w:pPr>
      <w:r w:rsidRPr="00D715AF">
        <w:rPr>
          <w:sz w:val="24"/>
          <w:szCs w:val="24"/>
        </w:rPr>
        <w:t>Ďalšie prostriedky prijaté na ,,účet NFV“ boli splátka istiny z poskytnutej návratnej finančnej výpomoci Agentúre pre núdzové zásoby ropy a ropných výrobkov 35 000 tis. eur (rozpočtované vo výške 64 800 tis. eur) a splátka istiny z poskytnutej návratnej finančnej výpomoci Mestu Košice, 2 000 tis. eur. Rozpočtovaná splátka NFV od Národnej transfúznej služby SR vo výške 28 000 tis. eur sa nezrealizovala z dôvodu posunu jej splatnosti na rok 2021.</w:t>
      </w:r>
    </w:p>
    <w:p w14:paraId="3974C17A" w14:textId="77777777" w:rsidR="006E204D" w:rsidRPr="00D715AF" w:rsidRDefault="006E204D" w:rsidP="008D4C2B">
      <w:pPr>
        <w:spacing w:before="120" w:line="240" w:lineRule="auto"/>
        <w:rPr>
          <w:sz w:val="24"/>
          <w:szCs w:val="24"/>
        </w:rPr>
      </w:pPr>
      <w:r w:rsidRPr="00D715AF">
        <w:rPr>
          <w:sz w:val="24"/>
          <w:szCs w:val="24"/>
        </w:rPr>
        <w:t>Okrem vyššie spomenutých výdavkov boli ďalej poskytnuté návratné finančné výpomoci vyšším územným celkom</w:t>
      </w:r>
      <w:r w:rsidRPr="00D715AF">
        <w:rPr>
          <w:rStyle w:val="Odkaznapoznmkupodiarou"/>
          <w:sz w:val="24"/>
          <w:szCs w:val="24"/>
        </w:rPr>
        <w:footnoteReference w:id="47"/>
      </w:r>
      <w:r w:rsidRPr="00D715AF">
        <w:rPr>
          <w:sz w:val="24"/>
          <w:szCs w:val="24"/>
        </w:rPr>
        <w:t xml:space="preserve"> spolu 68 880 tis. eur (najmä na opravy a rekonštrukciu ciest II. a III. triedy, vrátane súvisiacej cestnej infraštruktúry, opravy majetku a investície do majetku vo vlastníctve samosprávneho kraja určeného na výkon samosprávnych pôsobností na úseku sociálnych služieb, zdravotníctva, kultúry, cestovného ruchu, vzdelávania, športu a regionálneho rozvoja).</w:t>
      </w:r>
    </w:p>
    <w:p w14:paraId="4F2F3259" w14:textId="77777777" w:rsidR="006E204D" w:rsidRPr="00D715AF" w:rsidRDefault="006E204D" w:rsidP="008D4C2B">
      <w:pPr>
        <w:spacing w:before="120" w:line="240" w:lineRule="auto"/>
        <w:rPr>
          <w:sz w:val="24"/>
          <w:szCs w:val="24"/>
        </w:rPr>
      </w:pPr>
      <w:r w:rsidRPr="00D715AF">
        <w:rPr>
          <w:sz w:val="24"/>
          <w:szCs w:val="24"/>
        </w:rPr>
        <w:t>Slovenskej záručnej a rozvojovej banke, a.s. bolo poskytnutých 50 000 tis. eur na zvýšenie základného imania za účelom poskytovania úverov malým a stredným podnikom na prekonanie vplyvov pandémie COVID-19.</w:t>
      </w:r>
    </w:p>
    <w:p w14:paraId="60AB4FAE" w14:textId="1DC0DD62" w:rsidR="006E204D" w:rsidRPr="00D715AF" w:rsidRDefault="006E204D" w:rsidP="008D4C2B">
      <w:pPr>
        <w:spacing w:before="120" w:line="240" w:lineRule="auto"/>
        <w:rPr>
          <w:sz w:val="24"/>
          <w:szCs w:val="24"/>
        </w:rPr>
      </w:pPr>
      <w:r w:rsidRPr="00D715AF">
        <w:rPr>
          <w:sz w:val="24"/>
          <w:szCs w:val="24"/>
        </w:rPr>
        <w:t xml:space="preserve">Ministerstvu hospodárstva SR bolo prevedených 20 000 tis. eur na zvýšenie základného imania spoločnosti MH Manažment, a.s. a Ministerstvu zdravotníctva SR 14 000 tis. eur na zvýšenie základného imania spoločností so 100% účasťou štátu, ktoré sú zdravotníckymi zariadeniami. Spoločnosti Slovak </w:t>
      </w:r>
      <w:proofErr w:type="spellStart"/>
      <w:r w:rsidRPr="00D715AF">
        <w:rPr>
          <w:sz w:val="24"/>
          <w:szCs w:val="24"/>
        </w:rPr>
        <w:t>Investment</w:t>
      </w:r>
      <w:proofErr w:type="spellEnd"/>
      <w:r w:rsidRPr="00D715AF">
        <w:rPr>
          <w:sz w:val="24"/>
          <w:szCs w:val="24"/>
        </w:rPr>
        <w:t xml:space="preserve"> Holding, a.s. bolo prevedených 12 500 tis. eur v rámci investície do </w:t>
      </w:r>
      <w:proofErr w:type="spellStart"/>
      <w:r w:rsidRPr="00D715AF">
        <w:rPr>
          <w:sz w:val="24"/>
          <w:szCs w:val="24"/>
        </w:rPr>
        <w:t>Venture</w:t>
      </w:r>
      <w:proofErr w:type="spellEnd"/>
      <w:r w:rsidRPr="00D715AF">
        <w:rPr>
          <w:sz w:val="24"/>
          <w:szCs w:val="24"/>
        </w:rPr>
        <w:t xml:space="preserve"> to </w:t>
      </w:r>
      <w:proofErr w:type="spellStart"/>
      <w:r w:rsidRPr="00D715AF">
        <w:rPr>
          <w:sz w:val="24"/>
          <w:szCs w:val="24"/>
        </w:rPr>
        <w:t>Future</w:t>
      </w:r>
      <w:proofErr w:type="spellEnd"/>
      <w:r w:rsidRPr="00D715AF">
        <w:rPr>
          <w:sz w:val="24"/>
          <w:szCs w:val="24"/>
        </w:rPr>
        <w:t xml:space="preserve"> </w:t>
      </w:r>
      <w:proofErr w:type="spellStart"/>
      <w:r w:rsidRPr="00D715AF">
        <w:rPr>
          <w:sz w:val="24"/>
          <w:szCs w:val="24"/>
        </w:rPr>
        <w:t>Fund</w:t>
      </w:r>
      <w:proofErr w:type="spellEnd"/>
      <w:r w:rsidRPr="00D715AF">
        <w:rPr>
          <w:sz w:val="24"/>
          <w:szCs w:val="24"/>
        </w:rPr>
        <w:t>.</w:t>
      </w:r>
    </w:p>
    <w:p w14:paraId="271CADC4" w14:textId="7365AD29" w:rsidR="006E204D" w:rsidRPr="00D715AF" w:rsidRDefault="006E204D" w:rsidP="008D4C2B">
      <w:pPr>
        <w:spacing w:before="120" w:line="240" w:lineRule="auto"/>
        <w:rPr>
          <w:sz w:val="24"/>
          <w:szCs w:val="24"/>
        </w:rPr>
      </w:pPr>
      <w:r w:rsidRPr="00D715AF">
        <w:rPr>
          <w:i/>
          <w:sz w:val="24"/>
          <w:szCs w:val="24"/>
          <w:u w:val="single"/>
        </w:rPr>
        <w:t>Osobitný odvod finančných inštitúcií</w:t>
      </w:r>
      <w:r w:rsidRPr="00D715AF">
        <w:rPr>
          <w:sz w:val="24"/>
          <w:szCs w:val="24"/>
        </w:rPr>
        <w:t xml:space="preserve"> má prispievať k vytvoreniu mechanizmu podieľania sa týchto finančných inštitúcií na nákladoch budúcich finančných kríz v bankovom sektore, k zabezpečeniu spravodlivého rozdelenia záťaže a k predchádzaniu vzniku rozsiahlych výdavkov pre daňových poplatníkov, vládu a hospodárstvo v prípade riešenia finančných kríz, k stimulovaniu vybraných finančných inštitúcií obmedzovať systémové riziká a k ochrane stability finančného sektora Slovenskej republiky. Rozpočet na rok 2020 predpokladal s príjmami z tohto odvodu vo výške 288 839 tis. eur, čo je o 145 763 tis. eur viac ako v roku 2019, z dôvodu už spomínaného zvýšenia sadzby z 0,2 na 0,4 %. V skutočnosti boli prijaté odvody vo výške 148 950 tis. eur, (2019: 143 411 tis. eur). Výdavky z tohto účtu ŠFA neboli v roku 2020 realizované.</w:t>
      </w:r>
    </w:p>
    <w:p w14:paraId="1242ECBB" w14:textId="2297B4B4" w:rsidR="006E204D" w:rsidRPr="00D715AF" w:rsidRDefault="006E204D" w:rsidP="008D4C2B">
      <w:pPr>
        <w:spacing w:before="120" w:line="240" w:lineRule="auto"/>
        <w:rPr>
          <w:sz w:val="24"/>
          <w:szCs w:val="24"/>
        </w:rPr>
      </w:pPr>
      <w:r w:rsidRPr="00D715AF">
        <w:rPr>
          <w:i/>
          <w:sz w:val="24"/>
          <w:szCs w:val="24"/>
          <w:u w:val="single"/>
        </w:rPr>
        <w:t>Prostriedky osobitného odvodu z podnikania v regulovaných odvetviach</w:t>
      </w:r>
      <w:r w:rsidRPr="00D715AF">
        <w:rPr>
          <w:i/>
          <w:sz w:val="24"/>
          <w:szCs w:val="24"/>
        </w:rPr>
        <w:t>,</w:t>
      </w:r>
      <w:r w:rsidRPr="00D715AF">
        <w:rPr>
          <w:sz w:val="24"/>
          <w:szCs w:val="24"/>
        </w:rPr>
        <w:t xml:space="preserve"> v zmysle zákona č. 235/2012 Z. z., slúžia na perspektívne vytvorenie účelovo určenej osobitnej časti ŠFA, z ktorých sa budú financovať prioritné projekty vlády. Rozpočet na rok 2020 predpokladal príjem vo výške 126 064 tis. eur, čo je len mierne vyšší rozpočet ako v roku 2019. Skutočné vyinkasované príjmy na príslušný účet ŠFA z tohto osobitného odvodu boli v hodnote 119 598 tis. eur. Výdavky z tohto účtu ŠFA vo výške 90 936 tis. eur pôvodne určené na odkúpenie Národného futbalového štadióna sa vrátili naspäť do ŠFA, z dôvodu nerealizovania tohto </w:t>
      </w:r>
      <w:proofErr w:type="spellStart"/>
      <w:r w:rsidRPr="00D715AF">
        <w:rPr>
          <w:sz w:val="24"/>
          <w:szCs w:val="24"/>
        </w:rPr>
        <w:t>odkupu</w:t>
      </w:r>
      <w:proofErr w:type="spellEnd"/>
      <w:r w:rsidRPr="00D715AF">
        <w:rPr>
          <w:sz w:val="24"/>
          <w:szCs w:val="24"/>
        </w:rPr>
        <w:t xml:space="preserve"> z rozhodnutia vlády SR.</w:t>
      </w:r>
    </w:p>
    <w:p w14:paraId="2C808213" w14:textId="5E22AE66" w:rsidR="006E204D" w:rsidRPr="00D715AF" w:rsidRDefault="006E204D" w:rsidP="008D4C2B">
      <w:pPr>
        <w:spacing w:line="240" w:lineRule="auto"/>
        <w:rPr>
          <w:sz w:val="24"/>
          <w:szCs w:val="24"/>
        </w:rPr>
      </w:pPr>
      <w:r w:rsidRPr="00D715AF">
        <w:rPr>
          <w:i/>
          <w:sz w:val="24"/>
          <w:szCs w:val="24"/>
          <w:u w:val="single"/>
        </w:rPr>
        <w:t>Zmena stavu prostriedkov anonymných vkladov</w:t>
      </w:r>
      <w:r w:rsidRPr="00D715AF">
        <w:rPr>
          <w:sz w:val="24"/>
          <w:szCs w:val="24"/>
        </w:rPr>
        <w:t xml:space="preserve"> o 70 tis. eur predstavovalo precenenie prostriedkov v cudzej mene ku koncu roka 2020.</w:t>
      </w:r>
    </w:p>
    <w:p w14:paraId="590AD8F6" w14:textId="7085E2B3" w:rsidR="006E204D" w:rsidRPr="00D715AF" w:rsidRDefault="006E204D" w:rsidP="008D4C2B">
      <w:pPr>
        <w:spacing w:line="240" w:lineRule="auto"/>
        <w:rPr>
          <w:sz w:val="24"/>
          <w:szCs w:val="24"/>
        </w:rPr>
      </w:pPr>
      <w:r w:rsidRPr="00D715AF">
        <w:rPr>
          <w:i/>
          <w:sz w:val="24"/>
          <w:szCs w:val="24"/>
          <w:u w:val="single"/>
        </w:rPr>
        <w:t>Na ostatných účtoch ŠFA</w:t>
      </w:r>
      <w:r w:rsidRPr="00D715AF">
        <w:rPr>
          <w:i/>
          <w:sz w:val="24"/>
          <w:szCs w:val="24"/>
        </w:rPr>
        <w:t xml:space="preserve"> </w:t>
      </w:r>
      <w:r w:rsidRPr="00D715AF">
        <w:rPr>
          <w:sz w:val="24"/>
          <w:szCs w:val="24"/>
        </w:rPr>
        <w:t>došlo k príjmu a zároveň aj k výdavku 134 150 tis. eur z dôvodu navýšenia vkladu v Európskom mechanizme pre stabilitu (ESM</w:t>
      </w:r>
      <w:r w:rsidRPr="00D715AF">
        <w:rPr>
          <w:rStyle w:val="Odkaznapoznmkupodiarou"/>
          <w:sz w:val="24"/>
          <w:szCs w:val="24"/>
        </w:rPr>
        <w:footnoteReference w:id="48"/>
      </w:r>
      <w:r w:rsidRPr="00D715AF">
        <w:rPr>
          <w:sz w:val="24"/>
          <w:szCs w:val="24"/>
        </w:rPr>
        <w:t>) po uplynutí dočasnej korekcie distribučného kľúča. Základné imanie ESM bolo pri jeho vzniku rozdelené na základe distribučného kľúča, podľa ktorého mali národné centrálne banky členov v roku 2012 upísané podiely na kapitáli Európskej centrálne banky. Zároveň však bola členským štátom eurozóny, ktorých HDP na obyvateľa v trhových cenách bol v roku pred vstupom do ESM nižší ako 75</w:t>
      </w:r>
      <w:r w:rsidR="002734DC" w:rsidRPr="00D715AF">
        <w:rPr>
          <w:sz w:val="24"/>
          <w:szCs w:val="24"/>
        </w:rPr>
        <w:t> </w:t>
      </w:r>
      <w:r w:rsidRPr="00D715AF">
        <w:rPr>
          <w:sz w:val="24"/>
          <w:szCs w:val="24"/>
        </w:rPr>
        <w:t>% priemerného HDP na obyvateľa v EÚ, udelená korekcia kľúča, a to na obdobie dvanástich rokov odo dňa prijatia eura daným členom. K 1.1.2021 uplynula táto korekcia distribučného kľúča. Tieto prostriedky boli rozpočtované v ŠFA na rok 2020.</w:t>
      </w:r>
    </w:p>
    <w:p w14:paraId="25A8DD3C" w14:textId="047D2FA8" w:rsidR="005A6812" w:rsidRDefault="006E204D" w:rsidP="00CF37CE">
      <w:pPr>
        <w:spacing w:line="240" w:lineRule="auto"/>
        <w:rPr>
          <w:sz w:val="24"/>
          <w:szCs w:val="24"/>
        </w:rPr>
      </w:pPr>
      <w:r w:rsidRPr="00D715AF">
        <w:rPr>
          <w:sz w:val="24"/>
          <w:szCs w:val="24"/>
        </w:rPr>
        <w:t>Ďalší príjem v hodnote 6 581 tis. eur tvorilo vyrovnanie pohľadávky Srbskej republiky.</w:t>
      </w:r>
    </w:p>
    <w:p w14:paraId="5199EB6A" w14:textId="77777777" w:rsidR="00CF37CE" w:rsidRDefault="00CF37CE" w:rsidP="00CF37CE">
      <w:pPr>
        <w:spacing w:line="240" w:lineRule="auto"/>
      </w:pPr>
    </w:p>
    <w:p w14:paraId="39D5632D" w14:textId="7F4C2E24" w:rsidR="008254BE" w:rsidRDefault="008254BE" w:rsidP="008A6314">
      <w:pPr>
        <w:pStyle w:val="Nadpis2"/>
      </w:pPr>
      <w:bookmarkStart w:id="62" w:name="_Toc6415652"/>
      <w:bookmarkStart w:id="63" w:name="_Toc70026105"/>
      <w:r>
        <w:t>Vzťahy štátneho rozpočtu k Európskej únii</w:t>
      </w:r>
      <w:bookmarkEnd w:id="62"/>
      <w:bookmarkEnd w:id="63"/>
    </w:p>
    <w:p w14:paraId="243FABF8" w14:textId="6AF5AF8B" w:rsidR="00EE5C5E" w:rsidRPr="00D715AF" w:rsidRDefault="00EE5C5E" w:rsidP="008D4C2B">
      <w:pPr>
        <w:tabs>
          <w:tab w:val="left" w:pos="284"/>
        </w:tabs>
        <w:spacing w:line="240" w:lineRule="auto"/>
        <w:rPr>
          <w:sz w:val="24"/>
          <w:szCs w:val="24"/>
        </w:rPr>
      </w:pPr>
      <w:r w:rsidRPr="00D715AF">
        <w:rPr>
          <w:b/>
          <w:sz w:val="24"/>
          <w:szCs w:val="24"/>
        </w:rPr>
        <w:t xml:space="preserve">Príjmy Slovenskej republiky z rozpočtu EÚ </w:t>
      </w:r>
      <w:r w:rsidRPr="00D715AF">
        <w:rPr>
          <w:sz w:val="24"/>
          <w:szCs w:val="24"/>
        </w:rPr>
        <w:t>tvoria</w:t>
      </w:r>
      <w:r w:rsidRPr="00D715AF">
        <w:rPr>
          <w:b/>
          <w:sz w:val="24"/>
          <w:szCs w:val="24"/>
        </w:rPr>
        <w:t xml:space="preserve"> </w:t>
      </w:r>
      <w:r w:rsidRPr="00D715AF">
        <w:rPr>
          <w:sz w:val="24"/>
          <w:szCs w:val="24"/>
        </w:rPr>
        <w:t xml:space="preserve">zahraničné transfery a zahraničné granty poskytnuté z rozpočtu EÚ. Príjmy zo zahraničných transferov boli rozpočtované v ŠR na rok 2020 vo výške 1 667 689 tis. eur. Rozpočet zahraničných transferov bol upravený na úroveň 2 464 567 tis. eur. Skutočné plnenie príjmov SR z rozpočtu EÚ bolo vo výške 2 551 360 tis. eur, z toho príjmy za zahraničné transfery sú vo výške 2 551 329 tis. eur a príjmy za zahraničné granty poskytnuté z rozpočtu EÚ sú vo výške 31 tis. eur. </w:t>
      </w:r>
    </w:p>
    <w:p w14:paraId="39B521A9" w14:textId="6E5C5EDB" w:rsidR="00EE5C5E" w:rsidRPr="00D715AF" w:rsidRDefault="00EE5C5E" w:rsidP="008D4C2B">
      <w:pPr>
        <w:tabs>
          <w:tab w:val="left" w:pos="284"/>
        </w:tabs>
        <w:spacing w:before="120" w:line="240" w:lineRule="auto"/>
        <w:rPr>
          <w:sz w:val="24"/>
          <w:szCs w:val="24"/>
        </w:rPr>
      </w:pPr>
      <w:r w:rsidRPr="00E7041D">
        <w:rPr>
          <w:b/>
          <w:sz w:val="24"/>
          <w:szCs w:val="24"/>
        </w:rPr>
        <w:t>Odvody a príspevky SR do všeobecného rozpočtu EÚ</w:t>
      </w:r>
      <w:r w:rsidRPr="00D715AF">
        <w:rPr>
          <w:sz w:val="24"/>
          <w:szCs w:val="24"/>
        </w:rPr>
        <w:t xml:space="preserve"> tvoria odvody do rozpočtu EÚ a príspevky do Európskeho rozvojového fondu. Odvody a príspevky SR do všeobecného rozpočtu EÚ boli rozpočtované na rok 2020 v sume 1 021 341</w:t>
      </w:r>
      <w:r w:rsidRPr="00D715AF">
        <w:rPr>
          <w:color w:val="0070C0"/>
          <w:sz w:val="24"/>
          <w:szCs w:val="24"/>
        </w:rPr>
        <w:t xml:space="preserve"> </w:t>
      </w:r>
      <w:r w:rsidRPr="00D715AF">
        <w:rPr>
          <w:sz w:val="24"/>
          <w:szCs w:val="24"/>
        </w:rPr>
        <w:t>tis. eur.</w:t>
      </w:r>
    </w:p>
    <w:p w14:paraId="487B6562" w14:textId="77777777" w:rsidR="00EE5C5E" w:rsidRDefault="00EE5C5E" w:rsidP="008D4C2B">
      <w:pPr>
        <w:tabs>
          <w:tab w:val="left" w:pos="284"/>
        </w:tabs>
        <w:spacing w:line="240" w:lineRule="auto"/>
      </w:pPr>
      <w:r w:rsidRPr="00D715AF">
        <w:rPr>
          <w:sz w:val="24"/>
          <w:szCs w:val="24"/>
        </w:rPr>
        <w:t>Prehľad o odvodoch a príspevkoch SR do všeobecného rozpočtu EÚ za rok 2020:</w:t>
      </w:r>
    </w:p>
    <w:tbl>
      <w:tblPr>
        <w:tblW w:w="5028" w:type="pct"/>
        <w:tblLayout w:type="fixed"/>
        <w:tblCellMar>
          <w:left w:w="70" w:type="dxa"/>
          <w:right w:w="70" w:type="dxa"/>
        </w:tblCellMar>
        <w:tblLook w:val="04A0" w:firstRow="1" w:lastRow="0" w:firstColumn="1" w:lastColumn="0" w:noHBand="0" w:noVBand="1"/>
      </w:tblPr>
      <w:tblGrid>
        <w:gridCol w:w="2976"/>
        <w:gridCol w:w="1041"/>
        <w:gridCol w:w="1077"/>
        <w:gridCol w:w="1073"/>
        <w:gridCol w:w="1229"/>
        <w:gridCol w:w="1077"/>
        <w:gridCol w:w="793"/>
      </w:tblGrid>
      <w:tr w:rsidR="00EE5C5E" w:rsidRPr="007D12A6" w14:paraId="7FFC47EF" w14:textId="77777777" w:rsidTr="007D12A6">
        <w:trPr>
          <w:trHeight w:val="330"/>
        </w:trPr>
        <w:tc>
          <w:tcPr>
            <w:tcW w:w="3991" w:type="pct"/>
            <w:gridSpan w:val="5"/>
            <w:tcBorders>
              <w:top w:val="nil"/>
              <w:left w:val="nil"/>
              <w:bottom w:val="nil"/>
              <w:right w:val="nil"/>
            </w:tcBorders>
            <w:shd w:val="clear" w:color="000000" w:fill="000000"/>
            <w:noWrap/>
            <w:vAlign w:val="center"/>
            <w:hideMark/>
          </w:tcPr>
          <w:p w14:paraId="293D13CA" w14:textId="77777777" w:rsidR="00EE5C5E" w:rsidRPr="007D12A6" w:rsidRDefault="00EE5C5E" w:rsidP="00EE5C5E">
            <w:pPr>
              <w:spacing w:after="0" w:line="240" w:lineRule="auto"/>
              <w:jc w:val="left"/>
              <w:rPr>
                <w:rFonts w:eastAsia="Times New Roman" w:cs="Times New Roman"/>
                <w:b/>
                <w:bCs/>
                <w:color w:val="FFFFFF"/>
                <w:sz w:val="18"/>
                <w:szCs w:val="18"/>
                <w:lang w:eastAsia="sk-SK"/>
              </w:rPr>
            </w:pPr>
            <w:bookmarkStart w:id="64" w:name="RANGE!A1:G13"/>
            <w:r w:rsidRPr="007D12A6">
              <w:rPr>
                <w:rFonts w:eastAsia="Times New Roman" w:cs="Times New Roman"/>
                <w:b/>
                <w:bCs/>
                <w:color w:val="FFFFFF"/>
                <w:sz w:val="18"/>
                <w:szCs w:val="18"/>
                <w:lang w:eastAsia="sk-SK"/>
              </w:rPr>
              <w:t>Príjmy z rozpočtu EÚ a odvody a príspevky do všeobecného rozpočtu EÚ</w:t>
            </w:r>
            <w:bookmarkEnd w:id="64"/>
            <w:r w:rsidRPr="007D12A6">
              <w:rPr>
                <w:rFonts w:ascii="Arial Narrow" w:eastAsia="Times New Roman" w:hAnsi="Arial Narrow" w:cs="Times New Roman"/>
                <w:color w:val="000000"/>
                <w:sz w:val="18"/>
                <w:szCs w:val="18"/>
                <w:lang w:eastAsia="sk-SK"/>
              </w:rPr>
              <w:t> </w:t>
            </w:r>
          </w:p>
        </w:tc>
        <w:tc>
          <w:tcPr>
            <w:tcW w:w="1009" w:type="pct"/>
            <w:gridSpan w:val="2"/>
            <w:tcBorders>
              <w:top w:val="nil"/>
              <w:left w:val="nil"/>
              <w:bottom w:val="nil"/>
              <w:right w:val="nil"/>
            </w:tcBorders>
            <w:shd w:val="clear" w:color="000000" w:fill="000000"/>
            <w:noWrap/>
            <w:vAlign w:val="center"/>
            <w:hideMark/>
          </w:tcPr>
          <w:p w14:paraId="272CE28F" w14:textId="77777777" w:rsidR="00EE5C5E" w:rsidRPr="007D12A6" w:rsidRDefault="00EE5C5E" w:rsidP="00EE5C5E">
            <w:pPr>
              <w:spacing w:after="0" w:line="240" w:lineRule="auto"/>
              <w:jc w:val="right"/>
              <w:rPr>
                <w:rFonts w:eastAsia="Times New Roman" w:cs="Times New Roman"/>
                <w:b/>
                <w:bCs/>
                <w:color w:val="FFFFFF"/>
                <w:sz w:val="18"/>
                <w:szCs w:val="18"/>
                <w:lang w:eastAsia="sk-SK"/>
              </w:rPr>
            </w:pPr>
            <w:r w:rsidRPr="007D12A6">
              <w:rPr>
                <w:rFonts w:eastAsia="Times New Roman" w:cs="Times New Roman"/>
                <w:b/>
                <w:bCs/>
                <w:color w:val="FFFFFF"/>
                <w:sz w:val="18"/>
                <w:szCs w:val="18"/>
                <w:lang w:eastAsia="sk-SK"/>
              </w:rPr>
              <w:t>v tis. eur</w:t>
            </w:r>
          </w:p>
        </w:tc>
      </w:tr>
      <w:tr w:rsidR="00EE5C5E" w:rsidRPr="007D12A6" w14:paraId="2888970E" w14:textId="77777777" w:rsidTr="007D12A6">
        <w:trPr>
          <w:trHeight w:val="330"/>
        </w:trPr>
        <w:tc>
          <w:tcPr>
            <w:tcW w:w="1606" w:type="pct"/>
            <w:tcBorders>
              <w:top w:val="nil"/>
              <w:left w:val="nil"/>
              <w:bottom w:val="nil"/>
              <w:right w:val="nil"/>
            </w:tcBorders>
            <w:shd w:val="clear" w:color="000000" w:fill="BFBFBF"/>
            <w:vAlign w:val="center"/>
            <w:hideMark/>
          </w:tcPr>
          <w:p w14:paraId="0C60A0AD" w14:textId="77777777" w:rsidR="00EE5C5E" w:rsidRPr="007D12A6" w:rsidRDefault="00EE5C5E" w:rsidP="00EE5C5E">
            <w:pPr>
              <w:spacing w:after="0" w:line="240" w:lineRule="auto"/>
              <w:jc w:val="left"/>
              <w:rPr>
                <w:rFonts w:eastAsia="Times New Roman" w:cs="Times New Roman"/>
                <w:b/>
                <w:bCs/>
                <w:color w:val="FFFFFF"/>
                <w:sz w:val="18"/>
                <w:szCs w:val="18"/>
                <w:lang w:eastAsia="sk-SK"/>
              </w:rPr>
            </w:pPr>
            <w:r w:rsidRPr="007D12A6">
              <w:rPr>
                <w:rFonts w:eastAsia="Times New Roman" w:cs="Times New Roman"/>
                <w:b/>
                <w:bCs/>
                <w:color w:val="FFFFFF"/>
                <w:sz w:val="18"/>
                <w:szCs w:val="18"/>
                <w:lang w:eastAsia="sk-SK"/>
              </w:rPr>
              <w:t> </w:t>
            </w:r>
          </w:p>
        </w:tc>
        <w:tc>
          <w:tcPr>
            <w:tcW w:w="1143" w:type="pct"/>
            <w:gridSpan w:val="2"/>
            <w:tcBorders>
              <w:top w:val="nil"/>
              <w:left w:val="nil"/>
              <w:bottom w:val="nil"/>
              <w:right w:val="nil"/>
            </w:tcBorders>
            <w:shd w:val="clear" w:color="000000" w:fill="BFBFBF"/>
            <w:vAlign w:val="center"/>
            <w:hideMark/>
          </w:tcPr>
          <w:p w14:paraId="7200C245" w14:textId="77777777" w:rsidR="00EE5C5E" w:rsidRPr="007D12A6" w:rsidRDefault="00EE5C5E" w:rsidP="00EE5C5E">
            <w:pPr>
              <w:spacing w:after="0" w:line="240" w:lineRule="auto"/>
              <w:jc w:val="center"/>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Skutočnosť</w:t>
            </w:r>
          </w:p>
        </w:tc>
        <w:tc>
          <w:tcPr>
            <w:tcW w:w="579" w:type="pct"/>
            <w:tcBorders>
              <w:top w:val="nil"/>
              <w:left w:val="nil"/>
              <w:bottom w:val="nil"/>
              <w:right w:val="nil"/>
            </w:tcBorders>
            <w:shd w:val="clear" w:color="000000" w:fill="BFBFBF"/>
            <w:vAlign w:val="center"/>
            <w:hideMark/>
          </w:tcPr>
          <w:p w14:paraId="2229BE77" w14:textId="77777777" w:rsidR="00EE5C5E" w:rsidRPr="007D12A6" w:rsidRDefault="00EE5C5E" w:rsidP="00EE5C5E">
            <w:pPr>
              <w:spacing w:after="0" w:line="240" w:lineRule="auto"/>
              <w:jc w:val="center"/>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Rozpočet</w:t>
            </w:r>
          </w:p>
        </w:tc>
        <w:tc>
          <w:tcPr>
            <w:tcW w:w="663" w:type="pct"/>
            <w:tcBorders>
              <w:top w:val="nil"/>
              <w:left w:val="nil"/>
              <w:bottom w:val="nil"/>
              <w:right w:val="nil"/>
            </w:tcBorders>
            <w:shd w:val="clear" w:color="000000" w:fill="BFBFBF"/>
            <w:vAlign w:val="center"/>
            <w:hideMark/>
          </w:tcPr>
          <w:p w14:paraId="367C9633" w14:textId="77777777" w:rsidR="00EE5C5E" w:rsidRPr="007D12A6" w:rsidRDefault="00EE5C5E" w:rsidP="00EE5C5E">
            <w:pPr>
              <w:spacing w:after="0" w:line="240" w:lineRule="auto"/>
              <w:jc w:val="center"/>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Skutočnosť</w:t>
            </w:r>
          </w:p>
        </w:tc>
        <w:tc>
          <w:tcPr>
            <w:tcW w:w="1009" w:type="pct"/>
            <w:gridSpan w:val="2"/>
            <w:tcBorders>
              <w:top w:val="nil"/>
              <w:left w:val="nil"/>
              <w:bottom w:val="nil"/>
              <w:right w:val="nil"/>
            </w:tcBorders>
            <w:shd w:val="clear" w:color="000000" w:fill="BFBFBF"/>
            <w:vAlign w:val="center"/>
            <w:hideMark/>
          </w:tcPr>
          <w:p w14:paraId="649AFA7E" w14:textId="77777777" w:rsidR="00EE5C5E" w:rsidRPr="007D12A6" w:rsidRDefault="00EE5C5E" w:rsidP="00EE5C5E">
            <w:pPr>
              <w:spacing w:after="0" w:line="240" w:lineRule="auto"/>
              <w:jc w:val="center"/>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Rozdiel</w:t>
            </w:r>
          </w:p>
        </w:tc>
      </w:tr>
      <w:tr w:rsidR="00EE5C5E" w:rsidRPr="007D12A6" w14:paraId="6CFAF54C" w14:textId="77777777" w:rsidTr="007D12A6">
        <w:trPr>
          <w:trHeight w:val="330"/>
        </w:trPr>
        <w:tc>
          <w:tcPr>
            <w:tcW w:w="1606" w:type="pct"/>
            <w:tcBorders>
              <w:top w:val="nil"/>
              <w:left w:val="nil"/>
              <w:bottom w:val="nil"/>
              <w:right w:val="nil"/>
            </w:tcBorders>
            <w:shd w:val="clear" w:color="000000" w:fill="BFBFBF"/>
            <w:vAlign w:val="center"/>
            <w:hideMark/>
          </w:tcPr>
          <w:p w14:paraId="1B17C16A" w14:textId="77777777" w:rsidR="00EE5C5E" w:rsidRPr="007D12A6" w:rsidRDefault="00EE5C5E" w:rsidP="00EE5C5E">
            <w:pPr>
              <w:spacing w:after="0" w:line="240" w:lineRule="auto"/>
              <w:jc w:val="center"/>
              <w:rPr>
                <w:rFonts w:eastAsia="Times New Roman" w:cs="Times New Roman"/>
                <w:b/>
                <w:bCs/>
                <w:sz w:val="18"/>
                <w:szCs w:val="18"/>
                <w:lang w:eastAsia="sk-SK"/>
              </w:rPr>
            </w:pPr>
            <w:r w:rsidRPr="007D12A6">
              <w:rPr>
                <w:rFonts w:eastAsia="Times New Roman" w:cs="Times New Roman"/>
                <w:b/>
                <w:bCs/>
                <w:sz w:val="18"/>
                <w:szCs w:val="18"/>
                <w:lang w:eastAsia="sk-SK"/>
              </w:rPr>
              <w:t> </w:t>
            </w:r>
          </w:p>
        </w:tc>
        <w:tc>
          <w:tcPr>
            <w:tcW w:w="562" w:type="pct"/>
            <w:tcBorders>
              <w:top w:val="nil"/>
              <w:left w:val="nil"/>
              <w:bottom w:val="nil"/>
              <w:right w:val="nil"/>
            </w:tcBorders>
            <w:shd w:val="clear" w:color="000000" w:fill="BFBFBF"/>
            <w:vAlign w:val="center"/>
            <w:hideMark/>
          </w:tcPr>
          <w:p w14:paraId="7963C45D" w14:textId="77777777" w:rsidR="00EE5C5E" w:rsidRPr="007D12A6" w:rsidRDefault="00EE5C5E" w:rsidP="00EE5C5E">
            <w:pPr>
              <w:spacing w:after="0" w:line="240" w:lineRule="auto"/>
              <w:jc w:val="center"/>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2018</w:t>
            </w:r>
          </w:p>
        </w:tc>
        <w:tc>
          <w:tcPr>
            <w:tcW w:w="581" w:type="pct"/>
            <w:tcBorders>
              <w:top w:val="nil"/>
              <w:left w:val="nil"/>
              <w:bottom w:val="nil"/>
              <w:right w:val="nil"/>
            </w:tcBorders>
            <w:shd w:val="clear" w:color="000000" w:fill="BFBFBF"/>
            <w:vAlign w:val="center"/>
            <w:hideMark/>
          </w:tcPr>
          <w:p w14:paraId="03712138" w14:textId="77777777" w:rsidR="00EE5C5E" w:rsidRPr="007D12A6" w:rsidRDefault="00EE5C5E" w:rsidP="00EE5C5E">
            <w:pPr>
              <w:spacing w:after="0" w:line="240" w:lineRule="auto"/>
              <w:jc w:val="center"/>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2019</w:t>
            </w:r>
          </w:p>
        </w:tc>
        <w:tc>
          <w:tcPr>
            <w:tcW w:w="579" w:type="pct"/>
            <w:tcBorders>
              <w:top w:val="nil"/>
              <w:left w:val="nil"/>
              <w:bottom w:val="nil"/>
              <w:right w:val="nil"/>
            </w:tcBorders>
            <w:shd w:val="clear" w:color="000000" w:fill="BFBFBF"/>
            <w:vAlign w:val="center"/>
            <w:hideMark/>
          </w:tcPr>
          <w:p w14:paraId="26141785" w14:textId="77777777" w:rsidR="00EE5C5E" w:rsidRPr="007D12A6" w:rsidRDefault="00EE5C5E" w:rsidP="00EE5C5E">
            <w:pPr>
              <w:spacing w:after="0" w:line="240" w:lineRule="auto"/>
              <w:jc w:val="center"/>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2020</w:t>
            </w:r>
          </w:p>
        </w:tc>
        <w:tc>
          <w:tcPr>
            <w:tcW w:w="663" w:type="pct"/>
            <w:tcBorders>
              <w:top w:val="nil"/>
              <w:left w:val="nil"/>
              <w:bottom w:val="nil"/>
              <w:right w:val="nil"/>
            </w:tcBorders>
            <w:shd w:val="clear" w:color="000000" w:fill="BFBFBF"/>
            <w:vAlign w:val="center"/>
            <w:hideMark/>
          </w:tcPr>
          <w:p w14:paraId="6BD7094E" w14:textId="77777777" w:rsidR="00EE5C5E" w:rsidRPr="007D12A6" w:rsidRDefault="00EE5C5E" w:rsidP="00EE5C5E">
            <w:pPr>
              <w:spacing w:after="0" w:line="240" w:lineRule="auto"/>
              <w:jc w:val="center"/>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2020</w:t>
            </w:r>
          </w:p>
        </w:tc>
        <w:tc>
          <w:tcPr>
            <w:tcW w:w="581" w:type="pct"/>
            <w:tcBorders>
              <w:top w:val="nil"/>
              <w:left w:val="nil"/>
              <w:bottom w:val="nil"/>
              <w:right w:val="nil"/>
            </w:tcBorders>
            <w:shd w:val="clear" w:color="000000" w:fill="BFBFBF"/>
            <w:vAlign w:val="center"/>
            <w:hideMark/>
          </w:tcPr>
          <w:p w14:paraId="338CD3D2" w14:textId="77777777" w:rsidR="00EE5C5E" w:rsidRPr="007D12A6" w:rsidRDefault="00EE5C5E" w:rsidP="00EE5C5E">
            <w:pPr>
              <w:spacing w:after="0" w:line="240" w:lineRule="auto"/>
              <w:jc w:val="center"/>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 xml:space="preserve"> v tis. eur</w:t>
            </w:r>
          </w:p>
        </w:tc>
        <w:tc>
          <w:tcPr>
            <w:tcW w:w="428" w:type="pct"/>
            <w:tcBorders>
              <w:top w:val="nil"/>
              <w:left w:val="nil"/>
              <w:bottom w:val="nil"/>
              <w:right w:val="nil"/>
            </w:tcBorders>
            <w:shd w:val="clear" w:color="000000" w:fill="BFBFBF"/>
            <w:vAlign w:val="center"/>
            <w:hideMark/>
          </w:tcPr>
          <w:p w14:paraId="3CA6FB14" w14:textId="77777777" w:rsidR="00EE5C5E" w:rsidRPr="007D12A6" w:rsidRDefault="00EE5C5E" w:rsidP="00EE5C5E">
            <w:pPr>
              <w:spacing w:after="0" w:line="240" w:lineRule="auto"/>
              <w:jc w:val="center"/>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v %</w:t>
            </w:r>
          </w:p>
        </w:tc>
      </w:tr>
      <w:tr w:rsidR="00EE5C5E" w:rsidRPr="007D12A6" w14:paraId="3D8A5936" w14:textId="77777777" w:rsidTr="007D12A6">
        <w:trPr>
          <w:trHeight w:val="345"/>
        </w:trPr>
        <w:tc>
          <w:tcPr>
            <w:tcW w:w="1606" w:type="pct"/>
            <w:tcBorders>
              <w:top w:val="nil"/>
              <w:left w:val="nil"/>
              <w:bottom w:val="single" w:sz="8" w:space="0" w:color="auto"/>
              <w:right w:val="nil"/>
            </w:tcBorders>
            <w:shd w:val="clear" w:color="000000" w:fill="BFBFBF"/>
            <w:vAlign w:val="center"/>
            <w:hideMark/>
          </w:tcPr>
          <w:p w14:paraId="72A145F0" w14:textId="77777777" w:rsidR="00EE5C5E" w:rsidRPr="007D12A6" w:rsidRDefault="00EE5C5E" w:rsidP="00EE5C5E">
            <w:pPr>
              <w:spacing w:after="0" w:line="240" w:lineRule="auto"/>
              <w:jc w:val="left"/>
              <w:rPr>
                <w:rFonts w:eastAsia="Times New Roman" w:cs="Times New Roman"/>
                <w:b/>
                <w:bCs/>
                <w:color w:val="FFFFFF"/>
                <w:sz w:val="18"/>
                <w:szCs w:val="18"/>
                <w:lang w:eastAsia="sk-SK"/>
              </w:rPr>
            </w:pPr>
            <w:r w:rsidRPr="007D12A6">
              <w:rPr>
                <w:rFonts w:eastAsia="Times New Roman" w:cs="Times New Roman"/>
                <w:b/>
                <w:bCs/>
                <w:color w:val="FFFFFF"/>
                <w:sz w:val="18"/>
                <w:szCs w:val="18"/>
                <w:lang w:eastAsia="sk-SK"/>
              </w:rPr>
              <w:t> </w:t>
            </w:r>
          </w:p>
        </w:tc>
        <w:tc>
          <w:tcPr>
            <w:tcW w:w="562" w:type="pct"/>
            <w:tcBorders>
              <w:top w:val="nil"/>
              <w:left w:val="nil"/>
              <w:bottom w:val="single" w:sz="8" w:space="0" w:color="auto"/>
              <w:right w:val="nil"/>
            </w:tcBorders>
            <w:shd w:val="clear" w:color="000000" w:fill="BFBFBF"/>
            <w:vAlign w:val="center"/>
            <w:hideMark/>
          </w:tcPr>
          <w:p w14:paraId="30050698" w14:textId="77777777" w:rsidR="00EE5C5E" w:rsidRPr="007D12A6" w:rsidRDefault="00EE5C5E" w:rsidP="00EE5C5E">
            <w:pPr>
              <w:spacing w:after="0" w:line="240" w:lineRule="auto"/>
              <w:jc w:val="center"/>
              <w:rPr>
                <w:rFonts w:eastAsia="Times New Roman" w:cs="Times New Roman"/>
                <w:b/>
                <w:bCs/>
                <w:sz w:val="18"/>
                <w:szCs w:val="18"/>
                <w:lang w:eastAsia="sk-SK"/>
              </w:rPr>
            </w:pPr>
            <w:r w:rsidRPr="007D12A6">
              <w:rPr>
                <w:rFonts w:eastAsia="Times New Roman" w:cs="Times New Roman"/>
                <w:b/>
                <w:bCs/>
                <w:sz w:val="18"/>
                <w:szCs w:val="18"/>
                <w:lang w:eastAsia="sk-SK"/>
              </w:rPr>
              <w:t>1</w:t>
            </w:r>
          </w:p>
        </w:tc>
        <w:tc>
          <w:tcPr>
            <w:tcW w:w="581" w:type="pct"/>
            <w:tcBorders>
              <w:top w:val="nil"/>
              <w:left w:val="nil"/>
              <w:bottom w:val="single" w:sz="8" w:space="0" w:color="auto"/>
              <w:right w:val="nil"/>
            </w:tcBorders>
            <w:shd w:val="clear" w:color="000000" w:fill="BFBFBF"/>
            <w:vAlign w:val="center"/>
            <w:hideMark/>
          </w:tcPr>
          <w:p w14:paraId="4BDAB92E" w14:textId="77777777" w:rsidR="00EE5C5E" w:rsidRPr="007D12A6" w:rsidRDefault="00EE5C5E" w:rsidP="00EE5C5E">
            <w:pPr>
              <w:spacing w:after="0" w:line="240" w:lineRule="auto"/>
              <w:jc w:val="center"/>
              <w:rPr>
                <w:rFonts w:eastAsia="Times New Roman" w:cs="Times New Roman"/>
                <w:b/>
                <w:bCs/>
                <w:sz w:val="18"/>
                <w:szCs w:val="18"/>
                <w:lang w:eastAsia="sk-SK"/>
              </w:rPr>
            </w:pPr>
            <w:r w:rsidRPr="007D12A6">
              <w:rPr>
                <w:rFonts w:eastAsia="Times New Roman" w:cs="Times New Roman"/>
                <w:b/>
                <w:bCs/>
                <w:sz w:val="18"/>
                <w:szCs w:val="18"/>
                <w:lang w:eastAsia="sk-SK"/>
              </w:rPr>
              <w:t>2</w:t>
            </w:r>
          </w:p>
        </w:tc>
        <w:tc>
          <w:tcPr>
            <w:tcW w:w="579" w:type="pct"/>
            <w:tcBorders>
              <w:top w:val="nil"/>
              <w:left w:val="nil"/>
              <w:bottom w:val="single" w:sz="8" w:space="0" w:color="auto"/>
              <w:right w:val="nil"/>
            </w:tcBorders>
            <w:shd w:val="clear" w:color="000000" w:fill="BFBFBF"/>
            <w:vAlign w:val="center"/>
            <w:hideMark/>
          </w:tcPr>
          <w:p w14:paraId="20FEE9E3" w14:textId="77777777" w:rsidR="00EE5C5E" w:rsidRPr="007D12A6" w:rsidRDefault="00EE5C5E" w:rsidP="00EE5C5E">
            <w:pPr>
              <w:spacing w:after="0" w:line="240" w:lineRule="auto"/>
              <w:jc w:val="center"/>
              <w:rPr>
                <w:rFonts w:eastAsia="Times New Roman" w:cs="Times New Roman"/>
                <w:b/>
                <w:bCs/>
                <w:sz w:val="18"/>
                <w:szCs w:val="18"/>
                <w:lang w:eastAsia="sk-SK"/>
              </w:rPr>
            </w:pPr>
            <w:r w:rsidRPr="007D12A6">
              <w:rPr>
                <w:rFonts w:eastAsia="Times New Roman" w:cs="Times New Roman"/>
                <w:b/>
                <w:bCs/>
                <w:sz w:val="18"/>
                <w:szCs w:val="18"/>
                <w:lang w:eastAsia="sk-SK"/>
              </w:rPr>
              <w:t>3</w:t>
            </w:r>
          </w:p>
        </w:tc>
        <w:tc>
          <w:tcPr>
            <w:tcW w:w="663" w:type="pct"/>
            <w:tcBorders>
              <w:top w:val="nil"/>
              <w:left w:val="nil"/>
              <w:bottom w:val="single" w:sz="8" w:space="0" w:color="auto"/>
              <w:right w:val="nil"/>
            </w:tcBorders>
            <w:shd w:val="clear" w:color="000000" w:fill="BFBFBF"/>
            <w:vAlign w:val="center"/>
            <w:hideMark/>
          </w:tcPr>
          <w:p w14:paraId="6E5F6A93" w14:textId="77777777" w:rsidR="00EE5C5E" w:rsidRPr="007D12A6" w:rsidRDefault="00EE5C5E" w:rsidP="00EE5C5E">
            <w:pPr>
              <w:spacing w:after="0" w:line="240" w:lineRule="auto"/>
              <w:jc w:val="center"/>
              <w:rPr>
                <w:rFonts w:eastAsia="Times New Roman" w:cs="Times New Roman"/>
                <w:b/>
                <w:bCs/>
                <w:sz w:val="18"/>
                <w:szCs w:val="18"/>
                <w:lang w:eastAsia="sk-SK"/>
              </w:rPr>
            </w:pPr>
            <w:r w:rsidRPr="007D12A6">
              <w:rPr>
                <w:rFonts w:eastAsia="Times New Roman" w:cs="Times New Roman"/>
                <w:b/>
                <w:bCs/>
                <w:sz w:val="18"/>
                <w:szCs w:val="18"/>
                <w:lang w:eastAsia="sk-SK"/>
              </w:rPr>
              <w:t>4</w:t>
            </w:r>
          </w:p>
        </w:tc>
        <w:tc>
          <w:tcPr>
            <w:tcW w:w="581" w:type="pct"/>
            <w:tcBorders>
              <w:top w:val="nil"/>
              <w:left w:val="nil"/>
              <w:bottom w:val="single" w:sz="8" w:space="0" w:color="auto"/>
              <w:right w:val="nil"/>
            </w:tcBorders>
            <w:shd w:val="clear" w:color="000000" w:fill="BFBFBF"/>
            <w:vAlign w:val="center"/>
            <w:hideMark/>
          </w:tcPr>
          <w:p w14:paraId="5D8883AF" w14:textId="77777777" w:rsidR="00EE5C5E" w:rsidRPr="007D12A6" w:rsidRDefault="00EE5C5E" w:rsidP="00EE5C5E">
            <w:pPr>
              <w:spacing w:after="0" w:line="240" w:lineRule="auto"/>
              <w:jc w:val="center"/>
              <w:rPr>
                <w:rFonts w:eastAsia="Times New Roman" w:cs="Times New Roman"/>
                <w:b/>
                <w:bCs/>
                <w:sz w:val="18"/>
                <w:szCs w:val="18"/>
                <w:lang w:eastAsia="sk-SK"/>
              </w:rPr>
            </w:pPr>
            <w:r w:rsidRPr="007D12A6">
              <w:rPr>
                <w:rFonts w:eastAsia="Times New Roman" w:cs="Times New Roman"/>
                <w:b/>
                <w:bCs/>
                <w:sz w:val="18"/>
                <w:szCs w:val="18"/>
                <w:lang w:eastAsia="sk-SK"/>
              </w:rPr>
              <w:t>5=4-3</w:t>
            </w:r>
          </w:p>
        </w:tc>
        <w:tc>
          <w:tcPr>
            <w:tcW w:w="428" w:type="pct"/>
            <w:tcBorders>
              <w:top w:val="nil"/>
              <w:left w:val="nil"/>
              <w:bottom w:val="single" w:sz="8" w:space="0" w:color="auto"/>
              <w:right w:val="nil"/>
            </w:tcBorders>
            <w:shd w:val="clear" w:color="000000" w:fill="BFBFBF"/>
            <w:vAlign w:val="center"/>
            <w:hideMark/>
          </w:tcPr>
          <w:p w14:paraId="5930BB32" w14:textId="77777777" w:rsidR="00EE5C5E" w:rsidRPr="007D12A6" w:rsidRDefault="00EE5C5E" w:rsidP="00EE5C5E">
            <w:pPr>
              <w:spacing w:after="0" w:line="240" w:lineRule="auto"/>
              <w:jc w:val="center"/>
              <w:rPr>
                <w:rFonts w:eastAsia="Times New Roman" w:cs="Times New Roman"/>
                <w:b/>
                <w:bCs/>
                <w:sz w:val="18"/>
                <w:szCs w:val="18"/>
                <w:lang w:eastAsia="sk-SK"/>
              </w:rPr>
            </w:pPr>
            <w:r w:rsidRPr="007D12A6">
              <w:rPr>
                <w:rFonts w:eastAsia="Times New Roman" w:cs="Times New Roman"/>
                <w:b/>
                <w:bCs/>
                <w:sz w:val="18"/>
                <w:szCs w:val="18"/>
                <w:lang w:eastAsia="sk-SK"/>
              </w:rPr>
              <w:t>6=4-3</w:t>
            </w:r>
          </w:p>
        </w:tc>
      </w:tr>
      <w:tr w:rsidR="00EE5C5E" w:rsidRPr="007D12A6" w14:paraId="3C7164ED" w14:textId="77777777" w:rsidTr="007D12A6">
        <w:trPr>
          <w:trHeight w:val="345"/>
        </w:trPr>
        <w:tc>
          <w:tcPr>
            <w:tcW w:w="1606" w:type="pct"/>
            <w:tcBorders>
              <w:top w:val="single" w:sz="8" w:space="0" w:color="auto"/>
              <w:left w:val="nil"/>
              <w:right w:val="nil"/>
            </w:tcBorders>
            <w:shd w:val="clear" w:color="auto" w:fill="auto"/>
            <w:vAlign w:val="center"/>
          </w:tcPr>
          <w:p w14:paraId="7F8D439B" w14:textId="77777777" w:rsidR="00EE5C5E" w:rsidRPr="007D12A6" w:rsidRDefault="00EE5C5E" w:rsidP="00EE5C5E">
            <w:pPr>
              <w:spacing w:after="0" w:line="240" w:lineRule="auto"/>
              <w:jc w:val="left"/>
              <w:rPr>
                <w:rFonts w:eastAsia="Times New Roman" w:cs="Times New Roman"/>
                <w:b/>
                <w:bCs/>
                <w:color w:val="FFFFFF"/>
                <w:sz w:val="18"/>
                <w:szCs w:val="18"/>
                <w:lang w:eastAsia="sk-SK"/>
              </w:rPr>
            </w:pPr>
            <w:r w:rsidRPr="007D12A6">
              <w:rPr>
                <w:rFonts w:eastAsia="Times New Roman" w:cs="Times New Roman"/>
                <w:color w:val="000000"/>
                <w:sz w:val="18"/>
                <w:szCs w:val="18"/>
                <w:lang w:eastAsia="sk-SK"/>
              </w:rPr>
              <w:t>Zahraničné transfery</w:t>
            </w:r>
          </w:p>
        </w:tc>
        <w:tc>
          <w:tcPr>
            <w:tcW w:w="562" w:type="pct"/>
            <w:tcBorders>
              <w:top w:val="single" w:sz="8" w:space="0" w:color="auto"/>
              <w:left w:val="nil"/>
              <w:right w:val="nil"/>
            </w:tcBorders>
            <w:shd w:val="clear" w:color="auto" w:fill="auto"/>
            <w:vAlign w:val="center"/>
          </w:tcPr>
          <w:p w14:paraId="69678D17" w14:textId="77777777" w:rsidR="00EE5C5E" w:rsidRPr="007D12A6" w:rsidRDefault="00EE5C5E" w:rsidP="00EE5C5E">
            <w:pPr>
              <w:spacing w:after="0" w:line="240" w:lineRule="auto"/>
              <w:jc w:val="right"/>
              <w:rPr>
                <w:rFonts w:eastAsia="Times New Roman" w:cs="Times New Roman"/>
                <w:b/>
                <w:bCs/>
                <w:sz w:val="18"/>
                <w:szCs w:val="18"/>
                <w:lang w:eastAsia="sk-SK"/>
              </w:rPr>
            </w:pPr>
            <w:r w:rsidRPr="007D12A6">
              <w:rPr>
                <w:rFonts w:eastAsia="Times New Roman" w:cs="Times New Roman"/>
                <w:color w:val="000000"/>
                <w:sz w:val="18"/>
                <w:szCs w:val="18"/>
                <w:lang w:eastAsia="sk-SK"/>
              </w:rPr>
              <w:t>2 169 725</w:t>
            </w:r>
          </w:p>
        </w:tc>
        <w:tc>
          <w:tcPr>
            <w:tcW w:w="581" w:type="pct"/>
            <w:tcBorders>
              <w:top w:val="single" w:sz="8" w:space="0" w:color="auto"/>
              <w:left w:val="nil"/>
              <w:right w:val="nil"/>
            </w:tcBorders>
            <w:shd w:val="clear" w:color="auto" w:fill="auto"/>
            <w:vAlign w:val="center"/>
          </w:tcPr>
          <w:p w14:paraId="449C87E4" w14:textId="77777777" w:rsidR="00EE5C5E" w:rsidRPr="007D12A6" w:rsidRDefault="00EE5C5E" w:rsidP="00EE5C5E">
            <w:pPr>
              <w:spacing w:after="0" w:line="240" w:lineRule="auto"/>
              <w:jc w:val="right"/>
              <w:rPr>
                <w:rFonts w:eastAsia="Times New Roman" w:cs="Times New Roman"/>
                <w:b/>
                <w:bCs/>
                <w:sz w:val="18"/>
                <w:szCs w:val="18"/>
                <w:lang w:eastAsia="sk-SK"/>
              </w:rPr>
            </w:pPr>
            <w:r w:rsidRPr="007D12A6">
              <w:rPr>
                <w:rFonts w:eastAsia="Times New Roman" w:cs="Times New Roman"/>
                <w:color w:val="000000"/>
                <w:sz w:val="18"/>
                <w:szCs w:val="18"/>
                <w:lang w:eastAsia="sk-SK"/>
              </w:rPr>
              <w:t>2 126 921</w:t>
            </w:r>
          </w:p>
        </w:tc>
        <w:tc>
          <w:tcPr>
            <w:tcW w:w="579" w:type="pct"/>
            <w:tcBorders>
              <w:top w:val="single" w:sz="8" w:space="0" w:color="auto"/>
              <w:left w:val="nil"/>
              <w:right w:val="nil"/>
            </w:tcBorders>
            <w:shd w:val="clear" w:color="auto" w:fill="auto"/>
            <w:vAlign w:val="center"/>
          </w:tcPr>
          <w:p w14:paraId="44161C2E" w14:textId="77777777" w:rsidR="00EE5C5E" w:rsidRPr="007D12A6" w:rsidRDefault="00EE5C5E" w:rsidP="00EE5C5E">
            <w:pPr>
              <w:spacing w:after="0" w:line="240" w:lineRule="auto"/>
              <w:jc w:val="right"/>
              <w:rPr>
                <w:rFonts w:eastAsia="Times New Roman" w:cs="Times New Roman"/>
                <w:b/>
                <w:bCs/>
                <w:sz w:val="18"/>
                <w:szCs w:val="18"/>
                <w:lang w:eastAsia="sk-SK"/>
              </w:rPr>
            </w:pPr>
            <w:r w:rsidRPr="007D12A6">
              <w:rPr>
                <w:rFonts w:eastAsia="Times New Roman" w:cs="Times New Roman"/>
                <w:color w:val="000000"/>
                <w:sz w:val="18"/>
                <w:szCs w:val="18"/>
                <w:lang w:eastAsia="sk-SK"/>
              </w:rPr>
              <w:t>1 677 689</w:t>
            </w:r>
          </w:p>
        </w:tc>
        <w:tc>
          <w:tcPr>
            <w:tcW w:w="663" w:type="pct"/>
            <w:tcBorders>
              <w:top w:val="single" w:sz="8" w:space="0" w:color="auto"/>
              <w:left w:val="nil"/>
              <w:right w:val="nil"/>
            </w:tcBorders>
            <w:shd w:val="clear" w:color="auto" w:fill="auto"/>
            <w:vAlign w:val="center"/>
          </w:tcPr>
          <w:p w14:paraId="1F43EF33" w14:textId="77777777" w:rsidR="00EE5C5E" w:rsidRPr="007D12A6" w:rsidRDefault="00EE5C5E" w:rsidP="00EE5C5E">
            <w:pPr>
              <w:spacing w:after="0" w:line="240" w:lineRule="auto"/>
              <w:jc w:val="right"/>
              <w:rPr>
                <w:rFonts w:eastAsia="Times New Roman" w:cs="Times New Roman"/>
                <w:b/>
                <w:bCs/>
                <w:sz w:val="18"/>
                <w:szCs w:val="18"/>
                <w:lang w:eastAsia="sk-SK"/>
              </w:rPr>
            </w:pPr>
            <w:r w:rsidRPr="007D12A6">
              <w:rPr>
                <w:rFonts w:eastAsia="Times New Roman" w:cs="Times New Roman"/>
                <w:color w:val="000000"/>
                <w:sz w:val="18"/>
                <w:szCs w:val="18"/>
                <w:lang w:eastAsia="sk-SK"/>
              </w:rPr>
              <w:t>2 551 329</w:t>
            </w:r>
          </w:p>
        </w:tc>
        <w:tc>
          <w:tcPr>
            <w:tcW w:w="581" w:type="pct"/>
            <w:tcBorders>
              <w:top w:val="single" w:sz="8" w:space="0" w:color="auto"/>
              <w:left w:val="nil"/>
              <w:right w:val="nil"/>
            </w:tcBorders>
            <w:shd w:val="clear" w:color="auto" w:fill="auto"/>
            <w:vAlign w:val="center"/>
          </w:tcPr>
          <w:p w14:paraId="0C3C2CE1" w14:textId="77777777" w:rsidR="00EE5C5E" w:rsidRPr="007D12A6" w:rsidRDefault="00EE5C5E" w:rsidP="00EE5C5E">
            <w:pPr>
              <w:spacing w:after="0" w:line="240" w:lineRule="auto"/>
              <w:jc w:val="right"/>
              <w:rPr>
                <w:rFonts w:eastAsia="Times New Roman" w:cs="Times New Roman"/>
                <w:b/>
                <w:bCs/>
                <w:sz w:val="18"/>
                <w:szCs w:val="18"/>
                <w:lang w:eastAsia="sk-SK"/>
              </w:rPr>
            </w:pPr>
            <w:r w:rsidRPr="007D12A6">
              <w:rPr>
                <w:rFonts w:eastAsia="Times New Roman" w:cs="Times New Roman"/>
                <w:color w:val="000000"/>
                <w:sz w:val="18"/>
                <w:szCs w:val="18"/>
                <w:lang w:eastAsia="sk-SK"/>
              </w:rPr>
              <w:t>873 640</w:t>
            </w:r>
          </w:p>
        </w:tc>
        <w:tc>
          <w:tcPr>
            <w:tcW w:w="428" w:type="pct"/>
            <w:tcBorders>
              <w:top w:val="single" w:sz="8" w:space="0" w:color="auto"/>
              <w:left w:val="nil"/>
              <w:right w:val="nil"/>
            </w:tcBorders>
            <w:shd w:val="clear" w:color="auto" w:fill="auto"/>
            <w:vAlign w:val="center"/>
          </w:tcPr>
          <w:p w14:paraId="7B9273CC" w14:textId="77777777" w:rsidR="00EE5C5E" w:rsidRPr="007D12A6" w:rsidRDefault="00EE5C5E" w:rsidP="00EE5C5E">
            <w:pPr>
              <w:spacing w:after="0" w:line="240" w:lineRule="auto"/>
              <w:jc w:val="right"/>
              <w:rPr>
                <w:rFonts w:eastAsia="Times New Roman" w:cs="Times New Roman"/>
                <w:b/>
                <w:bCs/>
                <w:sz w:val="18"/>
                <w:szCs w:val="18"/>
                <w:lang w:eastAsia="sk-SK"/>
              </w:rPr>
            </w:pPr>
            <w:r w:rsidRPr="007D12A6">
              <w:rPr>
                <w:rFonts w:eastAsia="Times New Roman" w:cs="Times New Roman"/>
                <w:color w:val="000000"/>
                <w:sz w:val="18"/>
                <w:szCs w:val="18"/>
                <w:lang w:eastAsia="sk-SK"/>
              </w:rPr>
              <w:t>52,1</w:t>
            </w:r>
          </w:p>
        </w:tc>
      </w:tr>
      <w:tr w:rsidR="00EE5C5E" w:rsidRPr="007D12A6" w14:paraId="2E81A37D" w14:textId="77777777" w:rsidTr="007D12A6">
        <w:trPr>
          <w:trHeight w:val="345"/>
        </w:trPr>
        <w:tc>
          <w:tcPr>
            <w:tcW w:w="1606" w:type="pct"/>
            <w:tcBorders>
              <w:left w:val="nil"/>
              <w:right w:val="nil"/>
            </w:tcBorders>
            <w:shd w:val="clear" w:color="auto" w:fill="auto"/>
            <w:vAlign w:val="center"/>
          </w:tcPr>
          <w:p w14:paraId="6539AFD6" w14:textId="77777777" w:rsidR="00EE5C5E" w:rsidRPr="007D12A6" w:rsidRDefault="00EE5C5E" w:rsidP="00EE5C5E">
            <w:pPr>
              <w:spacing w:after="0" w:line="240" w:lineRule="auto"/>
              <w:jc w:val="left"/>
              <w:rPr>
                <w:rFonts w:eastAsia="Times New Roman" w:cs="Times New Roman"/>
                <w:b/>
                <w:bCs/>
                <w:color w:val="FFFFFF"/>
                <w:sz w:val="18"/>
                <w:szCs w:val="18"/>
                <w:lang w:eastAsia="sk-SK"/>
              </w:rPr>
            </w:pPr>
            <w:r w:rsidRPr="007D12A6">
              <w:rPr>
                <w:rFonts w:eastAsia="Times New Roman" w:cs="Times New Roman"/>
                <w:color w:val="000000"/>
                <w:sz w:val="18"/>
                <w:szCs w:val="18"/>
                <w:lang w:eastAsia="sk-SK"/>
              </w:rPr>
              <w:t>Zahraničné granty z rozpočtu EÚ</w:t>
            </w:r>
          </w:p>
        </w:tc>
        <w:tc>
          <w:tcPr>
            <w:tcW w:w="562" w:type="pct"/>
            <w:tcBorders>
              <w:left w:val="nil"/>
              <w:right w:val="nil"/>
            </w:tcBorders>
            <w:shd w:val="clear" w:color="auto" w:fill="auto"/>
            <w:vAlign w:val="center"/>
          </w:tcPr>
          <w:p w14:paraId="711B997A" w14:textId="77777777" w:rsidR="00EE5C5E" w:rsidRPr="007D12A6" w:rsidRDefault="00EE5C5E" w:rsidP="00EE5C5E">
            <w:pPr>
              <w:spacing w:after="0" w:line="240" w:lineRule="auto"/>
              <w:jc w:val="right"/>
              <w:rPr>
                <w:rFonts w:eastAsia="Times New Roman" w:cs="Times New Roman"/>
                <w:b/>
                <w:bCs/>
                <w:sz w:val="18"/>
                <w:szCs w:val="18"/>
                <w:lang w:eastAsia="sk-SK"/>
              </w:rPr>
            </w:pPr>
            <w:r w:rsidRPr="007D12A6">
              <w:rPr>
                <w:rFonts w:eastAsia="Times New Roman" w:cs="Times New Roman"/>
                <w:color w:val="000000"/>
                <w:sz w:val="18"/>
                <w:szCs w:val="18"/>
                <w:lang w:eastAsia="sk-SK"/>
              </w:rPr>
              <w:t>7</w:t>
            </w:r>
          </w:p>
        </w:tc>
        <w:tc>
          <w:tcPr>
            <w:tcW w:w="581" w:type="pct"/>
            <w:tcBorders>
              <w:left w:val="nil"/>
              <w:right w:val="nil"/>
            </w:tcBorders>
            <w:shd w:val="clear" w:color="auto" w:fill="auto"/>
            <w:vAlign w:val="center"/>
          </w:tcPr>
          <w:p w14:paraId="4ADBDD5F" w14:textId="77777777" w:rsidR="00EE5C5E" w:rsidRPr="007D12A6" w:rsidRDefault="00EE5C5E" w:rsidP="00EE5C5E">
            <w:pPr>
              <w:spacing w:after="0" w:line="240" w:lineRule="auto"/>
              <w:jc w:val="right"/>
              <w:rPr>
                <w:rFonts w:eastAsia="Times New Roman" w:cs="Times New Roman"/>
                <w:b/>
                <w:bCs/>
                <w:sz w:val="18"/>
                <w:szCs w:val="18"/>
                <w:lang w:eastAsia="sk-SK"/>
              </w:rPr>
            </w:pPr>
            <w:r w:rsidRPr="007D12A6">
              <w:rPr>
                <w:rFonts w:eastAsia="Times New Roman" w:cs="Times New Roman"/>
                <w:color w:val="000000"/>
                <w:sz w:val="18"/>
                <w:szCs w:val="18"/>
                <w:lang w:eastAsia="sk-SK"/>
              </w:rPr>
              <w:t>22</w:t>
            </w:r>
          </w:p>
        </w:tc>
        <w:tc>
          <w:tcPr>
            <w:tcW w:w="579" w:type="pct"/>
            <w:tcBorders>
              <w:left w:val="nil"/>
              <w:right w:val="nil"/>
            </w:tcBorders>
            <w:shd w:val="clear" w:color="auto" w:fill="auto"/>
            <w:vAlign w:val="center"/>
          </w:tcPr>
          <w:p w14:paraId="6FC86FAF" w14:textId="77777777" w:rsidR="00EE5C5E" w:rsidRPr="007D12A6" w:rsidRDefault="00EE5C5E" w:rsidP="00EE5C5E">
            <w:pPr>
              <w:spacing w:after="0" w:line="240" w:lineRule="auto"/>
              <w:jc w:val="right"/>
              <w:rPr>
                <w:rFonts w:eastAsia="Times New Roman" w:cs="Times New Roman"/>
                <w:b/>
                <w:bCs/>
                <w:sz w:val="18"/>
                <w:szCs w:val="18"/>
                <w:lang w:eastAsia="sk-SK"/>
              </w:rPr>
            </w:pPr>
            <w:r w:rsidRPr="007D12A6">
              <w:rPr>
                <w:rFonts w:eastAsia="Times New Roman" w:cs="Times New Roman"/>
                <w:color w:val="000000"/>
                <w:sz w:val="18"/>
                <w:szCs w:val="18"/>
                <w:lang w:eastAsia="sk-SK"/>
              </w:rPr>
              <w:t>0</w:t>
            </w:r>
          </w:p>
        </w:tc>
        <w:tc>
          <w:tcPr>
            <w:tcW w:w="663" w:type="pct"/>
            <w:tcBorders>
              <w:left w:val="nil"/>
              <w:right w:val="nil"/>
            </w:tcBorders>
            <w:shd w:val="clear" w:color="auto" w:fill="auto"/>
            <w:vAlign w:val="center"/>
          </w:tcPr>
          <w:p w14:paraId="7771752C" w14:textId="77777777" w:rsidR="00EE5C5E" w:rsidRPr="007D12A6" w:rsidRDefault="00EE5C5E" w:rsidP="00EE5C5E">
            <w:pPr>
              <w:spacing w:after="0" w:line="240" w:lineRule="auto"/>
              <w:jc w:val="right"/>
              <w:rPr>
                <w:rFonts w:eastAsia="Times New Roman" w:cs="Times New Roman"/>
                <w:b/>
                <w:bCs/>
                <w:sz w:val="18"/>
                <w:szCs w:val="18"/>
                <w:lang w:eastAsia="sk-SK"/>
              </w:rPr>
            </w:pPr>
            <w:r w:rsidRPr="007D12A6">
              <w:rPr>
                <w:rFonts w:eastAsia="Times New Roman" w:cs="Times New Roman"/>
                <w:color w:val="000000"/>
                <w:sz w:val="18"/>
                <w:szCs w:val="18"/>
                <w:lang w:eastAsia="sk-SK"/>
              </w:rPr>
              <w:t>31</w:t>
            </w:r>
          </w:p>
        </w:tc>
        <w:tc>
          <w:tcPr>
            <w:tcW w:w="581" w:type="pct"/>
            <w:tcBorders>
              <w:left w:val="nil"/>
              <w:right w:val="nil"/>
            </w:tcBorders>
            <w:shd w:val="clear" w:color="auto" w:fill="auto"/>
            <w:vAlign w:val="center"/>
          </w:tcPr>
          <w:p w14:paraId="56A908B4" w14:textId="77777777" w:rsidR="00EE5C5E" w:rsidRPr="007D12A6" w:rsidRDefault="00EE5C5E" w:rsidP="00EE5C5E">
            <w:pPr>
              <w:spacing w:after="0" w:line="240" w:lineRule="auto"/>
              <w:jc w:val="right"/>
              <w:rPr>
                <w:rFonts w:eastAsia="Times New Roman" w:cs="Times New Roman"/>
                <w:b/>
                <w:bCs/>
                <w:sz w:val="18"/>
                <w:szCs w:val="18"/>
                <w:lang w:eastAsia="sk-SK"/>
              </w:rPr>
            </w:pPr>
            <w:r w:rsidRPr="007D12A6">
              <w:rPr>
                <w:rFonts w:eastAsia="Times New Roman" w:cs="Times New Roman"/>
                <w:color w:val="000000"/>
                <w:sz w:val="18"/>
                <w:szCs w:val="18"/>
                <w:lang w:eastAsia="sk-SK"/>
              </w:rPr>
              <w:t>31</w:t>
            </w:r>
          </w:p>
        </w:tc>
        <w:tc>
          <w:tcPr>
            <w:tcW w:w="428" w:type="pct"/>
            <w:tcBorders>
              <w:left w:val="nil"/>
              <w:right w:val="nil"/>
            </w:tcBorders>
            <w:shd w:val="clear" w:color="auto" w:fill="auto"/>
            <w:vAlign w:val="center"/>
          </w:tcPr>
          <w:p w14:paraId="2DBFB4A3" w14:textId="77777777" w:rsidR="00EE5C5E" w:rsidRPr="007D12A6" w:rsidRDefault="00EE5C5E" w:rsidP="00EE5C5E">
            <w:pPr>
              <w:spacing w:after="0" w:line="240" w:lineRule="auto"/>
              <w:jc w:val="right"/>
              <w:rPr>
                <w:rFonts w:eastAsia="Times New Roman" w:cs="Times New Roman"/>
                <w:b/>
                <w:bCs/>
                <w:sz w:val="18"/>
                <w:szCs w:val="18"/>
                <w:lang w:eastAsia="sk-SK"/>
              </w:rPr>
            </w:pPr>
            <w:r w:rsidRPr="007D12A6">
              <w:rPr>
                <w:rFonts w:eastAsia="Times New Roman" w:cs="Times New Roman"/>
                <w:color w:val="000000"/>
                <w:sz w:val="18"/>
                <w:szCs w:val="18"/>
                <w:lang w:eastAsia="sk-SK"/>
              </w:rPr>
              <w:t>-</w:t>
            </w:r>
          </w:p>
        </w:tc>
      </w:tr>
      <w:tr w:rsidR="00EE5C5E" w:rsidRPr="007D12A6" w14:paraId="29C35605" w14:textId="77777777" w:rsidTr="007D12A6">
        <w:trPr>
          <w:trHeight w:val="345"/>
        </w:trPr>
        <w:tc>
          <w:tcPr>
            <w:tcW w:w="1606" w:type="pct"/>
            <w:tcBorders>
              <w:left w:val="nil"/>
              <w:right w:val="nil"/>
            </w:tcBorders>
            <w:shd w:val="clear" w:color="auto" w:fill="auto"/>
            <w:vAlign w:val="center"/>
          </w:tcPr>
          <w:p w14:paraId="3E69B6D2" w14:textId="77777777" w:rsidR="00EE5C5E" w:rsidRPr="007D12A6" w:rsidRDefault="00EE5C5E" w:rsidP="00EE5C5E">
            <w:pPr>
              <w:spacing w:after="0" w:line="240" w:lineRule="auto"/>
              <w:jc w:val="left"/>
              <w:rPr>
                <w:rFonts w:eastAsia="Times New Roman" w:cs="Times New Roman"/>
                <w:b/>
                <w:bCs/>
                <w:color w:val="FFFFFF"/>
                <w:sz w:val="18"/>
                <w:szCs w:val="18"/>
                <w:lang w:eastAsia="sk-SK"/>
              </w:rPr>
            </w:pPr>
            <w:r w:rsidRPr="007D12A6">
              <w:rPr>
                <w:rFonts w:eastAsia="Times New Roman" w:cs="Times New Roman"/>
                <w:b/>
                <w:bCs/>
                <w:color w:val="000000"/>
                <w:sz w:val="18"/>
                <w:szCs w:val="18"/>
                <w:lang w:eastAsia="sk-SK"/>
              </w:rPr>
              <w:t>Spolu príjmy z rozpočtu EÚ</w:t>
            </w:r>
          </w:p>
        </w:tc>
        <w:tc>
          <w:tcPr>
            <w:tcW w:w="562" w:type="pct"/>
            <w:tcBorders>
              <w:left w:val="nil"/>
              <w:right w:val="nil"/>
            </w:tcBorders>
            <w:shd w:val="clear" w:color="auto" w:fill="auto"/>
            <w:vAlign w:val="center"/>
          </w:tcPr>
          <w:p w14:paraId="789769E8" w14:textId="77777777" w:rsidR="00EE5C5E" w:rsidRPr="007D12A6" w:rsidRDefault="00EE5C5E" w:rsidP="00EE5C5E">
            <w:pPr>
              <w:spacing w:after="0" w:line="240" w:lineRule="auto"/>
              <w:jc w:val="right"/>
              <w:rPr>
                <w:rFonts w:eastAsia="Times New Roman" w:cs="Times New Roman"/>
                <w:b/>
                <w:bCs/>
                <w:sz w:val="18"/>
                <w:szCs w:val="18"/>
                <w:lang w:eastAsia="sk-SK"/>
              </w:rPr>
            </w:pPr>
            <w:r w:rsidRPr="007D12A6">
              <w:rPr>
                <w:rFonts w:eastAsia="Times New Roman" w:cs="Times New Roman"/>
                <w:b/>
                <w:bCs/>
                <w:color w:val="000000"/>
                <w:sz w:val="18"/>
                <w:szCs w:val="18"/>
                <w:lang w:eastAsia="sk-SK"/>
              </w:rPr>
              <w:t>2 169 732</w:t>
            </w:r>
          </w:p>
        </w:tc>
        <w:tc>
          <w:tcPr>
            <w:tcW w:w="581" w:type="pct"/>
            <w:tcBorders>
              <w:left w:val="nil"/>
              <w:right w:val="nil"/>
            </w:tcBorders>
            <w:shd w:val="clear" w:color="auto" w:fill="auto"/>
            <w:vAlign w:val="center"/>
          </w:tcPr>
          <w:p w14:paraId="63C6DE64" w14:textId="77777777" w:rsidR="00EE5C5E" w:rsidRPr="007D12A6" w:rsidRDefault="00EE5C5E" w:rsidP="00EE5C5E">
            <w:pPr>
              <w:spacing w:after="0" w:line="240" w:lineRule="auto"/>
              <w:jc w:val="right"/>
              <w:rPr>
                <w:rFonts w:eastAsia="Times New Roman" w:cs="Times New Roman"/>
                <w:b/>
                <w:bCs/>
                <w:sz w:val="18"/>
                <w:szCs w:val="18"/>
                <w:lang w:eastAsia="sk-SK"/>
              </w:rPr>
            </w:pPr>
            <w:r w:rsidRPr="007D12A6">
              <w:rPr>
                <w:rFonts w:eastAsia="Times New Roman" w:cs="Times New Roman"/>
                <w:b/>
                <w:bCs/>
                <w:color w:val="000000"/>
                <w:sz w:val="18"/>
                <w:szCs w:val="18"/>
                <w:lang w:eastAsia="sk-SK"/>
              </w:rPr>
              <w:t>2 126 943</w:t>
            </w:r>
          </w:p>
        </w:tc>
        <w:tc>
          <w:tcPr>
            <w:tcW w:w="579" w:type="pct"/>
            <w:tcBorders>
              <w:left w:val="nil"/>
              <w:right w:val="nil"/>
            </w:tcBorders>
            <w:shd w:val="clear" w:color="auto" w:fill="auto"/>
            <w:vAlign w:val="center"/>
          </w:tcPr>
          <w:p w14:paraId="5F4E9EEF" w14:textId="77777777" w:rsidR="00EE5C5E" w:rsidRPr="007D12A6" w:rsidRDefault="00EE5C5E" w:rsidP="00EE5C5E">
            <w:pPr>
              <w:spacing w:after="0" w:line="240" w:lineRule="auto"/>
              <w:jc w:val="right"/>
              <w:rPr>
                <w:rFonts w:eastAsia="Times New Roman" w:cs="Times New Roman"/>
                <w:b/>
                <w:bCs/>
                <w:sz w:val="18"/>
                <w:szCs w:val="18"/>
                <w:lang w:eastAsia="sk-SK"/>
              </w:rPr>
            </w:pPr>
            <w:r w:rsidRPr="007D12A6">
              <w:rPr>
                <w:rFonts w:eastAsia="Times New Roman" w:cs="Times New Roman"/>
                <w:b/>
                <w:bCs/>
                <w:color w:val="000000"/>
                <w:sz w:val="18"/>
                <w:szCs w:val="18"/>
                <w:lang w:eastAsia="sk-SK"/>
              </w:rPr>
              <w:t>1 677 689</w:t>
            </w:r>
          </w:p>
        </w:tc>
        <w:tc>
          <w:tcPr>
            <w:tcW w:w="663" w:type="pct"/>
            <w:tcBorders>
              <w:left w:val="nil"/>
              <w:right w:val="nil"/>
            </w:tcBorders>
            <w:shd w:val="clear" w:color="auto" w:fill="auto"/>
            <w:vAlign w:val="center"/>
          </w:tcPr>
          <w:p w14:paraId="66341349" w14:textId="77777777" w:rsidR="00EE5C5E" w:rsidRPr="007D12A6" w:rsidRDefault="00EE5C5E" w:rsidP="00EE5C5E">
            <w:pPr>
              <w:spacing w:after="0" w:line="240" w:lineRule="auto"/>
              <w:jc w:val="right"/>
              <w:rPr>
                <w:rFonts w:eastAsia="Times New Roman" w:cs="Times New Roman"/>
                <w:b/>
                <w:bCs/>
                <w:sz w:val="18"/>
                <w:szCs w:val="18"/>
                <w:lang w:eastAsia="sk-SK"/>
              </w:rPr>
            </w:pPr>
            <w:r w:rsidRPr="007D12A6">
              <w:rPr>
                <w:rFonts w:eastAsia="Times New Roman" w:cs="Times New Roman"/>
                <w:b/>
                <w:bCs/>
                <w:color w:val="000000"/>
                <w:sz w:val="18"/>
                <w:szCs w:val="18"/>
                <w:lang w:eastAsia="sk-SK"/>
              </w:rPr>
              <w:t>2 551 360</w:t>
            </w:r>
          </w:p>
        </w:tc>
        <w:tc>
          <w:tcPr>
            <w:tcW w:w="581" w:type="pct"/>
            <w:tcBorders>
              <w:left w:val="nil"/>
              <w:right w:val="nil"/>
            </w:tcBorders>
            <w:shd w:val="clear" w:color="auto" w:fill="auto"/>
            <w:vAlign w:val="center"/>
          </w:tcPr>
          <w:p w14:paraId="76D4B6E6" w14:textId="77777777" w:rsidR="00EE5C5E" w:rsidRPr="007D12A6" w:rsidRDefault="00EE5C5E" w:rsidP="00EE5C5E">
            <w:pPr>
              <w:spacing w:after="0" w:line="240" w:lineRule="auto"/>
              <w:jc w:val="right"/>
              <w:rPr>
                <w:rFonts w:eastAsia="Times New Roman" w:cs="Times New Roman"/>
                <w:b/>
                <w:bCs/>
                <w:sz w:val="18"/>
                <w:szCs w:val="18"/>
                <w:lang w:eastAsia="sk-SK"/>
              </w:rPr>
            </w:pPr>
            <w:r w:rsidRPr="007D12A6">
              <w:rPr>
                <w:rFonts w:eastAsia="Times New Roman" w:cs="Times New Roman"/>
                <w:b/>
                <w:bCs/>
                <w:color w:val="000000"/>
                <w:sz w:val="18"/>
                <w:szCs w:val="18"/>
                <w:lang w:eastAsia="sk-SK"/>
              </w:rPr>
              <w:t>873 671</w:t>
            </w:r>
          </w:p>
        </w:tc>
        <w:tc>
          <w:tcPr>
            <w:tcW w:w="428" w:type="pct"/>
            <w:tcBorders>
              <w:left w:val="nil"/>
              <w:right w:val="nil"/>
            </w:tcBorders>
            <w:shd w:val="clear" w:color="auto" w:fill="auto"/>
            <w:vAlign w:val="center"/>
          </w:tcPr>
          <w:p w14:paraId="59799E86" w14:textId="77777777" w:rsidR="00EE5C5E" w:rsidRPr="007D12A6" w:rsidRDefault="00EE5C5E" w:rsidP="00EE5C5E">
            <w:pPr>
              <w:spacing w:after="0" w:line="240" w:lineRule="auto"/>
              <w:jc w:val="right"/>
              <w:rPr>
                <w:rFonts w:eastAsia="Times New Roman" w:cs="Times New Roman"/>
                <w:b/>
                <w:bCs/>
                <w:sz w:val="18"/>
                <w:szCs w:val="18"/>
                <w:lang w:eastAsia="sk-SK"/>
              </w:rPr>
            </w:pPr>
            <w:r w:rsidRPr="007D12A6">
              <w:rPr>
                <w:rFonts w:eastAsia="Times New Roman" w:cs="Times New Roman"/>
                <w:b/>
                <w:bCs/>
                <w:color w:val="000000"/>
                <w:sz w:val="18"/>
                <w:szCs w:val="18"/>
                <w:lang w:eastAsia="sk-SK"/>
              </w:rPr>
              <w:t>52,1</w:t>
            </w:r>
          </w:p>
        </w:tc>
      </w:tr>
      <w:tr w:rsidR="00EE5C5E" w:rsidRPr="007D12A6" w14:paraId="65B21806" w14:textId="77777777" w:rsidTr="007D12A6">
        <w:trPr>
          <w:trHeight w:val="330"/>
        </w:trPr>
        <w:tc>
          <w:tcPr>
            <w:tcW w:w="1606" w:type="pct"/>
            <w:tcBorders>
              <w:left w:val="nil"/>
              <w:bottom w:val="nil"/>
              <w:right w:val="nil"/>
            </w:tcBorders>
            <w:shd w:val="clear" w:color="000000" w:fill="FFFFFF"/>
            <w:vAlign w:val="center"/>
            <w:hideMark/>
          </w:tcPr>
          <w:p w14:paraId="45C7C167" w14:textId="77777777" w:rsidR="00EE5C5E" w:rsidRPr="007D12A6" w:rsidRDefault="00EE5C5E" w:rsidP="00EE5C5E">
            <w:pPr>
              <w:spacing w:after="0" w:line="240" w:lineRule="auto"/>
              <w:jc w:val="left"/>
              <w:rPr>
                <w:rFonts w:eastAsia="Times New Roman" w:cs="Times New Roman"/>
                <w:color w:val="000000"/>
                <w:sz w:val="18"/>
                <w:szCs w:val="18"/>
                <w:lang w:eastAsia="sk-SK"/>
              </w:rPr>
            </w:pPr>
            <w:r w:rsidRPr="007D12A6">
              <w:rPr>
                <w:rFonts w:eastAsia="Times New Roman" w:cs="Times New Roman"/>
                <w:color w:val="000000"/>
                <w:sz w:val="18"/>
                <w:szCs w:val="18"/>
                <w:lang w:eastAsia="sk-SK"/>
              </w:rPr>
              <w:t>Tradičné vlastné zdroje</w:t>
            </w:r>
          </w:p>
        </w:tc>
        <w:tc>
          <w:tcPr>
            <w:tcW w:w="562" w:type="pct"/>
            <w:tcBorders>
              <w:left w:val="nil"/>
              <w:bottom w:val="nil"/>
              <w:right w:val="nil"/>
            </w:tcBorders>
            <w:shd w:val="clear" w:color="000000" w:fill="FFFFFF"/>
            <w:noWrap/>
            <w:vAlign w:val="center"/>
            <w:hideMark/>
          </w:tcPr>
          <w:p w14:paraId="1B53601E"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93 385</w:t>
            </w:r>
          </w:p>
        </w:tc>
        <w:tc>
          <w:tcPr>
            <w:tcW w:w="581" w:type="pct"/>
            <w:tcBorders>
              <w:left w:val="nil"/>
              <w:bottom w:val="nil"/>
              <w:right w:val="nil"/>
            </w:tcBorders>
            <w:shd w:val="clear" w:color="000000" w:fill="FFFFFF"/>
            <w:noWrap/>
            <w:vAlign w:val="center"/>
            <w:hideMark/>
          </w:tcPr>
          <w:p w14:paraId="689B0E40"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84 326</w:t>
            </w:r>
          </w:p>
        </w:tc>
        <w:tc>
          <w:tcPr>
            <w:tcW w:w="579" w:type="pct"/>
            <w:tcBorders>
              <w:left w:val="nil"/>
              <w:bottom w:val="nil"/>
              <w:right w:val="nil"/>
            </w:tcBorders>
            <w:shd w:val="clear" w:color="000000" w:fill="FFFFFF"/>
            <w:noWrap/>
            <w:vAlign w:val="center"/>
            <w:hideMark/>
          </w:tcPr>
          <w:p w14:paraId="1F7EA5A9"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107 700</w:t>
            </w:r>
          </w:p>
        </w:tc>
        <w:tc>
          <w:tcPr>
            <w:tcW w:w="663" w:type="pct"/>
            <w:tcBorders>
              <w:left w:val="nil"/>
              <w:bottom w:val="nil"/>
              <w:right w:val="nil"/>
            </w:tcBorders>
            <w:shd w:val="clear" w:color="000000" w:fill="FFFFFF"/>
            <w:noWrap/>
            <w:vAlign w:val="center"/>
            <w:hideMark/>
          </w:tcPr>
          <w:p w14:paraId="58A61A43"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79 553</w:t>
            </w:r>
          </w:p>
        </w:tc>
        <w:tc>
          <w:tcPr>
            <w:tcW w:w="581" w:type="pct"/>
            <w:tcBorders>
              <w:left w:val="nil"/>
              <w:bottom w:val="nil"/>
              <w:right w:val="nil"/>
            </w:tcBorders>
            <w:shd w:val="clear" w:color="auto" w:fill="auto"/>
            <w:vAlign w:val="center"/>
            <w:hideMark/>
          </w:tcPr>
          <w:p w14:paraId="774A5C52"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-28 147</w:t>
            </w:r>
          </w:p>
        </w:tc>
        <w:tc>
          <w:tcPr>
            <w:tcW w:w="428" w:type="pct"/>
            <w:tcBorders>
              <w:left w:val="nil"/>
              <w:bottom w:val="nil"/>
              <w:right w:val="nil"/>
            </w:tcBorders>
            <w:shd w:val="clear" w:color="000000" w:fill="FFFFFF"/>
            <w:vAlign w:val="center"/>
            <w:hideMark/>
          </w:tcPr>
          <w:p w14:paraId="7AC4A9C6"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-26,1</w:t>
            </w:r>
          </w:p>
        </w:tc>
      </w:tr>
      <w:tr w:rsidR="00EE5C5E" w:rsidRPr="007D12A6" w14:paraId="518D02F1" w14:textId="77777777" w:rsidTr="007D12A6">
        <w:trPr>
          <w:trHeight w:val="510"/>
        </w:trPr>
        <w:tc>
          <w:tcPr>
            <w:tcW w:w="1606" w:type="pct"/>
            <w:tcBorders>
              <w:top w:val="nil"/>
              <w:left w:val="nil"/>
              <w:bottom w:val="nil"/>
              <w:right w:val="nil"/>
            </w:tcBorders>
            <w:shd w:val="clear" w:color="000000" w:fill="FFFFFF"/>
            <w:vAlign w:val="center"/>
            <w:hideMark/>
          </w:tcPr>
          <w:p w14:paraId="7C508B32" w14:textId="77777777" w:rsidR="00EE5C5E" w:rsidRPr="007D12A6" w:rsidRDefault="00EE5C5E" w:rsidP="00EE5C5E">
            <w:pPr>
              <w:spacing w:after="0" w:line="240" w:lineRule="auto"/>
              <w:jc w:val="left"/>
              <w:rPr>
                <w:rFonts w:eastAsia="Times New Roman" w:cs="Times New Roman"/>
                <w:color w:val="000000"/>
                <w:sz w:val="18"/>
                <w:szCs w:val="18"/>
                <w:lang w:eastAsia="sk-SK"/>
              </w:rPr>
            </w:pPr>
            <w:r w:rsidRPr="007D12A6">
              <w:rPr>
                <w:rFonts w:eastAsia="Times New Roman" w:cs="Times New Roman"/>
                <w:color w:val="000000"/>
                <w:sz w:val="18"/>
                <w:szCs w:val="18"/>
                <w:lang w:eastAsia="sk-SK"/>
              </w:rPr>
              <w:t>Odvody SR do rozpočtu EÚ bez tradičných vlastných zdrojov</w:t>
            </w:r>
          </w:p>
        </w:tc>
        <w:tc>
          <w:tcPr>
            <w:tcW w:w="562" w:type="pct"/>
            <w:tcBorders>
              <w:top w:val="nil"/>
              <w:left w:val="nil"/>
              <w:bottom w:val="nil"/>
              <w:right w:val="nil"/>
            </w:tcBorders>
            <w:shd w:val="clear" w:color="000000" w:fill="FFFFFF"/>
            <w:noWrap/>
            <w:vAlign w:val="center"/>
            <w:hideMark/>
          </w:tcPr>
          <w:p w14:paraId="38F90862"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731 424</w:t>
            </w:r>
          </w:p>
        </w:tc>
        <w:tc>
          <w:tcPr>
            <w:tcW w:w="581" w:type="pct"/>
            <w:tcBorders>
              <w:top w:val="nil"/>
              <w:left w:val="nil"/>
              <w:bottom w:val="nil"/>
              <w:right w:val="nil"/>
            </w:tcBorders>
            <w:shd w:val="clear" w:color="000000" w:fill="FFFFFF"/>
            <w:noWrap/>
            <w:vAlign w:val="center"/>
            <w:hideMark/>
          </w:tcPr>
          <w:p w14:paraId="44C35DF6"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750 226</w:t>
            </w:r>
          </w:p>
        </w:tc>
        <w:tc>
          <w:tcPr>
            <w:tcW w:w="579" w:type="pct"/>
            <w:tcBorders>
              <w:top w:val="nil"/>
              <w:left w:val="nil"/>
              <w:bottom w:val="nil"/>
              <w:right w:val="nil"/>
            </w:tcBorders>
            <w:shd w:val="clear" w:color="000000" w:fill="FFFFFF"/>
            <w:noWrap/>
            <w:vAlign w:val="center"/>
            <w:hideMark/>
          </w:tcPr>
          <w:p w14:paraId="15F86F5A"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913 641</w:t>
            </w:r>
          </w:p>
        </w:tc>
        <w:tc>
          <w:tcPr>
            <w:tcW w:w="663" w:type="pct"/>
            <w:tcBorders>
              <w:top w:val="nil"/>
              <w:left w:val="nil"/>
              <w:bottom w:val="nil"/>
              <w:right w:val="nil"/>
            </w:tcBorders>
            <w:shd w:val="clear" w:color="000000" w:fill="FFFFFF"/>
            <w:noWrap/>
            <w:vAlign w:val="center"/>
            <w:hideMark/>
          </w:tcPr>
          <w:p w14:paraId="76D48005"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877 392</w:t>
            </w:r>
          </w:p>
        </w:tc>
        <w:tc>
          <w:tcPr>
            <w:tcW w:w="581" w:type="pct"/>
            <w:tcBorders>
              <w:top w:val="nil"/>
              <w:left w:val="nil"/>
              <w:bottom w:val="nil"/>
              <w:right w:val="nil"/>
            </w:tcBorders>
            <w:shd w:val="clear" w:color="000000" w:fill="FFFFFF"/>
            <w:noWrap/>
            <w:vAlign w:val="center"/>
            <w:hideMark/>
          </w:tcPr>
          <w:p w14:paraId="51404616"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-36 249</w:t>
            </w:r>
          </w:p>
        </w:tc>
        <w:tc>
          <w:tcPr>
            <w:tcW w:w="428" w:type="pct"/>
            <w:tcBorders>
              <w:top w:val="nil"/>
              <w:left w:val="nil"/>
              <w:bottom w:val="nil"/>
              <w:right w:val="nil"/>
            </w:tcBorders>
            <w:shd w:val="clear" w:color="auto" w:fill="auto"/>
            <w:vAlign w:val="center"/>
            <w:hideMark/>
          </w:tcPr>
          <w:p w14:paraId="29CDA704"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-4,0</w:t>
            </w:r>
          </w:p>
        </w:tc>
      </w:tr>
      <w:tr w:rsidR="00EE5C5E" w:rsidRPr="007D12A6" w14:paraId="1ED87FAF" w14:textId="77777777" w:rsidTr="007D12A6">
        <w:trPr>
          <w:trHeight w:val="330"/>
        </w:trPr>
        <w:tc>
          <w:tcPr>
            <w:tcW w:w="1606" w:type="pct"/>
            <w:tcBorders>
              <w:top w:val="nil"/>
              <w:left w:val="nil"/>
              <w:bottom w:val="nil"/>
              <w:right w:val="nil"/>
            </w:tcBorders>
            <w:shd w:val="clear" w:color="000000" w:fill="FFFFFF"/>
            <w:vAlign w:val="center"/>
            <w:hideMark/>
          </w:tcPr>
          <w:p w14:paraId="29B6C420" w14:textId="77777777" w:rsidR="00EE5C5E" w:rsidRPr="007D12A6" w:rsidRDefault="00EE5C5E" w:rsidP="00EE5C5E">
            <w:pPr>
              <w:spacing w:after="0" w:line="240" w:lineRule="auto"/>
              <w:jc w:val="left"/>
              <w:rPr>
                <w:rFonts w:eastAsia="Times New Roman" w:cs="Times New Roman"/>
                <w:b/>
                <w:bCs/>
                <w:i/>
                <w:color w:val="000000"/>
                <w:sz w:val="18"/>
                <w:szCs w:val="18"/>
                <w:lang w:eastAsia="sk-SK"/>
              </w:rPr>
            </w:pPr>
            <w:r w:rsidRPr="007D12A6">
              <w:rPr>
                <w:rFonts w:eastAsia="Times New Roman" w:cs="Times New Roman"/>
                <w:b/>
                <w:bCs/>
                <w:i/>
                <w:color w:val="000000"/>
                <w:sz w:val="18"/>
                <w:szCs w:val="18"/>
                <w:lang w:eastAsia="sk-SK"/>
              </w:rPr>
              <w:t>Odvody do rozpočtu EÚ spolu</w:t>
            </w:r>
          </w:p>
        </w:tc>
        <w:tc>
          <w:tcPr>
            <w:tcW w:w="562" w:type="pct"/>
            <w:tcBorders>
              <w:top w:val="nil"/>
              <w:left w:val="nil"/>
              <w:bottom w:val="nil"/>
              <w:right w:val="nil"/>
            </w:tcBorders>
            <w:shd w:val="clear" w:color="000000" w:fill="FFFFFF"/>
            <w:noWrap/>
            <w:vAlign w:val="center"/>
            <w:hideMark/>
          </w:tcPr>
          <w:p w14:paraId="638EBAAB" w14:textId="77777777" w:rsidR="00EE5C5E" w:rsidRPr="007D12A6" w:rsidRDefault="00EE5C5E" w:rsidP="00EE5C5E">
            <w:pPr>
              <w:spacing w:after="0" w:line="240" w:lineRule="auto"/>
              <w:jc w:val="right"/>
              <w:rPr>
                <w:rFonts w:eastAsia="Times New Roman" w:cs="Times New Roman"/>
                <w:b/>
                <w:bCs/>
                <w:i/>
                <w:color w:val="000000"/>
                <w:sz w:val="18"/>
                <w:szCs w:val="18"/>
                <w:lang w:eastAsia="sk-SK"/>
              </w:rPr>
            </w:pPr>
            <w:r w:rsidRPr="007D12A6">
              <w:rPr>
                <w:rFonts w:eastAsia="Times New Roman" w:cs="Times New Roman"/>
                <w:b/>
                <w:bCs/>
                <w:i/>
                <w:color w:val="000000"/>
                <w:sz w:val="18"/>
                <w:szCs w:val="18"/>
                <w:lang w:eastAsia="sk-SK"/>
              </w:rPr>
              <w:t>824 809</w:t>
            </w:r>
          </w:p>
        </w:tc>
        <w:tc>
          <w:tcPr>
            <w:tcW w:w="581" w:type="pct"/>
            <w:tcBorders>
              <w:top w:val="nil"/>
              <w:left w:val="nil"/>
              <w:bottom w:val="nil"/>
              <w:right w:val="nil"/>
            </w:tcBorders>
            <w:shd w:val="clear" w:color="000000" w:fill="FFFFFF"/>
            <w:noWrap/>
            <w:vAlign w:val="center"/>
            <w:hideMark/>
          </w:tcPr>
          <w:p w14:paraId="759C110D" w14:textId="77777777" w:rsidR="00EE5C5E" w:rsidRPr="007D12A6" w:rsidRDefault="00EE5C5E" w:rsidP="00EE5C5E">
            <w:pPr>
              <w:spacing w:after="0" w:line="240" w:lineRule="auto"/>
              <w:jc w:val="right"/>
              <w:rPr>
                <w:rFonts w:eastAsia="Times New Roman" w:cs="Times New Roman"/>
                <w:b/>
                <w:bCs/>
                <w:i/>
                <w:color w:val="000000"/>
                <w:sz w:val="18"/>
                <w:szCs w:val="18"/>
                <w:lang w:eastAsia="sk-SK"/>
              </w:rPr>
            </w:pPr>
            <w:r w:rsidRPr="007D12A6">
              <w:rPr>
                <w:rFonts w:eastAsia="Times New Roman" w:cs="Times New Roman"/>
                <w:b/>
                <w:bCs/>
                <w:i/>
                <w:color w:val="000000"/>
                <w:sz w:val="18"/>
                <w:szCs w:val="18"/>
                <w:lang w:eastAsia="sk-SK"/>
              </w:rPr>
              <w:t>834 552</w:t>
            </w:r>
          </w:p>
        </w:tc>
        <w:tc>
          <w:tcPr>
            <w:tcW w:w="579" w:type="pct"/>
            <w:tcBorders>
              <w:top w:val="nil"/>
              <w:left w:val="nil"/>
              <w:bottom w:val="nil"/>
              <w:right w:val="nil"/>
            </w:tcBorders>
            <w:shd w:val="clear" w:color="000000" w:fill="FFFFFF"/>
            <w:noWrap/>
            <w:vAlign w:val="center"/>
            <w:hideMark/>
          </w:tcPr>
          <w:p w14:paraId="7F47253E" w14:textId="77777777" w:rsidR="00EE5C5E" w:rsidRPr="007D12A6" w:rsidRDefault="00EE5C5E" w:rsidP="00EE5C5E">
            <w:pPr>
              <w:spacing w:after="0" w:line="240" w:lineRule="auto"/>
              <w:jc w:val="right"/>
              <w:rPr>
                <w:rFonts w:eastAsia="Times New Roman" w:cs="Times New Roman"/>
                <w:b/>
                <w:bCs/>
                <w:i/>
                <w:color w:val="000000"/>
                <w:sz w:val="18"/>
                <w:szCs w:val="18"/>
                <w:lang w:eastAsia="sk-SK"/>
              </w:rPr>
            </w:pPr>
            <w:r w:rsidRPr="007D12A6">
              <w:rPr>
                <w:rFonts w:eastAsia="Times New Roman" w:cs="Times New Roman"/>
                <w:b/>
                <w:bCs/>
                <w:i/>
                <w:color w:val="000000"/>
                <w:sz w:val="18"/>
                <w:szCs w:val="18"/>
                <w:lang w:eastAsia="sk-SK"/>
              </w:rPr>
              <w:t>1 021 341</w:t>
            </w:r>
          </w:p>
        </w:tc>
        <w:tc>
          <w:tcPr>
            <w:tcW w:w="663" w:type="pct"/>
            <w:tcBorders>
              <w:top w:val="nil"/>
              <w:left w:val="nil"/>
              <w:bottom w:val="nil"/>
              <w:right w:val="nil"/>
            </w:tcBorders>
            <w:shd w:val="clear" w:color="000000" w:fill="FFFFFF"/>
            <w:noWrap/>
            <w:vAlign w:val="center"/>
            <w:hideMark/>
          </w:tcPr>
          <w:p w14:paraId="676CAFBC" w14:textId="77777777" w:rsidR="00EE5C5E" w:rsidRPr="007D12A6" w:rsidRDefault="00EE5C5E" w:rsidP="00EE5C5E">
            <w:pPr>
              <w:spacing w:after="0" w:line="240" w:lineRule="auto"/>
              <w:jc w:val="right"/>
              <w:rPr>
                <w:rFonts w:eastAsia="Times New Roman" w:cs="Times New Roman"/>
                <w:b/>
                <w:bCs/>
                <w:i/>
                <w:color w:val="000000"/>
                <w:sz w:val="18"/>
                <w:szCs w:val="18"/>
                <w:lang w:eastAsia="sk-SK"/>
              </w:rPr>
            </w:pPr>
            <w:r w:rsidRPr="007D12A6">
              <w:rPr>
                <w:rFonts w:eastAsia="Times New Roman" w:cs="Times New Roman"/>
                <w:b/>
                <w:bCs/>
                <w:i/>
                <w:color w:val="000000"/>
                <w:sz w:val="18"/>
                <w:szCs w:val="18"/>
                <w:lang w:eastAsia="sk-SK"/>
              </w:rPr>
              <w:t>956 945</w:t>
            </w:r>
          </w:p>
        </w:tc>
        <w:tc>
          <w:tcPr>
            <w:tcW w:w="581" w:type="pct"/>
            <w:tcBorders>
              <w:top w:val="nil"/>
              <w:left w:val="nil"/>
              <w:bottom w:val="nil"/>
              <w:right w:val="nil"/>
            </w:tcBorders>
            <w:shd w:val="clear" w:color="000000" w:fill="FFFFFF"/>
            <w:vAlign w:val="center"/>
            <w:hideMark/>
          </w:tcPr>
          <w:p w14:paraId="4F9EB502" w14:textId="77777777" w:rsidR="00EE5C5E" w:rsidRPr="007D12A6" w:rsidRDefault="00EE5C5E" w:rsidP="00EE5C5E">
            <w:pPr>
              <w:spacing w:after="0" w:line="240" w:lineRule="auto"/>
              <w:jc w:val="right"/>
              <w:rPr>
                <w:rFonts w:eastAsia="Times New Roman" w:cs="Times New Roman"/>
                <w:b/>
                <w:bCs/>
                <w:i/>
                <w:color w:val="000000"/>
                <w:sz w:val="18"/>
                <w:szCs w:val="18"/>
                <w:lang w:eastAsia="sk-SK"/>
              </w:rPr>
            </w:pPr>
            <w:r w:rsidRPr="007D12A6">
              <w:rPr>
                <w:rFonts w:eastAsia="Times New Roman" w:cs="Times New Roman"/>
                <w:b/>
                <w:bCs/>
                <w:i/>
                <w:color w:val="000000"/>
                <w:sz w:val="18"/>
                <w:szCs w:val="18"/>
                <w:lang w:eastAsia="sk-SK"/>
              </w:rPr>
              <w:t>-64 396</w:t>
            </w:r>
          </w:p>
        </w:tc>
        <w:tc>
          <w:tcPr>
            <w:tcW w:w="428" w:type="pct"/>
            <w:tcBorders>
              <w:top w:val="nil"/>
              <w:left w:val="nil"/>
              <w:bottom w:val="nil"/>
              <w:right w:val="nil"/>
            </w:tcBorders>
            <w:shd w:val="clear" w:color="000000" w:fill="FFFFFF"/>
            <w:vAlign w:val="center"/>
            <w:hideMark/>
          </w:tcPr>
          <w:p w14:paraId="1692F548" w14:textId="77777777" w:rsidR="00EE5C5E" w:rsidRPr="007D12A6" w:rsidRDefault="00EE5C5E" w:rsidP="00EE5C5E">
            <w:pPr>
              <w:spacing w:after="0" w:line="240" w:lineRule="auto"/>
              <w:jc w:val="right"/>
              <w:rPr>
                <w:rFonts w:eastAsia="Times New Roman" w:cs="Times New Roman"/>
                <w:b/>
                <w:bCs/>
                <w:i/>
                <w:color w:val="000000"/>
                <w:sz w:val="18"/>
                <w:szCs w:val="18"/>
                <w:lang w:eastAsia="sk-SK"/>
              </w:rPr>
            </w:pPr>
            <w:r w:rsidRPr="007D12A6">
              <w:rPr>
                <w:rFonts w:eastAsia="Times New Roman" w:cs="Times New Roman"/>
                <w:b/>
                <w:bCs/>
                <w:i/>
                <w:color w:val="000000"/>
                <w:sz w:val="18"/>
                <w:szCs w:val="18"/>
                <w:lang w:eastAsia="sk-SK"/>
              </w:rPr>
              <w:t>-6,3</w:t>
            </w:r>
          </w:p>
        </w:tc>
      </w:tr>
      <w:tr w:rsidR="00EE5C5E" w:rsidRPr="007D12A6" w14:paraId="40D7F7D9" w14:textId="77777777" w:rsidTr="007D12A6">
        <w:trPr>
          <w:trHeight w:val="510"/>
        </w:trPr>
        <w:tc>
          <w:tcPr>
            <w:tcW w:w="1606" w:type="pct"/>
            <w:tcBorders>
              <w:top w:val="nil"/>
              <w:left w:val="nil"/>
              <w:bottom w:val="nil"/>
              <w:right w:val="nil"/>
            </w:tcBorders>
            <w:shd w:val="clear" w:color="000000" w:fill="FFFFFF"/>
            <w:vAlign w:val="center"/>
            <w:hideMark/>
          </w:tcPr>
          <w:p w14:paraId="72A71CB6" w14:textId="77777777" w:rsidR="00EE5C5E" w:rsidRPr="007D12A6" w:rsidRDefault="00EE5C5E" w:rsidP="00EE5C5E">
            <w:pPr>
              <w:spacing w:after="0" w:line="240" w:lineRule="auto"/>
              <w:jc w:val="left"/>
              <w:rPr>
                <w:rFonts w:eastAsia="Times New Roman" w:cs="Times New Roman"/>
                <w:color w:val="000000"/>
                <w:sz w:val="18"/>
                <w:szCs w:val="18"/>
                <w:lang w:eastAsia="sk-SK"/>
              </w:rPr>
            </w:pPr>
            <w:r w:rsidRPr="007D12A6">
              <w:rPr>
                <w:rFonts w:eastAsia="Times New Roman" w:cs="Times New Roman"/>
                <w:color w:val="000000"/>
                <w:sz w:val="18"/>
                <w:szCs w:val="18"/>
                <w:lang w:eastAsia="sk-SK"/>
              </w:rPr>
              <w:t>Príspevky SR do Európskeho rozvojového fondu</w:t>
            </w:r>
          </w:p>
        </w:tc>
        <w:tc>
          <w:tcPr>
            <w:tcW w:w="562" w:type="pct"/>
            <w:tcBorders>
              <w:top w:val="nil"/>
              <w:left w:val="nil"/>
              <w:bottom w:val="nil"/>
              <w:right w:val="nil"/>
            </w:tcBorders>
            <w:shd w:val="clear" w:color="000000" w:fill="FFFFFF"/>
            <w:noWrap/>
            <w:vAlign w:val="center"/>
            <w:hideMark/>
          </w:tcPr>
          <w:p w14:paraId="10055E8B"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16 512</w:t>
            </w:r>
          </w:p>
        </w:tc>
        <w:tc>
          <w:tcPr>
            <w:tcW w:w="581" w:type="pct"/>
            <w:tcBorders>
              <w:top w:val="nil"/>
              <w:left w:val="nil"/>
              <w:bottom w:val="nil"/>
              <w:right w:val="nil"/>
            </w:tcBorders>
            <w:shd w:val="clear" w:color="000000" w:fill="FFFFFF"/>
            <w:noWrap/>
            <w:vAlign w:val="center"/>
            <w:hideMark/>
          </w:tcPr>
          <w:p w14:paraId="3908A7AE"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17 181</w:t>
            </w:r>
          </w:p>
        </w:tc>
        <w:tc>
          <w:tcPr>
            <w:tcW w:w="579" w:type="pct"/>
            <w:tcBorders>
              <w:top w:val="nil"/>
              <w:left w:val="nil"/>
              <w:bottom w:val="nil"/>
              <w:right w:val="nil"/>
            </w:tcBorders>
            <w:shd w:val="clear" w:color="000000" w:fill="FFFFFF"/>
            <w:noWrap/>
            <w:vAlign w:val="center"/>
            <w:hideMark/>
          </w:tcPr>
          <w:p w14:paraId="1C1585FF"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17 933</w:t>
            </w:r>
          </w:p>
        </w:tc>
        <w:tc>
          <w:tcPr>
            <w:tcW w:w="663" w:type="pct"/>
            <w:tcBorders>
              <w:top w:val="nil"/>
              <w:left w:val="nil"/>
              <w:bottom w:val="nil"/>
              <w:right w:val="nil"/>
            </w:tcBorders>
            <w:shd w:val="clear" w:color="000000" w:fill="FFFFFF"/>
            <w:noWrap/>
            <w:vAlign w:val="center"/>
            <w:hideMark/>
          </w:tcPr>
          <w:p w14:paraId="00C23B91"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17 181</w:t>
            </w:r>
          </w:p>
        </w:tc>
        <w:tc>
          <w:tcPr>
            <w:tcW w:w="581" w:type="pct"/>
            <w:tcBorders>
              <w:top w:val="nil"/>
              <w:left w:val="nil"/>
              <w:bottom w:val="nil"/>
              <w:right w:val="nil"/>
            </w:tcBorders>
            <w:shd w:val="clear" w:color="000000" w:fill="FFFFFF"/>
            <w:vAlign w:val="center"/>
            <w:hideMark/>
          </w:tcPr>
          <w:p w14:paraId="3673D86F"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-752</w:t>
            </w:r>
          </w:p>
        </w:tc>
        <w:tc>
          <w:tcPr>
            <w:tcW w:w="428" w:type="pct"/>
            <w:tcBorders>
              <w:top w:val="nil"/>
              <w:left w:val="nil"/>
              <w:bottom w:val="nil"/>
              <w:right w:val="nil"/>
            </w:tcBorders>
            <w:shd w:val="clear" w:color="000000" w:fill="FFFFFF"/>
            <w:vAlign w:val="center"/>
            <w:hideMark/>
          </w:tcPr>
          <w:p w14:paraId="1542DAFE"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-4,2</w:t>
            </w:r>
          </w:p>
        </w:tc>
      </w:tr>
      <w:tr w:rsidR="00EE5C5E" w:rsidRPr="007D12A6" w14:paraId="471F7483" w14:textId="77777777" w:rsidTr="007D12A6">
        <w:trPr>
          <w:trHeight w:val="330"/>
        </w:trPr>
        <w:tc>
          <w:tcPr>
            <w:tcW w:w="1606" w:type="pct"/>
            <w:tcBorders>
              <w:top w:val="nil"/>
              <w:left w:val="nil"/>
              <w:bottom w:val="nil"/>
              <w:right w:val="nil"/>
            </w:tcBorders>
            <w:shd w:val="clear" w:color="000000" w:fill="FFFFFF"/>
            <w:vAlign w:val="center"/>
            <w:hideMark/>
          </w:tcPr>
          <w:p w14:paraId="384C14CD" w14:textId="77777777" w:rsidR="00EE5C5E" w:rsidRPr="007D12A6" w:rsidRDefault="00EE5C5E" w:rsidP="00EE5C5E">
            <w:pPr>
              <w:spacing w:after="0" w:line="240" w:lineRule="auto"/>
              <w:jc w:val="lef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Odvody a príspevky SR spolu</w:t>
            </w:r>
          </w:p>
        </w:tc>
        <w:tc>
          <w:tcPr>
            <w:tcW w:w="562" w:type="pct"/>
            <w:tcBorders>
              <w:top w:val="nil"/>
              <w:left w:val="nil"/>
              <w:bottom w:val="nil"/>
              <w:right w:val="nil"/>
            </w:tcBorders>
            <w:shd w:val="clear" w:color="000000" w:fill="FFFFFF"/>
            <w:noWrap/>
            <w:vAlign w:val="center"/>
            <w:hideMark/>
          </w:tcPr>
          <w:p w14:paraId="59C6D590" w14:textId="77777777" w:rsidR="00EE5C5E" w:rsidRPr="007D12A6" w:rsidRDefault="00EE5C5E" w:rsidP="00EE5C5E">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841 321</w:t>
            </w:r>
          </w:p>
        </w:tc>
        <w:tc>
          <w:tcPr>
            <w:tcW w:w="581" w:type="pct"/>
            <w:tcBorders>
              <w:top w:val="nil"/>
              <w:left w:val="nil"/>
              <w:bottom w:val="nil"/>
              <w:right w:val="nil"/>
            </w:tcBorders>
            <w:shd w:val="clear" w:color="000000" w:fill="FFFFFF"/>
            <w:noWrap/>
            <w:vAlign w:val="center"/>
            <w:hideMark/>
          </w:tcPr>
          <w:p w14:paraId="3BFBCE07" w14:textId="77777777" w:rsidR="00EE5C5E" w:rsidRPr="007D12A6" w:rsidRDefault="00EE5C5E" w:rsidP="00EE5C5E">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851 733</w:t>
            </w:r>
          </w:p>
        </w:tc>
        <w:tc>
          <w:tcPr>
            <w:tcW w:w="579" w:type="pct"/>
            <w:tcBorders>
              <w:top w:val="nil"/>
              <w:left w:val="nil"/>
              <w:bottom w:val="nil"/>
              <w:right w:val="nil"/>
            </w:tcBorders>
            <w:shd w:val="clear" w:color="000000" w:fill="FFFFFF"/>
            <w:noWrap/>
            <w:vAlign w:val="center"/>
            <w:hideMark/>
          </w:tcPr>
          <w:p w14:paraId="461BBEC8" w14:textId="77777777" w:rsidR="00EE5C5E" w:rsidRPr="007D12A6" w:rsidRDefault="00EE5C5E" w:rsidP="00EE5C5E">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1 039 274</w:t>
            </w:r>
          </w:p>
        </w:tc>
        <w:tc>
          <w:tcPr>
            <w:tcW w:w="663" w:type="pct"/>
            <w:tcBorders>
              <w:top w:val="nil"/>
              <w:left w:val="nil"/>
              <w:bottom w:val="nil"/>
              <w:right w:val="nil"/>
            </w:tcBorders>
            <w:shd w:val="clear" w:color="000000" w:fill="FFFFFF"/>
            <w:noWrap/>
            <w:vAlign w:val="center"/>
            <w:hideMark/>
          </w:tcPr>
          <w:p w14:paraId="3172C923" w14:textId="77777777" w:rsidR="00EE5C5E" w:rsidRPr="007D12A6" w:rsidRDefault="00EE5C5E" w:rsidP="00EE5C5E">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974 126</w:t>
            </w:r>
          </w:p>
        </w:tc>
        <w:tc>
          <w:tcPr>
            <w:tcW w:w="581" w:type="pct"/>
            <w:tcBorders>
              <w:top w:val="nil"/>
              <w:left w:val="nil"/>
              <w:bottom w:val="nil"/>
              <w:right w:val="nil"/>
            </w:tcBorders>
            <w:shd w:val="clear" w:color="000000" w:fill="FFFFFF"/>
            <w:vAlign w:val="center"/>
            <w:hideMark/>
          </w:tcPr>
          <w:p w14:paraId="1B9B0C53" w14:textId="77777777" w:rsidR="00EE5C5E" w:rsidRPr="007D12A6" w:rsidRDefault="00EE5C5E" w:rsidP="00EE5C5E">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-65 148</w:t>
            </w:r>
          </w:p>
        </w:tc>
        <w:tc>
          <w:tcPr>
            <w:tcW w:w="428" w:type="pct"/>
            <w:tcBorders>
              <w:top w:val="nil"/>
              <w:left w:val="nil"/>
              <w:bottom w:val="nil"/>
              <w:right w:val="nil"/>
            </w:tcBorders>
            <w:shd w:val="clear" w:color="000000" w:fill="FFFFFF"/>
            <w:vAlign w:val="center"/>
            <w:hideMark/>
          </w:tcPr>
          <w:p w14:paraId="26348001" w14:textId="77777777" w:rsidR="00EE5C5E" w:rsidRPr="007D12A6" w:rsidRDefault="00EE5C5E" w:rsidP="00EE5C5E">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-6,3</w:t>
            </w:r>
          </w:p>
        </w:tc>
      </w:tr>
      <w:tr w:rsidR="00EE5C5E" w:rsidRPr="007D12A6" w14:paraId="45CA8CDE" w14:textId="77777777" w:rsidTr="007D12A6">
        <w:trPr>
          <w:trHeight w:val="345"/>
        </w:trPr>
        <w:tc>
          <w:tcPr>
            <w:tcW w:w="1606" w:type="pct"/>
            <w:tcBorders>
              <w:top w:val="single" w:sz="4" w:space="0" w:color="auto"/>
              <w:left w:val="nil"/>
              <w:bottom w:val="single" w:sz="8" w:space="0" w:color="auto"/>
              <w:right w:val="nil"/>
            </w:tcBorders>
            <w:shd w:val="clear" w:color="000000" w:fill="FFFFFF"/>
            <w:vAlign w:val="center"/>
            <w:hideMark/>
          </w:tcPr>
          <w:p w14:paraId="1CC5B0BD" w14:textId="77777777" w:rsidR="00EE5C5E" w:rsidRPr="007D12A6" w:rsidRDefault="00EE5C5E" w:rsidP="00EE5C5E">
            <w:pPr>
              <w:spacing w:after="0" w:line="240" w:lineRule="auto"/>
              <w:jc w:val="lef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Čistá finančná pozícia</w:t>
            </w:r>
          </w:p>
        </w:tc>
        <w:tc>
          <w:tcPr>
            <w:tcW w:w="562" w:type="pct"/>
            <w:tcBorders>
              <w:top w:val="single" w:sz="4" w:space="0" w:color="auto"/>
              <w:left w:val="nil"/>
              <w:bottom w:val="single" w:sz="8" w:space="0" w:color="auto"/>
              <w:right w:val="nil"/>
            </w:tcBorders>
            <w:shd w:val="clear" w:color="000000" w:fill="FFFFFF"/>
            <w:noWrap/>
            <w:vAlign w:val="center"/>
            <w:hideMark/>
          </w:tcPr>
          <w:p w14:paraId="671A12C2" w14:textId="77777777" w:rsidR="00EE5C5E" w:rsidRPr="007D12A6" w:rsidRDefault="00EE5C5E" w:rsidP="00EE5C5E">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1 328 411</w:t>
            </w:r>
          </w:p>
        </w:tc>
        <w:tc>
          <w:tcPr>
            <w:tcW w:w="581" w:type="pct"/>
            <w:tcBorders>
              <w:top w:val="single" w:sz="4" w:space="0" w:color="auto"/>
              <w:left w:val="nil"/>
              <w:bottom w:val="single" w:sz="8" w:space="0" w:color="auto"/>
              <w:right w:val="nil"/>
            </w:tcBorders>
            <w:shd w:val="clear" w:color="000000" w:fill="FFFFFF"/>
            <w:noWrap/>
            <w:vAlign w:val="center"/>
            <w:hideMark/>
          </w:tcPr>
          <w:p w14:paraId="6E4E7CFB" w14:textId="77777777" w:rsidR="00EE5C5E" w:rsidRPr="007D12A6" w:rsidRDefault="00EE5C5E" w:rsidP="00EE5C5E">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1 275 210</w:t>
            </w:r>
          </w:p>
        </w:tc>
        <w:tc>
          <w:tcPr>
            <w:tcW w:w="579" w:type="pct"/>
            <w:tcBorders>
              <w:top w:val="single" w:sz="4" w:space="0" w:color="auto"/>
              <w:left w:val="nil"/>
              <w:bottom w:val="single" w:sz="8" w:space="0" w:color="auto"/>
              <w:right w:val="nil"/>
            </w:tcBorders>
            <w:shd w:val="clear" w:color="000000" w:fill="FFFFFF"/>
            <w:noWrap/>
            <w:vAlign w:val="center"/>
            <w:hideMark/>
          </w:tcPr>
          <w:p w14:paraId="541DA796" w14:textId="77777777" w:rsidR="00EE5C5E" w:rsidRPr="007D12A6" w:rsidRDefault="00EE5C5E" w:rsidP="00EE5C5E">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638 415</w:t>
            </w:r>
          </w:p>
        </w:tc>
        <w:tc>
          <w:tcPr>
            <w:tcW w:w="663" w:type="pct"/>
            <w:tcBorders>
              <w:top w:val="single" w:sz="4" w:space="0" w:color="auto"/>
              <w:left w:val="nil"/>
              <w:bottom w:val="single" w:sz="8" w:space="0" w:color="auto"/>
              <w:right w:val="nil"/>
            </w:tcBorders>
            <w:shd w:val="clear" w:color="000000" w:fill="FFFFFF"/>
            <w:noWrap/>
            <w:vAlign w:val="center"/>
            <w:hideMark/>
          </w:tcPr>
          <w:p w14:paraId="10B30FD2" w14:textId="77777777" w:rsidR="00EE5C5E" w:rsidRPr="007D12A6" w:rsidRDefault="00EE5C5E" w:rsidP="00EE5C5E">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1 577 234</w:t>
            </w:r>
          </w:p>
        </w:tc>
        <w:tc>
          <w:tcPr>
            <w:tcW w:w="581" w:type="pct"/>
            <w:tcBorders>
              <w:top w:val="single" w:sz="4" w:space="0" w:color="auto"/>
              <w:left w:val="nil"/>
              <w:bottom w:val="single" w:sz="8" w:space="0" w:color="auto"/>
              <w:right w:val="nil"/>
            </w:tcBorders>
            <w:shd w:val="clear" w:color="000000" w:fill="FFFFFF"/>
            <w:noWrap/>
            <w:vAlign w:val="center"/>
            <w:hideMark/>
          </w:tcPr>
          <w:p w14:paraId="40729519" w14:textId="77777777" w:rsidR="00EE5C5E" w:rsidRPr="007D12A6" w:rsidRDefault="00EE5C5E" w:rsidP="00EE5C5E">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938 819</w:t>
            </w:r>
          </w:p>
        </w:tc>
        <w:tc>
          <w:tcPr>
            <w:tcW w:w="428" w:type="pct"/>
            <w:tcBorders>
              <w:top w:val="single" w:sz="4" w:space="0" w:color="auto"/>
              <w:left w:val="nil"/>
              <w:bottom w:val="single" w:sz="8" w:space="0" w:color="auto"/>
              <w:right w:val="nil"/>
            </w:tcBorders>
            <w:shd w:val="clear" w:color="000000" w:fill="FFFFFF"/>
            <w:noWrap/>
            <w:vAlign w:val="center"/>
            <w:hideMark/>
          </w:tcPr>
          <w:p w14:paraId="06CEC790" w14:textId="77777777" w:rsidR="00EE5C5E" w:rsidRPr="007D12A6" w:rsidRDefault="00EE5C5E" w:rsidP="00EE5C5E">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147,1</w:t>
            </w:r>
          </w:p>
        </w:tc>
      </w:tr>
    </w:tbl>
    <w:p w14:paraId="66D03F38" w14:textId="77777777" w:rsidR="00EE5C5E" w:rsidRPr="007D12A6" w:rsidRDefault="00EE5C5E" w:rsidP="00EE5C5E">
      <w:pPr>
        <w:pStyle w:val="Zkladntext1"/>
        <w:tabs>
          <w:tab w:val="left" w:pos="-5103"/>
          <w:tab w:val="left" w:pos="-4962"/>
          <w:tab w:val="left" w:pos="-4820"/>
        </w:tabs>
        <w:spacing w:after="120" w:line="360" w:lineRule="auto"/>
        <w:jc w:val="right"/>
        <w:rPr>
          <w:sz w:val="18"/>
          <w:szCs w:val="18"/>
        </w:rPr>
      </w:pPr>
      <w:proofErr w:type="spellStart"/>
      <w:r w:rsidRPr="007D12A6">
        <w:rPr>
          <w:rFonts w:ascii="Times New Roman" w:hAnsi="Times New Roman"/>
          <w:sz w:val="18"/>
          <w:szCs w:val="18"/>
        </w:rPr>
        <w:t>Zdroj</w:t>
      </w:r>
      <w:proofErr w:type="spellEnd"/>
      <w:r w:rsidRPr="007D12A6">
        <w:rPr>
          <w:rFonts w:ascii="Times New Roman" w:hAnsi="Times New Roman"/>
          <w:sz w:val="18"/>
          <w:szCs w:val="18"/>
        </w:rPr>
        <w:t>:</w:t>
      </w:r>
      <w:r w:rsidRPr="007D12A6">
        <w:rPr>
          <w:sz w:val="18"/>
          <w:szCs w:val="18"/>
        </w:rPr>
        <w:t xml:space="preserve"> MF SR</w:t>
      </w:r>
    </w:p>
    <w:p w14:paraId="5E162B4C" w14:textId="03C3936F" w:rsidR="00EE5C5E" w:rsidRPr="00D715AF" w:rsidRDefault="00EE5C5E" w:rsidP="008D4C2B">
      <w:pPr>
        <w:pStyle w:val="Zkladntext1"/>
        <w:tabs>
          <w:tab w:val="left" w:pos="-5103"/>
          <w:tab w:val="left" w:pos="-4962"/>
          <w:tab w:val="left" w:pos="-4820"/>
        </w:tabs>
        <w:spacing w:after="120"/>
        <w:jc w:val="both"/>
        <w:rPr>
          <w:rFonts w:ascii="Times New Roman" w:hAnsi="Times New Roman"/>
          <w:color w:val="auto"/>
          <w:szCs w:val="24"/>
          <w:lang w:val="sk-SK"/>
        </w:rPr>
      </w:pPr>
      <w:r w:rsidRPr="00D715AF">
        <w:rPr>
          <w:rFonts w:ascii="Times New Roman" w:hAnsi="Times New Roman"/>
          <w:color w:val="auto"/>
          <w:szCs w:val="24"/>
          <w:lang w:val="sk-SK"/>
        </w:rPr>
        <w:t xml:space="preserve">Rozpočtované finančné prostriedky na odvody SR do rozpočtu EÚ 2020 vzrástli oproti roku 2019 o 9,1% (+85 362 tis. eur). Na tomto navýšení sa podieľali odhady tradičných vlastných zdrojov a zdroja založeného na DPH, ktorých predikcia nebola ovplyvnená bezprecedentnou situáciou spôsobenou pandémiou COVID19 ako aj predpokladaná zvýšená spoluúčasť SR na financovaní rozpočtu EÚ zo zdroja HND pri odchode Spojeného kráľovstva bez dohody. Počas roka prešiel rozpočet EÚ deviatimi rozpočtovými úpravami, ktoré zohľadňovali potrebu navýšenia platobných rozpočtových prostriedkov z dôvodu boja členských štátov proti pandémii COVID19, prejavu solidarity s obyvateľmi regiónov postihnutými živelnými pohromami ako aj aktualizáciou vlastných zdrojov s cieľom zohľadniť ekonomický vývoj. Odvody SR do rozpočtu EÚ sa tak počas roka navýšili o 52 178 tis. eur. </w:t>
      </w:r>
    </w:p>
    <w:p w14:paraId="5FE72504" w14:textId="5D925CE3" w:rsidR="00EE5C5E" w:rsidRPr="00D715AF" w:rsidRDefault="00EE5C5E" w:rsidP="008D4C2B">
      <w:pPr>
        <w:pStyle w:val="Zkladntext1"/>
        <w:tabs>
          <w:tab w:val="left" w:pos="-5103"/>
          <w:tab w:val="left" w:pos="-4962"/>
          <w:tab w:val="left" w:pos="-4820"/>
        </w:tabs>
        <w:spacing w:after="120"/>
        <w:jc w:val="both"/>
        <w:rPr>
          <w:rFonts w:ascii="Times New Roman" w:hAnsi="Times New Roman"/>
          <w:color w:val="auto"/>
          <w:szCs w:val="24"/>
          <w:lang w:val="sk-SK"/>
        </w:rPr>
      </w:pPr>
      <w:r w:rsidRPr="00D715AF">
        <w:rPr>
          <w:rFonts w:ascii="Times New Roman" w:hAnsi="Times New Roman"/>
          <w:b/>
          <w:i/>
          <w:szCs w:val="24"/>
          <w:lang w:val="sk-SK"/>
        </w:rPr>
        <w:t>Odvody za tradičné vlastné zdroje</w:t>
      </w:r>
      <w:r w:rsidRPr="00D715AF">
        <w:rPr>
          <w:rFonts w:ascii="Times New Roman" w:hAnsi="Times New Roman"/>
          <w:color w:val="auto"/>
          <w:szCs w:val="24"/>
          <w:lang w:val="sk-SK"/>
        </w:rPr>
        <w:t xml:space="preserve"> (80 % z výberu cla a odvodov a poplatkov v sektore cukru) boli rozpočtované v sume 107 700 tis. eur. V priebehu roka 2020 Slovenská republika odviedla 79 553 tis. eur.</w:t>
      </w:r>
    </w:p>
    <w:p w14:paraId="4183E4E4" w14:textId="65FB0782" w:rsidR="00EE5C5E" w:rsidRPr="00D715AF" w:rsidRDefault="00EE5C5E" w:rsidP="008D4C2B">
      <w:pPr>
        <w:pStyle w:val="Zkladntext1"/>
        <w:tabs>
          <w:tab w:val="left" w:pos="-5103"/>
          <w:tab w:val="left" w:pos="-4962"/>
          <w:tab w:val="left" w:pos="-4820"/>
        </w:tabs>
        <w:spacing w:after="120"/>
        <w:jc w:val="both"/>
        <w:rPr>
          <w:rFonts w:ascii="Times New Roman" w:hAnsi="Times New Roman"/>
          <w:color w:val="auto"/>
          <w:szCs w:val="24"/>
          <w:lang w:val="sk-SK"/>
        </w:rPr>
      </w:pPr>
      <w:r w:rsidRPr="00E7041D">
        <w:rPr>
          <w:rFonts w:ascii="Times New Roman" w:hAnsi="Times New Roman"/>
          <w:b/>
          <w:i/>
          <w:color w:val="auto"/>
          <w:szCs w:val="24"/>
          <w:lang w:val="sk-SK"/>
        </w:rPr>
        <w:t>Ostatné odvody do rozpočtu EÚ</w:t>
      </w:r>
      <w:r w:rsidRPr="00D715AF">
        <w:rPr>
          <w:rFonts w:ascii="Times New Roman" w:hAnsi="Times New Roman"/>
          <w:color w:val="auto"/>
          <w:szCs w:val="24"/>
          <w:lang w:val="sk-SK"/>
        </w:rPr>
        <w:t xml:space="preserve"> (zdroj založený na DPH, zdroj založený na HND, podiel SR na korekcii Veľkej Británie, podiel SR na korekciách pre Dánsko, Holandsko a Švédsko) boli rozpočtované v sume 913 641 tis. eur, v priebehu roka boli znížené na sumu 908 160 tis. eur. Konečný odvod vlastných zdrojov predstavoval sumu 877 392 tis. eur.</w:t>
      </w:r>
    </w:p>
    <w:p w14:paraId="7BF0E1E1" w14:textId="6A5BF950" w:rsidR="00EE5C5E" w:rsidRPr="00D715AF" w:rsidRDefault="00EE5C5E" w:rsidP="008D4C2B">
      <w:pPr>
        <w:spacing w:before="240" w:line="240" w:lineRule="auto"/>
        <w:rPr>
          <w:sz w:val="24"/>
          <w:szCs w:val="24"/>
        </w:rPr>
      </w:pPr>
      <w:r w:rsidRPr="00D715AF">
        <w:rPr>
          <w:b/>
          <w:color w:val="000000"/>
          <w:sz w:val="24"/>
          <w:szCs w:val="24"/>
        </w:rPr>
        <w:t>Príspevky Slovenskej republiky do Európskeho rozvojového fondu</w:t>
      </w:r>
      <w:r w:rsidRPr="00D715AF">
        <w:rPr>
          <w:color w:val="000000"/>
          <w:sz w:val="24"/>
          <w:szCs w:val="24"/>
        </w:rPr>
        <w:t xml:space="preserve"> </w:t>
      </w:r>
      <w:r w:rsidRPr="00D715AF">
        <w:rPr>
          <w:sz w:val="24"/>
          <w:szCs w:val="24"/>
        </w:rPr>
        <w:t xml:space="preserve">boli rozpočtované v sume 17 933 tis. eur, poukázané finančné prostriedky boli v sume 17 181 tis. Ide o fond mimo rozpočtu EÚ, ktorého cieľom je poskytovanie rozvojovej pomoci krajinám Afriky, Karibiku a </w:t>
      </w:r>
      <w:proofErr w:type="spellStart"/>
      <w:r w:rsidRPr="00D715AF">
        <w:rPr>
          <w:sz w:val="24"/>
          <w:szCs w:val="24"/>
        </w:rPr>
        <w:t>Pacifiku</w:t>
      </w:r>
      <w:proofErr w:type="spellEnd"/>
      <w:r w:rsidRPr="00D715AF">
        <w:rPr>
          <w:sz w:val="24"/>
          <w:szCs w:val="24"/>
        </w:rPr>
        <w:t xml:space="preserve"> a zámorským krajinám a teritóriám. Jednotlivé členské štáty do Európskeho rozvojového fondu prispievajú finančné prostriedky v prospech účtu Európskej komisie (EK) a tiež v prospech účtu Európskej investičnej banky (EIB). Príspevok je vykazovaný ako oficiálna rozvojová pomoc SR.</w:t>
      </w:r>
    </w:p>
    <w:p w14:paraId="631679E2" w14:textId="77777777" w:rsidR="00EE5C5E" w:rsidRPr="00D715AF" w:rsidRDefault="00EE5C5E" w:rsidP="008D4C2B">
      <w:pPr>
        <w:pStyle w:val="Zkladntext1"/>
        <w:tabs>
          <w:tab w:val="left" w:pos="-5103"/>
          <w:tab w:val="left" w:pos="-4962"/>
          <w:tab w:val="left" w:pos="-4820"/>
        </w:tabs>
        <w:spacing w:after="120"/>
        <w:jc w:val="both"/>
        <w:rPr>
          <w:rFonts w:ascii="Times New Roman" w:hAnsi="Times New Roman"/>
          <w:szCs w:val="24"/>
          <w:lang w:val="sk-SK"/>
        </w:rPr>
      </w:pPr>
      <w:r w:rsidRPr="00D715AF">
        <w:rPr>
          <w:rFonts w:ascii="Times New Roman" w:hAnsi="Times New Roman"/>
          <w:szCs w:val="24"/>
          <w:lang w:val="sk-SK"/>
        </w:rPr>
        <w:t xml:space="preserve">Na základe realizovaných príjmov z rozpočtu EÚ v roku 2020 vo výške 2 551 360 tis. eur a odvodov a príspevkov do všeobecného rozpočtu EÚ vo výške 974 126 tis. eur predstavuje </w:t>
      </w:r>
      <w:r w:rsidRPr="00D715AF">
        <w:rPr>
          <w:rFonts w:ascii="Times New Roman" w:hAnsi="Times New Roman"/>
          <w:b/>
          <w:szCs w:val="24"/>
          <w:lang w:val="sk-SK"/>
        </w:rPr>
        <w:t>čistá finančná pozícia Slovenskej republiky voči rozpočtu EÚ za rok 2020 sumu 1 577 234 tis. eur</w:t>
      </w:r>
      <w:r w:rsidRPr="00D715AF">
        <w:rPr>
          <w:rFonts w:ascii="Times New Roman" w:hAnsi="Times New Roman"/>
          <w:szCs w:val="24"/>
          <w:lang w:val="sk-SK"/>
        </w:rPr>
        <w:t>, čo predstavuje medziročný nárast o 302 024 tis. eur.</w:t>
      </w:r>
    </w:p>
    <w:p w14:paraId="19C577C1" w14:textId="77777777" w:rsidR="00EE5C5E" w:rsidRPr="00D715AF" w:rsidRDefault="00EE5C5E" w:rsidP="008D4C2B">
      <w:pPr>
        <w:spacing w:line="240" w:lineRule="auto"/>
        <w:rPr>
          <w:sz w:val="24"/>
          <w:szCs w:val="24"/>
        </w:rPr>
      </w:pPr>
      <w:r w:rsidRPr="00D715AF">
        <w:rPr>
          <w:sz w:val="24"/>
          <w:szCs w:val="24"/>
        </w:rPr>
        <w:t>Prehľad o ročných príjmoch z rozpočtu EÚ a odvodoch a príspevkoch Slovenskej republiky do všeobecného rozpočtu EÚ je uvedený v nasledovnej tabuľke:</w:t>
      </w:r>
    </w:p>
    <w:tbl>
      <w:tblPr>
        <w:tblW w:w="4749" w:type="pct"/>
        <w:jc w:val="center"/>
        <w:tblCellMar>
          <w:left w:w="70" w:type="dxa"/>
          <w:right w:w="70" w:type="dxa"/>
        </w:tblCellMar>
        <w:tblLook w:val="04A0" w:firstRow="1" w:lastRow="0" w:firstColumn="1" w:lastColumn="0" w:noHBand="0" w:noVBand="1"/>
      </w:tblPr>
      <w:tblGrid>
        <w:gridCol w:w="3828"/>
        <w:gridCol w:w="1425"/>
        <w:gridCol w:w="1750"/>
        <w:gridCol w:w="1748"/>
      </w:tblGrid>
      <w:tr w:rsidR="00EE5C5E" w:rsidRPr="007D12A6" w14:paraId="0F0C7B4B" w14:textId="77777777" w:rsidTr="007D12A6">
        <w:trPr>
          <w:trHeight w:val="525"/>
          <w:jc w:val="center"/>
        </w:trPr>
        <w:tc>
          <w:tcPr>
            <w:tcW w:w="4001" w:type="pct"/>
            <w:gridSpan w:val="3"/>
            <w:tcBorders>
              <w:top w:val="nil"/>
              <w:left w:val="nil"/>
              <w:bottom w:val="nil"/>
              <w:right w:val="nil"/>
            </w:tcBorders>
            <w:shd w:val="clear" w:color="000000" w:fill="000000"/>
            <w:vAlign w:val="bottom"/>
            <w:hideMark/>
          </w:tcPr>
          <w:p w14:paraId="6BC7E0FE" w14:textId="77777777" w:rsidR="007D12A6" w:rsidRDefault="00EE5C5E" w:rsidP="00EE5C5E">
            <w:pPr>
              <w:spacing w:after="0" w:line="240" w:lineRule="auto"/>
              <w:jc w:val="left"/>
              <w:rPr>
                <w:rFonts w:eastAsia="Times New Roman" w:cs="Times New Roman"/>
                <w:b/>
                <w:bCs/>
                <w:color w:val="FFFFFF"/>
                <w:sz w:val="18"/>
                <w:szCs w:val="18"/>
                <w:lang w:eastAsia="sk-SK"/>
              </w:rPr>
            </w:pPr>
            <w:r w:rsidRPr="007D12A6">
              <w:rPr>
                <w:rFonts w:eastAsia="Times New Roman" w:cs="Times New Roman"/>
                <w:b/>
                <w:bCs/>
                <w:color w:val="FFFFFF"/>
                <w:sz w:val="18"/>
                <w:szCs w:val="18"/>
                <w:lang w:eastAsia="sk-SK"/>
              </w:rPr>
              <w:t xml:space="preserve">Prehľad o ročných príjmoch z rozpočtu EÚ a </w:t>
            </w:r>
          </w:p>
          <w:p w14:paraId="2143E5A2" w14:textId="6E0F57E6" w:rsidR="00EE5C5E" w:rsidRPr="007D12A6" w:rsidRDefault="00EE5C5E" w:rsidP="00EE5C5E">
            <w:pPr>
              <w:spacing w:after="0" w:line="240" w:lineRule="auto"/>
              <w:jc w:val="left"/>
              <w:rPr>
                <w:rFonts w:eastAsia="Times New Roman" w:cs="Times New Roman"/>
                <w:b/>
                <w:bCs/>
                <w:color w:val="FFFFFF"/>
                <w:sz w:val="18"/>
                <w:szCs w:val="18"/>
                <w:lang w:eastAsia="sk-SK"/>
              </w:rPr>
            </w:pPr>
            <w:r w:rsidRPr="007D12A6">
              <w:rPr>
                <w:rFonts w:eastAsia="Times New Roman" w:cs="Times New Roman"/>
                <w:b/>
                <w:bCs/>
                <w:color w:val="FFFFFF"/>
                <w:sz w:val="18"/>
                <w:szCs w:val="18"/>
                <w:lang w:eastAsia="sk-SK"/>
              </w:rPr>
              <w:t xml:space="preserve">odvodoch a príspevkoch SR do všeobecného rozpočtu EÚ </w:t>
            </w:r>
          </w:p>
        </w:tc>
        <w:tc>
          <w:tcPr>
            <w:tcW w:w="999" w:type="pct"/>
            <w:tcBorders>
              <w:top w:val="nil"/>
              <w:left w:val="nil"/>
              <w:bottom w:val="nil"/>
              <w:right w:val="nil"/>
            </w:tcBorders>
            <w:shd w:val="clear" w:color="000000" w:fill="000000"/>
            <w:noWrap/>
            <w:vAlign w:val="bottom"/>
            <w:hideMark/>
          </w:tcPr>
          <w:p w14:paraId="44CD3239" w14:textId="77777777" w:rsidR="00EE5C5E" w:rsidRPr="007D12A6" w:rsidRDefault="00EE5C5E" w:rsidP="00EE5C5E">
            <w:pPr>
              <w:spacing w:after="0" w:line="240" w:lineRule="auto"/>
              <w:jc w:val="right"/>
              <w:rPr>
                <w:rFonts w:eastAsia="Times New Roman" w:cs="Times New Roman"/>
                <w:b/>
                <w:bCs/>
                <w:color w:val="FFFFFF"/>
                <w:sz w:val="18"/>
                <w:szCs w:val="18"/>
                <w:lang w:eastAsia="sk-SK"/>
              </w:rPr>
            </w:pPr>
            <w:r w:rsidRPr="007D12A6">
              <w:rPr>
                <w:rFonts w:eastAsia="Times New Roman" w:cs="Times New Roman"/>
                <w:b/>
                <w:bCs/>
                <w:color w:val="FFFFFF"/>
                <w:sz w:val="18"/>
                <w:szCs w:val="18"/>
                <w:lang w:eastAsia="sk-SK"/>
              </w:rPr>
              <w:t>v tis. eur</w:t>
            </w:r>
          </w:p>
        </w:tc>
      </w:tr>
      <w:tr w:rsidR="00EE5C5E" w:rsidRPr="007D12A6" w14:paraId="452991A9" w14:textId="77777777" w:rsidTr="007D12A6">
        <w:trPr>
          <w:trHeight w:val="525"/>
          <w:jc w:val="center"/>
        </w:trPr>
        <w:tc>
          <w:tcPr>
            <w:tcW w:w="2187" w:type="pct"/>
            <w:tcBorders>
              <w:top w:val="nil"/>
              <w:left w:val="nil"/>
              <w:bottom w:val="single" w:sz="8" w:space="0" w:color="auto"/>
              <w:right w:val="nil"/>
            </w:tcBorders>
            <w:shd w:val="clear" w:color="000000" w:fill="BFBFBF"/>
            <w:vAlign w:val="center"/>
            <w:hideMark/>
          </w:tcPr>
          <w:p w14:paraId="6CE2A3C4" w14:textId="77777777" w:rsidR="00EE5C5E" w:rsidRPr="007D12A6" w:rsidRDefault="00EE5C5E" w:rsidP="00EE5C5E">
            <w:pPr>
              <w:spacing w:after="0" w:line="240" w:lineRule="auto"/>
              <w:jc w:val="left"/>
              <w:rPr>
                <w:rFonts w:eastAsia="Times New Roman" w:cs="Times New Roman"/>
                <w:b/>
                <w:bCs/>
                <w:sz w:val="18"/>
                <w:szCs w:val="18"/>
                <w:lang w:eastAsia="sk-SK"/>
              </w:rPr>
            </w:pPr>
            <w:r w:rsidRPr="007D12A6">
              <w:rPr>
                <w:rFonts w:eastAsia="Times New Roman" w:cs="Times New Roman"/>
                <w:b/>
                <w:bCs/>
                <w:sz w:val="18"/>
                <w:szCs w:val="18"/>
                <w:lang w:eastAsia="sk-SK"/>
              </w:rPr>
              <w:t>Rok</w:t>
            </w:r>
          </w:p>
        </w:tc>
        <w:tc>
          <w:tcPr>
            <w:tcW w:w="814" w:type="pct"/>
            <w:tcBorders>
              <w:top w:val="nil"/>
              <w:left w:val="nil"/>
              <w:bottom w:val="single" w:sz="8" w:space="0" w:color="auto"/>
              <w:right w:val="nil"/>
            </w:tcBorders>
            <w:shd w:val="clear" w:color="000000" w:fill="BFBFBF"/>
            <w:vAlign w:val="center"/>
            <w:hideMark/>
          </w:tcPr>
          <w:p w14:paraId="4DB186E5" w14:textId="77777777" w:rsidR="00EE5C5E" w:rsidRPr="007D12A6" w:rsidRDefault="00EE5C5E" w:rsidP="00EE5C5E">
            <w:pPr>
              <w:spacing w:after="0" w:line="240" w:lineRule="auto"/>
              <w:jc w:val="center"/>
              <w:rPr>
                <w:rFonts w:eastAsia="Times New Roman" w:cs="Times New Roman"/>
                <w:b/>
                <w:bCs/>
                <w:sz w:val="18"/>
                <w:szCs w:val="18"/>
                <w:lang w:eastAsia="sk-SK"/>
              </w:rPr>
            </w:pPr>
            <w:r w:rsidRPr="007D12A6">
              <w:rPr>
                <w:rFonts w:eastAsia="Times New Roman" w:cs="Times New Roman"/>
                <w:b/>
                <w:bCs/>
                <w:sz w:val="18"/>
                <w:szCs w:val="18"/>
                <w:lang w:eastAsia="sk-SK"/>
              </w:rPr>
              <w:t>Celkové príjmy</w:t>
            </w:r>
          </w:p>
        </w:tc>
        <w:tc>
          <w:tcPr>
            <w:tcW w:w="1000" w:type="pct"/>
            <w:tcBorders>
              <w:top w:val="nil"/>
              <w:left w:val="nil"/>
              <w:bottom w:val="single" w:sz="8" w:space="0" w:color="auto"/>
              <w:right w:val="nil"/>
            </w:tcBorders>
            <w:shd w:val="clear" w:color="000000" w:fill="BFBFBF"/>
            <w:vAlign w:val="center"/>
            <w:hideMark/>
          </w:tcPr>
          <w:p w14:paraId="2E90E03A" w14:textId="77777777" w:rsidR="00EE5C5E" w:rsidRPr="007D12A6" w:rsidRDefault="00EE5C5E" w:rsidP="00EE5C5E">
            <w:pPr>
              <w:spacing w:after="0" w:line="240" w:lineRule="auto"/>
              <w:jc w:val="center"/>
              <w:rPr>
                <w:rFonts w:eastAsia="Times New Roman" w:cs="Times New Roman"/>
                <w:b/>
                <w:bCs/>
                <w:sz w:val="18"/>
                <w:szCs w:val="18"/>
                <w:lang w:eastAsia="sk-SK"/>
              </w:rPr>
            </w:pPr>
            <w:r w:rsidRPr="007D12A6">
              <w:rPr>
                <w:rFonts w:eastAsia="Times New Roman" w:cs="Times New Roman"/>
                <w:b/>
                <w:bCs/>
                <w:sz w:val="18"/>
                <w:szCs w:val="18"/>
                <w:lang w:eastAsia="sk-SK"/>
              </w:rPr>
              <w:t>Celkové odvody a príspevky</w:t>
            </w:r>
          </w:p>
        </w:tc>
        <w:tc>
          <w:tcPr>
            <w:tcW w:w="999" w:type="pct"/>
            <w:tcBorders>
              <w:top w:val="nil"/>
              <w:left w:val="nil"/>
              <w:bottom w:val="single" w:sz="8" w:space="0" w:color="auto"/>
              <w:right w:val="nil"/>
            </w:tcBorders>
            <w:shd w:val="clear" w:color="000000" w:fill="BFBFBF"/>
            <w:vAlign w:val="center"/>
            <w:hideMark/>
          </w:tcPr>
          <w:p w14:paraId="06F6CD2B" w14:textId="77777777" w:rsidR="00EE5C5E" w:rsidRPr="007D12A6" w:rsidRDefault="00EE5C5E" w:rsidP="00EE5C5E">
            <w:pPr>
              <w:spacing w:after="0" w:line="240" w:lineRule="auto"/>
              <w:jc w:val="center"/>
              <w:rPr>
                <w:rFonts w:eastAsia="Times New Roman" w:cs="Times New Roman"/>
                <w:b/>
                <w:bCs/>
                <w:sz w:val="18"/>
                <w:szCs w:val="18"/>
                <w:lang w:eastAsia="sk-SK"/>
              </w:rPr>
            </w:pPr>
            <w:r w:rsidRPr="007D12A6">
              <w:rPr>
                <w:rFonts w:eastAsia="Times New Roman" w:cs="Times New Roman"/>
                <w:b/>
                <w:bCs/>
                <w:sz w:val="18"/>
                <w:szCs w:val="18"/>
                <w:lang w:eastAsia="sk-SK"/>
              </w:rPr>
              <w:t>Čistá finančná pozícia</w:t>
            </w:r>
          </w:p>
        </w:tc>
      </w:tr>
      <w:tr w:rsidR="00EE5C5E" w:rsidRPr="007D12A6" w14:paraId="50AC4BAE" w14:textId="77777777" w:rsidTr="007D12A6">
        <w:trPr>
          <w:trHeight w:val="330"/>
          <w:jc w:val="center"/>
        </w:trPr>
        <w:tc>
          <w:tcPr>
            <w:tcW w:w="2187" w:type="pct"/>
            <w:tcBorders>
              <w:top w:val="nil"/>
              <w:left w:val="nil"/>
              <w:bottom w:val="nil"/>
              <w:right w:val="nil"/>
            </w:tcBorders>
            <w:shd w:val="clear" w:color="000000" w:fill="FFFFFF"/>
            <w:vAlign w:val="center"/>
            <w:hideMark/>
          </w:tcPr>
          <w:p w14:paraId="66C5CC38" w14:textId="77777777" w:rsidR="00EE5C5E" w:rsidRPr="007D12A6" w:rsidRDefault="00EE5C5E" w:rsidP="00EE5C5E">
            <w:pPr>
              <w:spacing w:after="0" w:line="240" w:lineRule="auto"/>
              <w:jc w:val="left"/>
              <w:rPr>
                <w:rFonts w:eastAsia="Times New Roman" w:cs="Times New Roman"/>
                <w:color w:val="000000"/>
                <w:sz w:val="18"/>
                <w:szCs w:val="18"/>
                <w:lang w:eastAsia="sk-SK"/>
              </w:rPr>
            </w:pPr>
            <w:r w:rsidRPr="007D12A6">
              <w:rPr>
                <w:rFonts w:eastAsia="Times New Roman" w:cs="Times New Roman"/>
                <w:color w:val="000000"/>
                <w:sz w:val="18"/>
                <w:szCs w:val="18"/>
                <w:lang w:eastAsia="sk-SK"/>
              </w:rPr>
              <w:t>2004</w:t>
            </w:r>
          </w:p>
        </w:tc>
        <w:tc>
          <w:tcPr>
            <w:tcW w:w="814" w:type="pct"/>
            <w:tcBorders>
              <w:top w:val="nil"/>
              <w:left w:val="nil"/>
              <w:bottom w:val="nil"/>
              <w:right w:val="nil"/>
            </w:tcBorders>
            <w:shd w:val="clear" w:color="000000" w:fill="FFFFFF"/>
            <w:noWrap/>
            <w:vAlign w:val="center"/>
            <w:hideMark/>
          </w:tcPr>
          <w:p w14:paraId="4D3879A7"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303 990</w:t>
            </w:r>
          </w:p>
        </w:tc>
        <w:tc>
          <w:tcPr>
            <w:tcW w:w="1000" w:type="pct"/>
            <w:tcBorders>
              <w:top w:val="nil"/>
              <w:left w:val="nil"/>
              <w:bottom w:val="nil"/>
              <w:right w:val="nil"/>
            </w:tcBorders>
            <w:shd w:val="clear" w:color="000000" w:fill="FFFFFF"/>
            <w:noWrap/>
            <w:vAlign w:val="center"/>
            <w:hideMark/>
          </w:tcPr>
          <w:p w14:paraId="0A9FD86F"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290 689</w:t>
            </w:r>
          </w:p>
        </w:tc>
        <w:tc>
          <w:tcPr>
            <w:tcW w:w="999" w:type="pct"/>
            <w:tcBorders>
              <w:top w:val="nil"/>
              <w:left w:val="nil"/>
              <w:bottom w:val="nil"/>
              <w:right w:val="nil"/>
            </w:tcBorders>
            <w:shd w:val="clear" w:color="000000" w:fill="FFFFFF"/>
            <w:noWrap/>
            <w:vAlign w:val="center"/>
            <w:hideMark/>
          </w:tcPr>
          <w:p w14:paraId="313EC8DB"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13 301</w:t>
            </w:r>
          </w:p>
        </w:tc>
      </w:tr>
      <w:tr w:rsidR="00EE5C5E" w:rsidRPr="007D12A6" w14:paraId="6ADFFADA" w14:textId="77777777" w:rsidTr="007D12A6">
        <w:trPr>
          <w:trHeight w:val="330"/>
          <w:jc w:val="center"/>
        </w:trPr>
        <w:tc>
          <w:tcPr>
            <w:tcW w:w="2187" w:type="pct"/>
            <w:tcBorders>
              <w:top w:val="nil"/>
              <w:left w:val="nil"/>
              <w:bottom w:val="nil"/>
              <w:right w:val="nil"/>
            </w:tcBorders>
            <w:shd w:val="clear" w:color="000000" w:fill="FFFFFF"/>
            <w:vAlign w:val="center"/>
            <w:hideMark/>
          </w:tcPr>
          <w:p w14:paraId="7CE02F0B" w14:textId="77777777" w:rsidR="00EE5C5E" w:rsidRPr="007D12A6" w:rsidRDefault="00EE5C5E" w:rsidP="00EE5C5E">
            <w:pPr>
              <w:spacing w:after="0" w:line="240" w:lineRule="auto"/>
              <w:jc w:val="left"/>
              <w:rPr>
                <w:rFonts w:eastAsia="Times New Roman" w:cs="Times New Roman"/>
                <w:color w:val="000000"/>
                <w:sz w:val="18"/>
                <w:szCs w:val="18"/>
                <w:lang w:eastAsia="sk-SK"/>
              </w:rPr>
            </w:pPr>
            <w:r w:rsidRPr="007D12A6">
              <w:rPr>
                <w:rFonts w:eastAsia="Times New Roman" w:cs="Times New Roman"/>
                <w:color w:val="000000"/>
                <w:sz w:val="18"/>
                <w:szCs w:val="18"/>
                <w:lang w:eastAsia="sk-SK"/>
              </w:rPr>
              <w:t>2005</w:t>
            </w:r>
          </w:p>
        </w:tc>
        <w:tc>
          <w:tcPr>
            <w:tcW w:w="814" w:type="pct"/>
            <w:tcBorders>
              <w:top w:val="nil"/>
              <w:left w:val="nil"/>
              <w:bottom w:val="nil"/>
              <w:right w:val="nil"/>
            </w:tcBorders>
            <w:shd w:val="clear" w:color="000000" w:fill="FFFFFF"/>
            <w:noWrap/>
            <w:vAlign w:val="center"/>
            <w:hideMark/>
          </w:tcPr>
          <w:p w14:paraId="3F79BB39"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704 993</w:t>
            </w:r>
          </w:p>
        </w:tc>
        <w:tc>
          <w:tcPr>
            <w:tcW w:w="1000" w:type="pct"/>
            <w:tcBorders>
              <w:top w:val="nil"/>
              <w:left w:val="nil"/>
              <w:bottom w:val="nil"/>
              <w:right w:val="nil"/>
            </w:tcBorders>
            <w:shd w:val="clear" w:color="000000" w:fill="FFFFFF"/>
            <w:noWrap/>
            <w:vAlign w:val="center"/>
            <w:hideMark/>
          </w:tcPr>
          <w:p w14:paraId="3C1047DC"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485 614</w:t>
            </w:r>
          </w:p>
        </w:tc>
        <w:tc>
          <w:tcPr>
            <w:tcW w:w="999" w:type="pct"/>
            <w:tcBorders>
              <w:top w:val="nil"/>
              <w:left w:val="nil"/>
              <w:bottom w:val="nil"/>
              <w:right w:val="nil"/>
            </w:tcBorders>
            <w:shd w:val="clear" w:color="000000" w:fill="FFFFFF"/>
            <w:noWrap/>
            <w:vAlign w:val="center"/>
            <w:hideMark/>
          </w:tcPr>
          <w:p w14:paraId="57A187B4"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219 379</w:t>
            </w:r>
          </w:p>
        </w:tc>
      </w:tr>
      <w:tr w:rsidR="00EE5C5E" w:rsidRPr="007D12A6" w14:paraId="4581DBE3" w14:textId="77777777" w:rsidTr="007D12A6">
        <w:trPr>
          <w:trHeight w:val="330"/>
          <w:jc w:val="center"/>
        </w:trPr>
        <w:tc>
          <w:tcPr>
            <w:tcW w:w="2187" w:type="pct"/>
            <w:tcBorders>
              <w:top w:val="nil"/>
              <w:left w:val="nil"/>
              <w:bottom w:val="nil"/>
              <w:right w:val="nil"/>
            </w:tcBorders>
            <w:shd w:val="clear" w:color="000000" w:fill="FFFFFF"/>
            <w:vAlign w:val="center"/>
            <w:hideMark/>
          </w:tcPr>
          <w:p w14:paraId="2DA75DB4" w14:textId="77777777" w:rsidR="00EE5C5E" w:rsidRPr="007D12A6" w:rsidRDefault="00EE5C5E" w:rsidP="00EE5C5E">
            <w:pPr>
              <w:spacing w:after="0" w:line="240" w:lineRule="auto"/>
              <w:jc w:val="left"/>
              <w:rPr>
                <w:rFonts w:eastAsia="Times New Roman" w:cs="Times New Roman"/>
                <w:color w:val="000000"/>
                <w:sz w:val="18"/>
                <w:szCs w:val="18"/>
                <w:lang w:eastAsia="sk-SK"/>
              </w:rPr>
            </w:pPr>
            <w:r w:rsidRPr="007D12A6">
              <w:rPr>
                <w:rFonts w:eastAsia="Times New Roman" w:cs="Times New Roman"/>
                <w:color w:val="000000"/>
                <w:sz w:val="18"/>
                <w:szCs w:val="18"/>
                <w:lang w:eastAsia="sk-SK"/>
              </w:rPr>
              <w:t>2006</w:t>
            </w:r>
          </w:p>
        </w:tc>
        <w:tc>
          <w:tcPr>
            <w:tcW w:w="814" w:type="pct"/>
            <w:tcBorders>
              <w:top w:val="nil"/>
              <w:left w:val="nil"/>
              <w:bottom w:val="nil"/>
              <w:right w:val="nil"/>
            </w:tcBorders>
            <w:shd w:val="clear" w:color="000000" w:fill="FFFFFF"/>
            <w:noWrap/>
            <w:vAlign w:val="center"/>
            <w:hideMark/>
          </w:tcPr>
          <w:p w14:paraId="08C29A6F"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893 623</w:t>
            </w:r>
          </w:p>
        </w:tc>
        <w:tc>
          <w:tcPr>
            <w:tcW w:w="1000" w:type="pct"/>
            <w:tcBorders>
              <w:top w:val="nil"/>
              <w:left w:val="nil"/>
              <w:bottom w:val="nil"/>
              <w:right w:val="nil"/>
            </w:tcBorders>
            <w:shd w:val="clear" w:color="000000" w:fill="FFFFFF"/>
            <w:noWrap/>
            <w:vAlign w:val="center"/>
            <w:hideMark/>
          </w:tcPr>
          <w:p w14:paraId="2CAB5836"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526 326</w:t>
            </w:r>
          </w:p>
        </w:tc>
        <w:tc>
          <w:tcPr>
            <w:tcW w:w="999" w:type="pct"/>
            <w:tcBorders>
              <w:top w:val="nil"/>
              <w:left w:val="nil"/>
              <w:bottom w:val="nil"/>
              <w:right w:val="nil"/>
            </w:tcBorders>
            <w:shd w:val="clear" w:color="000000" w:fill="FFFFFF"/>
            <w:noWrap/>
            <w:vAlign w:val="center"/>
            <w:hideMark/>
          </w:tcPr>
          <w:p w14:paraId="4463D8D2"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367 297</w:t>
            </w:r>
          </w:p>
        </w:tc>
      </w:tr>
      <w:tr w:rsidR="00EE5C5E" w:rsidRPr="007D12A6" w14:paraId="510E4262" w14:textId="77777777" w:rsidTr="007D12A6">
        <w:trPr>
          <w:trHeight w:val="330"/>
          <w:jc w:val="center"/>
        </w:trPr>
        <w:tc>
          <w:tcPr>
            <w:tcW w:w="2187" w:type="pct"/>
            <w:tcBorders>
              <w:top w:val="nil"/>
              <w:left w:val="nil"/>
              <w:bottom w:val="nil"/>
              <w:right w:val="nil"/>
            </w:tcBorders>
            <w:shd w:val="clear" w:color="000000" w:fill="FFFFFF"/>
            <w:vAlign w:val="center"/>
            <w:hideMark/>
          </w:tcPr>
          <w:p w14:paraId="21DD6703" w14:textId="77777777" w:rsidR="00EE5C5E" w:rsidRPr="007D12A6" w:rsidRDefault="00EE5C5E" w:rsidP="00EE5C5E">
            <w:pPr>
              <w:spacing w:after="0" w:line="240" w:lineRule="auto"/>
              <w:jc w:val="left"/>
              <w:rPr>
                <w:rFonts w:eastAsia="Times New Roman" w:cs="Times New Roman"/>
                <w:color w:val="000000"/>
                <w:sz w:val="18"/>
                <w:szCs w:val="18"/>
                <w:lang w:eastAsia="sk-SK"/>
              </w:rPr>
            </w:pPr>
            <w:r w:rsidRPr="007D12A6">
              <w:rPr>
                <w:rFonts w:eastAsia="Times New Roman" w:cs="Times New Roman"/>
                <w:color w:val="000000"/>
                <w:sz w:val="18"/>
                <w:szCs w:val="18"/>
                <w:lang w:eastAsia="sk-SK"/>
              </w:rPr>
              <w:t>2007</w:t>
            </w:r>
          </w:p>
        </w:tc>
        <w:tc>
          <w:tcPr>
            <w:tcW w:w="814" w:type="pct"/>
            <w:tcBorders>
              <w:top w:val="nil"/>
              <w:left w:val="nil"/>
              <w:bottom w:val="nil"/>
              <w:right w:val="nil"/>
            </w:tcBorders>
            <w:shd w:val="clear" w:color="000000" w:fill="FFFFFF"/>
            <w:noWrap/>
            <w:vAlign w:val="center"/>
            <w:hideMark/>
          </w:tcPr>
          <w:p w14:paraId="45C5A5DF"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910 838</w:t>
            </w:r>
          </w:p>
        </w:tc>
        <w:tc>
          <w:tcPr>
            <w:tcW w:w="1000" w:type="pct"/>
            <w:tcBorders>
              <w:top w:val="nil"/>
              <w:left w:val="nil"/>
              <w:bottom w:val="nil"/>
              <w:right w:val="nil"/>
            </w:tcBorders>
            <w:shd w:val="clear" w:color="000000" w:fill="FFFFFF"/>
            <w:noWrap/>
            <w:vAlign w:val="center"/>
            <w:hideMark/>
          </w:tcPr>
          <w:p w14:paraId="4A79364D"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589 800</w:t>
            </w:r>
          </w:p>
        </w:tc>
        <w:tc>
          <w:tcPr>
            <w:tcW w:w="999" w:type="pct"/>
            <w:tcBorders>
              <w:top w:val="nil"/>
              <w:left w:val="nil"/>
              <w:bottom w:val="nil"/>
              <w:right w:val="nil"/>
            </w:tcBorders>
            <w:shd w:val="clear" w:color="000000" w:fill="FFFFFF"/>
            <w:noWrap/>
            <w:vAlign w:val="center"/>
            <w:hideMark/>
          </w:tcPr>
          <w:p w14:paraId="2724FD18"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321 038</w:t>
            </w:r>
          </w:p>
        </w:tc>
      </w:tr>
      <w:tr w:rsidR="00EE5C5E" w:rsidRPr="007D12A6" w14:paraId="76DDEBE6" w14:textId="77777777" w:rsidTr="007D12A6">
        <w:trPr>
          <w:trHeight w:val="330"/>
          <w:jc w:val="center"/>
        </w:trPr>
        <w:tc>
          <w:tcPr>
            <w:tcW w:w="2187" w:type="pct"/>
            <w:tcBorders>
              <w:top w:val="nil"/>
              <w:left w:val="nil"/>
              <w:bottom w:val="nil"/>
              <w:right w:val="nil"/>
            </w:tcBorders>
            <w:shd w:val="clear" w:color="000000" w:fill="FFFFFF"/>
            <w:vAlign w:val="center"/>
            <w:hideMark/>
          </w:tcPr>
          <w:p w14:paraId="2B157A13" w14:textId="77777777" w:rsidR="00EE5C5E" w:rsidRPr="007D12A6" w:rsidRDefault="00EE5C5E" w:rsidP="00EE5C5E">
            <w:pPr>
              <w:spacing w:after="0" w:line="240" w:lineRule="auto"/>
              <w:jc w:val="left"/>
              <w:rPr>
                <w:rFonts w:eastAsia="Times New Roman" w:cs="Times New Roman"/>
                <w:color w:val="000000"/>
                <w:sz w:val="18"/>
                <w:szCs w:val="18"/>
                <w:lang w:eastAsia="sk-SK"/>
              </w:rPr>
            </w:pPr>
            <w:r w:rsidRPr="007D12A6">
              <w:rPr>
                <w:rFonts w:eastAsia="Times New Roman" w:cs="Times New Roman"/>
                <w:color w:val="000000"/>
                <w:sz w:val="18"/>
                <w:szCs w:val="18"/>
                <w:lang w:eastAsia="sk-SK"/>
              </w:rPr>
              <w:t>2008</w:t>
            </w:r>
          </w:p>
        </w:tc>
        <w:tc>
          <w:tcPr>
            <w:tcW w:w="814" w:type="pct"/>
            <w:tcBorders>
              <w:top w:val="nil"/>
              <w:left w:val="nil"/>
              <w:bottom w:val="nil"/>
              <w:right w:val="nil"/>
            </w:tcBorders>
            <w:shd w:val="clear" w:color="000000" w:fill="FFFFFF"/>
            <w:noWrap/>
            <w:vAlign w:val="center"/>
            <w:hideMark/>
          </w:tcPr>
          <w:p w14:paraId="71F907E3"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893 497</w:t>
            </w:r>
          </w:p>
        </w:tc>
        <w:tc>
          <w:tcPr>
            <w:tcW w:w="1000" w:type="pct"/>
            <w:tcBorders>
              <w:top w:val="nil"/>
              <w:left w:val="nil"/>
              <w:bottom w:val="nil"/>
              <w:right w:val="nil"/>
            </w:tcBorders>
            <w:shd w:val="clear" w:color="000000" w:fill="FFFFFF"/>
            <w:noWrap/>
            <w:vAlign w:val="center"/>
            <w:hideMark/>
          </w:tcPr>
          <w:p w14:paraId="79B07943"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643 374</w:t>
            </w:r>
          </w:p>
        </w:tc>
        <w:tc>
          <w:tcPr>
            <w:tcW w:w="999" w:type="pct"/>
            <w:tcBorders>
              <w:top w:val="nil"/>
              <w:left w:val="nil"/>
              <w:bottom w:val="nil"/>
              <w:right w:val="nil"/>
            </w:tcBorders>
            <w:shd w:val="clear" w:color="000000" w:fill="FFFFFF"/>
            <w:noWrap/>
            <w:vAlign w:val="center"/>
            <w:hideMark/>
          </w:tcPr>
          <w:p w14:paraId="0228EB77"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250 123</w:t>
            </w:r>
          </w:p>
        </w:tc>
      </w:tr>
      <w:tr w:rsidR="00EE5C5E" w:rsidRPr="007D12A6" w14:paraId="1F2984C9" w14:textId="77777777" w:rsidTr="007D12A6">
        <w:trPr>
          <w:trHeight w:val="330"/>
          <w:jc w:val="center"/>
        </w:trPr>
        <w:tc>
          <w:tcPr>
            <w:tcW w:w="2187" w:type="pct"/>
            <w:tcBorders>
              <w:top w:val="nil"/>
              <w:left w:val="nil"/>
              <w:bottom w:val="nil"/>
              <w:right w:val="nil"/>
            </w:tcBorders>
            <w:shd w:val="clear" w:color="000000" w:fill="FFFFFF"/>
            <w:vAlign w:val="center"/>
            <w:hideMark/>
          </w:tcPr>
          <w:p w14:paraId="3AAFD530" w14:textId="77777777" w:rsidR="00EE5C5E" w:rsidRPr="007D12A6" w:rsidRDefault="00EE5C5E" w:rsidP="00EE5C5E">
            <w:pPr>
              <w:spacing w:after="0" w:line="240" w:lineRule="auto"/>
              <w:jc w:val="left"/>
              <w:rPr>
                <w:rFonts w:eastAsia="Times New Roman" w:cs="Times New Roman"/>
                <w:color w:val="000000"/>
                <w:sz w:val="18"/>
                <w:szCs w:val="18"/>
                <w:lang w:eastAsia="sk-SK"/>
              </w:rPr>
            </w:pPr>
            <w:r w:rsidRPr="007D12A6">
              <w:rPr>
                <w:rFonts w:eastAsia="Times New Roman" w:cs="Times New Roman"/>
                <w:color w:val="000000"/>
                <w:sz w:val="18"/>
                <w:szCs w:val="18"/>
                <w:lang w:eastAsia="sk-SK"/>
              </w:rPr>
              <w:t>2009</w:t>
            </w:r>
          </w:p>
        </w:tc>
        <w:tc>
          <w:tcPr>
            <w:tcW w:w="814" w:type="pct"/>
            <w:tcBorders>
              <w:top w:val="nil"/>
              <w:left w:val="nil"/>
              <w:bottom w:val="nil"/>
              <w:right w:val="nil"/>
            </w:tcBorders>
            <w:shd w:val="clear" w:color="000000" w:fill="FFFFFF"/>
            <w:noWrap/>
            <w:vAlign w:val="center"/>
            <w:hideMark/>
          </w:tcPr>
          <w:p w14:paraId="06925BF2"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1 119 659</w:t>
            </w:r>
          </w:p>
        </w:tc>
        <w:tc>
          <w:tcPr>
            <w:tcW w:w="1000" w:type="pct"/>
            <w:tcBorders>
              <w:top w:val="nil"/>
              <w:left w:val="nil"/>
              <w:bottom w:val="nil"/>
              <w:right w:val="nil"/>
            </w:tcBorders>
            <w:shd w:val="clear" w:color="000000" w:fill="FFFFFF"/>
            <w:noWrap/>
            <w:vAlign w:val="center"/>
            <w:hideMark/>
          </w:tcPr>
          <w:p w14:paraId="37DE0DA9"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695 726</w:t>
            </w:r>
          </w:p>
        </w:tc>
        <w:tc>
          <w:tcPr>
            <w:tcW w:w="999" w:type="pct"/>
            <w:tcBorders>
              <w:top w:val="nil"/>
              <w:left w:val="nil"/>
              <w:bottom w:val="nil"/>
              <w:right w:val="nil"/>
            </w:tcBorders>
            <w:shd w:val="clear" w:color="000000" w:fill="FFFFFF"/>
            <w:noWrap/>
            <w:vAlign w:val="center"/>
            <w:hideMark/>
          </w:tcPr>
          <w:p w14:paraId="5CBECF74"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423 933</w:t>
            </w:r>
          </w:p>
        </w:tc>
      </w:tr>
      <w:tr w:rsidR="00EE5C5E" w:rsidRPr="007D12A6" w14:paraId="1A12F506" w14:textId="77777777" w:rsidTr="007D12A6">
        <w:trPr>
          <w:trHeight w:val="330"/>
          <w:jc w:val="center"/>
        </w:trPr>
        <w:tc>
          <w:tcPr>
            <w:tcW w:w="2187" w:type="pct"/>
            <w:tcBorders>
              <w:top w:val="nil"/>
              <w:left w:val="nil"/>
              <w:bottom w:val="nil"/>
              <w:right w:val="nil"/>
            </w:tcBorders>
            <w:shd w:val="clear" w:color="000000" w:fill="FFFFFF"/>
            <w:vAlign w:val="center"/>
            <w:hideMark/>
          </w:tcPr>
          <w:p w14:paraId="16D7DF39" w14:textId="77777777" w:rsidR="00EE5C5E" w:rsidRPr="007D12A6" w:rsidRDefault="00EE5C5E" w:rsidP="00EE5C5E">
            <w:pPr>
              <w:spacing w:after="0" w:line="240" w:lineRule="auto"/>
              <w:jc w:val="left"/>
              <w:rPr>
                <w:rFonts w:eastAsia="Times New Roman" w:cs="Times New Roman"/>
                <w:color w:val="000000"/>
                <w:sz w:val="18"/>
                <w:szCs w:val="18"/>
                <w:lang w:eastAsia="sk-SK"/>
              </w:rPr>
            </w:pPr>
            <w:r w:rsidRPr="007D12A6">
              <w:rPr>
                <w:rFonts w:eastAsia="Times New Roman" w:cs="Times New Roman"/>
                <w:color w:val="000000"/>
                <w:sz w:val="18"/>
                <w:szCs w:val="18"/>
                <w:lang w:eastAsia="sk-SK"/>
              </w:rPr>
              <w:t>2010</w:t>
            </w:r>
          </w:p>
        </w:tc>
        <w:tc>
          <w:tcPr>
            <w:tcW w:w="814" w:type="pct"/>
            <w:tcBorders>
              <w:top w:val="nil"/>
              <w:left w:val="nil"/>
              <w:bottom w:val="nil"/>
              <w:right w:val="nil"/>
            </w:tcBorders>
            <w:shd w:val="clear" w:color="000000" w:fill="FFFFFF"/>
            <w:noWrap/>
            <w:vAlign w:val="center"/>
            <w:hideMark/>
          </w:tcPr>
          <w:p w14:paraId="729B5D21"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1 672 483</w:t>
            </w:r>
          </w:p>
        </w:tc>
        <w:tc>
          <w:tcPr>
            <w:tcW w:w="1000" w:type="pct"/>
            <w:tcBorders>
              <w:top w:val="nil"/>
              <w:left w:val="nil"/>
              <w:bottom w:val="nil"/>
              <w:right w:val="nil"/>
            </w:tcBorders>
            <w:shd w:val="clear" w:color="000000" w:fill="FFFFFF"/>
            <w:noWrap/>
            <w:vAlign w:val="center"/>
            <w:hideMark/>
          </w:tcPr>
          <w:p w14:paraId="4D50A982"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627 529</w:t>
            </w:r>
          </w:p>
        </w:tc>
        <w:tc>
          <w:tcPr>
            <w:tcW w:w="999" w:type="pct"/>
            <w:tcBorders>
              <w:top w:val="nil"/>
              <w:left w:val="nil"/>
              <w:bottom w:val="nil"/>
              <w:right w:val="nil"/>
            </w:tcBorders>
            <w:shd w:val="clear" w:color="000000" w:fill="FFFFFF"/>
            <w:noWrap/>
            <w:vAlign w:val="center"/>
            <w:hideMark/>
          </w:tcPr>
          <w:p w14:paraId="2A83B712"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1 044 954</w:t>
            </w:r>
          </w:p>
        </w:tc>
      </w:tr>
      <w:tr w:rsidR="00EE5C5E" w:rsidRPr="007D12A6" w14:paraId="5574FDBA" w14:textId="77777777" w:rsidTr="007D12A6">
        <w:trPr>
          <w:trHeight w:val="330"/>
          <w:jc w:val="center"/>
        </w:trPr>
        <w:tc>
          <w:tcPr>
            <w:tcW w:w="2187" w:type="pct"/>
            <w:tcBorders>
              <w:top w:val="nil"/>
              <w:left w:val="nil"/>
              <w:bottom w:val="nil"/>
              <w:right w:val="nil"/>
            </w:tcBorders>
            <w:shd w:val="clear" w:color="000000" w:fill="FFFFFF"/>
            <w:vAlign w:val="center"/>
            <w:hideMark/>
          </w:tcPr>
          <w:p w14:paraId="644EA598" w14:textId="77777777" w:rsidR="00EE5C5E" w:rsidRPr="007D12A6" w:rsidRDefault="00EE5C5E" w:rsidP="00EE5C5E">
            <w:pPr>
              <w:spacing w:after="0" w:line="240" w:lineRule="auto"/>
              <w:jc w:val="left"/>
              <w:rPr>
                <w:rFonts w:eastAsia="Times New Roman" w:cs="Times New Roman"/>
                <w:color w:val="000000"/>
                <w:sz w:val="18"/>
                <w:szCs w:val="18"/>
                <w:lang w:eastAsia="sk-SK"/>
              </w:rPr>
            </w:pPr>
            <w:r w:rsidRPr="007D12A6">
              <w:rPr>
                <w:rFonts w:eastAsia="Times New Roman" w:cs="Times New Roman"/>
                <w:color w:val="000000"/>
                <w:sz w:val="18"/>
                <w:szCs w:val="18"/>
                <w:lang w:eastAsia="sk-SK"/>
              </w:rPr>
              <w:t>2011</w:t>
            </w:r>
          </w:p>
        </w:tc>
        <w:tc>
          <w:tcPr>
            <w:tcW w:w="814" w:type="pct"/>
            <w:tcBorders>
              <w:top w:val="nil"/>
              <w:left w:val="nil"/>
              <w:bottom w:val="nil"/>
              <w:right w:val="nil"/>
            </w:tcBorders>
            <w:shd w:val="clear" w:color="000000" w:fill="FFFFFF"/>
            <w:noWrap/>
            <w:vAlign w:val="center"/>
            <w:hideMark/>
          </w:tcPr>
          <w:p w14:paraId="38339DD3"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2 041 093</w:t>
            </w:r>
          </w:p>
        </w:tc>
        <w:tc>
          <w:tcPr>
            <w:tcW w:w="1000" w:type="pct"/>
            <w:tcBorders>
              <w:top w:val="nil"/>
              <w:left w:val="nil"/>
              <w:bottom w:val="nil"/>
              <w:right w:val="nil"/>
            </w:tcBorders>
            <w:shd w:val="clear" w:color="000000" w:fill="FFFFFF"/>
            <w:noWrap/>
            <w:vAlign w:val="center"/>
            <w:hideMark/>
          </w:tcPr>
          <w:p w14:paraId="2F3A66D1"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704 656</w:t>
            </w:r>
          </w:p>
        </w:tc>
        <w:tc>
          <w:tcPr>
            <w:tcW w:w="999" w:type="pct"/>
            <w:tcBorders>
              <w:top w:val="nil"/>
              <w:left w:val="nil"/>
              <w:bottom w:val="nil"/>
              <w:right w:val="nil"/>
            </w:tcBorders>
            <w:shd w:val="clear" w:color="000000" w:fill="FFFFFF"/>
            <w:noWrap/>
            <w:vAlign w:val="center"/>
            <w:hideMark/>
          </w:tcPr>
          <w:p w14:paraId="6E873E7C"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1 336 437</w:t>
            </w:r>
          </w:p>
        </w:tc>
      </w:tr>
      <w:tr w:rsidR="00EE5C5E" w:rsidRPr="007D12A6" w14:paraId="59870D7C" w14:textId="77777777" w:rsidTr="007D12A6">
        <w:trPr>
          <w:trHeight w:val="330"/>
          <w:jc w:val="center"/>
        </w:trPr>
        <w:tc>
          <w:tcPr>
            <w:tcW w:w="2187" w:type="pct"/>
            <w:tcBorders>
              <w:top w:val="nil"/>
              <w:left w:val="nil"/>
              <w:bottom w:val="nil"/>
              <w:right w:val="nil"/>
            </w:tcBorders>
            <w:shd w:val="clear" w:color="000000" w:fill="FFFFFF"/>
            <w:vAlign w:val="center"/>
            <w:hideMark/>
          </w:tcPr>
          <w:p w14:paraId="0436AAF5" w14:textId="77777777" w:rsidR="00EE5C5E" w:rsidRPr="007D12A6" w:rsidRDefault="00EE5C5E" w:rsidP="00EE5C5E">
            <w:pPr>
              <w:spacing w:after="0" w:line="240" w:lineRule="auto"/>
              <w:jc w:val="left"/>
              <w:rPr>
                <w:rFonts w:eastAsia="Times New Roman" w:cs="Times New Roman"/>
                <w:color w:val="000000"/>
                <w:sz w:val="18"/>
                <w:szCs w:val="18"/>
                <w:lang w:eastAsia="sk-SK"/>
              </w:rPr>
            </w:pPr>
            <w:r w:rsidRPr="007D12A6">
              <w:rPr>
                <w:rFonts w:eastAsia="Times New Roman" w:cs="Times New Roman"/>
                <w:color w:val="000000"/>
                <w:sz w:val="18"/>
                <w:szCs w:val="18"/>
                <w:lang w:eastAsia="sk-SK"/>
              </w:rPr>
              <w:t>2012</w:t>
            </w:r>
          </w:p>
        </w:tc>
        <w:tc>
          <w:tcPr>
            <w:tcW w:w="814" w:type="pct"/>
            <w:tcBorders>
              <w:top w:val="nil"/>
              <w:left w:val="nil"/>
              <w:bottom w:val="nil"/>
              <w:right w:val="nil"/>
            </w:tcBorders>
            <w:shd w:val="clear" w:color="000000" w:fill="FFFFFF"/>
            <w:noWrap/>
            <w:vAlign w:val="center"/>
            <w:hideMark/>
          </w:tcPr>
          <w:p w14:paraId="40491913"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2 137 849</w:t>
            </w:r>
          </w:p>
        </w:tc>
        <w:tc>
          <w:tcPr>
            <w:tcW w:w="1000" w:type="pct"/>
            <w:tcBorders>
              <w:top w:val="nil"/>
              <w:left w:val="nil"/>
              <w:bottom w:val="nil"/>
              <w:right w:val="nil"/>
            </w:tcBorders>
            <w:shd w:val="clear" w:color="000000" w:fill="FFFFFF"/>
            <w:noWrap/>
            <w:vAlign w:val="center"/>
            <w:hideMark/>
          </w:tcPr>
          <w:p w14:paraId="4F53BDDA"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722 831</w:t>
            </w:r>
          </w:p>
        </w:tc>
        <w:tc>
          <w:tcPr>
            <w:tcW w:w="999" w:type="pct"/>
            <w:tcBorders>
              <w:top w:val="nil"/>
              <w:left w:val="nil"/>
              <w:bottom w:val="nil"/>
              <w:right w:val="nil"/>
            </w:tcBorders>
            <w:shd w:val="clear" w:color="000000" w:fill="FFFFFF"/>
            <w:noWrap/>
            <w:vAlign w:val="center"/>
            <w:hideMark/>
          </w:tcPr>
          <w:p w14:paraId="5AA726C4"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1 415 018</w:t>
            </w:r>
          </w:p>
        </w:tc>
      </w:tr>
      <w:tr w:rsidR="00EE5C5E" w:rsidRPr="007D12A6" w14:paraId="4F5E0825" w14:textId="77777777" w:rsidTr="007D12A6">
        <w:trPr>
          <w:trHeight w:val="330"/>
          <w:jc w:val="center"/>
        </w:trPr>
        <w:tc>
          <w:tcPr>
            <w:tcW w:w="2187" w:type="pct"/>
            <w:tcBorders>
              <w:top w:val="nil"/>
              <w:left w:val="nil"/>
              <w:bottom w:val="nil"/>
              <w:right w:val="nil"/>
            </w:tcBorders>
            <w:shd w:val="clear" w:color="000000" w:fill="FFFFFF"/>
            <w:vAlign w:val="center"/>
            <w:hideMark/>
          </w:tcPr>
          <w:p w14:paraId="2D1D378C" w14:textId="77777777" w:rsidR="00EE5C5E" w:rsidRPr="007D12A6" w:rsidRDefault="00EE5C5E" w:rsidP="00EE5C5E">
            <w:pPr>
              <w:spacing w:after="0" w:line="240" w:lineRule="auto"/>
              <w:jc w:val="left"/>
              <w:rPr>
                <w:rFonts w:eastAsia="Times New Roman" w:cs="Times New Roman"/>
                <w:color w:val="000000"/>
                <w:sz w:val="18"/>
                <w:szCs w:val="18"/>
                <w:lang w:eastAsia="sk-SK"/>
              </w:rPr>
            </w:pPr>
            <w:r w:rsidRPr="007D12A6">
              <w:rPr>
                <w:rFonts w:eastAsia="Times New Roman" w:cs="Times New Roman"/>
                <w:color w:val="000000"/>
                <w:sz w:val="18"/>
                <w:szCs w:val="18"/>
                <w:lang w:eastAsia="sk-SK"/>
              </w:rPr>
              <w:t>2013</w:t>
            </w:r>
          </w:p>
        </w:tc>
        <w:tc>
          <w:tcPr>
            <w:tcW w:w="814" w:type="pct"/>
            <w:tcBorders>
              <w:top w:val="nil"/>
              <w:left w:val="nil"/>
              <w:bottom w:val="nil"/>
              <w:right w:val="nil"/>
            </w:tcBorders>
            <w:shd w:val="clear" w:color="000000" w:fill="FFFFFF"/>
            <w:noWrap/>
            <w:vAlign w:val="center"/>
            <w:hideMark/>
          </w:tcPr>
          <w:p w14:paraId="54E8C61B"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2 185 358</w:t>
            </w:r>
          </w:p>
        </w:tc>
        <w:tc>
          <w:tcPr>
            <w:tcW w:w="1000" w:type="pct"/>
            <w:tcBorders>
              <w:top w:val="nil"/>
              <w:left w:val="nil"/>
              <w:bottom w:val="nil"/>
              <w:right w:val="nil"/>
            </w:tcBorders>
            <w:shd w:val="clear" w:color="000000" w:fill="FFFFFF"/>
            <w:noWrap/>
            <w:vAlign w:val="center"/>
            <w:hideMark/>
          </w:tcPr>
          <w:p w14:paraId="0104E842"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825 098</w:t>
            </w:r>
          </w:p>
        </w:tc>
        <w:tc>
          <w:tcPr>
            <w:tcW w:w="999" w:type="pct"/>
            <w:tcBorders>
              <w:top w:val="nil"/>
              <w:left w:val="nil"/>
              <w:bottom w:val="nil"/>
              <w:right w:val="nil"/>
            </w:tcBorders>
            <w:shd w:val="clear" w:color="000000" w:fill="FFFFFF"/>
            <w:noWrap/>
            <w:vAlign w:val="center"/>
            <w:hideMark/>
          </w:tcPr>
          <w:p w14:paraId="344ED56A"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1 360 260</w:t>
            </w:r>
          </w:p>
        </w:tc>
      </w:tr>
      <w:tr w:rsidR="00EE5C5E" w:rsidRPr="007D12A6" w14:paraId="3293D11F" w14:textId="77777777" w:rsidTr="007D12A6">
        <w:trPr>
          <w:trHeight w:val="330"/>
          <w:jc w:val="center"/>
        </w:trPr>
        <w:tc>
          <w:tcPr>
            <w:tcW w:w="2187" w:type="pct"/>
            <w:tcBorders>
              <w:top w:val="nil"/>
              <w:left w:val="nil"/>
              <w:bottom w:val="nil"/>
              <w:right w:val="nil"/>
            </w:tcBorders>
            <w:shd w:val="clear" w:color="000000" w:fill="FFFFFF"/>
            <w:vAlign w:val="center"/>
            <w:hideMark/>
          </w:tcPr>
          <w:p w14:paraId="656B411A" w14:textId="77777777" w:rsidR="00EE5C5E" w:rsidRPr="007D12A6" w:rsidRDefault="00EE5C5E" w:rsidP="00EE5C5E">
            <w:pPr>
              <w:spacing w:after="0" w:line="240" w:lineRule="auto"/>
              <w:jc w:val="left"/>
              <w:rPr>
                <w:rFonts w:eastAsia="Times New Roman" w:cs="Times New Roman"/>
                <w:color w:val="000000"/>
                <w:sz w:val="18"/>
                <w:szCs w:val="18"/>
                <w:lang w:eastAsia="sk-SK"/>
              </w:rPr>
            </w:pPr>
            <w:r w:rsidRPr="007D12A6">
              <w:rPr>
                <w:rFonts w:eastAsia="Times New Roman" w:cs="Times New Roman"/>
                <w:color w:val="000000"/>
                <w:sz w:val="18"/>
                <w:szCs w:val="18"/>
                <w:lang w:eastAsia="sk-SK"/>
              </w:rPr>
              <w:t>2014</w:t>
            </w:r>
          </w:p>
        </w:tc>
        <w:tc>
          <w:tcPr>
            <w:tcW w:w="814" w:type="pct"/>
            <w:tcBorders>
              <w:top w:val="nil"/>
              <w:left w:val="nil"/>
              <w:bottom w:val="nil"/>
              <w:right w:val="nil"/>
            </w:tcBorders>
            <w:shd w:val="clear" w:color="000000" w:fill="FFFFFF"/>
            <w:noWrap/>
            <w:vAlign w:val="center"/>
            <w:hideMark/>
          </w:tcPr>
          <w:p w14:paraId="5EAD79E1"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1 265 091</w:t>
            </w:r>
          </w:p>
        </w:tc>
        <w:tc>
          <w:tcPr>
            <w:tcW w:w="1000" w:type="pct"/>
            <w:tcBorders>
              <w:top w:val="nil"/>
              <w:left w:val="nil"/>
              <w:bottom w:val="nil"/>
              <w:right w:val="nil"/>
            </w:tcBorders>
            <w:shd w:val="clear" w:color="000000" w:fill="FFFFFF"/>
            <w:noWrap/>
            <w:vAlign w:val="center"/>
            <w:hideMark/>
          </w:tcPr>
          <w:p w14:paraId="40299B1C"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785 366</w:t>
            </w:r>
          </w:p>
        </w:tc>
        <w:tc>
          <w:tcPr>
            <w:tcW w:w="999" w:type="pct"/>
            <w:tcBorders>
              <w:top w:val="nil"/>
              <w:left w:val="nil"/>
              <w:bottom w:val="nil"/>
              <w:right w:val="nil"/>
            </w:tcBorders>
            <w:shd w:val="clear" w:color="000000" w:fill="FFFFFF"/>
            <w:noWrap/>
            <w:vAlign w:val="center"/>
            <w:hideMark/>
          </w:tcPr>
          <w:p w14:paraId="17304A01"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479 725</w:t>
            </w:r>
          </w:p>
        </w:tc>
      </w:tr>
      <w:tr w:rsidR="00EE5C5E" w:rsidRPr="007D12A6" w14:paraId="30ED625E" w14:textId="77777777" w:rsidTr="007D12A6">
        <w:trPr>
          <w:trHeight w:val="330"/>
          <w:jc w:val="center"/>
        </w:trPr>
        <w:tc>
          <w:tcPr>
            <w:tcW w:w="2187" w:type="pct"/>
            <w:tcBorders>
              <w:top w:val="nil"/>
              <w:left w:val="nil"/>
              <w:bottom w:val="nil"/>
              <w:right w:val="nil"/>
            </w:tcBorders>
            <w:shd w:val="clear" w:color="000000" w:fill="FFFFFF"/>
            <w:vAlign w:val="center"/>
            <w:hideMark/>
          </w:tcPr>
          <w:p w14:paraId="6BCA540C" w14:textId="77777777" w:rsidR="00EE5C5E" w:rsidRPr="007D12A6" w:rsidRDefault="00EE5C5E" w:rsidP="00EE5C5E">
            <w:pPr>
              <w:spacing w:after="0" w:line="240" w:lineRule="auto"/>
              <w:jc w:val="left"/>
              <w:rPr>
                <w:rFonts w:eastAsia="Times New Roman" w:cs="Times New Roman"/>
                <w:color w:val="000000"/>
                <w:sz w:val="18"/>
                <w:szCs w:val="18"/>
                <w:lang w:eastAsia="sk-SK"/>
              </w:rPr>
            </w:pPr>
            <w:r w:rsidRPr="007D12A6">
              <w:rPr>
                <w:rFonts w:eastAsia="Times New Roman" w:cs="Times New Roman"/>
                <w:color w:val="000000"/>
                <w:sz w:val="18"/>
                <w:szCs w:val="18"/>
                <w:lang w:eastAsia="sk-SK"/>
              </w:rPr>
              <w:t>2015</w:t>
            </w:r>
          </w:p>
        </w:tc>
        <w:tc>
          <w:tcPr>
            <w:tcW w:w="814" w:type="pct"/>
            <w:tcBorders>
              <w:top w:val="nil"/>
              <w:left w:val="nil"/>
              <w:bottom w:val="nil"/>
              <w:right w:val="nil"/>
            </w:tcBorders>
            <w:shd w:val="clear" w:color="auto" w:fill="auto"/>
            <w:noWrap/>
            <w:vAlign w:val="center"/>
            <w:hideMark/>
          </w:tcPr>
          <w:p w14:paraId="4C073CA1"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4 288 873</w:t>
            </w:r>
          </w:p>
        </w:tc>
        <w:tc>
          <w:tcPr>
            <w:tcW w:w="1000" w:type="pct"/>
            <w:tcBorders>
              <w:top w:val="nil"/>
              <w:left w:val="nil"/>
              <w:bottom w:val="nil"/>
              <w:right w:val="nil"/>
            </w:tcBorders>
            <w:shd w:val="clear" w:color="000000" w:fill="FFFFFF"/>
            <w:noWrap/>
            <w:vAlign w:val="center"/>
            <w:hideMark/>
          </w:tcPr>
          <w:p w14:paraId="4CADD876"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695 508</w:t>
            </w:r>
          </w:p>
        </w:tc>
        <w:tc>
          <w:tcPr>
            <w:tcW w:w="999" w:type="pct"/>
            <w:tcBorders>
              <w:top w:val="nil"/>
              <w:left w:val="nil"/>
              <w:bottom w:val="nil"/>
              <w:right w:val="nil"/>
            </w:tcBorders>
            <w:shd w:val="clear" w:color="auto" w:fill="auto"/>
            <w:noWrap/>
            <w:vAlign w:val="center"/>
            <w:hideMark/>
          </w:tcPr>
          <w:p w14:paraId="4455F6E4"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3 593 365</w:t>
            </w:r>
          </w:p>
        </w:tc>
      </w:tr>
      <w:tr w:rsidR="00EE5C5E" w:rsidRPr="007D12A6" w14:paraId="5736D5B0" w14:textId="77777777" w:rsidTr="007D12A6">
        <w:trPr>
          <w:trHeight w:val="330"/>
          <w:jc w:val="center"/>
        </w:trPr>
        <w:tc>
          <w:tcPr>
            <w:tcW w:w="2187" w:type="pct"/>
            <w:tcBorders>
              <w:top w:val="nil"/>
              <w:left w:val="nil"/>
              <w:bottom w:val="nil"/>
              <w:right w:val="nil"/>
            </w:tcBorders>
            <w:shd w:val="clear" w:color="000000" w:fill="FFFFFF"/>
            <w:vAlign w:val="center"/>
            <w:hideMark/>
          </w:tcPr>
          <w:p w14:paraId="1DE38C50" w14:textId="77777777" w:rsidR="00EE5C5E" w:rsidRPr="007D12A6" w:rsidRDefault="00EE5C5E" w:rsidP="00EE5C5E">
            <w:pPr>
              <w:spacing w:after="0" w:line="240" w:lineRule="auto"/>
              <w:jc w:val="left"/>
              <w:rPr>
                <w:rFonts w:eastAsia="Times New Roman" w:cs="Times New Roman"/>
                <w:color w:val="000000"/>
                <w:sz w:val="18"/>
                <w:szCs w:val="18"/>
                <w:lang w:eastAsia="sk-SK"/>
              </w:rPr>
            </w:pPr>
            <w:r w:rsidRPr="007D12A6">
              <w:rPr>
                <w:rFonts w:eastAsia="Times New Roman" w:cs="Times New Roman"/>
                <w:color w:val="000000"/>
                <w:sz w:val="18"/>
                <w:szCs w:val="18"/>
                <w:lang w:eastAsia="sk-SK"/>
              </w:rPr>
              <w:t>2016</w:t>
            </w:r>
          </w:p>
        </w:tc>
        <w:tc>
          <w:tcPr>
            <w:tcW w:w="814" w:type="pct"/>
            <w:tcBorders>
              <w:top w:val="nil"/>
              <w:left w:val="nil"/>
              <w:bottom w:val="nil"/>
              <w:right w:val="nil"/>
            </w:tcBorders>
            <w:shd w:val="clear" w:color="000000" w:fill="FFFFFF"/>
            <w:noWrap/>
            <w:vAlign w:val="center"/>
            <w:hideMark/>
          </w:tcPr>
          <w:p w14:paraId="3D8A9C93"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1 947 481</w:t>
            </w:r>
          </w:p>
        </w:tc>
        <w:tc>
          <w:tcPr>
            <w:tcW w:w="1000" w:type="pct"/>
            <w:tcBorders>
              <w:top w:val="nil"/>
              <w:left w:val="nil"/>
              <w:bottom w:val="nil"/>
              <w:right w:val="nil"/>
            </w:tcBorders>
            <w:shd w:val="clear" w:color="auto" w:fill="auto"/>
            <w:noWrap/>
            <w:vAlign w:val="center"/>
            <w:hideMark/>
          </w:tcPr>
          <w:p w14:paraId="09A58022"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739 903</w:t>
            </w:r>
          </w:p>
        </w:tc>
        <w:tc>
          <w:tcPr>
            <w:tcW w:w="999" w:type="pct"/>
            <w:tcBorders>
              <w:top w:val="nil"/>
              <w:left w:val="nil"/>
              <w:bottom w:val="nil"/>
              <w:right w:val="nil"/>
            </w:tcBorders>
            <w:shd w:val="clear" w:color="000000" w:fill="FFFFFF"/>
            <w:noWrap/>
            <w:vAlign w:val="center"/>
            <w:hideMark/>
          </w:tcPr>
          <w:p w14:paraId="2D314BD4"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1 207 578</w:t>
            </w:r>
          </w:p>
        </w:tc>
      </w:tr>
      <w:tr w:rsidR="00EE5C5E" w:rsidRPr="007D12A6" w14:paraId="7863AFF2" w14:textId="77777777" w:rsidTr="007D12A6">
        <w:trPr>
          <w:trHeight w:val="330"/>
          <w:jc w:val="center"/>
        </w:trPr>
        <w:tc>
          <w:tcPr>
            <w:tcW w:w="2187" w:type="pct"/>
            <w:tcBorders>
              <w:top w:val="nil"/>
              <w:left w:val="nil"/>
              <w:bottom w:val="nil"/>
              <w:right w:val="nil"/>
            </w:tcBorders>
            <w:shd w:val="clear" w:color="000000" w:fill="FFFFFF"/>
            <w:vAlign w:val="center"/>
            <w:hideMark/>
          </w:tcPr>
          <w:p w14:paraId="6DB09A53" w14:textId="77777777" w:rsidR="00EE5C5E" w:rsidRPr="007D12A6" w:rsidRDefault="00EE5C5E" w:rsidP="00EE5C5E">
            <w:pPr>
              <w:spacing w:after="0" w:line="240" w:lineRule="auto"/>
              <w:jc w:val="left"/>
              <w:rPr>
                <w:rFonts w:eastAsia="Times New Roman" w:cs="Times New Roman"/>
                <w:color w:val="000000"/>
                <w:sz w:val="18"/>
                <w:szCs w:val="18"/>
                <w:lang w:eastAsia="sk-SK"/>
              </w:rPr>
            </w:pPr>
            <w:r w:rsidRPr="007D12A6">
              <w:rPr>
                <w:rFonts w:eastAsia="Times New Roman" w:cs="Times New Roman"/>
                <w:color w:val="000000"/>
                <w:sz w:val="18"/>
                <w:szCs w:val="18"/>
                <w:lang w:eastAsia="sk-SK"/>
              </w:rPr>
              <w:t>2017</w:t>
            </w:r>
          </w:p>
        </w:tc>
        <w:tc>
          <w:tcPr>
            <w:tcW w:w="814" w:type="pct"/>
            <w:tcBorders>
              <w:top w:val="nil"/>
              <w:left w:val="nil"/>
              <w:bottom w:val="nil"/>
              <w:right w:val="nil"/>
            </w:tcBorders>
            <w:shd w:val="clear" w:color="000000" w:fill="FFFFFF"/>
            <w:noWrap/>
            <w:vAlign w:val="center"/>
            <w:hideMark/>
          </w:tcPr>
          <w:p w14:paraId="2B1D56BE"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1 425 572</w:t>
            </w:r>
          </w:p>
        </w:tc>
        <w:tc>
          <w:tcPr>
            <w:tcW w:w="1000" w:type="pct"/>
            <w:tcBorders>
              <w:top w:val="nil"/>
              <w:left w:val="nil"/>
              <w:bottom w:val="nil"/>
              <w:right w:val="nil"/>
            </w:tcBorders>
            <w:shd w:val="clear" w:color="000000" w:fill="FFFFFF"/>
            <w:noWrap/>
            <w:vAlign w:val="center"/>
            <w:hideMark/>
          </w:tcPr>
          <w:p w14:paraId="1F9582C7"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738 045</w:t>
            </w:r>
          </w:p>
        </w:tc>
        <w:tc>
          <w:tcPr>
            <w:tcW w:w="999" w:type="pct"/>
            <w:tcBorders>
              <w:top w:val="nil"/>
              <w:left w:val="nil"/>
              <w:bottom w:val="nil"/>
              <w:right w:val="nil"/>
            </w:tcBorders>
            <w:shd w:val="clear" w:color="000000" w:fill="FFFFFF"/>
            <w:noWrap/>
            <w:vAlign w:val="center"/>
            <w:hideMark/>
          </w:tcPr>
          <w:p w14:paraId="45C6D845"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687 527</w:t>
            </w:r>
          </w:p>
        </w:tc>
      </w:tr>
      <w:tr w:rsidR="00EE5C5E" w:rsidRPr="007D12A6" w14:paraId="4CEC04BB" w14:textId="77777777" w:rsidTr="007D12A6">
        <w:trPr>
          <w:trHeight w:val="330"/>
          <w:jc w:val="center"/>
        </w:trPr>
        <w:tc>
          <w:tcPr>
            <w:tcW w:w="2187" w:type="pct"/>
            <w:tcBorders>
              <w:top w:val="nil"/>
              <w:left w:val="nil"/>
              <w:bottom w:val="nil"/>
              <w:right w:val="nil"/>
            </w:tcBorders>
            <w:shd w:val="clear" w:color="000000" w:fill="FFFFFF"/>
            <w:vAlign w:val="center"/>
            <w:hideMark/>
          </w:tcPr>
          <w:p w14:paraId="2361D1CC" w14:textId="77777777" w:rsidR="00EE5C5E" w:rsidRPr="007D12A6" w:rsidRDefault="00EE5C5E" w:rsidP="00EE5C5E">
            <w:pPr>
              <w:spacing w:after="0" w:line="240" w:lineRule="auto"/>
              <w:jc w:val="left"/>
              <w:rPr>
                <w:rFonts w:eastAsia="Times New Roman" w:cs="Times New Roman"/>
                <w:color w:val="000000"/>
                <w:sz w:val="18"/>
                <w:szCs w:val="18"/>
                <w:lang w:eastAsia="sk-SK"/>
              </w:rPr>
            </w:pPr>
            <w:r w:rsidRPr="007D12A6">
              <w:rPr>
                <w:rFonts w:eastAsia="Times New Roman" w:cs="Times New Roman"/>
                <w:color w:val="000000"/>
                <w:sz w:val="18"/>
                <w:szCs w:val="18"/>
                <w:lang w:eastAsia="sk-SK"/>
              </w:rPr>
              <w:t>2018</w:t>
            </w:r>
          </w:p>
        </w:tc>
        <w:tc>
          <w:tcPr>
            <w:tcW w:w="814" w:type="pct"/>
            <w:tcBorders>
              <w:top w:val="nil"/>
              <w:left w:val="nil"/>
              <w:bottom w:val="nil"/>
              <w:right w:val="nil"/>
            </w:tcBorders>
            <w:shd w:val="clear" w:color="000000" w:fill="FFFFFF"/>
            <w:noWrap/>
            <w:vAlign w:val="center"/>
            <w:hideMark/>
          </w:tcPr>
          <w:p w14:paraId="7ABA54C0"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2 169 732</w:t>
            </w:r>
          </w:p>
        </w:tc>
        <w:tc>
          <w:tcPr>
            <w:tcW w:w="1000" w:type="pct"/>
            <w:tcBorders>
              <w:top w:val="nil"/>
              <w:left w:val="nil"/>
              <w:bottom w:val="nil"/>
              <w:right w:val="nil"/>
            </w:tcBorders>
            <w:shd w:val="clear" w:color="auto" w:fill="auto"/>
            <w:noWrap/>
            <w:vAlign w:val="center"/>
            <w:hideMark/>
          </w:tcPr>
          <w:p w14:paraId="59523B31"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841 321</w:t>
            </w:r>
          </w:p>
        </w:tc>
        <w:tc>
          <w:tcPr>
            <w:tcW w:w="999" w:type="pct"/>
            <w:tcBorders>
              <w:top w:val="nil"/>
              <w:left w:val="nil"/>
              <w:bottom w:val="nil"/>
              <w:right w:val="nil"/>
            </w:tcBorders>
            <w:shd w:val="clear" w:color="000000" w:fill="FFFFFF"/>
            <w:noWrap/>
            <w:vAlign w:val="center"/>
            <w:hideMark/>
          </w:tcPr>
          <w:p w14:paraId="42B5A0F1"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1 328 411</w:t>
            </w:r>
          </w:p>
        </w:tc>
      </w:tr>
      <w:tr w:rsidR="00EE5C5E" w:rsidRPr="007D12A6" w14:paraId="539BF8E1" w14:textId="77777777" w:rsidTr="007D12A6">
        <w:trPr>
          <w:trHeight w:val="330"/>
          <w:jc w:val="center"/>
        </w:trPr>
        <w:tc>
          <w:tcPr>
            <w:tcW w:w="2187" w:type="pct"/>
            <w:tcBorders>
              <w:top w:val="nil"/>
              <w:left w:val="nil"/>
              <w:bottom w:val="nil"/>
              <w:right w:val="nil"/>
            </w:tcBorders>
            <w:shd w:val="clear" w:color="000000" w:fill="FFFFFF"/>
            <w:vAlign w:val="center"/>
            <w:hideMark/>
          </w:tcPr>
          <w:p w14:paraId="157E6934" w14:textId="77777777" w:rsidR="00EE5C5E" w:rsidRPr="007D12A6" w:rsidRDefault="00EE5C5E" w:rsidP="00EE5C5E">
            <w:pPr>
              <w:spacing w:after="0" w:line="240" w:lineRule="auto"/>
              <w:jc w:val="left"/>
              <w:rPr>
                <w:rFonts w:eastAsia="Times New Roman" w:cs="Times New Roman"/>
                <w:color w:val="000000"/>
                <w:sz w:val="18"/>
                <w:szCs w:val="18"/>
                <w:lang w:eastAsia="sk-SK"/>
              </w:rPr>
            </w:pPr>
            <w:r w:rsidRPr="007D12A6">
              <w:rPr>
                <w:rFonts w:eastAsia="Times New Roman" w:cs="Times New Roman"/>
                <w:color w:val="000000"/>
                <w:sz w:val="18"/>
                <w:szCs w:val="18"/>
                <w:lang w:eastAsia="sk-SK"/>
              </w:rPr>
              <w:t>2019</w:t>
            </w:r>
          </w:p>
        </w:tc>
        <w:tc>
          <w:tcPr>
            <w:tcW w:w="814" w:type="pct"/>
            <w:tcBorders>
              <w:top w:val="nil"/>
              <w:left w:val="nil"/>
              <w:bottom w:val="nil"/>
              <w:right w:val="nil"/>
            </w:tcBorders>
            <w:shd w:val="clear" w:color="auto" w:fill="auto"/>
            <w:noWrap/>
            <w:vAlign w:val="center"/>
            <w:hideMark/>
          </w:tcPr>
          <w:p w14:paraId="2D96BF9E"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2 126 943</w:t>
            </w:r>
          </w:p>
        </w:tc>
        <w:tc>
          <w:tcPr>
            <w:tcW w:w="1000" w:type="pct"/>
            <w:tcBorders>
              <w:top w:val="nil"/>
              <w:left w:val="nil"/>
              <w:bottom w:val="nil"/>
              <w:right w:val="nil"/>
            </w:tcBorders>
            <w:shd w:val="clear" w:color="000000" w:fill="FFFFFF"/>
            <w:noWrap/>
            <w:vAlign w:val="center"/>
            <w:hideMark/>
          </w:tcPr>
          <w:p w14:paraId="0B41CE11"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851 733</w:t>
            </w:r>
          </w:p>
        </w:tc>
        <w:tc>
          <w:tcPr>
            <w:tcW w:w="999" w:type="pct"/>
            <w:tcBorders>
              <w:top w:val="nil"/>
              <w:left w:val="nil"/>
              <w:bottom w:val="nil"/>
              <w:right w:val="nil"/>
            </w:tcBorders>
            <w:shd w:val="clear" w:color="000000" w:fill="FFFFFF"/>
            <w:noWrap/>
            <w:vAlign w:val="center"/>
            <w:hideMark/>
          </w:tcPr>
          <w:p w14:paraId="768B2875"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1 275 210</w:t>
            </w:r>
          </w:p>
        </w:tc>
      </w:tr>
      <w:tr w:rsidR="00EE5C5E" w:rsidRPr="007D12A6" w14:paraId="48BC13D7" w14:textId="77777777" w:rsidTr="007D12A6">
        <w:trPr>
          <w:trHeight w:val="330"/>
          <w:jc w:val="center"/>
        </w:trPr>
        <w:tc>
          <w:tcPr>
            <w:tcW w:w="2187" w:type="pct"/>
            <w:tcBorders>
              <w:top w:val="nil"/>
              <w:left w:val="nil"/>
              <w:bottom w:val="nil"/>
              <w:right w:val="nil"/>
            </w:tcBorders>
            <w:shd w:val="clear" w:color="000000" w:fill="FFFFFF"/>
            <w:vAlign w:val="center"/>
          </w:tcPr>
          <w:p w14:paraId="21A7AAA1" w14:textId="77777777" w:rsidR="00EE5C5E" w:rsidRPr="007D12A6" w:rsidRDefault="00EE5C5E" w:rsidP="00EE5C5E">
            <w:pPr>
              <w:spacing w:after="0" w:line="240" w:lineRule="auto"/>
              <w:jc w:val="left"/>
              <w:rPr>
                <w:rFonts w:eastAsia="Times New Roman" w:cs="Times New Roman"/>
                <w:color w:val="000000"/>
                <w:sz w:val="18"/>
                <w:szCs w:val="18"/>
                <w:lang w:eastAsia="sk-SK"/>
              </w:rPr>
            </w:pPr>
            <w:r w:rsidRPr="007D12A6">
              <w:rPr>
                <w:rFonts w:eastAsia="Times New Roman" w:cs="Times New Roman"/>
                <w:color w:val="000000"/>
                <w:sz w:val="18"/>
                <w:szCs w:val="18"/>
                <w:lang w:eastAsia="sk-SK"/>
              </w:rPr>
              <w:t>2020</w:t>
            </w:r>
          </w:p>
        </w:tc>
        <w:tc>
          <w:tcPr>
            <w:tcW w:w="814" w:type="pct"/>
            <w:tcBorders>
              <w:top w:val="nil"/>
              <w:left w:val="nil"/>
              <w:bottom w:val="nil"/>
              <w:right w:val="nil"/>
            </w:tcBorders>
            <w:shd w:val="clear" w:color="auto" w:fill="auto"/>
            <w:noWrap/>
            <w:vAlign w:val="center"/>
          </w:tcPr>
          <w:p w14:paraId="3849A2A1"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2 551 360</w:t>
            </w:r>
          </w:p>
        </w:tc>
        <w:tc>
          <w:tcPr>
            <w:tcW w:w="1000" w:type="pct"/>
            <w:tcBorders>
              <w:top w:val="nil"/>
              <w:left w:val="nil"/>
              <w:bottom w:val="nil"/>
              <w:right w:val="nil"/>
            </w:tcBorders>
            <w:shd w:val="clear" w:color="000000" w:fill="FFFFFF"/>
            <w:noWrap/>
            <w:vAlign w:val="center"/>
          </w:tcPr>
          <w:p w14:paraId="7BF0C08B"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974 126</w:t>
            </w:r>
          </w:p>
        </w:tc>
        <w:tc>
          <w:tcPr>
            <w:tcW w:w="999" w:type="pct"/>
            <w:tcBorders>
              <w:top w:val="nil"/>
              <w:left w:val="nil"/>
              <w:bottom w:val="nil"/>
              <w:right w:val="nil"/>
            </w:tcBorders>
            <w:shd w:val="clear" w:color="000000" w:fill="FFFFFF"/>
            <w:noWrap/>
            <w:vAlign w:val="center"/>
          </w:tcPr>
          <w:p w14:paraId="5E178E54"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1 577 234</w:t>
            </w:r>
          </w:p>
        </w:tc>
      </w:tr>
      <w:tr w:rsidR="00EE5C5E" w:rsidRPr="007D12A6" w14:paraId="0B20204E" w14:textId="77777777" w:rsidTr="007D12A6">
        <w:trPr>
          <w:trHeight w:val="345"/>
          <w:jc w:val="center"/>
        </w:trPr>
        <w:tc>
          <w:tcPr>
            <w:tcW w:w="2187" w:type="pct"/>
            <w:tcBorders>
              <w:top w:val="single" w:sz="4" w:space="0" w:color="auto"/>
              <w:left w:val="nil"/>
              <w:bottom w:val="single" w:sz="8" w:space="0" w:color="auto"/>
              <w:right w:val="nil"/>
            </w:tcBorders>
            <w:shd w:val="clear" w:color="000000" w:fill="FFFFFF"/>
            <w:vAlign w:val="center"/>
            <w:hideMark/>
          </w:tcPr>
          <w:p w14:paraId="72520B73" w14:textId="77777777" w:rsidR="00EE5C5E" w:rsidRPr="007D12A6" w:rsidRDefault="00EE5C5E" w:rsidP="00EE5C5E">
            <w:pPr>
              <w:spacing w:after="0" w:line="240" w:lineRule="auto"/>
              <w:jc w:val="lef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Spolu</w:t>
            </w:r>
          </w:p>
        </w:tc>
        <w:tc>
          <w:tcPr>
            <w:tcW w:w="814" w:type="pct"/>
            <w:tcBorders>
              <w:top w:val="single" w:sz="4" w:space="0" w:color="auto"/>
              <w:left w:val="nil"/>
              <w:bottom w:val="single" w:sz="8" w:space="0" w:color="auto"/>
              <w:right w:val="nil"/>
            </w:tcBorders>
            <w:shd w:val="clear" w:color="000000" w:fill="FFFFFF"/>
            <w:noWrap/>
            <w:vAlign w:val="center"/>
            <w:hideMark/>
          </w:tcPr>
          <w:p w14:paraId="508E2DA4" w14:textId="77777777" w:rsidR="00EE5C5E" w:rsidRPr="007D12A6" w:rsidRDefault="00EE5C5E" w:rsidP="00EE5C5E">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28 638 435</w:t>
            </w:r>
          </w:p>
        </w:tc>
        <w:tc>
          <w:tcPr>
            <w:tcW w:w="1000" w:type="pct"/>
            <w:tcBorders>
              <w:top w:val="single" w:sz="4" w:space="0" w:color="auto"/>
              <w:left w:val="nil"/>
              <w:bottom w:val="single" w:sz="8" w:space="0" w:color="auto"/>
              <w:right w:val="nil"/>
            </w:tcBorders>
            <w:shd w:val="clear" w:color="000000" w:fill="FFFFFF"/>
            <w:noWrap/>
            <w:vAlign w:val="center"/>
            <w:hideMark/>
          </w:tcPr>
          <w:p w14:paraId="7979D7F2" w14:textId="77777777" w:rsidR="00EE5C5E" w:rsidRPr="007D12A6" w:rsidRDefault="00EE5C5E" w:rsidP="00EE5C5E">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11 737 645</w:t>
            </w:r>
          </w:p>
        </w:tc>
        <w:tc>
          <w:tcPr>
            <w:tcW w:w="999" w:type="pct"/>
            <w:tcBorders>
              <w:top w:val="single" w:sz="4" w:space="0" w:color="auto"/>
              <w:left w:val="nil"/>
              <w:bottom w:val="single" w:sz="8" w:space="0" w:color="auto"/>
              <w:right w:val="nil"/>
            </w:tcBorders>
            <w:shd w:val="clear" w:color="000000" w:fill="FFFFFF"/>
            <w:noWrap/>
            <w:vAlign w:val="center"/>
            <w:hideMark/>
          </w:tcPr>
          <w:p w14:paraId="525E6A48" w14:textId="77777777" w:rsidR="00EE5C5E" w:rsidRPr="007D12A6" w:rsidRDefault="00EE5C5E" w:rsidP="00EE5C5E">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16 900 790</w:t>
            </w:r>
          </w:p>
        </w:tc>
      </w:tr>
    </w:tbl>
    <w:p w14:paraId="0FBE2363" w14:textId="657244D7" w:rsidR="00EE5C5E" w:rsidRPr="00EE5C5E" w:rsidRDefault="007D12A6" w:rsidP="007D12A6">
      <w:pPr>
        <w:jc w:val="cente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EE5C5E" w:rsidRPr="00EE5C5E">
        <w:rPr>
          <w:sz w:val="18"/>
          <w:szCs w:val="18"/>
        </w:rPr>
        <w:t>Zdroj: MF SR</w:t>
      </w:r>
    </w:p>
    <w:p w14:paraId="25ACD432" w14:textId="42C50BC1" w:rsidR="00B25023" w:rsidRDefault="00EE5C5E" w:rsidP="00CF37CE">
      <w:pPr>
        <w:spacing w:line="240" w:lineRule="auto"/>
        <w:rPr>
          <w:sz w:val="24"/>
          <w:szCs w:val="24"/>
        </w:rPr>
      </w:pPr>
      <w:r w:rsidRPr="00D715AF">
        <w:rPr>
          <w:sz w:val="24"/>
          <w:szCs w:val="24"/>
        </w:rPr>
        <w:t>Za obdobie od</w:t>
      </w:r>
      <w:r w:rsidRPr="00D715AF">
        <w:rPr>
          <w:b/>
          <w:sz w:val="24"/>
          <w:szCs w:val="24"/>
        </w:rPr>
        <w:t xml:space="preserve"> </w:t>
      </w:r>
      <w:r w:rsidRPr="00D715AF">
        <w:rPr>
          <w:sz w:val="24"/>
          <w:szCs w:val="24"/>
        </w:rPr>
        <w:t>vstupu Slovenskej republiky do EÚ</w:t>
      </w:r>
      <w:r w:rsidRPr="00D715AF">
        <w:rPr>
          <w:b/>
          <w:sz w:val="24"/>
          <w:szCs w:val="24"/>
        </w:rPr>
        <w:t xml:space="preserve"> </w:t>
      </w:r>
      <w:r w:rsidRPr="00D715AF">
        <w:rPr>
          <w:sz w:val="24"/>
          <w:szCs w:val="24"/>
        </w:rPr>
        <w:t>boli celkovo</w:t>
      </w:r>
      <w:r w:rsidRPr="00D715AF">
        <w:rPr>
          <w:b/>
          <w:sz w:val="24"/>
          <w:szCs w:val="24"/>
        </w:rPr>
        <w:t xml:space="preserve"> </w:t>
      </w:r>
      <w:r w:rsidRPr="00D715AF">
        <w:rPr>
          <w:sz w:val="24"/>
          <w:szCs w:val="24"/>
        </w:rPr>
        <w:t xml:space="preserve">do rozpočtu Slovenskej republiky prijaté príjmy z EÚ vo výške 28 638 435 tis. eur a Slovenská republika odviedla do všeobecného rozpočtu EÚ sumu vo výške 11 737 645 tis. eur, na základe čoho </w:t>
      </w:r>
      <w:r w:rsidRPr="00D715AF">
        <w:rPr>
          <w:b/>
          <w:sz w:val="24"/>
          <w:szCs w:val="24"/>
        </w:rPr>
        <w:t>čistá finančná pozícia voči EÚ dosiahla 16 900 790 tis. eur</w:t>
      </w:r>
      <w:r w:rsidRPr="00D715AF">
        <w:rPr>
          <w:sz w:val="24"/>
          <w:szCs w:val="24"/>
        </w:rPr>
        <w:t>.</w:t>
      </w:r>
      <w:r w:rsidRPr="00D715AF">
        <w:rPr>
          <w:b/>
          <w:sz w:val="24"/>
          <w:szCs w:val="24"/>
        </w:rPr>
        <w:t xml:space="preserve"> </w:t>
      </w:r>
      <w:r w:rsidRPr="00D715AF">
        <w:rPr>
          <w:sz w:val="24"/>
          <w:szCs w:val="24"/>
        </w:rPr>
        <w:t>Od roku 2004 Slovenská republika</w:t>
      </w:r>
      <w:r w:rsidR="00AF5C05">
        <w:rPr>
          <w:sz w:val="24"/>
          <w:szCs w:val="24"/>
        </w:rPr>
        <w:t xml:space="preserve"> prijala z rozpočtu EÚ 2,4 </w:t>
      </w:r>
      <w:r w:rsidRPr="00D715AF">
        <w:rPr>
          <w:sz w:val="24"/>
          <w:szCs w:val="24"/>
        </w:rPr>
        <w:t>násobok prostriedkov, ktoré do rozpočtu odviedla.</w:t>
      </w:r>
    </w:p>
    <w:p w14:paraId="1C60B73E" w14:textId="77777777" w:rsidR="00CF37CE" w:rsidRDefault="00CF37CE" w:rsidP="00CF37CE">
      <w:pPr>
        <w:spacing w:line="240" w:lineRule="auto"/>
        <w:rPr>
          <w:sz w:val="24"/>
          <w:szCs w:val="24"/>
        </w:rPr>
      </w:pPr>
    </w:p>
    <w:p w14:paraId="6A838574" w14:textId="1D6CA394" w:rsidR="008254BE" w:rsidRPr="00B25023" w:rsidRDefault="008254BE" w:rsidP="00606726">
      <w:pPr>
        <w:pStyle w:val="Nadpis3"/>
        <w:rPr>
          <w:sz w:val="24"/>
        </w:rPr>
      </w:pPr>
      <w:bookmarkStart w:id="65" w:name="_Toc6415653"/>
      <w:bookmarkStart w:id="66" w:name="_Toc70026106"/>
      <w:r w:rsidRPr="00B25023">
        <w:rPr>
          <w:sz w:val="24"/>
        </w:rPr>
        <w:t>Príjmy z rozpočtu Európskej únie</w:t>
      </w:r>
      <w:bookmarkEnd w:id="65"/>
      <w:bookmarkEnd w:id="66"/>
    </w:p>
    <w:p w14:paraId="39830521" w14:textId="77777777" w:rsidR="00EE5C5E" w:rsidRPr="00D715AF" w:rsidRDefault="00EE5C5E" w:rsidP="008D4C2B">
      <w:pPr>
        <w:spacing w:line="240" w:lineRule="auto"/>
        <w:rPr>
          <w:sz w:val="24"/>
          <w:szCs w:val="24"/>
        </w:rPr>
      </w:pPr>
      <w:r w:rsidRPr="00D715AF">
        <w:rPr>
          <w:sz w:val="24"/>
          <w:szCs w:val="24"/>
        </w:rPr>
        <w:t>Príjmy z rozpočtu EÚ sa rozpočtujú pod ekonomickou klasifikáciou zahraničné transfery – 341 Prostriedky z rozpočtu Európskej únie pre programy, ktoré sa v Slovenskej republike poskytujú prostredníctvom certifikačného orgánu (Ministerstva financií SR a Ministerstva práce, sociálnych vecí a rodiny SR) alebo Ministerstva pôdohospodárstva a rozvoja vidieka Slovenskej republiky.</w:t>
      </w:r>
    </w:p>
    <w:p w14:paraId="72688F90" w14:textId="77777777" w:rsidR="00EE5C5E" w:rsidRPr="00D715AF" w:rsidRDefault="00EE5C5E" w:rsidP="008D4C2B">
      <w:pPr>
        <w:spacing w:line="240" w:lineRule="auto"/>
        <w:rPr>
          <w:sz w:val="24"/>
          <w:szCs w:val="24"/>
        </w:rPr>
      </w:pPr>
      <w:r w:rsidRPr="00D715AF">
        <w:rPr>
          <w:b/>
          <w:sz w:val="24"/>
          <w:szCs w:val="24"/>
        </w:rPr>
        <w:t>Príjmy zo zahraničných transferov</w:t>
      </w:r>
      <w:r w:rsidRPr="00D715AF">
        <w:rPr>
          <w:sz w:val="24"/>
          <w:szCs w:val="24"/>
        </w:rPr>
        <w:t xml:space="preserve"> sa rozpočtujú v rámci jednotlivých kapitol na úrovni platobných jednotiek, Pôdohospodárskej platobnej agentúry a Ministerstva práce sociálnych vecí a rodiny SR.</w:t>
      </w:r>
    </w:p>
    <w:p w14:paraId="30587994" w14:textId="76B736A1" w:rsidR="00EE5C5E" w:rsidRPr="00D715AF" w:rsidRDefault="00EE5C5E" w:rsidP="008D4C2B">
      <w:pPr>
        <w:spacing w:line="240" w:lineRule="auto"/>
        <w:rPr>
          <w:b/>
          <w:sz w:val="24"/>
          <w:szCs w:val="24"/>
        </w:rPr>
      </w:pPr>
      <w:r w:rsidRPr="00D715AF">
        <w:rPr>
          <w:b/>
          <w:sz w:val="24"/>
          <w:szCs w:val="24"/>
        </w:rPr>
        <w:t xml:space="preserve">Prostriedky za štrukturálne operácie </w:t>
      </w:r>
      <w:r w:rsidRPr="00D715AF">
        <w:rPr>
          <w:sz w:val="24"/>
          <w:szCs w:val="24"/>
        </w:rPr>
        <w:t>boli v rok</w:t>
      </w:r>
      <w:r w:rsidR="00EA0787" w:rsidRPr="00D715AF">
        <w:rPr>
          <w:sz w:val="24"/>
          <w:szCs w:val="24"/>
        </w:rPr>
        <w:t>u 2020 rozpočtované za programy</w:t>
      </w:r>
      <w:r w:rsidR="00EA0787" w:rsidRPr="00D715AF">
        <w:rPr>
          <w:sz w:val="24"/>
          <w:szCs w:val="24"/>
        </w:rPr>
        <w:br/>
      </w:r>
      <w:r w:rsidRPr="00D715AF">
        <w:rPr>
          <w:sz w:val="24"/>
          <w:szCs w:val="24"/>
        </w:rPr>
        <w:t xml:space="preserve">3. programového obdobia 2014-2020, a to za fondy - Európsky fond regionálneho rozvoja (vrátane programov európskej územnej spolupráce pre ktoré je Ministerstvo financií SR certifikačným orgánom - </w:t>
      </w:r>
      <w:proofErr w:type="spellStart"/>
      <w:r w:rsidRPr="00D715AF">
        <w:rPr>
          <w:sz w:val="24"/>
          <w:szCs w:val="24"/>
        </w:rPr>
        <w:t>Interreg</w:t>
      </w:r>
      <w:proofErr w:type="spellEnd"/>
      <w:r w:rsidRPr="00D715AF">
        <w:rPr>
          <w:sz w:val="24"/>
          <w:szCs w:val="24"/>
        </w:rPr>
        <w:t xml:space="preserve"> V-A SK-AT 2014-2020, </w:t>
      </w:r>
      <w:proofErr w:type="spellStart"/>
      <w:r w:rsidRPr="00D715AF">
        <w:rPr>
          <w:sz w:val="24"/>
          <w:szCs w:val="24"/>
        </w:rPr>
        <w:t>Interreg</w:t>
      </w:r>
      <w:proofErr w:type="spellEnd"/>
      <w:r w:rsidRPr="00D715AF">
        <w:rPr>
          <w:sz w:val="24"/>
          <w:szCs w:val="24"/>
        </w:rPr>
        <w:t xml:space="preserve"> V-A SK-CZ 2014-2020), Európsky sociálny fond, Iniciatíva na podporu zamestnanosti mladých ľudí, Kohézny fond, Európsky námorný a rybársky fond a Fond európskej pomoci pre najodkázanejšie osoby.</w:t>
      </w:r>
    </w:p>
    <w:p w14:paraId="4D3CFCC1" w14:textId="766A5161" w:rsidR="00EE5C5E" w:rsidRPr="00D715AF" w:rsidRDefault="00EE5C5E" w:rsidP="008D4C2B">
      <w:pPr>
        <w:spacing w:line="240" w:lineRule="auto"/>
        <w:rPr>
          <w:sz w:val="24"/>
          <w:szCs w:val="24"/>
        </w:rPr>
      </w:pPr>
      <w:r w:rsidRPr="00D715AF">
        <w:rPr>
          <w:b/>
          <w:sz w:val="24"/>
          <w:szCs w:val="24"/>
        </w:rPr>
        <w:t>Prostriedky za poľnohospodárske fondy</w:t>
      </w:r>
      <w:r w:rsidRPr="00D715AF">
        <w:rPr>
          <w:sz w:val="24"/>
          <w:szCs w:val="24"/>
        </w:rPr>
        <w:t xml:space="preserve"> b</w:t>
      </w:r>
      <w:r w:rsidR="00111CC0" w:rsidRPr="00D715AF">
        <w:rPr>
          <w:sz w:val="24"/>
          <w:szCs w:val="24"/>
        </w:rPr>
        <w:t>oli v roku 2020 rozpočtované za</w:t>
      </w:r>
      <w:r w:rsidRPr="00D715AF">
        <w:rPr>
          <w:sz w:val="24"/>
          <w:szCs w:val="24"/>
        </w:rPr>
        <w:t xml:space="preserve"> Európsky poľnohospodársky záručný fond (Priame platby </w:t>
      </w:r>
      <w:r w:rsidR="00996C44" w:rsidRPr="00D715AF">
        <w:rPr>
          <w:sz w:val="24"/>
          <w:szCs w:val="24"/>
        </w:rPr>
        <w:t>a Trhovo orientované výdavky) a z</w:t>
      </w:r>
      <w:r w:rsidRPr="00D715AF">
        <w:rPr>
          <w:sz w:val="24"/>
          <w:szCs w:val="24"/>
        </w:rPr>
        <w:t>a Európsky poľnohospodársky fond pre rozvoj vidieka (Program rozvoja vidieka).</w:t>
      </w:r>
    </w:p>
    <w:p w14:paraId="37B957B9" w14:textId="6E848AFF" w:rsidR="00EE5C5E" w:rsidRPr="00D715AF" w:rsidRDefault="00EE5C5E" w:rsidP="008D4C2B">
      <w:pPr>
        <w:spacing w:line="240" w:lineRule="auto"/>
        <w:rPr>
          <w:sz w:val="24"/>
          <w:szCs w:val="24"/>
        </w:rPr>
      </w:pPr>
      <w:r w:rsidRPr="00D715AF">
        <w:rPr>
          <w:sz w:val="24"/>
          <w:szCs w:val="24"/>
        </w:rPr>
        <w:t>Schválený rozpočet príjmov zo zahraničných transferov</w:t>
      </w:r>
      <w:r w:rsidR="00111CC0" w:rsidRPr="00D715AF">
        <w:rPr>
          <w:sz w:val="24"/>
          <w:szCs w:val="24"/>
        </w:rPr>
        <w:t xml:space="preserve"> na rok 2020 bol vo výške 1 677 </w:t>
      </w:r>
      <w:r w:rsidRPr="00D715AF">
        <w:rPr>
          <w:sz w:val="24"/>
          <w:szCs w:val="24"/>
        </w:rPr>
        <w:t>689 tis. eur.</w:t>
      </w:r>
    </w:p>
    <w:p w14:paraId="5C67255A" w14:textId="4CAE9E2D" w:rsidR="00EE5C5E" w:rsidRPr="00D715AF" w:rsidRDefault="00EE5C5E" w:rsidP="008D4C2B">
      <w:pPr>
        <w:spacing w:line="240" w:lineRule="auto"/>
        <w:rPr>
          <w:sz w:val="24"/>
          <w:szCs w:val="24"/>
        </w:rPr>
      </w:pPr>
      <w:r w:rsidRPr="00D715AF">
        <w:rPr>
          <w:sz w:val="24"/>
          <w:szCs w:val="24"/>
        </w:rPr>
        <w:t>Rozpočet príjmov za prostriedky EÚ bol v roku 2020 upravený na úroveň 2 464</w:t>
      </w:r>
      <w:r w:rsidR="00111CC0" w:rsidRPr="00D715AF">
        <w:rPr>
          <w:sz w:val="24"/>
          <w:szCs w:val="24"/>
        </w:rPr>
        <w:t> </w:t>
      </w:r>
      <w:r w:rsidRPr="00D715AF">
        <w:rPr>
          <w:sz w:val="24"/>
          <w:szCs w:val="24"/>
        </w:rPr>
        <w:t>567</w:t>
      </w:r>
      <w:r w:rsidR="00111CC0" w:rsidRPr="00D715AF">
        <w:rPr>
          <w:sz w:val="24"/>
          <w:szCs w:val="24"/>
        </w:rPr>
        <w:t> </w:t>
      </w:r>
      <w:r w:rsidRPr="00D715AF">
        <w:rPr>
          <w:sz w:val="24"/>
          <w:szCs w:val="24"/>
        </w:rPr>
        <w:t>tis. eur. K úpravám došlo v nadväznosti na vysporiadanie finančných pro</w:t>
      </w:r>
      <w:r w:rsidR="00111CC0" w:rsidRPr="00D715AF">
        <w:rPr>
          <w:sz w:val="24"/>
          <w:szCs w:val="24"/>
        </w:rPr>
        <w:t>striedkov za finančné opravy v </w:t>
      </w:r>
      <w:r w:rsidRPr="00D715AF">
        <w:rPr>
          <w:sz w:val="24"/>
          <w:szCs w:val="24"/>
        </w:rPr>
        <w:t>zmysle § 15 zákona č. 523/2004 Z. z. o rozpočtových pravidlách verejnej správy, v nadväznosti na prijaté oznámenia o výške prostriedkov, ktoré budú použité v nasledujúcich rokoch v zmysle § 8 zákona č. 523/2004 Z. z. o rozpočtových pravidlách verejnej správy a v nadväznosti na ostatné viazania prostriedkov v zmysle § 18 zákona č. 523/2004 Z. z. o rozpočtových pravidlách verejnej správy. Zároveň z dôvodu rýchlejšej implementácie projektov v rámci OP Technická pomoc 2014 - 2020 bol navýšený rozpočet Úradu vlády SR v sume 9 323 tis. eur z kapitoly VPS – Rezerva na prostriedky EÚ a odvody EÚ – rýchlejšia realizácia a väčší počet projektov a ďalšie výdavky súvisiace s financovaním spoločných programov.</w:t>
      </w:r>
    </w:p>
    <w:p w14:paraId="7C10E308" w14:textId="2CDC7463" w:rsidR="00EE5C5E" w:rsidRPr="00D715AF" w:rsidRDefault="00EE5C5E" w:rsidP="008D4C2B">
      <w:pPr>
        <w:spacing w:line="240" w:lineRule="auto"/>
        <w:rPr>
          <w:sz w:val="24"/>
          <w:szCs w:val="24"/>
          <w:highlight w:val="yellow"/>
        </w:rPr>
      </w:pPr>
      <w:r w:rsidRPr="00272FD4">
        <w:rPr>
          <w:b/>
          <w:sz w:val="24"/>
          <w:szCs w:val="24"/>
        </w:rPr>
        <w:t>Skutočné plnenie príjmov zo zahraničných transferov</w:t>
      </w:r>
      <w:r w:rsidRPr="00272FD4">
        <w:rPr>
          <w:b/>
          <w:i/>
          <w:sz w:val="24"/>
          <w:szCs w:val="24"/>
        </w:rPr>
        <w:t xml:space="preserve"> </w:t>
      </w:r>
      <w:r w:rsidRPr="00272FD4">
        <w:rPr>
          <w:b/>
          <w:sz w:val="24"/>
          <w:szCs w:val="24"/>
        </w:rPr>
        <w:t>vo výške 2 551 329 tis. eur predstavuje plnenie na úrovni 104 % z upraveného rozpočtu.</w:t>
      </w:r>
      <w:r w:rsidRPr="00D715AF">
        <w:rPr>
          <w:sz w:val="24"/>
          <w:szCs w:val="24"/>
        </w:rPr>
        <w:t xml:space="preserve"> Vyššie plnenie príjmov nastalo z titulu vysporiadania programových korekcií za programové obdobie 2007 – 2013. Príjmy za štrukturálne operácie, pri ktorých plní úlohu certifikačného orgánu Ministerstvo financií SR sú vo výške 1 891 242 tis. eur (z toho štrukturálne fondy 2. programového obdobia v sume 196 858 tis. eur, Kohézny fond 2. programového </w:t>
      </w:r>
      <w:r w:rsidR="003027F4" w:rsidRPr="00D715AF">
        <w:rPr>
          <w:sz w:val="24"/>
          <w:szCs w:val="24"/>
        </w:rPr>
        <w:t>obdobia v sume 109 230 tis. eur</w:t>
      </w:r>
      <w:r w:rsidRPr="00D715AF">
        <w:rPr>
          <w:sz w:val="24"/>
          <w:szCs w:val="24"/>
        </w:rPr>
        <w:t>, štrukturálne fondy 3. programového obdobia v sume 1 266 285 tis. eur a Kohézny fond 3. programového obdobia v sume 318 869 tis. eur). Príjmy za štrukturálne operácie, pri ktorých plní úlohu certifikačného orgánu Ministerstvo práce, sociálnych vecí a rodiny SR s</w:t>
      </w:r>
      <w:r w:rsidR="00111CC0" w:rsidRPr="00D715AF">
        <w:rPr>
          <w:sz w:val="24"/>
          <w:szCs w:val="24"/>
        </w:rPr>
        <w:t>ú v sume 5 793 tis. </w:t>
      </w:r>
      <w:r w:rsidRPr="00D715AF">
        <w:rPr>
          <w:sz w:val="24"/>
          <w:szCs w:val="24"/>
        </w:rPr>
        <w:t xml:space="preserve">eur. Príjmy za poľnohospodárske fondy boli vo výške 654 294 tis. </w:t>
      </w:r>
      <w:r w:rsidR="00111CC0" w:rsidRPr="00D715AF">
        <w:rPr>
          <w:sz w:val="24"/>
          <w:szCs w:val="24"/>
        </w:rPr>
        <w:t>eur (z toho za </w:t>
      </w:r>
      <w:r w:rsidRPr="00D715AF">
        <w:rPr>
          <w:sz w:val="24"/>
          <w:szCs w:val="24"/>
        </w:rPr>
        <w:t xml:space="preserve">Európsky poľnohospodársky fond rozvoja vidieka v sume 199 551 tis. eur a za Európsky poľnohospodársky záručný fond v sume 454 743 tis. eur). </w:t>
      </w:r>
    </w:p>
    <w:p w14:paraId="2EE294FB" w14:textId="424D4B4D" w:rsidR="00EE5C5E" w:rsidRPr="00D715AF" w:rsidRDefault="00EE5C5E" w:rsidP="008D4C2B">
      <w:pPr>
        <w:spacing w:line="240" w:lineRule="auto"/>
        <w:rPr>
          <w:sz w:val="24"/>
          <w:szCs w:val="24"/>
        </w:rPr>
      </w:pPr>
      <w:r w:rsidRPr="00D715AF">
        <w:rPr>
          <w:sz w:val="24"/>
          <w:szCs w:val="24"/>
        </w:rPr>
        <w:t xml:space="preserve">Do skutočnosti príjmov z rozpočtu EÚ vstupujú aj </w:t>
      </w:r>
      <w:r w:rsidRPr="00D715AF">
        <w:rPr>
          <w:b/>
          <w:sz w:val="24"/>
          <w:szCs w:val="24"/>
        </w:rPr>
        <w:t xml:space="preserve">príjmy zo zahraničných grantov poskytnutých z rozpočtu EÚ, </w:t>
      </w:r>
      <w:r w:rsidRPr="00D715AF">
        <w:rPr>
          <w:sz w:val="24"/>
          <w:szCs w:val="24"/>
        </w:rPr>
        <w:t xml:space="preserve">ktoré boli zapojené cez príjmy ŠR v roku 2020 vo výške 31 tis. eur. V rámci zahraničných grantov sú uvedené výlučne zahraničné granty poskytnuté z rozpočtu EÚ, ktorých poskytovanie riadi EÚ centralizovaným spôsobom. </w:t>
      </w:r>
    </w:p>
    <w:p w14:paraId="457A2A63" w14:textId="2627B2F8" w:rsidR="00EE5C5E" w:rsidRPr="00D715AF" w:rsidRDefault="00EE5C5E" w:rsidP="008D4C2B">
      <w:pPr>
        <w:spacing w:line="240" w:lineRule="auto"/>
        <w:rPr>
          <w:sz w:val="24"/>
          <w:szCs w:val="24"/>
        </w:rPr>
      </w:pPr>
      <w:r w:rsidRPr="00D715AF">
        <w:rPr>
          <w:sz w:val="24"/>
          <w:szCs w:val="24"/>
        </w:rPr>
        <w:t>Skutočné plnenie príjmov SR z rozpočtu EÚ je vo výške 2 551 360 tis. eur, z toho príjmy zo zahraničných transferov sú vo výške 2 551 329 tis. eur.</w:t>
      </w:r>
    </w:p>
    <w:p w14:paraId="6F7FDF2F" w14:textId="779CF563" w:rsidR="007D5989" w:rsidRDefault="00EE5C5E" w:rsidP="008D4C2B">
      <w:pPr>
        <w:spacing w:line="240" w:lineRule="auto"/>
        <w:rPr>
          <w:sz w:val="24"/>
          <w:szCs w:val="24"/>
        </w:rPr>
      </w:pPr>
      <w:r w:rsidRPr="00D715AF">
        <w:rPr>
          <w:sz w:val="24"/>
          <w:szCs w:val="24"/>
        </w:rPr>
        <w:t>Vyššia skutočnosť príjmov oproti výdavkom je spôsobená faktom, že dochádza k vyplácaniu zálohových platieb a </w:t>
      </w:r>
      <w:proofErr w:type="spellStart"/>
      <w:r w:rsidRPr="00D715AF">
        <w:rPr>
          <w:sz w:val="24"/>
          <w:szCs w:val="24"/>
        </w:rPr>
        <w:t>predfinancovania</w:t>
      </w:r>
      <w:proofErr w:type="spellEnd"/>
      <w:r w:rsidRPr="00D715AF">
        <w:rPr>
          <w:sz w:val="24"/>
          <w:szCs w:val="24"/>
        </w:rPr>
        <w:t xml:space="preserve"> z limitov výdavkov platobných jednotiek, avšak do súhrnných žiadostí o platbu sú zaradené až po ich zúčtovaní a teda dochádza k nerovnomernému priebežnému čerpaniu príjmov a výdavkov v</w:t>
      </w:r>
      <w:r w:rsidR="00AF5C05">
        <w:rPr>
          <w:sz w:val="24"/>
          <w:szCs w:val="24"/>
        </w:rPr>
        <w:t> programovom období 2014- </w:t>
      </w:r>
      <w:r w:rsidR="007D5989">
        <w:rPr>
          <w:sz w:val="24"/>
          <w:szCs w:val="24"/>
        </w:rPr>
        <w:t>2020.</w:t>
      </w:r>
    </w:p>
    <w:p w14:paraId="7AB9038F" w14:textId="6F9513F1" w:rsidR="00EE5C5E" w:rsidRPr="00D715AF" w:rsidRDefault="00EE5C5E" w:rsidP="008D4C2B">
      <w:pPr>
        <w:spacing w:line="240" w:lineRule="auto"/>
        <w:rPr>
          <w:sz w:val="24"/>
          <w:szCs w:val="24"/>
        </w:rPr>
      </w:pPr>
      <w:r w:rsidRPr="00D715AF">
        <w:rPr>
          <w:sz w:val="24"/>
          <w:szCs w:val="24"/>
        </w:rPr>
        <w:t xml:space="preserve">Taktiež ohľadom programového obdobia 2007-2013 došlo na základe vysporiadania nezrovnalostí k naplneniu príjmov ŠR, pričom už výdavky kvôli obdobiu oprávnenosti neboli realizované. Nesúlad príjmov a výdavkov za prostriedky EÚ je na konci roka eliminovaný </w:t>
      </w:r>
      <w:r w:rsidR="007D5989">
        <w:rPr>
          <w:sz w:val="24"/>
          <w:szCs w:val="24"/>
        </w:rPr>
        <w:t>imputovanou</w:t>
      </w:r>
      <w:r w:rsidRPr="00D715AF">
        <w:rPr>
          <w:sz w:val="24"/>
          <w:szCs w:val="24"/>
        </w:rPr>
        <w:t xml:space="preserve"> štatistickou pohľadávkou</w:t>
      </w:r>
      <w:r w:rsidR="007D5989">
        <w:rPr>
          <w:sz w:val="24"/>
          <w:szCs w:val="24"/>
        </w:rPr>
        <w:t xml:space="preserve"> (bližšie v kapitole 2)</w:t>
      </w:r>
      <w:r w:rsidRPr="00D715AF">
        <w:rPr>
          <w:sz w:val="24"/>
          <w:szCs w:val="24"/>
        </w:rPr>
        <w:t xml:space="preserve">. </w:t>
      </w:r>
    </w:p>
    <w:p w14:paraId="26CA7EDC" w14:textId="77777777" w:rsidR="00EE5C5E" w:rsidRPr="00E00FA8" w:rsidRDefault="00EE5C5E" w:rsidP="008D4C2B">
      <w:pPr>
        <w:spacing w:line="240" w:lineRule="auto"/>
      </w:pPr>
      <w:r w:rsidRPr="00D715AF">
        <w:rPr>
          <w:sz w:val="24"/>
          <w:szCs w:val="24"/>
        </w:rPr>
        <w:t>Prehľad je uvedený v nasledovnej tabuľke:</w:t>
      </w:r>
    </w:p>
    <w:tbl>
      <w:tblPr>
        <w:tblW w:w="5000" w:type="pct"/>
        <w:jc w:val="center"/>
        <w:tblCellMar>
          <w:left w:w="70" w:type="dxa"/>
          <w:right w:w="70" w:type="dxa"/>
        </w:tblCellMar>
        <w:tblLook w:val="04A0" w:firstRow="1" w:lastRow="0" w:firstColumn="1" w:lastColumn="0" w:noHBand="0" w:noVBand="1"/>
      </w:tblPr>
      <w:tblGrid>
        <w:gridCol w:w="3214"/>
        <w:gridCol w:w="1019"/>
        <w:gridCol w:w="1019"/>
        <w:gridCol w:w="1019"/>
        <w:gridCol w:w="1216"/>
        <w:gridCol w:w="857"/>
        <w:gridCol w:w="870"/>
      </w:tblGrid>
      <w:tr w:rsidR="00EE5C5E" w:rsidRPr="007D12A6" w14:paraId="2912855F" w14:textId="77777777" w:rsidTr="005C4AEB">
        <w:trPr>
          <w:trHeight w:val="330"/>
          <w:jc w:val="center"/>
        </w:trPr>
        <w:tc>
          <w:tcPr>
            <w:tcW w:w="1744" w:type="pct"/>
            <w:tcBorders>
              <w:top w:val="nil"/>
              <w:left w:val="nil"/>
              <w:bottom w:val="nil"/>
              <w:right w:val="nil"/>
            </w:tcBorders>
            <w:shd w:val="clear" w:color="000000" w:fill="000000"/>
            <w:noWrap/>
            <w:vAlign w:val="center"/>
            <w:hideMark/>
          </w:tcPr>
          <w:p w14:paraId="321B0984" w14:textId="77777777" w:rsidR="00EE5C5E" w:rsidRPr="007D12A6" w:rsidRDefault="00EE5C5E" w:rsidP="00EE5C5E">
            <w:pPr>
              <w:spacing w:after="0" w:line="240" w:lineRule="auto"/>
              <w:jc w:val="left"/>
              <w:rPr>
                <w:rFonts w:eastAsia="Times New Roman" w:cs="Times New Roman"/>
                <w:b/>
                <w:bCs/>
                <w:color w:val="FFFFFF"/>
                <w:sz w:val="18"/>
                <w:szCs w:val="18"/>
                <w:lang w:eastAsia="sk-SK"/>
              </w:rPr>
            </w:pPr>
            <w:r w:rsidRPr="007D12A6">
              <w:rPr>
                <w:rFonts w:eastAsia="Times New Roman" w:cs="Times New Roman"/>
                <w:b/>
                <w:bCs/>
                <w:color w:val="FFFFFF"/>
                <w:sz w:val="18"/>
                <w:szCs w:val="18"/>
                <w:lang w:eastAsia="sk-SK"/>
              </w:rPr>
              <w:t xml:space="preserve">Plnenie príjmov z rozpočtu EÚ </w:t>
            </w:r>
          </w:p>
        </w:tc>
        <w:tc>
          <w:tcPr>
            <w:tcW w:w="553" w:type="pct"/>
            <w:tcBorders>
              <w:top w:val="nil"/>
              <w:left w:val="nil"/>
              <w:bottom w:val="nil"/>
              <w:right w:val="nil"/>
            </w:tcBorders>
            <w:shd w:val="clear" w:color="000000" w:fill="000000"/>
            <w:noWrap/>
            <w:vAlign w:val="center"/>
            <w:hideMark/>
          </w:tcPr>
          <w:p w14:paraId="5248C958" w14:textId="77777777" w:rsidR="00EE5C5E" w:rsidRPr="007D12A6" w:rsidRDefault="00EE5C5E" w:rsidP="00EE5C5E">
            <w:pPr>
              <w:spacing w:after="0" w:line="240" w:lineRule="auto"/>
              <w:jc w:val="left"/>
              <w:rPr>
                <w:rFonts w:ascii="Arial Narrow" w:eastAsia="Times New Roman" w:hAnsi="Arial Narrow" w:cs="Times New Roman"/>
                <w:color w:val="000000"/>
                <w:sz w:val="18"/>
                <w:szCs w:val="18"/>
                <w:lang w:eastAsia="sk-SK"/>
              </w:rPr>
            </w:pPr>
            <w:r w:rsidRPr="007D12A6">
              <w:rPr>
                <w:rFonts w:ascii="Arial Narrow" w:eastAsia="Times New Roman" w:hAnsi="Arial Narrow" w:cs="Times New Roman"/>
                <w:color w:val="000000"/>
                <w:sz w:val="18"/>
                <w:szCs w:val="18"/>
                <w:lang w:eastAsia="sk-SK"/>
              </w:rPr>
              <w:t> </w:t>
            </w:r>
          </w:p>
        </w:tc>
        <w:tc>
          <w:tcPr>
            <w:tcW w:w="553" w:type="pct"/>
            <w:tcBorders>
              <w:top w:val="nil"/>
              <w:left w:val="nil"/>
              <w:bottom w:val="nil"/>
              <w:right w:val="nil"/>
            </w:tcBorders>
            <w:shd w:val="clear" w:color="000000" w:fill="000000"/>
            <w:noWrap/>
            <w:vAlign w:val="center"/>
            <w:hideMark/>
          </w:tcPr>
          <w:p w14:paraId="4D611E3E" w14:textId="77777777" w:rsidR="00EE5C5E" w:rsidRPr="007D12A6" w:rsidRDefault="00EE5C5E" w:rsidP="00EE5C5E">
            <w:pPr>
              <w:spacing w:after="0" w:line="240" w:lineRule="auto"/>
              <w:jc w:val="left"/>
              <w:rPr>
                <w:rFonts w:ascii="Arial Narrow" w:eastAsia="Times New Roman" w:hAnsi="Arial Narrow" w:cs="Times New Roman"/>
                <w:color w:val="000000"/>
                <w:sz w:val="18"/>
                <w:szCs w:val="18"/>
                <w:lang w:eastAsia="sk-SK"/>
              </w:rPr>
            </w:pPr>
            <w:r w:rsidRPr="007D12A6">
              <w:rPr>
                <w:rFonts w:ascii="Arial Narrow" w:eastAsia="Times New Roman" w:hAnsi="Arial Narrow" w:cs="Times New Roman"/>
                <w:color w:val="000000"/>
                <w:sz w:val="18"/>
                <w:szCs w:val="18"/>
                <w:lang w:eastAsia="sk-SK"/>
              </w:rPr>
              <w:t> </w:t>
            </w:r>
          </w:p>
        </w:tc>
        <w:tc>
          <w:tcPr>
            <w:tcW w:w="553" w:type="pct"/>
            <w:tcBorders>
              <w:top w:val="nil"/>
              <w:left w:val="nil"/>
              <w:bottom w:val="nil"/>
              <w:right w:val="nil"/>
            </w:tcBorders>
            <w:shd w:val="clear" w:color="000000" w:fill="000000"/>
            <w:noWrap/>
            <w:vAlign w:val="center"/>
            <w:hideMark/>
          </w:tcPr>
          <w:p w14:paraId="21D2123B" w14:textId="77777777" w:rsidR="00EE5C5E" w:rsidRPr="007D12A6" w:rsidRDefault="00EE5C5E" w:rsidP="00EE5C5E">
            <w:pPr>
              <w:spacing w:after="0" w:line="240" w:lineRule="auto"/>
              <w:jc w:val="left"/>
              <w:rPr>
                <w:rFonts w:ascii="Arial Narrow" w:eastAsia="Times New Roman" w:hAnsi="Arial Narrow" w:cs="Times New Roman"/>
                <w:color w:val="000000"/>
                <w:sz w:val="18"/>
                <w:szCs w:val="18"/>
                <w:lang w:eastAsia="sk-SK"/>
              </w:rPr>
            </w:pPr>
            <w:r w:rsidRPr="007D12A6">
              <w:rPr>
                <w:rFonts w:ascii="Arial Narrow" w:eastAsia="Times New Roman" w:hAnsi="Arial Narrow" w:cs="Times New Roman"/>
                <w:color w:val="000000"/>
                <w:sz w:val="18"/>
                <w:szCs w:val="18"/>
                <w:lang w:eastAsia="sk-SK"/>
              </w:rPr>
              <w:t> </w:t>
            </w:r>
          </w:p>
        </w:tc>
        <w:tc>
          <w:tcPr>
            <w:tcW w:w="660" w:type="pct"/>
            <w:tcBorders>
              <w:top w:val="nil"/>
              <w:left w:val="nil"/>
              <w:bottom w:val="nil"/>
              <w:right w:val="nil"/>
            </w:tcBorders>
            <w:shd w:val="clear" w:color="000000" w:fill="000000"/>
            <w:noWrap/>
            <w:vAlign w:val="center"/>
            <w:hideMark/>
          </w:tcPr>
          <w:p w14:paraId="131235E1" w14:textId="77777777" w:rsidR="00EE5C5E" w:rsidRPr="007D12A6" w:rsidRDefault="00EE5C5E" w:rsidP="00EE5C5E">
            <w:pPr>
              <w:spacing w:after="0" w:line="240" w:lineRule="auto"/>
              <w:jc w:val="left"/>
              <w:rPr>
                <w:rFonts w:ascii="Arial Narrow" w:eastAsia="Times New Roman" w:hAnsi="Arial Narrow" w:cs="Times New Roman"/>
                <w:color w:val="000000"/>
                <w:sz w:val="18"/>
                <w:szCs w:val="18"/>
                <w:lang w:eastAsia="sk-SK"/>
              </w:rPr>
            </w:pPr>
            <w:r w:rsidRPr="007D12A6">
              <w:rPr>
                <w:rFonts w:ascii="Arial Narrow" w:eastAsia="Times New Roman" w:hAnsi="Arial Narrow" w:cs="Times New Roman"/>
                <w:color w:val="000000"/>
                <w:sz w:val="18"/>
                <w:szCs w:val="18"/>
                <w:lang w:eastAsia="sk-SK"/>
              </w:rPr>
              <w:t> </w:t>
            </w:r>
          </w:p>
        </w:tc>
        <w:tc>
          <w:tcPr>
            <w:tcW w:w="465" w:type="pct"/>
            <w:tcBorders>
              <w:top w:val="nil"/>
              <w:left w:val="nil"/>
              <w:bottom w:val="nil"/>
              <w:right w:val="nil"/>
            </w:tcBorders>
            <w:shd w:val="clear" w:color="000000" w:fill="000000"/>
            <w:noWrap/>
            <w:vAlign w:val="center"/>
            <w:hideMark/>
          </w:tcPr>
          <w:p w14:paraId="3CA9C76A" w14:textId="77777777" w:rsidR="00EE5C5E" w:rsidRPr="007D12A6" w:rsidRDefault="00EE5C5E" w:rsidP="00EE5C5E">
            <w:pPr>
              <w:spacing w:after="0" w:line="240" w:lineRule="auto"/>
              <w:jc w:val="left"/>
              <w:rPr>
                <w:rFonts w:ascii="Arial Narrow" w:eastAsia="Times New Roman" w:hAnsi="Arial Narrow" w:cs="Times New Roman"/>
                <w:color w:val="000000"/>
                <w:sz w:val="18"/>
                <w:szCs w:val="18"/>
                <w:lang w:eastAsia="sk-SK"/>
              </w:rPr>
            </w:pPr>
            <w:r w:rsidRPr="007D12A6">
              <w:rPr>
                <w:rFonts w:ascii="Arial Narrow" w:eastAsia="Times New Roman" w:hAnsi="Arial Narrow" w:cs="Times New Roman"/>
                <w:color w:val="000000"/>
                <w:sz w:val="18"/>
                <w:szCs w:val="18"/>
                <w:lang w:eastAsia="sk-SK"/>
              </w:rPr>
              <w:t> </w:t>
            </w:r>
          </w:p>
        </w:tc>
        <w:tc>
          <w:tcPr>
            <w:tcW w:w="473" w:type="pct"/>
            <w:tcBorders>
              <w:top w:val="nil"/>
              <w:left w:val="nil"/>
              <w:bottom w:val="nil"/>
              <w:right w:val="nil"/>
            </w:tcBorders>
            <w:shd w:val="clear" w:color="000000" w:fill="000000"/>
            <w:noWrap/>
            <w:vAlign w:val="center"/>
            <w:hideMark/>
          </w:tcPr>
          <w:p w14:paraId="5853FCB5" w14:textId="77777777" w:rsidR="00EE5C5E" w:rsidRPr="007D12A6" w:rsidRDefault="00EE5C5E" w:rsidP="00EE5C5E">
            <w:pPr>
              <w:spacing w:after="0" w:line="240" w:lineRule="auto"/>
              <w:jc w:val="left"/>
              <w:rPr>
                <w:rFonts w:eastAsia="Times New Roman" w:cs="Times New Roman"/>
                <w:b/>
                <w:bCs/>
                <w:color w:val="FFFFFF"/>
                <w:sz w:val="18"/>
                <w:szCs w:val="18"/>
                <w:lang w:eastAsia="sk-SK"/>
              </w:rPr>
            </w:pPr>
            <w:r w:rsidRPr="007D12A6">
              <w:rPr>
                <w:rFonts w:eastAsia="Times New Roman" w:cs="Times New Roman"/>
                <w:b/>
                <w:bCs/>
                <w:color w:val="FFFFFF"/>
                <w:sz w:val="18"/>
                <w:szCs w:val="18"/>
                <w:lang w:eastAsia="sk-SK"/>
              </w:rPr>
              <w:t>v tis. eur</w:t>
            </w:r>
          </w:p>
        </w:tc>
      </w:tr>
      <w:tr w:rsidR="00EE5C5E" w:rsidRPr="007D12A6" w14:paraId="51E753A0" w14:textId="77777777" w:rsidTr="005C4AEB">
        <w:trPr>
          <w:trHeight w:val="330"/>
          <w:jc w:val="center"/>
        </w:trPr>
        <w:tc>
          <w:tcPr>
            <w:tcW w:w="1744" w:type="pct"/>
            <w:tcBorders>
              <w:top w:val="nil"/>
              <w:left w:val="nil"/>
              <w:bottom w:val="nil"/>
              <w:right w:val="nil"/>
            </w:tcBorders>
            <w:shd w:val="clear" w:color="000000" w:fill="BFBFBF"/>
            <w:vAlign w:val="center"/>
            <w:hideMark/>
          </w:tcPr>
          <w:p w14:paraId="46934A47" w14:textId="77777777" w:rsidR="00EE5C5E" w:rsidRPr="007D12A6" w:rsidRDefault="00EE5C5E" w:rsidP="00EE5C5E">
            <w:pPr>
              <w:spacing w:after="0" w:line="240" w:lineRule="auto"/>
              <w:jc w:val="left"/>
              <w:rPr>
                <w:rFonts w:eastAsia="Times New Roman" w:cs="Times New Roman"/>
                <w:b/>
                <w:bCs/>
                <w:color w:val="FFFFFF"/>
                <w:sz w:val="18"/>
                <w:szCs w:val="18"/>
                <w:lang w:eastAsia="sk-SK"/>
              </w:rPr>
            </w:pPr>
            <w:r w:rsidRPr="007D12A6">
              <w:rPr>
                <w:rFonts w:eastAsia="Times New Roman" w:cs="Times New Roman"/>
                <w:b/>
                <w:bCs/>
                <w:color w:val="FFFFFF"/>
                <w:sz w:val="18"/>
                <w:szCs w:val="18"/>
                <w:lang w:eastAsia="sk-SK"/>
              </w:rPr>
              <w:t> </w:t>
            </w:r>
          </w:p>
        </w:tc>
        <w:tc>
          <w:tcPr>
            <w:tcW w:w="1105" w:type="pct"/>
            <w:gridSpan w:val="2"/>
            <w:tcBorders>
              <w:top w:val="nil"/>
              <w:left w:val="nil"/>
              <w:bottom w:val="nil"/>
              <w:right w:val="nil"/>
            </w:tcBorders>
            <w:shd w:val="clear" w:color="000000" w:fill="BFBFBF"/>
            <w:vAlign w:val="center"/>
            <w:hideMark/>
          </w:tcPr>
          <w:p w14:paraId="1B956B8C" w14:textId="77777777" w:rsidR="00EE5C5E" w:rsidRPr="007D12A6" w:rsidRDefault="00EE5C5E" w:rsidP="00EE5C5E">
            <w:pPr>
              <w:spacing w:after="0" w:line="240" w:lineRule="auto"/>
              <w:jc w:val="center"/>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Skutočnosť</w:t>
            </w:r>
          </w:p>
        </w:tc>
        <w:tc>
          <w:tcPr>
            <w:tcW w:w="553" w:type="pct"/>
            <w:tcBorders>
              <w:top w:val="nil"/>
              <w:left w:val="nil"/>
              <w:bottom w:val="nil"/>
              <w:right w:val="nil"/>
            </w:tcBorders>
            <w:shd w:val="clear" w:color="000000" w:fill="BFBFBF"/>
            <w:vAlign w:val="center"/>
            <w:hideMark/>
          </w:tcPr>
          <w:p w14:paraId="4E4BA6F6" w14:textId="77777777" w:rsidR="00EE5C5E" w:rsidRPr="007D12A6" w:rsidRDefault="00EE5C5E" w:rsidP="00EE5C5E">
            <w:pPr>
              <w:spacing w:after="0" w:line="240" w:lineRule="auto"/>
              <w:jc w:val="center"/>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Rozpočet</w:t>
            </w:r>
          </w:p>
        </w:tc>
        <w:tc>
          <w:tcPr>
            <w:tcW w:w="660" w:type="pct"/>
            <w:tcBorders>
              <w:top w:val="nil"/>
              <w:left w:val="nil"/>
              <w:bottom w:val="nil"/>
              <w:right w:val="nil"/>
            </w:tcBorders>
            <w:shd w:val="clear" w:color="000000" w:fill="BFBFBF"/>
            <w:vAlign w:val="center"/>
            <w:hideMark/>
          </w:tcPr>
          <w:p w14:paraId="475101AF" w14:textId="77777777" w:rsidR="00EE5C5E" w:rsidRPr="007D12A6" w:rsidRDefault="00EE5C5E" w:rsidP="00EE5C5E">
            <w:pPr>
              <w:spacing w:after="0" w:line="240" w:lineRule="auto"/>
              <w:jc w:val="center"/>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Skutočnosť</w:t>
            </w:r>
          </w:p>
        </w:tc>
        <w:tc>
          <w:tcPr>
            <w:tcW w:w="938" w:type="pct"/>
            <w:gridSpan w:val="2"/>
            <w:tcBorders>
              <w:top w:val="nil"/>
              <w:left w:val="nil"/>
              <w:bottom w:val="nil"/>
              <w:right w:val="nil"/>
            </w:tcBorders>
            <w:shd w:val="clear" w:color="000000" w:fill="BFBFBF"/>
            <w:vAlign w:val="center"/>
            <w:hideMark/>
          </w:tcPr>
          <w:p w14:paraId="09BA7A02" w14:textId="77777777" w:rsidR="00EE5C5E" w:rsidRPr="007D12A6" w:rsidRDefault="00EE5C5E" w:rsidP="00EE5C5E">
            <w:pPr>
              <w:spacing w:after="0" w:line="240" w:lineRule="auto"/>
              <w:jc w:val="center"/>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Rozdiel</w:t>
            </w:r>
          </w:p>
        </w:tc>
      </w:tr>
      <w:tr w:rsidR="00EE5C5E" w:rsidRPr="007D12A6" w14:paraId="537B3CA8" w14:textId="77777777" w:rsidTr="005C4AEB">
        <w:trPr>
          <w:trHeight w:val="330"/>
          <w:jc w:val="center"/>
        </w:trPr>
        <w:tc>
          <w:tcPr>
            <w:tcW w:w="1744" w:type="pct"/>
            <w:tcBorders>
              <w:top w:val="nil"/>
              <w:left w:val="nil"/>
              <w:bottom w:val="nil"/>
              <w:right w:val="nil"/>
            </w:tcBorders>
            <w:shd w:val="clear" w:color="000000" w:fill="BFBFBF"/>
            <w:vAlign w:val="center"/>
            <w:hideMark/>
          </w:tcPr>
          <w:p w14:paraId="3280041B" w14:textId="77777777" w:rsidR="00EE5C5E" w:rsidRPr="007D12A6" w:rsidRDefault="00EE5C5E" w:rsidP="00EE5C5E">
            <w:pPr>
              <w:spacing w:after="0" w:line="240" w:lineRule="auto"/>
              <w:jc w:val="center"/>
              <w:rPr>
                <w:rFonts w:eastAsia="Times New Roman" w:cs="Times New Roman"/>
                <w:b/>
                <w:bCs/>
                <w:sz w:val="18"/>
                <w:szCs w:val="18"/>
                <w:lang w:eastAsia="sk-SK"/>
              </w:rPr>
            </w:pPr>
            <w:r w:rsidRPr="007D12A6">
              <w:rPr>
                <w:rFonts w:eastAsia="Times New Roman" w:cs="Times New Roman"/>
                <w:b/>
                <w:bCs/>
                <w:sz w:val="18"/>
                <w:szCs w:val="18"/>
                <w:lang w:eastAsia="sk-SK"/>
              </w:rPr>
              <w:t> </w:t>
            </w:r>
          </w:p>
        </w:tc>
        <w:tc>
          <w:tcPr>
            <w:tcW w:w="553" w:type="pct"/>
            <w:tcBorders>
              <w:top w:val="nil"/>
              <w:left w:val="nil"/>
              <w:bottom w:val="nil"/>
              <w:right w:val="nil"/>
            </w:tcBorders>
            <w:shd w:val="clear" w:color="000000" w:fill="BFBFBF"/>
            <w:vAlign w:val="center"/>
            <w:hideMark/>
          </w:tcPr>
          <w:p w14:paraId="742A579F" w14:textId="77777777" w:rsidR="00EE5C5E" w:rsidRPr="007D12A6" w:rsidRDefault="00EE5C5E" w:rsidP="00EE5C5E">
            <w:pPr>
              <w:spacing w:after="0" w:line="240" w:lineRule="auto"/>
              <w:jc w:val="center"/>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2018</w:t>
            </w:r>
          </w:p>
        </w:tc>
        <w:tc>
          <w:tcPr>
            <w:tcW w:w="553" w:type="pct"/>
            <w:tcBorders>
              <w:top w:val="nil"/>
              <w:left w:val="nil"/>
              <w:bottom w:val="nil"/>
              <w:right w:val="nil"/>
            </w:tcBorders>
            <w:shd w:val="clear" w:color="000000" w:fill="BFBFBF"/>
            <w:vAlign w:val="center"/>
            <w:hideMark/>
          </w:tcPr>
          <w:p w14:paraId="17706A79" w14:textId="77777777" w:rsidR="00EE5C5E" w:rsidRPr="007D12A6" w:rsidRDefault="00EE5C5E" w:rsidP="00EE5C5E">
            <w:pPr>
              <w:spacing w:after="0" w:line="240" w:lineRule="auto"/>
              <w:jc w:val="center"/>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2019</w:t>
            </w:r>
          </w:p>
        </w:tc>
        <w:tc>
          <w:tcPr>
            <w:tcW w:w="553" w:type="pct"/>
            <w:tcBorders>
              <w:top w:val="nil"/>
              <w:left w:val="nil"/>
              <w:bottom w:val="nil"/>
              <w:right w:val="nil"/>
            </w:tcBorders>
            <w:shd w:val="clear" w:color="000000" w:fill="BFBFBF"/>
            <w:vAlign w:val="center"/>
            <w:hideMark/>
          </w:tcPr>
          <w:p w14:paraId="4EB1533C" w14:textId="77777777" w:rsidR="00EE5C5E" w:rsidRPr="007D12A6" w:rsidRDefault="00EE5C5E" w:rsidP="00EE5C5E">
            <w:pPr>
              <w:spacing w:after="0" w:line="240" w:lineRule="auto"/>
              <w:jc w:val="center"/>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2020</w:t>
            </w:r>
          </w:p>
        </w:tc>
        <w:tc>
          <w:tcPr>
            <w:tcW w:w="660" w:type="pct"/>
            <w:tcBorders>
              <w:top w:val="nil"/>
              <w:left w:val="nil"/>
              <w:bottom w:val="nil"/>
              <w:right w:val="nil"/>
            </w:tcBorders>
            <w:shd w:val="clear" w:color="000000" w:fill="BFBFBF"/>
            <w:vAlign w:val="center"/>
            <w:hideMark/>
          </w:tcPr>
          <w:p w14:paraId="03D3163E" w14:textId="77777777" w:rsidR="00EE5C5E" w:rsidRPr="007D12A6" w:rsidRDefault="00EE5C5E" w:rsidP="00EE5C5E">
            <w:pPr>
              <w:spacing w:after="0" w:line="240" w:lineRule="auto"/>
              <w:jc w:val="center"/>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2020</w:t>
            </w:r>
          </w:p>
        </w:tc>
        <w:tc>
          <w:tcPr>
            <w:tcW w:w="465" w:type="pct"/>
            <w:tcBorders>
              <w:top w:val="nil"/>
              <w:left w:val="nil"/>
              <w:bottom w:val="nil"/>
              <w:right w:val="nil"/>
            </w:tcBorders>
            <w:shd w:val="clear" w:color="000000" w:fill="BFBFBF"/>
            <w:vAlign w:val="center"/>
            <w:hideMark/>
          </w:tcPr>
          <w:p w14:paraId="5408FC26" w14:textId="77777777" w:rsidR="00EE5C5E" w:rsidRPr="007D12A6" w:rsidRDefault="00EE5C5E" w:rsidP="00EE5C5E">
            <w:pPr>
              <w:spacing w:after="0" w:line="240" w:lineRule="auto"/>
              <w:jc w:val="center"/>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 xml:space="preserve"> v tis. eur</w:t>
            </w:r>
          </w:p>
        </w:tc>
        <w:tc>
          <w:tcPr>
            <w:tcW w:w="473" w:type="pct"/>
            <w:tcBorders>
              <w:top w:val="nil"/>
              <w:left w:val="nil"/>
              <w:bottom w:val="nil"/>
              <w:right w:val="nil"/>
            </w:tcBorders>
            <w:shd w:val="clear" w:color="000000" w:fill="BFBFBF"/>
            <w:vAlign w:val="center"/>
            <w:hideMark/>
          </w:tcPr>
          <w:p w14:paraId="77BE1D69" w14:textId="77777777" w:rsidR="00EE5C5E" w:rsidRPr="007D12A6" w:rsidRDefault="00EE5C5E" w:rsidP="00EE5C5E">
            <w:pPr>
              <w:spacing w:after="0" w:line="240" w:lineRule="auto"/>
              <w:jc w:val="center"/>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v %</w:t>
            </w:r>
          </w:p>
        </w:tc>
      </w:tr>
      <w:tr w:rsidR="00EE5C5E" w:rsidRPr="007D12A6" w14:paraId="14FD05DA" w14:textId="77777777" w:rsidTr="005C4AEB">
        <w:trPr>
          <w:trHeight w:val="345"/>
          <w:jc w:val="center"/>
        </w:trPr>
        <w:tc>
          <w:tcPr>
            <w:tcW w:w="1744" w:type="pct"/>
            <w:tcBorders>
              <w:top w:val="nil"/>
              <w:left w:val="nil"/>
              <w:bottom w:val="single" w:sz="8" w:space="0" w:color="auto"/>
              <w:right w:val="nil"/>
            </w:tcBorders>
            <w:shd w:val="clear" w:color="000000" w:fill="BFBFBF"/>
            <w:vAlign w:val="center"/>
            <w:hideMark/>
          </w:tcPr>
          <w:p w14:paraId="39D2C815" w14:textId="77777777" w:rsidR="00EE5C5E" w:rsidRPr="007D12A6" w:rsidRDefault="00EE5C5E" w:rsidP="00EE5C5E">
            <w:pPr>
              <w:spacing w:after="0" w:line="240" w:lineRule="auto"/>
              <w:jc w:val="left"/>
              <w:rPr>
                <w:rFonts w:eastAsia="Times New Roman" w:cs="Times New Roman"/>
                <w:b/>
                <w:bCs/>
                <w:color w:val="FFFFFF"/>
                <w:sz w:val="18"/>
                <w:szCs w:val="18"/>
                <w:lang w:eastAsia="sk-SK"/>
              </w:rPr>
            </w:pPr>
            <w:r w:rsidRPr="007D12A6">
              <w:rPr>
                <w:rFonts w:eastAsia="Times New Roman" w:cs="Times New Roman"/>
                <w:b/>
                <w:bCs/>
                <w:color w:val="FFFFFF"/>
                <w:sz w:val="18"/>
                <w:szCs w:val="18"/>
                <w:lang w:eastAsia="sk-SK"/>
              </w:rPr>
              <w:t> </w:t>
            </w:r>
          </w:p>
        </w:tc>
        <w:tc>
          <w:tcPr>
            <w:tcW w:w="553" w:type="pct"/>
            <w:tcBorders>
              <w:top w:val="nil"/>
              <w:left w:val="nil"/>
              <w:bottom w:val="single" w:sz="8" w:space="0" w:color="auto"/>
              <w:right w:val="nil"/>
            </w:tcBorders>
            <w:shd w:val="clear" w:color="000000" w:fill="BFBFBF"/>
            <w:vAlign w:val="center"/>
            <w:hideMark/>
          </w:tcPr>
          <w:p w14:paraId="6652994E" w14:textId="77777777" w:rsidR="00EE5C5E" w:rsidRPr="007D12A6" w:rsidRDefault="00EE5C5E" w:rsidP="00EE5C5E">
            <w:pPr>
              <w:spacing w:after="0" w:line="240" w:lineRule="auto"/>
              <w:jc w:val="center"/>
              <w:rPr>
                <w:rFonts w:eastAsia="Times New Roman" w:cs="Times New Roman"/>
                <w:b/>
                <w:bCs/>
                <w:sz w:val="18"/>
                <w:szCs w:val="18"/>
                <w:lang w:eastAsia="sk-SK"/>
              </w:rPr>
            </w:pPr>
            <w:r w:rsidRPr="007D12A6">
              <w:rPr>
                <w:rFonts w:eastAsia="Times New Roman" w:cs="Times New Roman"/>
                <w:b/>
                <w:bCs/>
                <w:sz w:val="18"/>
                <w:szCs w:val="18"/>
                <w:lang w:eastAsia="sk-SK"/>
              </w:rPr>
              <w:t>1</w:t>
            </w:r>
          </w:p>
        </w:tc>
        <w:tc>
          <w:tcPr>
            <w:tcW w:w="553" w:type="pct"/>
            <w:tcBorders>
              <w:top w:val="nil"/>
              <w:left w:val="nil"/>
              <w:bottom w:val="single" w:sz="8" w:space="0" w:color="auto"/>
              <w:right w:val="nil"/>
            </w:tcBorders>
            <w:shd w:val="clear" w:color="000000" w:fill="BFBFBF"/>
            <w:vAlign w:val="center"/>
            <w:hideMark/>
          </w:tcPr>
          <w:p w14:paraId="09D030B6" w14:textId="77777777" w:rsidR="00EE5C5E" w:rsidRPr="007D12A6" w:rsidRDefault="00EE5C5E" w:rsidP="00EE5C5E">
            <w:pPr>
              <w:spacing w:after="0" w:line="240" w:lineRule="auto"/>
              <w:jc w:val="center"/>
              <w:rPr>
                <w:rFonts w:eastAsia="Times New Roman" w:cs="Times New Roman"/>
                <w:b/>
                <w:bCs/>
                <w:sz w:val="18"/>
                <w:szCs w:val="18"/>
                <w:lang w:eastAsia="sk-SK"/>
              </w:rPr>
            </w:pPr>
            <w:r w:rsidRPr="007D12A6">
              <w:rPr>
                <w:rFonts w:eastAsia="Times New Roman" w:cs="Times New Roman"/>
                <w:b/>
                <w:bCs/>
                <w:sz w:val="18"/>
                <w:szCs w:val="18"/>
                <w:lang w:eastAsia="sk-SK"/>
              </w:rPr>
              <w:t>2</w:t>
            </w:r>
          </w:p>
        </w:tc>
        <w:tc>
          <w:tcPr>
            <w:tcW w:w="553" w:type="pct"/>
            <w:tcBorders>
              <w:top w:val="nil"/>
              <w:left w:val="nil"/>
              <w:bottom w:val="single" w:sz="8" w:space="0" w:color="auto"/>
              <w:right w:val="nil"/>
            </w:tcBorders>
            <w:shd w:val="clear" w:color="000000" w:fill="BFBFBF"/>
            <w:vAlign w:val="center"/>
            <w:hideMark/>
          </w:tcPr>
          <w:p w14:paraId="12E974C3" w14:textId="77777777" w:rsidR="00EE5C5E" w:rsidRPr="007D12A6" w:rsidRDefault="00EE5C5E" w:rsidP="00EE5C5E">
            <w:pPr>
              <w:spacing w:after="0" w:line="240" w:lineRule="auto"/>
              <w:jc w:val="center"/>
              <w:rPr>
                <w:rFonts w:eastAsia="Times New Roman" w:cs="Times New Roman"/>
                <w:b/>
                <w:bCs/>
                <w:sz w:val="18"/>
                <w:szCs w:val="18"/>
                <w:lang w:eastAsia="sk-SK"/>
              </w:rPr>
            </w:pPr>
            <w:r w:rsidRPr="007D12A6">
              <w:rPr>
                <w:rFonts w:eastAsia="Times New Roman" w:cs="Times New Roman"/>
                <w:b/>
                <w:bCs/>
                <w:sz w:val="18"/>
                <w:szCs w:val="18"/>
                <w:lang w:eastAsia="sk-SK"/>
              </w:rPr>
              <w:t>3</w:t>
            </w:r>
          </w:p>
        </w:tc>
        <w:tc>
          <w:tcPr>
            <w:tcW w:w="660" w:type="pct"/>
            <w:tcBorders>
              <w:top w:val="nil"/>
              <w:left w:val="nil"/>
              <w:bottom w:val="single" w:sz="8" w:space="0" w:color="auto"/>
              <w:right w:val="nil"/>
            </w:tcBorders>
            <w:shd w:val="clear" w:color="000000" w:fill="BFBFBF"/>
            <w:vAlign w:val="center"/>
            <w:hideMark/>
          </w:tcPr>
          <w:p w14:paraId="21310AA0" w14:textId="77777777" w:rsidR="00EE5C5E" w:rsidRPr="007D12A6" w:rsidRDefault="00EE5C5E" w:rsidP="00EE5C5E">
            <w:pPr>
              <w:spacing w:after="0" w:line="240" w:lineRule="auto"/>
              <w:jc w:val="center"/>
              <w:rPr>
                <w:rFonts w:eastAsia="Times New Roman" w:cs="Times New Roman"/>
                <w:b/>
                <w:bCs/>
                <w:sz w:val="18"/>
                <w:szCs w:val="18"/>
                <w:lang w:eastAsia="sk-SK"/>
              </w:rPr>
            </w:pPr>
            <w:r w:rsidRPr="007D12A6">
              <w:rPr>
                <w:rFonts w:eastAsia="Times New Roman" w:cs="Times New Roman"/>
                <w:b/>
                <w:bCs/>
                <w:sz w:val="18"/>
                <w:szCs w:val="18"/>
                <w:lang w:eastAsia="sk-SK"/>
              </w:rPr>
              <w:t>4</w:t>
            </w:r>
          </w:p>
        </w:tc>
        <w:tc>
          <w:tcPr>
            <w:tcW w:w="465" w:type="pct"/>
            <w:tcBorders>
              <w:top w:val="nil"/>
              <w:left w:val="nil"/>
              <w:bottom w:val="single" w:sz="8" w:space="0" w:color="auto"/>
              <w:right w:val="nil"/>
            </w:tcBorders>
            <w:shd w:val="clear" w:color="000000" w:fill="BFBFBF"/>
            <w:vAlign w:val="center"/>
            <w:hideMark/>
          </w:tcPr>
          <w:p w14:paraId="71714EEC" w14:textId="77777777" w:rsidR="00EE5C5E" w:rsidRPr="007D12A6" w:rsidRDefault="00EE5C5E" w:rsidP="00EE5C5E">
            <w:pPr>
              <w:spacing w:after="0" w:line="240" w:lineRule="auto"/>
              <w:jc w:val="center"/>
              <w:rPr>
                <w:rFonts w:eastAsia="Times New Roman" w:cs="Times New Roman"/>
                <w:b/>
                <w:bCs/>
                <w:sz w:val="18"/>
                <w:szCs w:val="18"/>
                <w:lang w:eastAsia="sk-SK"/>
              </w:rPr>
            </w:pPr>
            <w:r w:rsidRPr="007D12A6">
              <w:rPr>
                <w:rFonts w:eastAsia="Times New Roman" w:cs="Times New Roman"/>
                <w:b/>
                <w:bCs/>
                <w:sz w:val="18"/>
                <w:szCs w:val="18"/>
                <w:lang w:eastAsia="sk-SK"/>
              </w:rPr>
              <w:t>5=4-3</w:t>
            </w:r>
          </w:p>
        </w:tc>
        <w:tc>
          <w:tcPr>
            <w:tcW w:w="473" w:type="pct"/>
            <w:tcBorders>
              <w:top w:val="nil"/>
              <w:left w:val="nil"/>
              <w:bottom w:val="single" w:sz="8" w:space="0" w:color="auto"/>
              <w:right w:val="nil"/>
            </w:tcBorders>
            <w:shd w:val="clear" w:color="000000" w:fill="BFBFBF"/>
            <w:vAlign w:val="center"/>
            <w:hideMark/>
          </w:tcPr>
          <w:p w14:paraId="22EDB9C8" w14:textId="77777777" w:rsidR="00EE5C5E" w:rsidRPr="007D12A6" w:rsidRDefault="00EE5C5E" w:rsidP="00EE5C5E">
            <w:pPr>
              <w:spacing w:after="0" w:line="240" w:lineRule="auto"/>
              <w:jc w:val="center"/>
              <w:rPr>
                <w:rFonts w:eastAsia="Times New Roman" w:cs="Times New Roman"/>
                <w:b/>
                <w:bCs/>
                <w:sz w:val="18"/>
                <w:szCs w:val="18"/>
                <w:lang w:eastAsia="sk-SK"/>
              </w:rPr>
            </w:pPr>
            <w:r w:rsidRPr="007D12A6">
              <w:rPr>
                <w:rFonts w:eastAsia="Times New Roman" w:cs="Times New Roman"/>
                <w:b/>
                <w:bCs/>
                <w:sz w:val="18"/>
                <w:szCs w:val="18"/>
                <w:lang w:eastAsia="sk-SK"/>
              </w:rPr>
              <w:t>6=4-3</w:t>
            </w:r>
          </w:p>
        </w:tc>
      </w:tr>
      <w:tr w:rsidR="00EE5C5E" w:rsidRPr="007D12A6" w14:paraId="03AAE3BF" w14:textId="77777777" w:rsidTr="005C4AEB">
        <w:trPr>
          <w:trHeight w:val="330"/>
          <w:jc w:val="center"/>
        </w:trPr>
        <w:tc>
          <w:tcPr>
            <w:tcW w:w="1744" w:type="pct"/>
            <w:tcBorders>
              <w:top w:val="nil"/>
              <w:left w:val="nil"/>
              <w:bottom w:val="nil"/>
              <w:right w:val="nil"/>
            </w:tcBorders>
            <w:shd w:val="clear" w:color="000000" w:fill="FFFFFF"/>
            <w:vAlign w:val="center"/>
            <w:hideMark/>
          </w:tcPr>
          <w:p w14:paraId="49D627A7" w14:textId="77777777" w:rsidR="00EE5C5E" w:rsidRPr="007D12A6" w:rsidRDefault="00EE5C5E" w:rsidP="00EE5C5E">
            <w:pPr>
              <w:spacing w:after="0" w:line="240" w:lineRule="auto"/>
              <w:jc w:val="left"/>
              <w:rPr>
                <w:rFonts w:eastAsia="Times New Roman" w:cs="Times New Roman"/>
                <w:color w:val="000000"/>
                <w:sz w:val="18"/>
                <w:szCs w:val="18"/>
                <w:lang w:eastAsia="sk-SK"/>
              </w:rPr>
            </w:pPr>
            <w:r w:rsidRPr="007D12A6">
              <w:rPr>
                <w:rFonts w:eastAsia="Times New Roman" w:cs="Times New Roman"/>
                <w:color w:val="000000"/>
                <w:sz w:val="18"/>
                <w:szCs w:val="18"/>
                <w:lang w:eastAsia="sk-SK"/>
              </w:rPr>
              <w:t>Poľnohospodárske fondy 3. programové obdobie</w:t>
            </w:r>
          </w:p>
        </w:tc>
        <w:tc>
          <w:tcPr>
            <w:tcW w:w="553" w:type="pct"/>
            <w:tcBorders>
              <w:top w:val="nil"/>
              <w:left w:val="nil"/>
              <w:bottom w:val="nil"/>
              <w:right w:val="nil"/>
            </w:tcBorders>
            <w:shd w:val="clear" w:color="000000" w:fill="FFFFFF"/>
            <w:noWrap/>
            <w:vAlign w:val="center"/>
            <w:hideMark/>
          </w:tcPr>
          <w:p w14:paraId="37BC18FF"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650 931</w:t>
            </w:r>
          </w:p>
        </w:tc>
        <w:tc>
          <w:tcPr>
            <w:tcW w:w="553" w:type="pct"/>
            <w:tcBorders>
              <w:top w:val="nil"/>
              <w:left w:val="nil"/>
              <w:bottom w:val="nil"/>
              <w:right w:val="nil"/>
            </w:tcBorders>
            <w:shd w:val="clear" w:color="000000" w:fill="FFFFFF"/>
            <w:noWrap/>
            <w:vAlign w:val="center"/>
            <w:hideMark/>
          </w:tcPr>
          <w:p w14:paraId="4617B49F"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711 195</w:t>
            </w:r>
          </w:p>
        </w:tc>
        <w:tc>
          <w:tcPr>
            <w:tcW w:w="553" w:type="pct"/>
            <w:tcBorders>
              <w:top w:val="nil"/>
              <w:left w:val="nil"/>
              <w:bottom w:val="nil"/>
              <w:right w:val="nil"/>
            </w:tcBorders>
            <w:shd w:val="clear" w:color="000000" w:fill="FFFFFF"/>
            <w:noWrap/>
            <w:vAlign w:val="center"/>
            <w:hideMark/>
          </w:tcPr>
          <w:p w14:paraId="16790444"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580 717</w:t>
            </w:r>
          </w:p>
        </w:tc>
        <w:tc>
          <w:tcPr>
            <w:tcW w:w="660" w:type="pct"/>
            <w:tcBorders>
              <w:top w:val="nil"/>
              <w:left w:val="nil"/>
              <w:bottom w:val="nil"/>
              <w:right w:val="nil"/>
            </w:tcBorders>
            <w:shd w:val="clear" w:color="auto" w:fill="auto"/>
            <w:noWrap/>
            <w:vAlign w:val="center"/>
            <w:hideMark/>
          </w:tcPr>
          <w:p w14:paraId="3BA569A3"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654 294</w:t>
            </w:r>
          </w:p>
        </w:tc>
        <w:tc>
          <w:tcPr>
            <w:tcW w:w="465" w:type="pct"/>
            <w:tcBorders>
              <w:top w:val="nil"/>
              <w:left w:val="nil"/>
              <w:bottom w:val="nil"/>
              <w:right w:val="nil"/>
            </w:tcBorders>
            <w:shd w:val="clear" w:color="000000" w:fill="FFFFFF"/>
            <w:noWrap/>
            <w:vAlign w:val="center"/>
            <w:hideMark/>
          </w:tcPr>
          <w:p w14:paraId="53D27040"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73 577</w:t>
            </w:r>
          </w:p>
        </w:tc>
        <w:tc>
          <w:tcPr>
            <w:tcW w:w="473" w:type="pct"/>
            <w:tcBorders>
              <w:top w:val="nil"/>
              <w:left w:val="nil"/>
              <w:bottom w:val="nil"/>
              <w:right w:val="nil"/>
            </w:tcBorders>
            <w:shd w:val="clear" w:color="000000" w:fill="FFFFFF"/>
            <w:noWrap/>
            <w:vAlign w:val="center"/>
            <w:hideMark/>
          </w:tcPr>
          <w:p w14:paraId="4B291F84"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12,7</w:t>
            </w:r>
          </w:p>
        </w:tc>
      </w:tr>
      <w:tr w:rsidR="00EE5C5E" w:rsidRPr="007D12A6" w14:paraId="380E5EEC" w14:textId="77777777" w:rsidTr="005C4AEB">
        <w:trPr>
          <w:trHeight w:val="330"/>
          <w:jc w:val="center"/>
        </w:trPr>
        <w:tc>
          <w:tcPr>
            <w:tcW w:w="1744" w:type="pct"/>
            <w:tcBorders>
              <w:top w:val="nil"/>
              <w:left w:val="nil"/>
              <w:bottom w:val="nil"/>
              <w:right w:val="nil"/>
            </w:tcBorders>
            <w:shd w:val="clear" w:color="000000" w:fill="FFFFFF"/>
            <w:vAlign w:val="center"/>
            <w:hideMark/>
          </w:tcPr>
          <w:p w14:paraId="4DEFD33A" w14:textId="77777777" w:rsidR="00EE5C5E" w:rsidRPr="007D12A6" w:rsidRDefault="00EE5C5E" w:rsidP="00EE5C5E">
            <w:pPr>
              <w:spacing w:after="0" w:line="240" w:lineRule="auto"/>
              <w:jc w:val="lef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Poľnohospodárske fondy spolu - MPRV SR</w:t>
            </w:r>
          </w:p>
        </w:tc>
        <w:tc>
          <w:tcPr>
            <w:tcW w:w="553" w:type="pct"/>
            <w:tcBorders>
              <w:top w:val="nil"/>
              <w:left w:val="nil"/>
              <w:bottom w:val="nil"/>
              <w:right w:val="nil"/>
            </w:tcBorders>
            <w:shd w:val="clear" w:color="000000" w:fill="FFFFFF"/>
            <w:noWrap/>
            <w:vAlign w:val="center"/>
            <w:hideMark/>
          </w:tcPr>
          <w:p w14:paraId="048744CC" w14:textId="77777777" w:rsidR="00EE5C5E" w:rsidRPr="007D12A6" w:rsidRDefault="00EE5C5E" w:rsidP="00EE5C5E">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650 931</w:t>
            </w:r>
          </w:p>
        </w:tc>
        <w:tc>
          <w:tcPr>
            <w:tcW w:w="553" w:type="pct"/>
            <w:tcBorders>
              <w:top w:val="nil"/>
              <w:left w:val="nil"/>
              <w:bottom w:val="nil"/>
              <w:right w:val="nil"/>
            </w:tcBorders>
            <w:shd w:val="clear" w:color="000000" w:fill="FFFFFF"/>
            <w:noWrap/>
            <w:vAlign w:val="center"/>
            <w:hideMark/>
          </w:tcPr>
          <w:p w14:paraId="5466E8BA" w14:textId="77777777" w:rsidR="00EE5C5E" w:rsidRPr="007D12A6" w:rsidRDefault="00EE5C5E" w:rsidP="00EE5C5E">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711 195</w:t>
            </w:r>
          </w:p>
        </w:tc>
        <w:tc>
          <w:tcPr>
            <w:tcW w:w="553" w:type="pct"/>
            <w:tcBorders>
              <w:top w:val="nil"/>
              <w:left w:val="nil"/>
              <w:bottom w:val="nil"/>
              <w:right w:val="nil"/>
            </w:tcBorders>
            <w:shd w:val="clear" w:color="000000" w:fill="FFFFFF"/>
            <w:noWrap/>
            <w:vAlign w:val="center"/>
            <w:hideMark/>
          </w:tcPr>
          <w:p w14:paraId="0AFAFE44" w14:textId="77777777" w:rsidR="00EE5C5E" w:rsidRPr="007D12A6" w:rsidRDefault="00EE5C5E" w:rsidP="00EE5C5E">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580 717</w:t>
            </w:r>
          </w:p>
        </w:tc>
        <w:tc>
          <w:tcPr>
            <w:tcW w:w="660" w:type="pct"/>
            <w:tcBorders>
              <w:top w:val="nil"/>
              <w:left w:val="nil"/>
              <w:bottom w:val="nil"/>
              <w:right w:val="nil"/>
            </w:tcBorders>
            <w:shd w:val="clear" w:color="000000" w:fill="FFFFFF"/>
            <w:noWrap/>
            <w:vAlign w:val="center"/>
            <w:hideMark/>
          </w:tcPr>
          <w:p w14:paraId="59F9303F" w14:textId="77777777" w:rsidR="00EE5C5E" w:rsidRPr="007D12A6" w:rsidRDefault="00EE5C5E" w:rsidP="00EE5C5E">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654 294</w:t>
            </w:r>
          </w:p>
        </w:tc>
        <w:tc>
          <w:tcPr>
            <w:tcW w:w="465" w:type="pct"/>
            <w:tcBorders>
              <w:top w:val="nil"/>
              <w:left w:val="nil"/>
              <w:bottom w:val="nil"/>
              <w:right w:val="nil"/>
            </w:tcBorders>
            <w:shd w:val="clear" w:color="000000" w:fill="FFFFFF"/>
            <w:noWrap/>
            <w:vAlign w:val="center"/>
            <w:hideMark/>
          </w:tcPr>
          <w:p w14:paraId="47BCCDE8" w14:textId="77777777" w:rsidR="00EE5C5E" w:rsidRPr="007D12A6" w:rsidRDefault="00EE5C5E" w:rsidP="00EE5C5E">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73 577</w:t>
            </w:r>
          </w:p>
        </w:tc>
        <w:tc>
          <w:tcPr>
            <w:tcW w:w="473" w:type="pct"/>
            <w:tcBorders>
              <w:top w:val="nil"/>
              <w:left w:val="nil"/>
              <w:bottom w:val="nil"/>
              <w:right w:val="nil"/>
            </w:tcBorders>
            <w:shd w:val="clear" w:color="000000" w:fill="FFFFFF"/>
            <w:noWrap/>
            <w:vAlign w:val="center"/>
            <w:hideMark/>
          </w:tcPr>
          <w:p w14:paraId="31342223" w14:textId="77777777" w:rsidR="00EE5C5E" w:rsidRPr="007D12A6" w:rsidRDefault="00EE5C5E" w:rsidP="00EE5C5E">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12,7</w:t>
            </w:r>
          </w:p>
        </w:tc>
      </w:tr>
      <w:tr w:rsidR="00EE5C5E" w:rsidRPr="007D12A6" w14:paraId="795FC0E6" w14:textId="77777777" w:rsidTr="005C4AEB">
        <w:trPr>
          <w:trHeight w:val="510"/>
          <w:jc w:val="center"/>
        </w:trPr>
        <w:tc>
          <w:tcPr>
            <w:tcW w:w="1744" w:type="pct"/>
            <w:tcBorders>
              <w:top w:val="nil"/>
              <w:left w:val="nil"/>
              <w:bottom w:val="nil"/>
              <w:right w:val="nil"/>
            </w:tcBorders>
            <w:shd w:val="clear" w:color="000000" w:fill="FFFFFF"/>
            <w:vAlign w:val="center"/>
            <w:hideMark/>
          </w:tcPr>
          <w:p w14:paraId="1A5C6525" w14:textId="77777777" w:rsidR="00EE5C5E" w:rsidRPr="007D12A6" w:rsidRDefault="00EE5C5E" w:rsidP="00EE5C5E">
            <w:pPr>
              <w:spacing w:after="0" w:line="240" w:lineRule="auto"/>
              <w:jc w:val="left"/>
              <w:rPr>
                <w:rFonts w:eastAsia="Times New Roman" w:cs="Times New Roman"/>
                <w:color w:val="000000"/>
                <w:sz w:val="18"/>
                <w:szCs w:val="18"/>
                <w:lang w:eastAsia="sk-SK"/>
              </w:rPr>
            </w:pPr>
            <w:r w:rsidRPr="007D12A6">
              <w:rPr>
                <w:rFonts w:eastAsia="Times New Roman" w:cs="Times New Roman"/>
                <w:color w:val="000000"/>
                <w:sz w:val="18"/>
                <w:szCs w:val="18"/>
                <w:lang w:eastAsia="sk-SK"/>
              </w:rPr>
              <w:t xml:space="preserve">Štrukturálne fondy, Kohézny fond, Európsky fond pre rybné hospodárstvo 2. programové obdobie </w:t>
            </w:r>
          </w:p>
        </w:tc>
        <w:tc>
          <w:tcPr>
            <w:tcW w:w="553" w:type="pct"/>
            <w:tcBorders>
              <w:top w:val="nil"/>
              <w:left w:val="nil"/>
              <w:bottom w:val="nil"/>
              <w:right w:val="nil"/>
            </w:tcBorders>
            <w:shd w:val="clear" w:color="auto" w:fill="auto"/>
            <w:noWrap/>
            <w:vAlign w:val="center"/>
            <w:hideMark/>
          </w:tcPr>
          <w:p w14:paraId="65A0F503"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93 018</w:t>
            </w:r>
          </w:p>
        </w:tc>
        <w:tc>
          <w:tcPr>
            <w:tcW w:w="553" w:type="pct"/>
            <w:tcBorders>
              <w:top w:val="nil"/>
              <w:left w:val="nil"/>
              <w:bottom w:val="nil"/>
              <w:right w:val="nil"/>
            </w:tcBorders>
            <w:shd w:val="clear" w:color="000000" w:fill="FFFFFF"/>
            <w:noWrap/>
            <w:vAlign w:val="center"/>
            <w:hideMark/>
          </w:tcPr>
          <w:p w14:paraId="6AE4533F"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126 667</w:t>
            </w:r>
          </w:p>
        </w:tc>
        <w:tc>
          <w:tcPr>
            <w:tcW w:w="553" w:type="pct"/>
            <w:tcBorders>
              <w:top w:val="nil"/>
              <w:left w:val="nil"/>
              <w:bottom w:val="nil"/>
              <w:right w:val="nil"/>
            </w:tcBorders>
            <w:shd w:val="clear" w:color="000000" w:fill="FFFFFF"/>
            <w:noWrap/>
            <w:vAlign w:val="center"/>
            <w:hideMark/>
          </w:tcPr>
          <w:p w14:paraId="545A8BF3"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0</w:t>
            </w:r>
          </w:p>
        </w:tc>
        <w:tc>
          <w:tcPr>
            <w:tcW w:w="660" w:type="pct"/>
            <w:tcBorders>
              <w:top w:val="nil"/>
              <w:left w:val="nil"/>
              <w:bottom w:val="nil"/>
              <w:right w:val="nil"/>
            </w:tcBorders>
            <w:shd w:val="clear" w:color="000000" w:fill="FFFFFF"/>
            <w:noWrap/>
            <w:vAlign w:val="center"/>
            <w:hideMark/>
          </w:tcPr>
          <w:p w14:paraId="30B7D10E"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306 088</w:t>
            </w:r>
          </w:p>
        </w:tc>
        <w:tc>
          <w:tcPr>
            <w:tcW w:w="465" w:type="pct"/>
            <w:tcBorders>
              <w:top w:val="nil"/>
              <w:left w:val="nil"/>
              <w:bottom w:val="nil"/>
              <w:right w:val="nil"/>
            </w:tcBorders>
            <w:shd w:val="clear" w:color="000000" w:fill="FFFFFF"/>
            <w:noWrap/>
            <w:vAlign w:val="center"/>
            <w:hideMark/>
          </w:tcPr>
          <w:p w14:paraId="16DBCF85"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306 088</w:t>
            </w:r>
          </w:p>
        </w:tc>
        <w:tc>
          <w:tcPr>
            <w:tcW w:w="473" w:type="pct"/>
            <w:tcBorders>
              <w:top w:val="nil"/>
              <w:left w:val="nil"/>
              <w:bottom w:val="nil"/>
              <w:right w:val="nil"/>
            </w:tcBorders>
            <w:shd w:val="clear" w:color="000000" w:fill="FFFFFF"/>
            <w:noWrap/>
            <w:vAlign w:val="center"/>
            <w:hideMark/>
          </w:tcPr>
          <w:p w14:paraId="09B4D518"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w:t>
            </w:r>
          </w:p>
        </w:tc>
      </w:tr>
      <w:tr w:rsidR="00EE5C5E" w:rsidRPr="007D12A6" w14:paraId="478C060E" w14:textId="77777777" w:rsidTr="005C4AEB">
        <w:trPr>
          <w:trHeight w:val="510"/>
          <w:jc w:val="center"/>
        </w:trPr>
        <w:tc>
          <w:tcPr>
            <w:tcW w:w="1744" w:type="pct"/>
            <w:tcBorders>
              <w:top w:val="nil"/>
              <w:left w:val="nil"/>
              <w:bottom w:val="nil"/>
              <w:right w:val="nil"/>
            </w:tcBorders>
            <w:shd w:val="clear" w:color="000000" w:fill="FFFFFF"/>
            <w:vAlign w:val="center"/>
            <w:hideMark/>
          </w:tcPr>
          <w:p w14:paraId="697826D2" w14:textId="77777777" w:rsidR="00EE5C5E" w:rsidRPr="007D12A6" w:rsidRDefault="00EE5C5E" w:rsidP="00EE5C5E">
            <w:pPr>
              <w:spacing w:after="0" w:line="240" w:lineRule="auto"/>
              <w:jc w:val="left"/>
              <w:rPr>
                <w:rFonts w:eastAsia="Times New Roman" w:cs="Times New Roman"/>
                <w:color w:val="000000"/>
                <w:sz w:val="18"/>
                <w:szCs w:val="18"/>
                <w:lang w:eastAsia="sk-SK"/>
              </w:rPr>
            </w:pPr>
            <w:r w:rsidRPr="007D12A6">
              <w:rPr>
                <w:rFonts w:eastAsia="Times New Roman" w:cs="Times New Roman"/>
                <w:color w:val="000000"/>
                <w:sz w:val="18"/>
                <w:szCs w:val="18"/>
                <w:lang w:eastAsia="sk-SK"/>
              </w:rPr>
              <w:t xml:space="preserve">Štrukturálne fondy, Kohézny fond, Európsky námorný a rybársky fond 3. programové obdobie </w:t>
            </w:r>
          </w:p>
        </w:tc>
        <w:tc>
          <w:tcPr>
            <w:tcW w:w="553" w:type="pct"/>
            <w:tcBorders>
              <w:top w:val="nil"/>
              <w:left w:val="nil"/>
              <w:bottom w:val="nil"/>
              <w:right w:val="nil"/>
            </w:tcBorders>
            <w:shd w:val="clear" w:color="000000" w:fill="FFFFFF"/>
            <w:noWrap/>
            <w:vAlign w:val="center"/>
            <w:hideMark/>
          </w:tcPr>
          <w:p w14:paraId="41763C74"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1 412 676</w:t>
            </w:r>
          </w:p>
        </w:tc>
        <w:tc>
          <w:tcPr>
            <w:tcW w:w="553" w:type="pct"/>
            <w:tcBorders>
              <w:top w:val="nil"/>
              <w:left w:val="nil"/>
              <w:bottom w:val="nil"/>
              <w:right w:val="nil"/>
            </w:tcBorders>
            <w:shd w:val="clear" w:color="000000" w:fill="FFFFFF"/>
            <w:noWrap/>
            <w:vAlign w:val="center"/>
            <w:hideMark/>
          </w:tcPr>
          <w:p w14:paraId="6FF9F2C6"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1 263 251</w:t>
            </w:r>
          </w:p>
        </w:tc>
        <w:tc>
          <w:tcPr>
            <w:tcW w:w="553" w:type="pct"/>
            <w:tcBorders>
              <w:top w:val="nil"/>
              <w:left w:val="nil"/>
              <w:bottom w:val="nil"/>
              <w:right w:val="nil"/>
            </w:tcBorders>
            <w:shd w:val="clear" w:color="000000" w:fill="FFFFFF"/>
            <w:noWrap/>
            <w:vAlign w:val="center"/>
            <w:hideMark/>
          </w:tcPr>
          <w:p w14:paraId="62E37E74"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1 068 197</w:t>
            </w:r>
          </w:p>
        </w:tc>
        <w:tc>
          <w:tcPr>
            <w:tcW w:w="660" w:type="pct"/>
            <w:tcBorders>
              <w:top w:val="nil"/>
              <w:left w:val="nil"/>
              <w:bottom w:val="nil"/>
              <w:right w:val="nil"/>
            </w:tcBorders>
            <w:shd w:val="clear" w:color="000000" w:fill="FFFFFF"/>
            <w:noWrap/>
            <w:vAlign w:val="center"/>
            <w:hideMark/>
          </w:tcPr>
          <w:p w14:paraId="4C7710F7"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1 559 035</w:t>
            </w:r>
          </w:p>
        </w:tc>
        <w:tc>
          <w:tcPr>
            <w:tcW w:w="465" w:type="pct"/>
            <w:tcBorders>
              <w:top w:val="nil"/>
              <w:left w:val="nil"/>
              <w:bottom w:val="nil"/>
              <w:right w:val="nil"/>
            </w:tcBorders>
            <w:shd w:val="clear" w:color="000000" w:fill="FFFFFF"/>
            <w:noWrap/>
            <w:vAlign w:val="center"/>
            <w:hideMark/>
          </w:tcPr>
          <w:p w14:paraId="0ED2B1FE"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490 838</w:t>
            </w:r>
          </w:p>
        </w:tc>
        <w:tc>
          <w:tcPr>
            <w:tcW w:w="473" w:type="pct"/>
            <w:tcBorders>
              <w:top w:val="nil"/>
              <w:left w:val="nil"/>
              <w:bottom w:val="nil"/>
              <w:right w:val="nil"/>
            </w:tcBorders>
            <w:shd w:val="clear" w:color="000000" w:fill="FFFFFF"/>
            <w:noWrap/>
            <w:vAlign w:val="center"/>
            <w:hideMark/>
          </w:tcPr>
          <w:p w14:paraId="44032415"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46,0</w:t>
            </w:r>
          </w:p>
        </w:tc>
      </w:tr>
      <w:tr w:rsidR="00EE5C5E" w:rsidRPr="007D12A6" w14:paraId="61539514" w14:textId="77777777" w:rsidTr="005C4AEB">
        <w:trPr>
          <w:trHeight w:val="330"/>
          <w:jc w:val="center"/>
        </w:trPr>
        <w:tc>
          <w:tcPr>
            <w:tcW w:w="1744" w:type="pct"/>
            <w:tcBorders>
              <w:top w:val="nil"/>
              <w:left w:val="nil"/>
              <w:bottom w:val="nil"/>
              <w:right w:val="nil"/>
            </w:tcBorders>
            <w:shd w:val="clear" w:color="000000" w:fill="FFFFFF"/>
            <w:vAlign w:val="center"/>
            <w:hideMark/>
          </w:tcPr>
          <w:p w14:paraId="61D12B6A" w14:textId="77777777" w:rsidR="00EE5C5E" w:rsidRPr="007D12A6" w:rsidRDefault="00EE5C5E" w:rsidP="00EE5C5E">
            <w:pPr>
              <w:spacing w:after="0" w:line="240" w:lineRule="auto"/>
              <w:jc w:val="left"/>
              <w:rPr>
                <w:rFonts w:eastAsia="Times New Roman" w:cs="Times New Roman"/>
                <w:color w:val="000000"/>
                <w:sz w:val="18"/>
                <w:szCs w:val="18"/>
                <w:lang w:eastAsia="sk-SK"/>
              </w:rPr>
            </w:pPr>
            <w:r w:rsidRPr="007D12A6">
              <w:rPr>
                <w:rFonts w:eastAsia="Times New Roman" w:cs="Times New Roman"/>
                <w:color w:val="000000"/>
                <w:sz w:val="18"/>
                <w:szCs w:val="18"/>
                <w:lang w:eastAsia="sk-SK"/>
              </w:rPr>
              <w:t>Programy EÚS 3. programové obdobie (CO MF SR)</w:t>
            </w:r>
          </w:p>
        </w:tc>
        <w:tc>
          <w:tcPr>
            <w:tcW w:w="553" w:type="pct"/>
            <w:tcBorders>
              <w:top w:val="nil"/>
              <w:left w:val="nil"/>
              <w:bottom w:val="nil"/>
              <w:right w:val="nil"/>
            </w:tcBorders>
            <w:shd w:val="clear" w:color="000000" w:fill="FFFFFF"/>
            <w:noWrap/>
            <w:vAlign w:val="center"/>
            <w:hideMark/>
          </w:tcPr>
          <w:p w14:paraId="307B63AA"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4 158</w:t>
            </w:r>
          </w:p>
        </w:tc>
        <w:tc>
          <w:tcPr>
            <w:tcW w:w="553" w:type="pct"/>
            <w:tcBorders>
              <w:top w:val="nil"/>
              <w:left w:val="nil"/>
              <w:bottom w:val="nil"/>
              <w:right w:val="nil"/>
            </w:tcBorders>
            <w:shd w:val="clear" w:color="000000" w:fill="FFFFFF"/>
            <w:noWrap/>
            <w:vAlign w:val="center"/>
            <w:hideMark/>
          </w:tcPr>
          <w:p w14:paraId="08AB48A7"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14 718</w:t>
            </w:r>
          </w:p>
        </w:tc>
        <w:tc>
          <w:tcPr>
            <w:tcW w:w="553" w:type="pct"/>
            <w:tcBorders>
              <w:top w:val="nil"/>
              <w:left w:val="nil"/>
              <w:bottom w:val="nil"/>
              <w:right w:val="nil"/>
            </w:tcBorders>
            <w:shd w:val="clear" w:color="000000" w:fill="FFFFFF"/>
            <w:noWrap/>
            <w:vAlign w:val="center"/>
            <w:hideMark/>
          </w:tcPr>
          <w:p w14:paraId="2E0EE49E"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18 019</w:t>
            </w:r>
          </w:p>
        </w:tc>
        <w:tc>
          <w:tcPr>
            <w:tcW w:w="660" w:type="pct"/>
            <w:tcBorders>
              <w:top w:val="nil"/>
              <w:left w:val="nil"/>
              <w:bottom w:val="nil"/>
              <w:right w:val="nil"/>
            </w:tcBorders>
            <w:shd w:val="clear" w:color="000000" w:fill="FFFFFF"/>
            <w:noWrap/>
            <w:vAlign w:val="center"/>
            <w:hideMark/>
          </w:tcPr>
          <w:p w14:paraId="0C6552D9"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26 119</w:t>
            </w:r>
          </w:p>
        </w:tc>
        <w:tc>
          <w:tcPr>
            <w:tcW w:w="465" w:type="pct"/>
            <w:tcBorders>
              <w:top w:val="nil"/>
              <w:left w:val="nil"/>
              <w:bottom w:val="nil"/>
              <w:right w:val="nil"/>
            </w:tcBorders>
            <w:shd w:val="clear" w:color="000000" w:fill="FFFFFF"/>
            <w:noWrap/>
            <w:vAlign w:val="center"/>
            <w:hideMark/>
          </w:tcPr>
          <w:p w14:paraId="26281352"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8 100</w:t>
            </w:r>
          </w:p>
        </w:tc>
        <w:tc>
          <w:tcPr>
            <w:tcW w:w="473" w:type="pct"/>
            <w:tcBorders>
              <w:top w:val="nil"/>
              <w:left w:val="nil"/>
              <w:bottom w:val="nil"/>
              <w:right w:val="nil"/>
            </w:tcBorders>
            <w:shd w:val="clear" w:color="000000" w:fill="FFFFFF"/>
            <w:noWrap/>
            <w:vAlign w:val="center"/>
            <w:hideMark/>
          </w:tcPr>
          <w:p w14:paraId="6A79E503"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45,0</w:t>
            </w:r>
          </w:p>
        </w:tc>
      </w:tr>
      <w:tr w:rsidR="00EE5C5E" w:rsidRPr="007D12A6" w14:paraId="17AD26A3" w14:textId="77777777" w:rsidTr="005C4AEB">
        <w:trPr>
          <w:trHeight w:val="330"/>
          <w:jc w:val="center"/>
        </w:trPr>
        <w:tc>
          <w:tcPr>
            <w:tcW w:w="1744" w:type="pct"/>
            <w:tcBorders>
              <w:top w:val="nil"/>
              <w:left w:val="nil"/>
              <w:bottom w:val="nil"/>
              <w:right w:val="nil"/>
            </w:tcBorders>
            <w:shd w:val="clear" w:color="000000" w:fill="FFFFFF"/>
            <w:vAlign w:val="center"/>
            <w:hideMark/>
          </w:tcPr>
          <w:p w14:paraId="5E8B1D2B" w14:textId="77777777" w:rsidR="00EE5C5E" w:rsidRPr="007D12A6" w:rsidRDefault="00EE5C5E" w:rsidP="00EE5C5E">
            <w:pPr>
              <w:spacing w:after="0" w:line="240" w:lineRule="auto"/>
              <w:jc w:val="lef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Štrukturálne operácie - MF SR</w:t>
            </w:r>
          </w:p>
        </w:tc>
        <w:tc>
          <w:tcPr>
            <w:tcW w:w="553" w:type="pct"/>
            <w:tcBorders>
              <w:top w:val="nil"/>
              <w:left w:val="nil"/>
              <w:bottom w:val="nil"/>
              <w:right w:val="nil"/>
            </w:tcBorders>
            <w:shd w:val="clear" w:color="000000" w:fill="FFFFFF"/>
            <w:noWrap/>
            <w:vAlign w:val="center"/>
            <w:hideMark/>
          </w:tcPr>
          <w:p w14:paraId="19EAF2F5" w14:textId="77777777" w:rsidR="00EE5C5E" w:rsidRPr="007D12A6" w:rsidRDefault="00EE5C5E" w:rsidP="00EE5C5E">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1 509 852</w:t>
            </w:r>
          </w:p>
        </w:tc>
        <w:tc>
          <w:tcPr>
            <w:tcW w:w="553" w:type="pct"/>
            <w:tcBorders>
              <w:top w:val="nil"/>
              <w:left w:val="nil"/>
              <w:bottom w:val="nil"/>
              <w:right w:val="nil"/>
            </w:tcBorders>
            <w:shd w:val="clear" w:color="000000" w:fill="FFFFFF"/>
            <w:noWrap/>
            <w:vAlign w:val="center"/>
            <w:hideMark/>
          </w:tcPr>
          <w:p w14:paraId="65776FE7" w14:textId="77777777" w:rsidR="00EE5C5E" w:rsidRPr="007D12A6" w:rsidRDefault="00EE5C5E" w:rsidP="00EE5C5E">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1 404 636</w:t>
            </w:r>
          </w:p>
        </w:tc>
        <w:tc>
          <w:tcPr>
            <w:tcW w:w="553" w:type="pct"/>
            <w:tcBorders>
              <w:top w:val="nil"/>
              <w:left w:val="nil"/>
              <w:bottom w:val="nil"/>
              <w:right w:val="nil"/>
            </w:tcBorders>
            <w:shd w:val="clear" w:color="auto" w:fill="auto"/>
            <w:noWrap/>
            <w:vAlign w:val="center"/>
            <w:hideMark/>
          </w:tcPr>
          <w:p w14:paraId="320CD506" w14:textId="77777777" w:rsidR="00EE5C5E" w:rsidRPr="007D12A6" w:rsidRDefault="00EE5C5E" w:rsidP="00EE5C5E">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1 086 216</w:t>
            </w:r>
          </w:p>
        </w:tc>
        <w:tc>
          <w:tcPr>
            <w:tcW w:w="660" w:type="pct"/>
            <w:tcBorders>
              <w:top w:val="nil"/>
              <w:left w:val="nil"/>
              <w:bottom w:val="nil"/>
              <w:right w:val="nil"/>
            </w:tcBorders>
            <w:shd w:val="clear" w:color="000000" w:fill="FFFFFF"/>
            <w:noWrap/>
            <w:vAlign w:val="center"/>
            <w:hideMark/>
          </w:tcPr>
          <w:p w14:paraId="3155146F" w14:textId="77777777" w:rsidR="00EE5C5E" w:rsidRPr="007D12A6" w:rsidRDefault="00EE5C5E" w:rsidP="00EE5C5E">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1 891 242</w:t>
            </w:r>
          </w:p>
        </w:tc>
        <w:tc>
          <w:tcPr>
            <w:tcW w:w="465" w:type="pct"/>
            <w:tcBorders>
              <w:top w:val="nil"/>
              <w:left w:val="nil"/>
              <w:bottom w:val="nil"/>
              <w:right w:val="nil"/>
            </w:tcBorders>
            <w:shd w:val="clear" w:color="000000" w:fill="FFFFFF"/>
            <w:noWrap/>
            <w:vAlign w:val="center"/>
            <w:hideMark/>
          </w:tcPr>
          <w:p w14:paraId="27FDA437" w14:textId="77777777" w:rsidR="00EE5C5E" w:rsidRPr="007D12A6" w:rsidRDefault="00EE5C5E" w:rsidP="00EE5C5E">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805 026</w:t>
            </w:r>
          </w:p>
        </w:tc>
        <w:tc>
          <w:tcPr>
            <w:tcW w:w="473" w:type="pct"/>
            <w:tcBorders>
              <w:top w:val="nil"/>
              <w:left w:val="nil"/>
              <w:bottom w:val="nil"/>
              <w:right w:val="nil"/>
            </w:tcBorders>
            <w:shd w:val="clear" w:color="000000" w:fill="FFFFFF"/>
            <w:noWrap/>
            <w:vAlign w:val="center"/>
            <w:hideMark/>
          </w:tcPr>
          <w:p w14:paraId="4891AD2B" w14:textId="77777777" w:rsidR="00EE5C5E" w:rsidRPr="007D12A6" w:rsidRDefault="00EE5C5E" w:rsidP="00EE5C5E">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74,1</w:t>
            </w:r>
          </w:p>
        </w:tc>
      </w:tr>
      <w:tr w:rsidR="00EE5C5E" w:rsidRPr="007D12A6" w14:paraId="223E4AC6" w14:textId="77777777" w:rsidTr="005C4AEB">
        <w:trPr>
          <w:trHeight w:val="480"/>
          <w:jc w:val="center"/>
        </w:trPr>
        <w:tc>
          <w:tcPr>
            <w:tcW w:w="1744" w:type="pct"/>
            <w:tcBorders>
              <w:top w:val="nil"/>
              <w:left w:val="nil"/>
              <w:bottom w:val="nil"/>
              <w:right w:val="nil"/>
            </w:tcBorders>
            <w:shd w:val="clear" w:color="000000" w:fill="FFFFFF"/>
            <w:vAlign w:val="center"/>
            <w:hideMark/>
          </w:tcPr>
          <w:p w14:paraId="68AFF0C9" w14:textId="77777777" w:rsidR="00EE5C5E" w:rsidRPr="007D12A6" w:rsidRDefault="00EE5C5E" w:rsidP="00EE5C5E">
            <w:pPr>
              <w:spacing w:after="0" w:line="240" w:lineRule="auto"/>
              <w:jc w:val="left"/>
              <w:rPr>
                <w:rFonts w:eastAsia="Times New Roman" w:cs="Times New Roman"/>
                <w:color w:val="000000"/>
                <w:sz w:val="18"/>
                <w:szCs w:val="18"/>
                <w:lang w:eastAsia="sk-SK"/>
              </w:rPr>
            </w:pPr>
            <w:r w:rsidRPr="007D12A6">
              <w:rPr>
                <w:rFonts w:eastAsia="Times New Roman" w:cs="Times New Roman"/>
                <w:color w:val="000000"/>
                <w:sz w:val="18"/>
                <w:szCs w:val="18"/>
                <w:lang w:eastAsia="sk-SK"/>
              </w:rPr>
              <w:t>OP Sociálneho začlenenia najodkázanejších osôb</w:t>
            </w:r>
          </w:p>
        </w:tc>
        <w:tc>
          <w:tcPr>
            <w:tcW w:w="553" w:type="pct"/>
            <w:tcBorders>
              <w:top w:val="nil"/>
              <w:left w:val="nil"/>
              <w:bottom w:val="nil"/>
              <w:right w:val="nil"/>
            </w:tcBorders>
            <w:shd w:val="clear" w:color="000000" w:fill="FFFFFF"/>
            <w:noWrap/>
            <w:vAlign w:val="center"/>
            <w:hideMark/>
          </w:tcPr>
          <w:p w14:paraId="40B54A5A"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8 942</w:t>
            </w:r>
          </w:p>
        </w:tc>
        <w:tc>
          <w:tcPr>
            <w:tcW w:w="553" w:type="pct"/>
            <w:tcBorders>
              <w:top w:val="nil"/>
              <w:left w:val="nil"/>
              <w:bottom w:val="nil"/>
              <w:right w:val="nil"/>
            </w:tcBorders>
            <w:shd w:val="clear" w:color="000000" w:fill="FFFFFF"/>
            <w:noWrap/>
            <w:vAlign w:val="center"/>
            <w:hideMark/>
          </w:tcPr>
          <w:p w14:paraId="05F237CA"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11 090</w:t>
            </w:r>
          </w:p>
        </w:tc>
        <w:tc>
          <w:tcPr>
            <w:tcW w:w="553" w:type="pct"/>
            <w:tcBorders>
              <w:top w:val="nil"/>
              <w:left w:val="nil"/>
              <w:bottom w:val="nil"/>
              <w:right w:val="nil"/>
            </w:tcBorders>
            <w:shd w:val="clear" w:color="000000" w:fill="FFFFFF"/>
            <w:noWrap/>
            <w:vAlign w:val="center"/>
            <w:hideMark/>
          </w:tcPr>
          <w:p w14:paraId="3852F2BC"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10 756</w:t>
            </w:r>
          </w:p>
        </w:tc>
        <w:tc>
          <w:tcPr>
            <w:tcW w:w="660" w:type="pct"/>
            <w:tcBorders>
              <w:top w:val="nil"/>
              <w:left w:val="nil"/>
              <w:bottom w:val="nil"/>
              <w:right w:val="nil"/>
            </w:tcBorders>
            <w:shd w:val="clear" w:color="auto" w:fill="auto"/>
            <w:noWrap/>
            <w:vAlign w:val="center"/>
            <w:hideMark/>
          </w:tcPr>
          <w:p w14:paraId="6136F288"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5 793</w:t>
            </w:r>
          </w:p>
        </w:tc>
        <w:tc>
          <w:tcPr>
            <w:tcW w:w="465" w:type="pct"/>
            <w:tcBorders>
              <w:top w:val="nil"/>
              <w:left w:val="nil"/>
              <w:bottom w:val="nil"/>
              <w:right w:val="nil"/>
            </w:tcBorders>
            <w:shd w:val="clear" w:color="000000" w:fill="FFFFFF"/>
            <w:noWrap/>
            <w:vAlign w:val="center"/>
            <w:hideMark/>
          </w:tcPr>
          <w:p w14:paraId="14033C40"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-4 963</w:t>
            </w:r>
          </w:p>
        </w:tc>
        <w:tc>
          <w:tcPr>
            <w:tcW w:w="473" w:type="pct"/>
            <w:tcBorders>
              <w:top w:val="nil"/>
              <w:left w:val="nil"/>
              <w:bottom w:val="nil"/>
              <w:right w:val="nil"/>
            </w:tcBorders>
            <w:shd w:val="clear" w:color="000000" w:fill="FFFFFF"/>
            <w:noWrap/>
            <w:vAlign w:val="center"/>
            <w:hideMark/>
          </w:tcPr>
          <w:p w14:paraId="5B2B2BDB"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-46,1</w:t>
            </w:r>
          </w:p>
        </w:tc>
      </w:tr>
      <w:tr w:rsidR="00EE5C5E" w:rsidRPr="007D12A6" w14:paraId="37441BA3" w14:textId="77777777" w:rsidTr="005C4AEB">
        <w:trPr>
          <w:trHeight w:val="330"/>
          <w:jc w:val="center"/>
        </w:trPr>
        <w:tc>
          <w:tcPr>
            <w:tcW w:w="1744" w:type="pct"/>
            <w:tcBorders>
              <w:top w:val="nil"/>
              <w:left w:val="nil"/>
              <w:bottom w:val="nil"/>
              <w:right w:val="nil"/>
            </w:tcBorders>
            <w:shd w:val="clear" w:color="000000" w:fill="FFFFFF"/>
            <w:vAlign w:val="center"/>
            <w:hideMark/>
          </w:tcPr>
          <w:p w14:paraId="4AC75C14" w14:textId="77777777" w:rsidR="00EE5C5E" w:rsidRPr="007D12A6" w:rsidRDefault="00EE5C5E" w:rsidP="00EE5C5E">
            <w:pPr>
              <w:spacing w:after="0" w:line="240" w:lineRule="auto"/>
              <w:jc w:val="lef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Štrukturálne operácie - MPSVR SR</w:t>
            </w:r>
          </w:p>
        </w:tc>
        <w:tc>
          <w:tcPr>
            <w:tcW w:w="553" w:type="pct"/>
            <w:tcBorders>
              <w:top w:val="nil"/>
              <w:left w:val="nil"/>
              <w:bottom w:val="nil"/>
              <w:right w:val="nil"/>
            </w:tcBorders>
            <w:shd w:val="clear" w:color="000000" w:fill="FFFFFF"/>
            <w:noWrap/>
            <w:vAlign w:val="center"/>
            <w:hideMark/>
          </w:tcPr>
          <w:p w14:paraId="5D245669" w14:textId="77777777" w:rsidR="00EE5C5E" w:rsidRPr="007D12A6" w:rsidRDefault="00EE5C5E" w:rsidP="00EE5C5E">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8 942</w:t>
            </w:r>
          </w:p>
        </w:tc>
        <w:tc>
          <w:tcPr>
            <w:tcW w:w="553" w:type="pct"/>
            <w:tcBorders>
              <w:top w:val="nil"/>
              <w:left w:val="nil"/>
              <w:bottom w:val="nil"/>
              <w:right w:val="nil"/>
            </w:tcBorders>
            <w:shd w:val="clear" w:color="000000" w:fill="FFFFFF"/>
            <w:noWrap/>
            <w:vAlign w:val="center"/>
            <w:hideMark/>
          </w:tcPr>
          <w:p w14:paraId="5613F09B" w14:textId="77777777" w:rsidR="00EE5C5E" w:rsidRPr="007D12A6" w:rsidRDefault="00EE5C5E" w:rsidP="00EE5C5E">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11 090</w:t>
            </w:r>
          </w:p>
        </w:tc>
        <w:tc>
          <w:tcPr>
            <w:tcW w:w="553" w:type="pct"/>
            <w:tcBorders>
              <w:top w:val="nil"/>
              <w:left w:val="nil"/>
              <w:bottom w:val="nil"/>
              <w:right w:val="nil"/>
            </w:tcBorders>
            <w:shd w:val="clear" w:color="auto" w:fill="auto"/>
            <w:noWrap/>
            <w:vAlign w:val="center"/>
            <w:hideMark/>
          </w:tcPr>
          <w:p w14:paraId="56024AD1" w14:textId="77777777" w:rsidR="00EE5C5E" w:rsidRPr="007D12A6" w:rsidRDefault="00EE5C5E" w:rsidP="00EE5C5E">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10 756</w:t>
            </w:r>
          </w:p>
        </w:tc>
        <w:tc>
          <w:tcPr>
            <w:tcW w:w="660" w:type="pct"/>
            <w:tcBorders>
              <w:top w:val="nil"/>
              <w:left w:val="nil"/>
              <w:bottom w:val="nil"/>
              <w:right w:val="nil"/>
            </w:tcBorders>
            <w:shd w:val="clear" w:color="000000" w:fill="FFFFFF"/>
            <w:noWrap/>
            <w:vAlign w:val="center"/>
            <w:hideMark/>
          </w:tcPr>
          <w:p w14:paraId="30FD0BF8" w14:textId="77777777" w:rsidR="00EE5C5E" w:rsidRPr="007D12A6" w:rsidRDefault="00EE5C5E" w:rsidP="00EE5C5E">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5 793</w:t>
            </w:r>
          </w:p>
        </w:tc>
        <w:tc>
          <w:tcPr>
            <w:tcW w:w="465" w:type="pct"/>
            <w:tcBorders>
              <w:top w:val="nil"/>
              <w:left w:val="nil"/>
              <w:bottom w:val="nil"/>
              <w:right w:val="nil"/>
            </w:tcBorders>
            <w:shd w:val="clear" w:color="000000" w:fill="FFFFFF"/>
            <w:noWrap/>
            <w:vAlign w:val="center"/>
            <w:hideMark/>
          </w:tcPr>
          <w:p w14:paraId="76C0ECFA" w14:textId="77777777" w:rsidR="00EE5C5E" w:rsidRPr="007D12A6" w:rsidRDefault="00EE5C5E" w:rsidP="00EE5C5E">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-4 963</w:t>
            </w:r>
          </w:p>
        </w:tc>
        <w:tc>
          <w:tcPr>
            <w:tcW w:w="473" w:type="pct"/>
            <w:tcBorders>
              <w:top w:val="nil"/>
              <w:left w:val="nil"/>
              <w:bottom w:val="nil"/>
              <w:right w:val="nil"/>
            </w:tcBorders>
            <w:shd w:val="clear" w:color="000000" w:fill="FFFFFF"/>
            <w:noWrap/>
            <w:vAlign w:val="center"/>
            <w:hideMark/>
          </w:tcPr>
          <w:p w14:paraId="62502263" w14:textId="77777777" w:rsidR="00EE5C5E" w:rsidRPr="007D12A6" w:rsidRDefault="00EE5C5E" w:rsidP="00EE5C5E">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-46,1</w:t>
            </w:r>
          </w:p>
        </w:tc>
      </w:tr>
      <w:tr w:rsidR="00EE5C5E" w:rsidRPr="007D12A6" w14:paraId="191662DD" w14:textId="77777777" w:rsidTr="005C4AEB">
        <w:trPr>
          <w:trHeight w:val="330"/>
          <w:jc w:val="center"/>
        </w:trPr>
        <w:tc>
          <w:tcPr>
            <w:tcW w:w="1744" w:type="pct"/>
            <w:tcBorders>
              <w:top w:val="nil"/>
              <w:left w:val="nil"/>
              <w:bottom w:val="nil"/>
              <w:right w:val="nil"/>
            </w:tcBorders>
            <w:shd w:val="clear" w:color="000000" w:fill="FFFFFF"/>
            <w:vAlign w:val="center"/>
            <w:hideMark/>
          </w:tcPr>
          <w:p w14:paraId="4AE516BA" w14:textId="77777777" w:rsidR="00EE5C5E" w:rsidRPr="007D12A6" w:rsidRDefault="00EE5C5E" w:rsidP="00EE5C5E">
            <w:pPr>
              <w:spacing w:after="0" w:line="240" w:lineRule="auto"/>
              <w:jc w:val="left"/>
              <w:rPr>
                <w:rFonts w:eastAsia="Times New Roman" w:cs="Times New Roman"/>
                <w:color w:val="000000"/>
                <w:sz w:val="18"/>
                <w:szCs w:val="18"/>
                <w:lang w:eastAsia="sk-SK"/>
              </w:rPr>
            </w:pPr>
            <w:r w:rsidRPr="007D12A6">
              <w:rPr>
                <w:rFonts w:eastAsia="Times New Roman" w:cs="Times New Roman"/>
                <w:color w:val="000000"/>
                <w:sz w:val="18"/>
                <w:szCs w:val="18"/>
                <w:lang w:eastAsia="sk-SK"/>
              </w:rPr>
              <w:t>Spolu zahraničné transfery</w:t>
            </w:r>
          </w:p>
        </w:tc>
        <w:tc>
          <w:tcPr>
            <w:tcW w:w="553" w:type="pct"/>
            <w:tcBorders>
              <w:top w:val="nil"/>
              <w:left w:val="nil"/>
              <w:bottom w:val="nil"/>
              <w:right w:val="nil"/>
            </w:tcBorders>
            <w:shd w:val="clear" w:color="000000" w:fill="FFFFFF"/>
            <w:noWrap/>
            <w:vAlign w:val="center"/>
            <w:hideMark/>
          </w:tcPr>
          <w:p w14:paraId="51A5C798"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2 169 725</w:t>
            </w:r>
          </w:p>
        </w:tc>
        <w:tc>
          <w:tcPr>
            <w:tcW w:w="553" w:type="pct"/>
            <w:tcBorders>
              <w:top w:val="nil"/>
              <w:left w:val="nil"/>
              <w:bottom w:val="nil"/>
              <w:right w:val="nil"/>
            </w:tcBorders>
            <w:shd w:val="clear" w:color="000000" w:fill="FFFFFF"/>
            <w:noWrap/>
            <w:vAlign w:val="center"/>
            <w:hideMark/>
          </w:tcPr>
          <w:p w14:paraId="5FE6ECE1"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2 126 921</w:t>
            </w:r>
          </w:p>
        </w:tc>
        <w:tc>
          <w:tcPr>
            <w:tcW w:w="553" w:type="pct"/>
            <w:tcBorders>
              <w:top w:val="nil"/>
              <w:left w:val="nil"/>
              <w:bottom w:val="nil"/>
              <w:right w:val="nil"/>
            </w:tcBorders>
            <w:shd w:val="clear" w:color="000000" w:fill="FFFFFF"/>
            <w:noWrap/>
            <w:vAlign w:val="center"/>
            <w:hideMark/>
          </w:tcPr>
          <w:p w14:paraId="391A6BB3"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1 677 689</w:t>
            </w:r>
          </w:p>
        </w:tc>
        <w:tc>
          <w:tcPr>
            <w:tcW w:w="660" w:type="pct"/>
            <w:tcBorders>
              <w:top w:val="nil"/>
              <w:left w:val="nil"/>
              <w:bottom w:val="nil"/>
              <w:right w:val="nil"/>
            </w:tcBorders>
            <w:shd w:val="clear" w:color="000000" w:fill="FFFFFF"/>
            <w:noWrap/>
            <w:vAlign w:val="center"/>
            <w:hideMark/>
          </w:tcPr>
          <w:p w14:paraId="45A28473"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2 551 329</w:t>
            </w:r>
          </w:p>
        </w:tc>
        <w:tc>
          <w:tcPr>
            <w:tcW w:w="465" w:type="pct"/>
            <w:tcBorders>
              <w:top w:val="nil"/>
              <w:left w:val="nil"/>
              <w:bottom w:val="nil"/>
              <w:right w:val="nil"/>
            </w:tcBorders>
            <w:shd w:val="clear" w:color="000000" w:fill="FFFFFF"/>
            <w:noWrap/>
            <w:vAlign w:val="center"/>
            <w:hideMark/>
          </w:tcPr>
          <w:p w14:paraId="06C00221"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873 640</w:t>
            </w:r>
          </w:p>
        </w:tc>
        <w:tc>
          <w:tcPr>
            <w:tcW w:w="473" w:type="pct"/>
            <w:tcBorders>
              <w:top w:val="nil"/>
              <w:left w:val="nil"/>
              <w:bottom w:val="nil"/>
              <w:right w:val="nil"/>
            </w:tcBorders>
            <w:shd w:val="clear" w:color="000000" w:fill="FFFFFF"/>
            <w:noWrap/>
            <w:vAlign w:val="center"/>
            <w:hideMark/>
          </w:tcPr>
          <w:p w14:paraId="0F1E5102"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52,1</w:t>
            </w:r>
          </w:p>
        </w:tc>
      </w:tr>
      <w:tr w:rsidR="00EE5C5E" w:rsidRPr="007D12A6" w14:paraId="424C51E6" w14:textId="77777777" w:rsidTr="005C4AEB">
        <w:trPr>
          <w:trHeight w:val="330"/>
          <w:jc w:val="center"/>
        </w:trPr>
        <w:tc>
          <w:tcPr>
            <w:tcW w:w="1744" w:type="pct"/>
            <w:tcBorders>
              <w:top w:val="nil"/>
              <w:left w:val="nil"/>
              <w:bottom w:val="nil"/>
              <w:right w:val="nil"/>
            </w:tcBorders>
            <w:shd w:val="clear" w:color="000000" w:fill="FFFFFF"/>
            <w:vAlign w:val="center"/>
            <w:hideMark/>
          </w:tcPr>
          <w:p w14:paraId="0ADB876A" w14:textId="77777777" w:rsidR="00EE5C5E" w:rsidRPr="007D12A6" w:rsidRDefault="00EE5C5E" w:rsidP="00EE5C5E">
            <w:pPr>
              <w:spacing w:after="0" w:line="240" w:lineRule="auto"/>
              <w:jc w:val="left"/>
              <w:rPr>
                <w:rFonts w:eastAsia="Times New Roman" w:cs="Times New Roman"/>
                <w:color w:val="000000"/>
                <w:sz w:val="18"/>
                <w:szCs w:val="18"/>
                <w:lang w:eastAsia="sk-SK"/>
              </w:rPr>
            </w:pPr>
            <w:r w:rsidRPr="007D12A6">
              <w:rPr>
                <w:rFonts w:eastAsia="Times New Roman" w:cs="Times New Roman"/>
                <w:color w:val="000000"/>
                <w:sz w:val="18"/>
                <w:szCs w:val="18"/>
                <w:lang w:eastAsia="sk-SK"/>
              </w:rPr>
              <w:t>Zahraničné granty z rozpočtu EÚ</w:t>
            </w:r>
          </w:p>
        </w:tc>
        <w:tc>
          <w:tcPr>
            <w:tcW w:w="553" w:type="pct"/>
            <w:tcBorders>
              <w:top w:val="nil"/>
              <w:left w:val="nil"/>
              <w:bottom w:val="nil"/>
              <w:right w:val="nil"/>
            </w:tcBorders>
            <w:shd w:val="clear" w:color="000000" w:fill="FFFFFF"/>
            <w:noWrap/>
            <w:vAlign w:val="center"/>
            <w:hideMark/>
          </w:tcPr>
          <w:p w14:paraId="22E699CB"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7</w:t>
            </w:r>
          </w:p>
        </w:tc>
        <w:tc>
          <w:tcPr>
            <w:tcW w:w="553" w:type="pct"/>
            <w:tcBorders>
              <w:top w:val="nil"/>
              <w:left w:val="nil"/>
              <w:bottom w:val="nil"/>
              <w:right w:val="nil"/>
            </w:tcBorders>
            <w:shd w:val="clear" w:color="000000" w:fill="FFFFFF"/>
            <w:noWrap/>
            <w:vAlign w:val="center"/>
            <w:hideMark/>
          </w:tcPr>
          <w:p w14:paraId="03A6C1A3"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22</w:t>
            </w:r>
          </w:p>
        </w:tc>
        <w:tc>
          <w:tcPr>
            <w:tcW w:w="553" w:type="pct"/>
            <w:tcBorders>
              <w:top w:val="nil"/>
              <w:left w:val="nil"/>
              <w:bottom w:val="nil"/>
              <w:right w:val="nil"/>
            </w:tcBorders>
            <w:shd w:val="clear" w:color="000000" w:fill="FFFFFF"/>
            <w:noWrap/>
            <w:vAlign w:val="center"/>
            <w:hideMark/>
          </w:tcPr>
          <w:p w14:paraId="2F5F493B"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0</w:t>
            </w:r>
          </w:p>
        </w:tc>
        <w:tc>
          <w:tcPr>
            <w:tcW w:w="660" w:type="pct"/>
            <w:tcBorders>
              <w:top w:val="nil"/>
              <w:left w:val="nil"/>
              <w:bottom w:val="nil"/>
              <w:right w:val="nil"/>
            </w:tcBorders>
            <w:shd w:val="clear" w:color="auto" w:fill="auto"/>
            <w:noWrap/>
            <w:vAlign w:val="center"/>
            <w:hideMark/>
          </w:tcPr>
          <w:p w14:paraId="75892D0E"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31</w:t>
            </w:r>
          </w:p>
        </w:tc>
        <w:tc>
          <w:tcPr>
            <w:tcW w:w="465" w:type="pct"/>
            <w:tcBorders>
              <w:top w:val="nil"/>
              <w:left w:val="nil"/>
              <w:bottom w:val="nil"/>
              <w:right w:val="nil"/>
            </w:tcBorders>
            <w:shd w:val="clear" w:color="000000" w:fill="FFFFFF"/>
            <w:noWrap/>
            <w:vAlign w:val="center"/>
            <w:hideMark/>
          </w:tcPr>
          <w:p w14:paraId="2A925D03"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31</w:t>
            </w:r>
          </w:p>
        </w:tc>
        <w:tc>
          <w:tcPr>
            <w:tcW w:w="473" w:type="pct"/>
            <w:tcBorders>
              <w:top w:val="nil"/>
              <w:left w:val="nil"/>
              <w:bottom w:val="nil"/>
              <w:right w:val="nil"/>
            </w:tcBorders>
            <w:shd w:val="clear" w:color="000000" w:fill="FFFFFF"/>
            <w:noWrap/>
            <w:vAlign w:val="center"/>
            <w:hideMark/>
          </w:tcPr>
          <w:p w14:paraId="4C06F75C" w14:textId="77777777" w:rsidR="00EE5C5E" w:rsidRPr="007D12A6" w:rsidRDefault="00EE5C5E" w:rsidP="00EE5C5E">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w:t>
            </w:r>
          </w:p>
        </w:tc>
      </w:tr>
      <w:tr w:rsidR="00EE5C5E" w:rsidRPr="007D12A6" w14:paraId="72D4E2EC" w14:textId="77777777" w:rsidTr="005C4AEB">
        <w:trPr>
          <w:trHeight w:val="345"/>
          <w:jc w:val="center"/>
        </w:trPr>
        <w:tc>
          <w:tcPr>
            <w:tcW w:w="1744" w:type="pct"/>
            <w:tcBorders>
              <w:top w:val="single" w:sz="4" w:space="0" w:color="auto"/>
              <w:left w:val="nil"/>
              <w:bottom w:val="single" w:sz="8" w:space="0" w:color="auto"/>
              <w:right w:val="nil"/>
            </w:tcBorders>
            <w:shd w:val="clear" w:color="000000" w:fill="FFFFFF"/>
            <w:vAlign w:val="center"/>
            <w:hideMark/>
          </w:tcPr>
          <w:p w14:paraId="04EEB75B" w14:textId="77777777" w:rsidR="00EE5C5E" w:rsidRPr="007D12A6" w:rsidRDefault="00EE5C5E" w:rsidP="00EE5C5E">
            <w:pPr>
              <w:spacing w:after="0" w:line="240" w:lineRule="auto"/>
              <w:jc w:val="lef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Spolu príjmy z rozpočtu EÚ</w:t>
            </w:r>
          </w:p>
        </w:tc>
        <w:tc>
          <w:tcPr>
            <w:tcW w:w="553" w:type="pct"/>
            <w:tcBorders>
              <w:top w:val="single" w:sz="4" w:space="0" w:color="auto"/>
              <w:left w:val="nil"/>
              <w:bottom w:val="single" w:sz="8" w:space="0" w:color="auto"/>
              <w:right w:val="nil"/>
            </w:tcBorders>
            <w:shd w:val="clear" w:color="000000" w:fill="FFFFFF"/>
            <w:noWrap/>
            <w:vAlign w:val="center"/>
            <w:hideMark/>
          </w:tcPr>
          <w:p w14:paraId="54FCC685" w14:textId="77777777" w:rsidR="00EE5C5E" w:rsidRPr="007D12A6" w:rsidRDefault="00EE5C5E" w:rsidP="00EE5C5E">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2 169 732</w:t>
            </w:r>
          </w:p>
        </w:tc>
        <w:tc>
          <w:tcPr>
            <w:tcW w:w="553" w:type="pct"/>
            <w:tcBorders>
              <w:top w:val="single" w:sz="4" w:space="0" w:color="auto"/>
              <w:left w:val="nil"/>
              <w:bottom w:val="single" w:sz="8" w:space="0" w:color="auto"/>
              <w:right w:val="nil"/>
            </w:tcBorders>
            <w:shd w:val="clear" w:color="000000" w:fill="FFFFFF"/>
            <w:noWrap/>
            <w:vAlign w:val="center"/>
            <w:hideMark/>
          </w:tcPr>
          <w:p w14:paraId="0058B975" w14:textId="77777777" w:rsidR="00EE5C5E" w:rsidRPr="007D12A6" w:rsidRDefault="00EE5C5E" w:rsidP="00EE5C5E">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2 126 943</w:t>
            </w:r>
          </w:p>
        </w:tc>
        <w:tc>
          <w:tcPr>
            <w:tcW w:w="553" w:type="pct"/>
            <w:tcBorders>
              <w:top w:val="single" w:sz="4" w:space="0" w:color="auto"/>
              <w:left w:val="nil"/>
              <w:bottom w:val="single" w:sz="8" w:space="0" w:color="auto"/>
              <w:right w:val="nil"/>
            </w:tcBorders>
            <w:shd w:val="clear" w:color="000000" w:fill="FFFFFF"/>
            <w:noWrap/>
            <w:vAlign w:val="center"/>
            <w:hideMark/>
          </w:tcPr>
          <w:p w14:paraId="66CF6883" w14:textId="77777777" w:rsidR="00EE5C5E" w:rsidRPr="007D12A6" w:rsidRDefault="00EE5C5E" w:rsidP="00EE5C5E">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1 677 689</w:t>
            </w:r>
          </w:p>
        </w:tc>
        <w:tc>
          <w:tcPr>
            <w:tcW w:w="660" w:type="pct"/>
            <w:tcBorders>
              <w:top w:val="single" w:sz="4" w:space="0" w:color="auto"/>
              <w:left w:val="nil"/>
              <w:bottom w:val="single" w:sz="8" w:space="0" w:color="auto"/>
              <w:right w:val="nil"/>
            </w:tcBorders>
            <w:shd w:val="clear" w:color="000000" w:fill="FFFFFF"/>
            <w:noWrap/>
            <w:vAlign w:val="center"/>
            <w:hideMark/>
          </w:tcPr>
          <w:p w14:paraId="3DE94D79" w14:textId="77777777" w:rsidR="00EE5C5E" w:rsidRPr="007D12A6" w:rsidRDefault="00EE5C5E" w:rsidP="00EE5C5E">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2 551 360</w:t>
            </w:r>
          </w:p>
        </w:tc>
        <w:tc>
          <w:tcPr>
            <w:tcW w:w="465" w:type="pct"/>
            <w:tcBorders>
              <w:top w:val="single" w:sz="4" w:space="0" w:color="auto"/>
              <w:left w:val="nil"/>
              <w:bottom w:val="single" w:sz="8" w:space="0" w:color="auto"/>
              <w:right w:val="nil"/>
            </w:tcBorders>
            <w:shd w:val="clear" w:color="000000" w:fill="FFFFFF"/>
            <w:noWrap/>
            <w:vAlign w:val="center"/>
            <w:hideMark/>
          </w:tcPr>
          <w:p w14:paraId="3A4DE1B1" w14:textId="77777777" w:rsidR="00EE5C5E" w:rsidRPr="007D12A6" w:rsidRDefault="00EE5C5E" w:rsidP="00EE5C5E">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873 671</w:t>
            </w:r>
          </w:p>
        </w:tc>
        <w:tc>
          <w:tcPr>
            <w:tcW w:w="473" w:type="pct"/>
            <w:tcBorders>
              <w:top w:val="single" w:sz="4" w:space="0" w:color="auto"/>
              <w:left w:val="nil"/>
              <w:bottom w:val="single" w:sz="8" w:space="0" w:color="auto"/>
              <w:right w:val="nil"/>
            </w:tcBorders>
            <w:shd w:val="clear" w:color="000000" w:fill="FFFFFF"/>
            <w:noWrap/>
            <w:vAlign w:val="center"/>
            <w:hideMark/>
          </w:tcPr>
          <w:p w14:paraId="58D808C2" w14:textId="77777777" w:rsidR="00EE5C5E" w:rsidRPr="007D12A6" w:rsidRDefault="00EE5C5E" w:rsidP="00EE5C5E">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52,1</w:t>
            </w:r>
          </w:p>
        </w:tc>
      </w:tr>
    </w:tbl>
    <w:p w14:paraId="0A51EAE4" w14:textId="03ACD0CC" w:rsidR="007D12A6" w:rsidRPr="00111CC0" w:rsidRDefault="00111CC0" w:rsidP="007D12A6">
      <w:pPr>
        <w:jc w:val="right"/>
        <w:rPr>
          <w:sz w:val="16"/>
          <w:szCs w:val="16"/>
        </w:rPr>
      </w:pPr>
      <w:r w:rsidRPr="00111CC0">
        <w:rPr>
          <w:sz w:val="18"/>
          <w:szCs w:val="18"/>
        </w:rPr>
        <w:t xml:space="preserve">*Do kategórie programov Európskej územnej spolupráce, </w:t>
      </w:r>
      <w:proofErr w:type="spellStart"/>
      <w:r w:rsidRPr="00111CC0">
        <w:rPr>
          <w:sz w:val="18"/>
          <w:szCs w:val="18"/>
        </w:rPr>
        <w:t>t.j</w:t>
      </w:r>
      <w:proofErr w:type="spellEnd"/>
      <w:r w:rsidRPr="00111CC0">
        <w:rPr>
          <w:sz w:val="18"/>
          <w:szCs w:val="18"/>
        </w:rPr>
        <w:t xml:space="preserve">. EÚS (CO MF SR) sú zaradené programy </w:t>
      </w:r>
      <w:proofErr w:type="spellStart"/>
      <w:r w:rsidRPr="00111CC0">
        <w:rPr>
          <w:sz w:val="18"/>
          <w:szCs w:val="18"/>
        </w:rPr>
        <w:t>Interreg</w:t>
      </w:r>
      <w:proofErr w:type="spellEnd"/>
      <w:r w:rsidRPr="00111CC0">
        <w:rPr>
          <w:sz w:val="18"/>
          <w:szCs w:val="18"/>
        </w:rPr>
        <w:t xml:space="preserve"> V-A SK-AT 2014-2020 a </w:t>
      </w:r>
      <w:proofErr w:type="spellStart"/>
      <w:r w:rsidRPr="00111CC0">
        <w:rPr>
          <w:sz w:val="18"/>
          <w:szCs w:val="18"/>
        </w:rPr>
        <w:t>Interreg</w:t>
      </w:r>
      <w:proofErr w:type="spellEnd"/>
      <w:r w:rsidRPr="00111CC0">
        <w:rPr>
          <w:sz w:val="18"/>
          <w:szCs w:val="18"/>
        </w:rPr>
        <w:t xml:space="preserve"> V-A SK-CZ 2014-2020.</w:t>
      </w:r>
      <w:r w:rsidR="007D12A6">
        <w:rPr>
          <w:sz w:val="18"/>
          <w:szCs w:val="18"/>
        </w:rPr>
        <w:tab/>
      </w:r>
      <w:r w:rsidR="007D12A6">
        <w:rPr>
          <w:sz w:val="18"/>
          <w:szCs w:val="18"/>
        </w:rPr>
        <w:tab/>
      </w:r>
      <w:r w:rsidR="007D12A6">
        <w:rPr>
          <w:sz w:val="18"/>
          <w:szCs w:val="18"/>
        </w:rPr>
        <w:tab/>
      </w:r>
      <w:r w:rsidR="007D12A6">
        <w:rPr>
          <w:sz w:val="18"/>
          <w:szCs w:val="18"/>
        </w:rPr>
        <w:tab/>
      </w:r>
      <w:r w:rsidR="007D12A6">
        <w:rPr>
          <w:sz w:val="18"/>
          <w:szCs w:val="18"/>
        </w:rPr>
        <w:tab/>
      </w:r>
      <w:r w:rsidR="007D12A6">
        <w:rPr>
          <w:sz w:val="18"/>
          <w:szCs w:val="18"/>
        </w:rPr>
        <w:tab/>
      </w:r>
      <w:r w:rsidR="007D12A6">
        <w:rPr>
          <w:sz w:val="18"/>
          <w:szCs w:val="18"/>
        </w:rPr>
        <w:tab/>
      </w:r>
      <w:r w:rsidR="007D12A6" w:rsidRPr="00111CC0">
        <w:rPr>
          <w:sz w:val="18"/>
          <w:szCs w:val="18"/>
        </w:rPr>
        <w:t>Zdroj: MF SR</w:t>
      </w:r>
    </w:p>
    <w:p w14:paraId="6FD5B0D7" w14:textId="064E7101" w:rsidR="00111CC0" w:rsidRPr="00111CC0" w:rsidRDefault="00111CC0" w:rsidP="007D12A6">
      <w:pPr>
        <w:spacing w:after="0" w:line="240" w:lineRule="auto"/>
        <w:rPr>
          <w:sz w:val="18"/>
          <w:szCs w:val="18"/>
        </w:rPr>
      </w:pPr>
    </w:p>
    <w:p w14:paraId="70EDA275" w14:textId="77777777" w:rsidR="00CF37CE" w:rsidRDefault="00CF37CE">
      <w:pPr>
        <w:spacing w:after="160" w:line="259" w:lineRule="auto"/>
        <w:jc w:val="left"/>
        <w:rPr>
          <w:rFonts w:eastAsiaTheme="majorEastAsia" w:cstheme="majorBidi"/>
          <w:b/>
          <w:sz w:val="24"/>
          <w:szCs w:val="24"/>
        </w:rPr>
      </w:pPr>
      <w:bookmarkStart w:id="67" w:name="_Toc6415654"/>
      <w:bookmarkStart w:id="68" w:name="_Toc70026107"/>
      <w:r>
        <w:rPr>
          <w:sz w:val="24"/>
        </w:rPr>
        <w:br w:type="page"/>
      </w:r>
    </w:p>
    <w:p w14:paraId="022C9398" w14:textId="45628DFB" w:rsidR="008254BE" w:rsidRPr="007D5989" w:rsidRDefault="008254BE" w:rsidP="00F02221">
      <w:pPr>
        <w:pStyle w:val="Nadpis3"/>
        <w:rPr>
          <w:sz w:val="24"/>
        </w:rPr>
      </w:pPr>
      <w:r w:rsidRPr="007D5989">
        <w:rPr>
          <w:sz w:val="24"/>
        </w:rPr>
        <w:t>Výdavky štátneho rozpočtu rozpočtované vo väzbe na príjmy z Európskej únie</w:t>
      </w:r>
      <w:bookmarkEnd w:id="67"/>
      <w:bookmarkEnd w:id="68"/>
    </w:p>
    <w:p w14:paraId="38B11362" w14:textId="77777777" w:rsidR="00111CC0" w:rsidRPr="00D715AF" w:rsidRDefault="00111CC0" w:rsidP="008D4C2B">
      <w:pPr>
        <w:spacing w:line="240" w:lineRule="auto"/>
        <w:rPr>
          <w:sz w:val="24"/>
          <w:szCs w:val="24"/>
        </w:rPr>
      </w:pPr>
      <w:r w:rsidRPr="00D715AF">
        <w:rPr>
          <w:sz w:val="24"/>
          <w:szCs w:val="24"/>
        </w:rPr>
        <w:t xml:space="preserve">Vo väzbe na príjmy z Európskej únie sa v štátnom rozpočte rozpočtujú výdavky za prostriedky EÚ, k nim zodpovedajúce výdavky na spolufinancovanie zo štátneho rozpočtu. </w:t>
      </w:r>
    </w:p>
    <w:p w14:paraId="7C4177B5" w14:textId="77777777" w:rsidR="00111CC0" w:rsidRPr="00D715AF" w:rsidRDefault="00111CC0" w:rsidP="008D4C2B">
      <w:pPr>
        <w:spacing w:line="240" w:lineRule="auto"/>
        <w:rPr>
          <w:b/>
          <w:sz w:val="24"/>
          <w:szCs w:val="24"/>
        </w:rPr>
      </w:pPr>
      <w:r w:rsidRPr="00D715AF">
        <w:rPr>
          <w:b/>
          <w:sz w:val="24"/>
          <w:szCs w:val="24"/>
        </w:rPr>
        <w:t xml:space="preserve">Výdavky za prostriedky EÚ </w:t>
      </w:r>
    </w:p>
    <w:p w14:paraId="769A442D" w14:textId="63DD3B0B" w:rsidR="00111CC0" w:rsidRPr="00D715AF" w:rsidRDefault="00111CC0" w:rsidP="008D4C2B">
      <w:pPr>
        <w:spacing w:line="240" w:lineRule="auto"/>
        <w:rPr>
          <w:sz w:val="24"/>
          <w:szCs w:val="24"/>
        </w:rPr>
      </w:pPr>
      <w:r w:rsidRPr="00D715AF">
        <w:rPr>
          <w:sz w:val="24"/>
          <w:szCs w:val="24"/>
        </w:rPr>
        <w:t>Výdavky za prostriedky EÚ boli na rok 2020 rozpočtované vo výške 1 677 689 tis. eur, teda v rovnakej výške ako príjmy z rozpočtu EÚ. Skutočné plnenie výdavkov EÚ je vo výške 2 326 905 tis. eur.</w:t>
      </w:r>
    </w:p>
    <w:p w14:paraId="17366212" w14:textId="3B0C89D5" w:rsidR="00111CC0" w:rsidRPr="00D715AF" w:rsidRDefault="00111CC0" w:rsidP="008D4C2B">
      <w:pPr>
        <w:spacing w:line="240" w:lineRule="auto"/>
        <w:rPr>
          <w:sz w:val="24"/>
          <w:szCs w:val="24"/>
        </w:rPr>
      </w:pPr>
      <w:r w:rsidRPr="00D715AF">
        <w:rPr>
          <w:sz w:val="24"/>
          <w:szCs w:val="24"/>
        </w:rPr>
        <w:t xml:space="preserve">Na rozdiel od schváleného rozpočtu výdavkov z prostriedkov EÚ, ktoré boli zákonom o štátnom rozpočte na rok 2020 vyčlenené pre kapitoly, v ktorých sa nachádzajú platobné jednotky, Pôdohospodárska platobná agentúra a Ministerstvo práce, sociálnych vecí a rodiny SR za Fond pre najodkázanejšie osoby, skutočné čerpanie výdavkov sa prejavuje tiež v rozpočtových kapitolách, v ktorých sa realizujú projekty na úrovni konečných prijímateľov. Na základe uvedeného sa v niektorých kapitolách prejavuje negatívne saldo príjmov a výdavkov za prostriedky EÚ. </w:t>
      </w:r>
    </w:p>
    <w:p w14:paraId="1C5CF96C" w14:textId="5A0028BB" w:rsidR="00111CC0" w:rsidRPr="00D715AF" w:rsidRDefault="00111CC0" w:rsidP="008D4C2B">
      <w:pPr>
        <w:spacing w:line="240" w:lineRule="auto"/>
        <w:rPr>
          <w:sz w:val="24"/>
          <w:szCs w:val="24"/>
        </w:rPr>
      </w:pPr>
      <w:r w:rsidRPr="00D715AF">
        <w:rPr>
          <w:sz w:val="24"/>
          <w:szCs w:val="24"/>
        </w:rPr>
        <w:t xml:space="preserve">Rozpočet výdavkov za prostriedky EÚ bol v roku 2020 upravený v nadväznosti na vysporiadanie finančných prostriedkov za finančné opravy v zmysle § 15 zákona č. 523/2004 Z. z. o rozpočtových pravidlách verejnej správy, v nadväznosti na prijaté oznámenia o výške prostriedkov, ktoré budú použité v nasledujúcich rokoch v zmysle § 8 zákona č. 523/2004 Z. z. o rozpočtových pravidlách verejnej správy a v nadväznosti na ostatné viazania prostriedkov v zmysle § 18 zákona č. 523/2004 Z. z. o rozpočtových pravidlách verejnej správy. Zároveň z dôvodu rýchlejšej implementácie projektov v rámci OP Technická pomoc 2014 - 2020 bol navýšený rozpočet Úradu vlády SR v sume 9 323 tis. eur z kapitoly VPS – Rezerva na prostriedky EÚ a odvody EÚ – rýchlejšia realizácia a väčší počet projektov a ďalšie výdavky súvisiace s financovaním spoločných programov. </w:t>
      </w:r>
    </w:p>
    <w:p w14:paraId="35D97682" w14:textId="77777777" w:rsidR="00111CC0" w:rsidRPr="00D715AF" w:rsidRDefault="00111CC0" w:rsidP="008D4C2B">
      <w:pPr>
        <w:spacing w:line="240" w:lineRule="auto"/>
        <w:rPr>
          <w:sz w:val="24"/>
          <w:szCs w:val="24"/>
          <w:highlight w:val="yellow"/>
        </w:rPr>
      </w:pPr>
      <w:r w:rsidRPr="00D715AF">
        <w:rPr>
          <w:sz w:val="24"/>
          <w:szCs w:val="24"/>
        </w:rPr>
        <w:t xml:space="preserve">Po úpravách dosiahol rozpočet úroveň 2 327 116 tis. eur, pričom celkové čerpanie výdavkov za prostriedky EÚ v roku 2020 je nepatrne nižšie a to vo výške 2 326 905 tis. eur. </w:t>
      </w:r>
    </w:p>
    <w:p w14:paraId="72A41DA2" w14:textId="445686E3" w:rsidR="00CF37CE" w:rsidRDefault="00111CC0" w:rsidP="008D4C2B">
      <w:pPr>
        <w:spacing w:line="240" w:lineRule="auto"/>
        <w:rPr>
          <w:sz w:val="24"/>
          <w:szCs w:val="24"/>
        </w:rPr>
      </w:pPr>
      <w:r w:rsidRPr="00D715AF">
        <w:rPr>
          <w:sz w:val="24"/>
          <w:szCs w:val="24"/>
        </w:rPr>
        <w:t xml:space="preserve">Skutočné plnenie výdavkov za prostriedky EÚ vo výške 2 326 905 tis. eur predstavuje plnenie na úrovni 100 % z upraveného rozpočtu. Výdavky za štrukturálne operácie, pri ktorých plní úlohu certifikačného orgánu Ministerstvo financií SR, sú vo výške 1 668 787 tis. </w:t>
      </w:r>
      <w:r w:rsidR="007D5989">
        <w:rPr>
          <w:sz w:val="24"/>
          <w:szCs w:val="24"/>
        </w:rPr>
        <w:t xml:space="preserve">eur (z toho štrukturálne fondy  </w:t>
      </w:r>
      <w:r w:rsidRPr="00D715AF">
        <w:rPr>
          <w:sz w:val="24"/>
          <w:szCs w:val="24"/>
        </w:rPr>
        <w:t>3. programového obdobia v sume 1 307</w:t>
      </w:r>
      <w:r w:rsidR="001802D9">
        <w:rPr>
          <w:sz w:val="24"/>
          <w:szCs w:val="24"/>
        </w:rPr>
        <w:t xml:space="preserve"> 742 tis. eur a Kohézny fond 3. </w:t>
      </w:r>
      <w:r w:rsidRPr="00D715AF">
        <w:rPr>
          <w:sz w:val="24"/>
          <w:szCs w:val="24"/>
        </w:rPr>
        <w:t>programového obdobia v sume 361 045 tis. eur). Výdavky za štrukturálne operácie, pri ktorých plní úlohu certifikačného orgánu Ministerstvo práce, sociálnyc</w:t>
      </w:r>
      <w:r w:rsidR="001802D9">
        <w:rPr>
          <w:sz w:val="24"/>
          <w:szCs w:val="24"/>
        </w:rPr>
        <w:t>h vecí a rodiny SR, sú v sume 4 636 tis. </w:t>
      </w:r>
      <w:r w:rsidRPr="00D715AF">
        <w:rPr>
          <w:sz w:val="24"/>
          <w:szCs w:val="24"/>
        </w:rPr>
        <w:t xml:space="preserve">eur. Výdavky za poľnohospodárske fondy boli vo výške 653 482 tis. eur (z toho za Európsky poľnohospodársky fond rozvoja vidieka v sume 198 799 tis. eur a za Európsky poľnohospodársky záručný fond v sume 454 683 tis. eur). </w:t>
      </w:r>
    </w:p>
    <w:p w14:paraId="468191B3" w14:textId="77777777" w:rsidR="00CF37CE" w:rsidRDefault="00CF37CE">
      <w:pPr>
        <w:spacing w:after="160" w:line="259" w:lineRule="auto"/>
        <w:jc w:val="left"/>
        <w:rPr>
          <w:sz w:val="24"/>
          <w:szCs w:val="24"/>
        </w:rPr>
      </w:pPr>
      <w:r>
        <w:rPr>
          <w:sz w:val="24"/>
          <w:szCs w:val="24"/>
        </w:rPr>
        <w:br w:type="page"/>
      </w:r>
    </w:p>
    <w:tbl>
      <w:tblPr>
        <w:tblW w:w="4966" w:type="pct"/>
        <w:tblCellMar>
          <w:left w:w="70" w:type="dxa"/>
          <w:right w:w="70" w:type="dxa"/>
        </w:tblCellMar>
        <w:tblLook w:val="04A0" w:firstRow="1" w:lastRow="0" w:firstColumn="1" w:lastColumn="0" w:noHBand="0" w:noVBand="1"/>
      </w:tblPr>
      <w:tblGrid>
        <w:gridCol w:w="3213"/>
        <w:gridCol w:w="1018"/>
        <w:gridCol w:w="1019"/>
        <w:gridCol w:w="860"/>
        <w:gridCol w:w="1217"/>
        <w:gridCol w:w="1019"/>
        <w:gridCol w:w="805"/>
      </w:tblGrid>
      <w:tr w:rsidR="00111CC0" w:rsidRPr="007D12A6" w14:paraId="676D3F52" w14:textId="77777777" w:rsidTr="00CF37CE">
        <w:trPr>
          <w:trHeight w:val="330"/>
        </w:trPr>
        <w:tc>
          <w:tcPr>
            <w:tcW w:w="1756" w:type="pct"/>
            <w:tcBorders>
              <w:top w:val="nil"/>
              <w:left w:val="nil"/>
              <w:bottom w:val="nil"/>
              <w:right w:val="nil"/>
            </w:tcBorders>
            <w:shd w:val="clear" w:color="000000" w:fill="000000"/>
            <w:noWrap/>
            <w:vAlign w:val="center"/>
            <w:hideMark/>
          </w:tcPr>
          <w:p w14:paraId="37638BEF" w14:textId="77777777" w:rsidR="00111CC0" w:rsidRPr="007D12A6" w:rsidRDefault="00111CC0" w:rsidP="00111CC0">
            <w:pPr>
              <w:spacing w:after="0" w:line="240" w:lineRule="auto"/>
              <w:jc w:val="left"/>
              <w:rPr>
                <w:rFonts w:eastAsia="Times New Roman" w:cs="Times New Roman"/>
                <w:b/>
                <w:bCs/>
                <w:color w:val="FFFFFF"/>
                <w:sz w:val="18"/>
                <w:szCs w:val="18"/>
                <w:lang w:eastAsia="sk-SK"/>
              </w:rPr>
            </w:pPr>
            <w:r w:rsidRPr="007D12A6">
              <w:rPr>
                <w:rFonts w:eastAsia="Times New Roman" w:cs="Times New Roman"/>
                <w:b/>
                <w:bCs/>
                <w:color w:val="FFFFFF"/>
                <w:sz w:val="18"/>
                <w:szCs w:val="18"/>
                <w:lang w:eastAsia="sk-SK"/>
              </w:rPr>
              <w:t xml:space="preserve">Výdavky za prostriedky EÚ </w:t>
            </w:r>
          </w:p>
        </w:tc>
        <w:tc>
          <w:tcPr>
            <w:tcW w:w="556" w:type="pct"/>
            <w:tcBorders>
              <w:top w:val="nil"/>
              <w:left w:val="nil"/>
              <w:bottom w:val="nil"/>
              <w:right w:val="nil"/>
            </w:tcBorders>
            <w:shd w:val="clear" w:color="000000" w:fill="000000"/>
            <w:noWrap/>
            <w:vAlign w:val="center"/>
            <w:hideMark/>
          </w:tcPr>
          <w:p w14:paraId="00FC1583" w14:textId="77777777" w:rsidR="00111CC0" w:rsidRPr="007D12A6" w:rsidRDefault="00111CC0" w:rsidP="00111CC0">
            <w:pPr>
              <w:spacing w:after="0" w:line="240" w:lineRule="auto"/>
              <w:jc w:val="left"/>
              <w:rPr>
                <w:rFonts w:ascii="Arial Narrow" w:eastAsia="Times New Roman" w:hAnsi="Arial Narrow" w:cs="Times New Roman"/>
                <w:color w:val="000000"/>
                <w:sz w:val="18"/>
                <w:szCs w:val="18"/>
                <w:lang w:eastAsia="sk-SK"/>
              </w:rPr>
            </w:pPr>
            <w:r w:rsidRPr="007D12A6">
              <w:rPr>
                <w:rFonts w:ascii="Arial Narrow" w:eastAsia="Times New Roman" w:hAnsi="Arial Narrow" w:cs="Times New Roman"/>
                <w:color w:val="000000"/>
                <w:sz w:val="18"/>
                <w:szCs w:val="18"/>
                <w:lang w:eastAsia="sk-SK"/>
              </w:rPr>
              <w:t> </w:t>
            </w:r>
          </w:p>
        </w:tc>
        <w:tc>
          <w:tcPr>
            <w:tcW w:w="557" w:type="pct"/>
            <w:tcBorders>
              <w:top w:val="nil"/>
              <w:left w:val="nil"/>
              <w:bottom w:val="nil"/>
              <w:right w:val="nil"/>
            </w:tcBorders>
            <w:shd w:val="clear" w:color="000000" w:fill="000000"/>
            <w:noWrap/>
            <w:vAlign w:val="center"/>
            <w:hideMark/>
          </w:tcPr>
          <w:p w14:paraId="61D1F337" w14:textId="77777777" w:rsidR="00111CC0" w:rsidRPr="007D12A6" w:rsidRDefault="00111CC0" w:rsidP="00111CC0">
            <w:pPr>
              <w:spacing w:after="0" w:line="240" w:lineRule="auto"/>
              <w:jc w:val="left"/>
              <w:rPr>
                <w:rFonts w:ascii="Arial Narrow" w:eastAsia="Times New Roman" w:hAnsi="Arial Narrow" w:cs="Times New Roman"/>
                <w:color w:val="000000"/>
                <w:sz w:val="18"/>
                <w:szCs w:val="18"/>
                <w:lang w:eastAsia="sk-SK"/>
              </w:rPr>
            </w:pPr>
            <w:r w:rsidRPr="007D12A6">
              <w:rPr>
                <w:rFonts w:ascii="Arial Narrow" w:eastAsia="Times New Roman" w:hAnsi="Arial Narrow" w:cs="Times New Roman"/>
                <w:color w:val="000000"/>
                <w:sz w:val="18"/>
                <w:szCs w:val="18"/>
                <w:lang w:eastAsia="sk-SK"/>
              </w:rPr>
              <w:t> </w:t>
            </w:r>
          </w:p>
        </w:tc>
        <w:tc>
          <w:tcPr>
            <w:tcW w:w="470" w:type="pct"/>
            <w:tcBorders>
              <w:top w:val="nil"/>
              <w:left w:val="nil"/>
              <w:bottom w:val="nil"/>
              <w:right w:val="nil"/>
            </w:tcBorders>
            <w:shd w:val="clear" w:color="000000" w:fill="000000"/>
            <w:noWrap/>
            <w:vAlign w:val="center"/>
            <w:hideMark/>
          </w:tcPr>
          <w:p w14:paraId="4E6C80C3" w14:textId="77777777" w:rsidR="00111CC0" w:rsidRPr="007D12A6" w:rsidRDefault="00111CC0" w:rsidP="00111CC0">
            <w:pPr>
              <w:spacing w:after="0" w:line="240" w:lineRule="auto"/>
              <w:jc w:val="left"/>
              <w:rPr>
                <w:rFonts w:ascii="Arial Narrow" w:eastAsia="Times New Roman" w:hAnsi="Arial Narrow" w:cs="Times New Roman"/>
                <w:color w:val="000000"/>
                <w:sz w:val="18"/>
                <w:szCs w:val="18"/>
                <w:lang w:eastAsia="sk-SK"/>
              </w:rPr>
            </w:pPr>
            <w:r w:rsidRPr="007D12A6">
              <w:rPr>
                <w:rFonts w:ascii="Arial Narrow" w:eastAsia="Times New Roman" w:hAnsi="Arial Narrow" w:cs="Times New Roman"/>
                <w:color w:val="000000"/>
                <w:sz w:val="18"/>
                <w:szCs w:val="18"/>
                <w:lang w:eastAsia="sk-SK"/>
              </w:rPr>
              <w:t> </w:t>
            </w:r>
          </w:p>
        </w:tc>
        <w:tc>
          <w:tcPr>
            <w:tcW w:w="665" w:type="pct"/>
            <w:tcBorders>
              <w:top w:val="nil"/>
              <w:left w:val="nil"/>
              <w:bottom w:val="nil"/>
              <w:right w:val="nil"/>
            </w:tcBorders>
            <w:shd w:val="clear" w:color="000000" w:fill="000000"/>
            <w:noWrap/>
            <w:vAlign w:val="center"/>
            <w:hideMark/>
          </w:tcPr>
          <w:p w14:paraId="3394A0D7" w14:textId="77777777" w:rsidR="00111CC0" w:rsidRPr="007D12A6" w:rsidRDefault="00111CC0" w:rsidP="00111CC0">
            <w:pPr>
              <w:spacing w:after="0" w:line="240" w:lineRule="auto"/>
              <w:jc w:val="left"/>
              <w:rPr>
                <w:rFonts w:ascii="Arial Narrow" w:eastAsia="Times New Roman" w:hAnsi="Arial Narrow" w:cs="Times New Roman"/>
                <w:color w:val="000000"/>
                <w:sz w:val="18"/>
                <w:szCs w:val="18"/>
                <w:lang w:eastAsia="sk-SK"/>
              </w:rPr>
            </w:pPr>
            <w:r w:rsidRPr="007D12A6">
              <w:rPr>
                <w:rFonts w:ascii="Arial Narrow" w:eastAsia="Times New Roman" w:hAnsi="Arial Narrow" w:cs="Times New Roman"/>
                <w:color w:val="000000"/>
                <w:sz w:val="18"/>
                <w:szCs w:val="18"/>
                <w:lang w:eastAsia="sk-SK"/>
              </w:rPr>
              <w:t> </w:t>
            </w:r>
          </w:p>
        </w:tc>
        <w:tc>
          <w:tcPr>
            <w:tcW w:w="557" w:type="pct"/>
            <w:tcBorders>
              <w:top w:val="nil"/>
              <w:left w:val="nil"/>
              <w:bottom w:val="nil"/>
              <w:right w:val="nil"/>
            </w:tcBorders>
            <w:shd w:val="clear" w:color="000000" w:fill="000000"/>
            <w:noWrap/>
            <w:vAlign w:val="center"/>
            <w:hideMark/>
          </w:tcPr>
          <w:p w14:paraId="67EB3670" w14:textId="77777777" w:rsidR="00111CC0" w:rsidRPr="007D12A6" w:rsidRDefault="00111CC0" w:rsidP="00111CC0">
            <w:pPr>
              <w:spacing w:after="0" w:line="240" w:lineRule="auto"/>
              <w:jc w:val="left"/>
              <w:rPr>
                <w:rFonts w:ascii="Arial Narrow" w:eastAsia="Times New Roman" w:hAnsi="Arial Narrow" w:cs="Times New Roman"/>
                <w:color w:val="000000"/>
                <w:sz w:val="18"/>
                <w:szCs w:val="18"/>
                <w:lang w:eastAsia="sk-SK"/>
              </w:rPr>
            </w:pPr>
            <w:r w:rsidRPr="007D12A6">
              <w:rPr>
                <w:rFonts w:ascii="Arial Narrow" w:eastAsia="Times New Roman" w:hAnsi="Arial Narrow" w:cs="Times New Roman"/>
                <w:color w:val="000000"/>
                <w:sz w:val="18"/>
                <w:szCs w:val="18"/>
                <w:lang w:eastAsia="sk-SK"/>
              </w:rPr>
              <w:t> </w:t>
            </w:r>
          </w:p>
        </w:tc>
        <w:tc>
          <w:tcPr>
            <w:tcW w:w="440" w:type="pct"/>
            <w:tcBorders>
              <w:top w:val="nil"/>
              <w:left w:val="nil"/>
              <w:bottom w:val="nil"/>
              <w:right w:val="nil"/>
            </w:tcBorders>
            <w:shd w:val="clear" w:color="000000" w:fill="000000"/>
            <w:noWrap/>
            <w:vAlign w:val="center"/>
            <w:hideMark/>
          </w:tcPr>
          <w:p w14:paraId="45945AD4" w14:textId="77777777" w:rsidR="00111CC0" w:rsidRPr="007D12A6" w:rsidRDefault="00111CC0" w:rsidP="00111CC0">
            <w:pPr>
              <w:spacing w:after="0" w:line="240" w:lineRule="auto"/>
              <w:jc w:val="left"/>
              <w:rPr>
                <w:rFonts w:eastAsia="Times New Roman" w:cs="Times New Roman"/>
                <w:b/>
                <w:bCs/>
                <w:color w:val="FFFFFF"/>
                <w:sz w:val="18"/>
                <w:szCs w:val="18"/>
                <w:lang w:eastAsia="sk-SK"/>
              </w:rPr>
            </w:pPr>
            <w:r w:rsidRPr="007D12A6">
              <w:rPr>
                <w:rFonts w:eastAsia="Times New Roman" w:cs="Times New Roman"/>
                <w:b/>
                <w:bCs/>
                <w:color w:val="FFFFFF"/>
                <w:sz w:val="18"/>
                <w:szCs w:val="18"/>
                <w:lang w:eastAsia="sk-SK"/>
              </w:rPr>
              <w:t>v tis. eur</w:t>
            </w:r>
          </w:p>
        </w:tc>
      </w:tr>
      <w:tr w:rsidR="00111CC0" w:rsidRPr="007D12A6" w14:paraId="1C01397E" w14:textId="77777777" w:rsidTr="00CF37CE">
        <w:trPr>
          <w:trHeight w:val="330"/>
        </w:trPr>
        <w:tc>
          <w:tcPr>
            <w:tcW w:w="1756" w:type="pct"/>
            <w:tcBorders>
              <w:top w:val="nil"/>
              <w:left w:val="nil"/>
              <w:bottom w:val="nil"/>
              <w:right w:val="nil"/>
            </w:tcBorders>
            <w:shd w:val="clear" w:color="000000" w:fill="BFBFBF"/>
            <w:vAlign w:val="center"/>
            <w:hideMark/>
          </w:tcPr>
          <w:p w14:paraId="6523117E" w14:textId="77777777" w:rsidR="00111CC0" w:rsidRPr="007D12A6" w:rsidRDefault="00111CC0" w:rsidP="00111CC0">
            <w:pPr>
              <w:spacing w:after="0" w:line="240" w:lineRule="auto"/>
              <w:jc w:val="left"/>
              <w:rPr>
                <w:rFonts w:eastAsia="Times New Roman" w:cs="Times New Roman"/>
                <w:b/>
                <w:bCs/>
                <w:color w:val="FFFFFF"/>
                <w:sz w:val="18"/>
                <w:szCs w:val="18"/>
                <w:lang w:eastAsia="sk-SK"/>
              </w:rPr>
            </w:pPr>
            <w:r w:rsidRPr="007D12A6">
              <w:rPr>
                <w:rFonts w:eastAsia="Times New Roman" w:cs="Times New Roman"/>
                <w:b/>
                <w:bCs/>
                <w:color w:val="FFFFFF"/>
                <w:sz w:val="18"/>
                <w:szCs w:val="18"/>
                <w:lang w:eastAsia="sk-SK"/>
              </w:rPr>
              <w:t> </w:t>
            </w:r>
          </w:p>
        </w:tc>
        <w:tc>
          <w:tcPr>
            <w:tcW w:w="1113" w:type="pct"/>
            <w:gridSpan w:val="2"/>
            <w:tcBorders>
              <w:top w:val="nil"/>
              <w:left w:val="nil"/>
              <w:bottom w:val="nil"/>
              <w:right w:val="nil"/>
            </w:tcBorders>
            <w:shd w:val="clear" w:color="000000" w:fill="BFBFBF"/>
            <w:vAlign w:val="center"/>
            <w:hideMark/>
          </w:tcPr>
          <w:p w14:paraId="0D62ED69" w14:textId="77777777" w:rsidR="00111CC0" w:rsidRPr="007D12A6" w:rsidRDefault="00111CC0" w:rsidP="00111CC0">
            <w:pPr>
              <w:spacing w:after="0" w:line="240" w:lineRule="auto"/>
              <w:jc w:val="center"/>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Skutočnosť</w:t>
            </w:r>
          </w:p>
        </w:tc>
        <w:tc>
          <w:tcPr>
            <w:tcW w:w="470" w:type="pct"/>
            <w:tcBorders>
              <w:top w:val="nil"/>
              <w:left w:val="nil"/>
              <w:bottom w:val="nil"/>
              <w:right w:val="nil"/>
            </w:tcBorders>
            <w:shd w:val="clear" w:color="000000" w:fill="BFBFBF"/>
            <w:vAlign w:val="center"/>
            <w:hideMark/>
          </w:tcPr>
          <w:p w14:paraId="273A986F" w14:textId="77777777" w:rsidR="00111CC0" w:rsidRPr="007D12A6" w:rsidRDefault="00111CC0" w:rsidP="00111CC0">
            <w:pPr>
              <w:spacing w:after="0" w:line="240" w:lineRule="auto"/>
              <w:jc w:val="center"/>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Rozpočet</w:t>
            </w:r>
          </w:p>
        </w:tc>
        <w:tc>
          <w:tcPr>
            <w:tcW w:w="665" w:type="pct"/>
            <w:tcBorders>
              <w:top w:val="nil"/>
              <w:left w:val="nil"/>
              <w:bottom w:val="nil"/>
              <w:right w:val="nil"/>
            </w:tcBorders>
            <w:shd w:val="clear" w:color="000000" w:fill="BFBFBF"/>
            <w:vAlign w:val="center"/>
            <w:hideMark/>
          </w:tcPr>
          <w:p w14:paraId="0DF69226" w14:textId="77777777" w:rsidR="00111CC0" w:rsidRPr="007D12A6" w:rsidRDefault="00111CC0" w:rsidP="00111CC0">
            <w:pPr>
              <w:spacing w:after="0" w:line="240" w:lineRule="auto"/>
              <w:jc w:val="center"/>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Skutočnosť</w:t>
            </w:r>
          </w:p>
        </w:tc>
        <w:tc>
          <w:tcPr>
            <w:tcW w:w="997" w:type="pct"/>
            <w:gridSpan w:val="2"/>
            <w:tcBorders>
              <w:top w:val="nil"/>
              <w:left w:val="nil"/>
              <w:bottom w:val="nil"/>
              <w:right w:val="nil"/>
            </w:tcBorders>
            <w:shd w:val="clear" w:color="000000" w:fill="BFBFBF"/>
            <w:vAlign w:val="center"/>
            <w:hideMark/>
          </w:tcPr>
          <w:p w14:paraId="47517BA5" w14:textId="77777777" w:rsidR="00111CC0" w:rsidRPr="007D12A6" w:rsidRDefault="00111CC0" w:rsidP="00111CC0">
            <w:pPr>
              <w:spacing w:after="0" w:line="240" w:lineRule="auto"/>
              <w:jc w:val="center"/>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Rozdiel</w:t>
            </w:r>
          </w:p>
        </w:tc>
      </w:tr>
      <w:tr w:rsidR="00111CC0" w:rsidRPr="007D12A6" w14:paraId="061D782F" w14:textId="77777777" w:rsidTr="00CF37CE">
        <w:trPr>
          <w:trHeight w:val="330"/>
        </w:trPr>
        <w:tc>
          <w:tcPr>
            <w:tcW w:w="1756" w:type="pct"/>
            <w:tcBorders>
              <w:top w:val="nil"/>
              <w:left w:val="nil"/>
              <w:bottom w:val="nil"/>
              <w:right w:val="nil"/>
            </w:tcBorders>
            <w:shd w:val="clear" w:color="000000" w:fill="BFBFBF"/>
            <w:vAlign w:val="center"/>
            <w:hideMark/>
          </w:tcPr>
          <w:p w14:paraId="7607545D" w14:textId="77777777" w:rsidR="00111CC0" w:rsidRPr="007D12A6" w:rsidRDefault="00111CC0" w:rsidP="00111CC0">
            <w:pPr>
              <w:spacing w:after="0" w:line="240" w:lineRule="auto"/>
              <w:jc w:val="center"/>
              <w:rPr>
                <w:rFonts w:eastAsia="Times New Roman" w:cs="Times New Roman"/>
                <w:b/>
                <w:bCs/>
                <w:sz w:val="18"/>
                <w:szCs w:val="18"/>
                <w:lang w:eastAsia="sk-SK"/>
              </w:rPr>
            </w:pPr>
            <w:r w:rsidRPr="007D12A6">
              <w:rPr>
                <w:rFonts w:eastAsia="Times New Roman" w:cs="Times New Roman"/>
                <w:b/>
                <w:bCs/>
                <w:sz w:val="18"/>
                <w:szCs w:val="18"/>
                <w:lang w:eastAsia="sk-SK"/>
              </w:rPr>
              <w:t> </w:t>
            </w:r>
          </w:p>
        </w:tc>
        <w:tc>
          <w:tcPr>
            <w:tcW w:w="556" w:type="pct"/>
            <w:tcBorders>
              <w:top w:val="nil"/>
              <w:left w:val="nil"/>
              <w:bottom w:val="nil"/>
              <w:right w:val="nil"/>
            </w:tcBorders>
            <w:shd w:val="clear" w:color="000000" w:fill="BFBFBF"/>
            <w:vAlign w:val="center"/>
            <w:hideMark/>
          </w:tcPr>
          <w:p w14:paraId="123C5977" w14:textId="77777777" w:rsidR="00111CC0" w:rsidRPr="007D12A6" w:rsidRDefault="00111CC0" w:rsidP="00111CC0">
            <w:pPr>
              <w:spacing w:after="0" w:line="240" w:lineRule="auto"/>
              <w:jc w:val="center"/>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2018</w:t>
            </w:r>
          </w:p>
        </w:tc>
        <w:tc>
          <w:tcPr>
            <w:tcW w:w="557" w:type="pct"/>
            <w:tcBorders>
              <w:top w:val="nil"/>
              <w:left w:val="nil"/>
              <w:bottom w:val="nil"/>
              <w:right w:val="nil"/>
            </w:tcBorders>
            <w:shd w:val="clear" w:color="000000" w:fill="BFBFBF"/>
            <w:vAlign w:val="center"/>
            <w:hideMark/>
          </w:tcPr>
          <w:p w14:paraId="3040F071" w14:textId="77777777" w:rsidR="00111CC0" w:rsidRPr="007D12A6" w:rsidRDefault="00111CC0" w:rsidP="00111CC0">
            <w:pPr>
              <w:spacing w:after="0" w:line="240" w:lineRule="auto"/>
              <w:jc w:val="center"/>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2019</w:t>
            </w:r>
          </w:p>
        </w:tc>
        <w:tc>
          <w:tcPr>
            <w:tcW w:w="470" w:type="pct"/>
            <w:tcBorders>
              <w:top w:val="nil"/>
              <w:left w:val="nil"/>
              <w:bottom w:val="nil"/>
              <w:right w:val="nil"/>
            </w:tcBorders>
            <w:shd w:val="clear" w:color="000000" w:fill="BFBFBF"/>
            <w:vAlign w:val="center"/>
            <w:hideMark/>
          </w:tcPr>
          <w:p w14:paraId="4654DA18" w14:textId="77777777" w:rsidR="00111CC0" w:rsidRPr="007D12A6" w:rsidRDefault="00111CC0" w:rsidP="00111CC0">
            <w:pPr>
              <w:spacing w:after="0" w:line="240" w:lineRule="auto"/>
              <w:jc w:val="center"/>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2020</w:t>
            </w:r>
          </w:p>
        </w:tc>
        <w:tc>
          <w:tcPr>
            <w:tcW w:w="665" w:type="pct"/>
            <w:tcBorders>
              <w:top w:val="nil"/>
              <w:left w:val="nil"/>
              <w:bottom w:val="nil"/>
              <w:right w:val="nil"/>
            </w:tcBorders>
            <w:shd w:val="clear" w:color="000000" w:fill="BFBFBF"/>
            <w:vAlign w:val="center"/>
            <w:hideMark/>
          </w:tcPr>
          <w:p w14:paraId="403FA9A7" w14:textId="77777777" w:rsidR="00111CC0" w:rsidRPr="007D12A6" w:rsidRDefault="00111CC0" w:rsidP="00111CC0">
            <w:pPr>
              <w:spacing w:after="0" w:line="240" w:lineRule="auto"/>
              <w:jc w:val="center"/>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2020</w:t>
            </w:r>
          </w:p>
        </w:tc>
        <w:tc>
          <w:tcPr>
            <w:tcW w:w="557" w:type="pct"/>
            <w:tcBorders>
              <w:top w:val="nil"/>
              <w:left w:val="nil"/>
              <w:bottom w:val="nil"/>
              <w:right w:val="nil"/>
            </w:tcBorders>
            <w:shd w:val="clear" w:color="000000" w:fill="BFBFBF"/>
            <w:vAlign w:val="center"/>
            <w:hideMark/>
          </w:tcPr>
          <w:p w14:paraId="655C4AD3" w14:textId="77777777" w:rsidR="00111CC0" w:rsidRPr="007D12A6" w:rsidRDefault="00111CC0" w:rsidP="00111CC0">
            <w:pPr>
              <w:spacing w:after="0" w:line="240" w:lineRule="auto"/>
              <w:jc w:val="center"/>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 xml:space="preserve"> v tis. eur</w:t>
            </w:r>
          </w:p>
        </w:tc>
        <w:tc>
          <w:tcPr>
            <w:tcW w:w="440" w:type="pct"/>
            <w:tcBorders>
              <w:top w:val="nil"/>
              <w:left w:val="nil"/>
              <w:bottom w:val="nil"/>
              <w:right w:val="nil"/>
            </w:tcBorders>
            <w:shd w:val="clear" w:color="000000" w:fill="BFBFBF"/>
            <w:vAlign w:val="center"/>
            <w:hideMark/>
          </w:tcPr>
          <w:p w14:paraId="20AF74B8" w14:textId="77777777" w:rsidR="00111CC0" w:rsidRPr="007D12A6" w:rsidRDefault="00111CC0" w:rsidP="00111CC0">
            <w:pPr>
              <w:spacing w:after="0" w:line="240" w:lineRule="auto"/>
              <w:jc w:val="center"/>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v %</w:t>
            </w:r>
          </w:p>
        </w:tc>
      </w:tr>
      <w:tr w:rsidR="00111CC0" w:rsidRPr="007D12A6" w14:paraId="1E84B9F7" w14:textId="77777777" w:rsidTr="00CF37CE">
        <w:trPr>
          <w:trHeight w:val="345"/>
        </w:trPr>
        <w:tc>
          <w:tcPr>
            <w:tcW w:w="1756" w:type="pct"/>
            <w:tcBorders>
              <w:top w:val="nil"/>
              <w:left w:val="nil"/>
              <w:bottom w:val="single" w:sz="8" w:space="0" w:color="auto"/>
              <w:right w:val="nil"/>
            </w:tcBorders>
            <w:shd w:val="clear" w:color="000000" w:fill="BFBFBF"/>
            <w:vAlign w:val="center"/>
            <w:hideMark/>
          </w:tcPr>
          <w:p w14:paraId="33986589" w14:textId="77777777" w:rsidR="00111CC0" w:rsidRPr="007D12A6" w:rsidRDefault="00111CC0" w:rsidP="00111CC0">
            <w:pPr>
              <w:spacing w:after="0" w:line="240" w:lineRule="auto"/>
              <w:jc w:val="left"/>
              <w:rPr>
                <w:rFonts w:eastAsia="Times New Roman" w:cs="Times New Roman"/>
                <w:b/>
                <w:bCs/>
                <w:color w:val="FFFFFF"/>
                <w:sz w:val="18"/>
                <w:szCs w:val="18"/>
                <w:lang w:eastAsia="sk-SK"/>
              </w:rPr>
            </w:pPr>
            <w:r w:rsidRPr="007D12A6">
              <w:rPr>
                <w:rFonts w:eastAsia="Times New Roman" w:cs="Times New Roman"/>
                <w:b/>
                <w:bCs/>
                <w:color w:val="FFFFFF"/>
                <w:sz w:val="18"/>
                <w:szCs w:val="18"/>
                <w:lang w:eastAsia="sk-SK"/>
              </w:rPr>
              <w:t> </w:t>
            </w:r>
          </w:p>
        </w:tc>
        <w:tc>
          <w:tcPr>
            <w:tcW w:w="556" w:type="pct"/>
            <w:tcBorders>
              <w:top w:val="nil"/>
              <w:left w:val="nil"/>
              <w:bottom w:val="single" w:sz="8" w:space="0" w:color="auto"/>
              <w:right w:val="nil"/>
            </w:tcBorders>
            <w:shd w:val="clear" w:color="000000" w:fill="BFBFBF"/>
            <w:vAlign w:val="center"/>
            <w:hideMark/>
          </w:tcPr>
          <w:p w14:paraId="787C1707" w14:textId="77777777" w:rsidR="00111CC0" w:rsidRPr="007D12A6" w:rsidRDefault="00111CC0" w:rsidP="00111CC0">
            <w:pPr>
              <w:spacing w:after="0" w:line="240" w:lineRule="auto"/>
              <w:jc w:val="center"/>
              <w:rPr>
                <w:rFonts w:eastAsia="Times New Roman" w:cs="Times New Roman"/>
                <w:b/>
                <w:bCs/>
                <w:sz w:val="18"/>
                <w:szCs w:val="18"/>
                <w:lang w:eastAsia="sk-SK"/>
              </w:rPr>
            </w:pPr>
            <w:r w:rsidRPr="007D12A6">
              <w:rPr>
                <w:rFonts w:eastAsia="Times New Roman" w:cs="Times New Roman"/>
                <w:b/>
                <w:bCs/>
                <w:sz w:val="18"/>
                <w:szCs w:val="18"/>
                <w:lang w:eastAsia="sk-SK"/>
              </w:rPr>
              <w:t>1</w:t>
            </w:r>
          </w:p>
        </w:tc>
        <w:tc>
          <w:tcPr>
            <w:tcW w:w="557" w:type="pct"/>
            <w:tcBorders>
              <w:top w:val="nil"/>
              <w:left w:val="nil"/>
              <w:bottom w:val="single" w:sz="8" w:space="0" w:color="auto"/>
              <w:right w:val="nil"/>
            </w:tcBorders>
            <w:shd w:val="clear" w:color="000000" w:fill="BFBFBF"/>
            <w:vAlign w:val="center"/>
            <w:hideMark/>
          </w:tcPr>
          <w:p w14:paraId="4B8C54B7" w14:textId="77777777" w:rsidR="00111CC0" w:rsidRPr="007D12A6" w:rsidRDefault="00111CC0" w:rsidP="00111CC0">
            <w:pPr>
              <w:spacing w:after="0" w:line="240" w:lineRule="auto"/>
              <w:jc w:val="center"/>
              <w:rPr>
                <w:rFonts w:eastAsia="Times New Roman" w:cs="Times New Roman"/>
                <w:b/>
                <w:bCs/>
                <w:sz w:val="18"/>
                <w:szCs w:val="18"/>
                <w:lang w:eastAsia="sk-SK"/>
              </w:rPr>
            </w:pPr>
            <w:r w:rsidRPr="007D12A6">
              <w:rPr>
                <w:rFonts w:eastAsia="Times New Roman" w:cs="Times New Roman"/>
                <w:b/>
                <w:bCs/>
                <w:sz w:val="18"/>
                <w:szCs w:val="18"/>
                <w:lang w:eastAsia="sk-SK"/>
              </w:rPr>
              <w:t>2</w:t>
            </w:r>
          </w:p>
        </w:tc>
        <w:tc>
          <w:tcPr>
            <w:tcW w:w="470" w:type="pct"/>
            <w:tcBorders>
              <w:top w:val="nil"/>
              <w:left w:val="nil"/>
              <w:bottom w:val="single" w:sz="8" w:space="0" w:color="auto"/>
              <w:right w:val="nil"/>
            </w:tcBorders>
            <w:shd w:val="clear" w:color="000000" w:fill="BFBFBF"/>
            <w:vAlign w:val="center"/>
            <w:hideMark/>
          </w:tcPr>
          <w:p w14:paraId="619ABCFB" w14:textId="77777777" w:rsidR="00111CC0" w:rsidRPr="007D12A6" w:rsidRDefault="00111CC0" w:rsidP="00111CC0">
            <w:pPr>
              <w:spacing w:after="0" w:line="240" w:lineRule="auto"/>
              <w:jc w:val="center"/>
              <w:rPr>
                <w:rFonts w:eastAsia="Times New Roman" w:cs="Times New Roman"/>
                <w:b/>
                <w:bCs/>
                <w:sz w:val="18"/>
                <w:szCs w:val="18"/>
                <w:lang w:eastAsia="sk-SK"/>
              </w:rPr>
            </w:pPr>
            <w:r w:rsidRPr="007D12A6">
              <w:rPr>
                <w:rFonts w:eastAsia="Times New Roman" w:cs="Times New Roman"/>
                <w:b/>
                <w:bCs/>
                <w:sz w:val="18"/>
                <w:szCs w:val="18"/>
                <w:lang w:eastAsia="sk-SK"/>
              </w:rPr>
              <w:t>3</w:t>
            </w:r>
          </w:p>
        </w:tc>
        <w:tc>
          <w:tcPr>
            <w:tcW w:w="665" w:type="pct"/>
            <w:tcBorders>
              <w:top w:val="nil"/>
              <w:left w:val="nil"/>
              <w:bottom w:val="single" w:sz="8" w:space="0" w:color="auto"/>
              <w:right w:val="nil"/>
            </w:tcBorders>
            <w:shd w:val="clear" w:color="000000" w:fill="BFBFBF"/>
            <w:vAlign w:val="center"/>
            <w:hideMark/>
          </w:tcPr>
          <w:p w14:paraId="0850D47C" w14:textId="77777777" w:rsidR="00111CC0" w:rsidRPr="007D12A6" w:rsidRDefault="00111CC0" w:rsidP="00111CC0">
            <w:pPr>
              <w:spacing w:after="0" w:line="240" w:lineRule="auto"/>
              <w:jc w:val="center"/>
              <w:rPr>
                <w:rFonts w:eastAsia="Times New Roman" w:cs="Times New Roman"/>
                <w:b/>
                <w:bCs/>
                <w:sz w:val="18"/>
                <w:szCs w:val="18"/>
                <w:lang w:eastAsia="sk-SK"/>
              </w:rPr>
            </w:pPr>
            <w:r w:rsidRPr="007D12A6">
              <w:rPr>
                <w:rFonts w:eastAsia="Times New Roman" w:cs="Times New Roman"/>
                <w:b/>
                <w:bCs/>
                <w:sz w:val="18"/>
                <w:szCs w:val="18"/>
                <w:lang w:eastAsia="sk-SK"/>
              </w:rPr>
              <w:t>4</w:t>
            </w:r>
          </w:p>
        </w:tc>
        <w:tc>
          <w:tcPr>
            <w:tcW w:w="557" w:type="pct"/>
            <w:tcBorders>
              <w:top w:val="nil"/>
              <w:left w:val="nil"/>
              <w:bottom w:val="single" w:sz="8" w:space="0" w:color="auto"/>
              <w:right w:val="nil"/>
            </w:tcBorders>
            <w:shd w:val="clear" w:color="000000" w:fill="BFBFBF"/>
            <w:vAlign w:val="center"/>
            <w:hideMark/>
          </w:tcPr>
          <w:p w14:paraId="1FF450B9" w14:textId="77777777" w:rsidR="00111CC0" w:rsidRPr="007D12A6" w:rsidRDefault="00111CC0" w:rsidP="00111CC0">
            <w:pPr>
              <w:spacing w:after="0" w:line="240" w:lineRule="auto"/>
              <w:jc w:val="center"/>
              <w:rPr>
                <w:rFonts w:eastAsia="Times New Roman" w:cs="Times New Roman"/>
                <w:b/>
                <w:bCs/>
                <w:sz w:val="18"/>
                <w:szCs w:val="18"/>
                <w:lang w:eastAsia="sk-SK"/>
              </w:rPr>
            </w:pPr>
            <w:r w:rsidRPr="007D12A6">
              <w:rPr>
                <w:rFonts w:eastAsia="Times New Roman" w:cs="Times New Roman"/>
                <w:b/>
                <w:bCs/>
                <w:sz w:val="18"/>
                <w:szCs w:val="18"/>
                <w:lang w:eastAsia="sk-SK"/>
              </w:rPr>
              <w:t>5=4-3</w:t>
            </w:r>
          </w:p>
        </w:tc>
        <w:tc>
          <w:tcPr>
            <w:tcW w:w="440" w:type="pct"/>
            <w:tcBorders>
              <w:top w:val="nil"/>
              <w:left w:val="nil"/>
              <w:bottom w:val="single" w:sz="8" w:space="0" w:color="auto"/>
              <w:right w:val="nil"/>
            </w:tcBorders>
            <w:shd w:val="clear" w:color="000000" w:fill="BFBFBF"/>
            <w:vAlign w:val="center"/>
            <w:hideMark/>
          </w:tcPr>
          <w:p w14:paraId="7AC97B1B" w14:textId="77777777" w:rsidR="00111CC0" w:rsidRPr="007D12A6" w:rsidRDefault="00111CC0" w:rsidP="00111CC0">
            <w:pPr>
              <w:spacing w:after="0" w:line="240" w:lineRule="auto"/>
              <w:jc w:val="center"/>
              <w:rPr>
                <w:rFonts w:eastAsia="Times New Roman" w:cs="Times New Roman"/>
                <w:b/>
                <w:bCs/>
                <w:sz w:val="18"/>
                <w:szCs w:val="18"/>
                <w:lang w:eastAsia="sk-SK"/>
              </w:rPr>
            </w:pPr>
            <w:r w:rsidRPr="007D12A6">
              <w:rPr>
                <w:rFonts w:eastAsia="Times New Roman" w:cs="Times New Roman"/>
                <w:b/>
                <w:bCs/>
                <w:sz w:val="18"/>
                <w:szCs w:val="18"/>
                <w:lang w:eastAsia="sk-SK"/>
              </w:rPr>
              <w:t>6=4-3</w:t>
            </w:r>
          </w:p>
        </w:tc>
      </w:tr>
      <w:tr w:rsidR="00111CC0" w:rsidRPr="007D12A6" w14:paraId="74550510" w14:textId="77777777" w:rsidTr="00CF37CE">
        <w:trPr>
          <w:trHeight w:val="330"/>
        </w:trPr>
        <w:tc>
          <w:tcPr>
            <w:tcW w:w="1756" w:type="pct"/>
            <w:tcBorders>
              <w:top w:val="nil"/>
              <w:left w:val="nil"/>
              <w:bottom w:val="nil"/>
              <w:right w:val="nil"/>
            </w:tcBorders>
            <w:shd w:val="clear" w:color="000000" w:fill="FFFFFF"/>
            <w:vAlign w:val="center"/>
            <w:hideMark/>
          </w:tcPr>
          <w:p w14:paraId="64DEF5A5" w14:textId="77777777" w:rsidR="00111CC0" w:rsidRPr="007D12A6" w:rsidRDefault="00111CC0" w:rsidP="00111CC0">
            <w:pPr>
              <w:spacing w:after="0" w:line="240" w:lineRule="auto"/>
              <w:jc w:val="left"/>
              <w:rPr>
                <w:rFonts w:eastAsia="Times New Roman" w:cs="Times New Roman"/>
                <w:color w:val="000000"/>
                <w:sz w:val="18"/>
                <w:szCs w:val="18"/>
                <w:lang w:eastAsia="sk-SK"/>
              </w:rPr>
            </w:pPr>
            <w:r w:rsidRPr="007D12A6">
              <w:rPr>
                <w:rFonts w:eastAsia="Times New Roman" w:cs="Times New Roman"/>
                <w:color w:val="000000"/>
                <w:sz w:val="18"/>
                <w:szCs w:val="18"/>
                <w:lang w:eastAsia="sk-SK"/>
              </w:rPr>
              <w:t>Poľnohospodárske fondy 3. programové obdobie</w:t>
            </w:r>
          </w:p>
        </w:tc>
        <w:tc>
          <w:tcPr>
            <w:tcW w:w="556" w:type="pct"/>
            <w:tcBorders>
              <w:top w:val="nil"/>
              <w:left w:val="nil"/>
              <w:bottom w:val="nil"/>
              <w:right w:val="nil"/>
            </w:tcBorders>
            <w:shd w:val="clear" w:color="000000" w:fill="FFFFFF"/>
            <w:noWrap/>
            <w:vAlign w:val="center"/>
            <w:hideMark/>
          </w:tcPr>
          <w:p w14:paraId="5882AEA1" w14:textId="77777777" w:rsidR="00111CC0" w:rsidRPr="007D12A6" w:rsidRDefault="00111CC0" w:rsidP="00111CC0">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650 225</w:t>
            </w:r>
          </w:p>
        </w:tc>
        <w:tc>
          <w:tcPr>
            <w:tcW w:w="557" w:type="pct"/>
            <w:tcBorders>
              <w:top w:val="nil"/>
              <w:left w:val="nil"/>
              <w:bottom w:val="nil"/>
              <w:right w:val="nil"/>
            </w:tcBorders>
            <w:shd w:val="clear" w:color="000000" w:fill="FFFFFF"/>
            <w:noWrap/>
            <w:vAlign w:val="center"/>
            <w:hideMark/>
          </w:tcPr>
          <w:p w14:paraId="287241B6" w14:textId="77777777" w:rsidR="00111CC0" w:rsidRPr="007D12A6" w:rsidRDefault="00111CC0" w:rsidP="00111CC0">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709 672</w:t>
            </w:r>
          </w:p>
        </w:tc>
        <w:tc>
          <w:tcPr>
            <w:tcW w:w="470" w:type="pct"/>
            <w:tcBorders>
              <w:top w:val="nil"/>
              <w:left w:val="nil"/>
              <w:bottom w:val="nil"/>
              <w:right w:val="nil"/>
            </w:tcBorders>
            <w:shd w:val="clear" w:color="000000" w:fill="FFFFFF"/>
            <w:noWrap/>
            <w:vAlign w:val="center"/>
            <w:hideMark/>
          </w:tcPr>
          <w:p w14:paraId="424FBA2F" w14:textId="77777777" w:rsidR="00111CC0" w:rsidRPr="007D12A6" w:rsidRDefault="00111CC0" w:rsidP="00111CC0">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580 717</w:t>
            </w:r>
          </w:p>
        </w:tc>
        <w:tc>
          <w:tcPr>
            <w:tcW w:w="665" w:type="pct"/>
            <w:tcBorders>
              <w:top w:val="nil"/>
              <w:left w:val="nil"/>
              <w:bottom w:val="nil"/>
              <w:right w:val="nil"/>
            </w:tcBorders>
            <w:shd w:val="clear" w:color="000000" w:fill="FFFFFF"/>
            <w:noWrap/>
            <w:vAlign w:val="center"/>
            <w:hideMark/>
          </w:tcPr>
          <w:p w14:paraId="07A67977" w14:textId="77777777" w:rsidR="00111CC0" w:rsidRPr="007D12A6" w:rsidRDefault="00111CC0" w:rsidP="00111CC0">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653 482</w:t>
            </w:r>
          </w:p>
        </w:tc>
        <w:tc>
          <w:tcPr>
            <w:tcW w:w="557" w:type="pct"/>
            <w:tcBorders>
              <w:top w:val="nil"/>
              <w:left w:val="nil"/>
              <w:bottom w:val="nil"/>
              <w:right w:val="nil"/>
            </w:tcBorders>
            <w:shd w:val="clear" w:color="000000" w:fill="FFFFFF"/>
            <w:noWrap/>
            <w:vAlign w:val="center"/>
            <w:hideMark/>
          </w:tcPr>
          <w:p w14:paraId="188E7C49" w14:textId="77777777" w:rsidR="00111CC0" w:rsidRPr="007D12A6" w:rsidRDefault="00111CC0" w:rsidP="00111CC0">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72 765</w:t>
            </w:r>
          </w:p>
        </w:tc>
        <w:tc>
          <w:tcPr>
            <w:tcW w:w="440" w:type="pct"/>
            <w:tcBorders>
              <w:top w:val="nil"/>
              <w:left w:val="nil"/>
              <w:bottom w:val="nil"/>
              <w:right w:val="nil"/>
            </w:tcBorders>
            <w:shd w:val="clear" w:color="000000" w:fill="FFFFFF"/>
            <w:noWrap/>
            <w:vAlign w:val="center"/>
            <w:hideMark/>
          </w:tcPr>
          <w:p w14:paraId="2D42BCE2" w14:textId="77777777" w:rsidR="00111CC0" w:rsidRPr="007D12A6" w:rsidRDefault="00111CC0" w:rsidP="00111CC0">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12,5</w:t>
            </w:r>
          </w:p>
        </w:tc>
      </w:tr>
      <w:tr w:rsidR="00111CC0" w:rsidRPr="007D12A6" w14:paraId="118B1119" w14:textId="77777777" w:rsidTr="00CF37CE">
        <w:trPr>
          <w:trHeight w:val="330"/>
        </w:trPr>
        <w:tc>
          <w:tcPr>
            <w:tcW w:w="1756" w:type="pct"/>
            <w:tcBorders>
              <w:top w:val="nil"/>
              <w:left w:val="nil"/>
              <w:bottom w:val="nil"/>
              <w:right w:val="nil"/>
            </w:tcBorders>
            <w:shd w:val="clear" w:color="000000" w:fill="FFFFFF"/>
            <w:vAlign w:val="center"/>
            <w:hideMark/>
          </w:tcPr>
          <w:p w14:paraId="7CB02448" w14:textId="77777777" w:rsidR="00111CC0" w:rsidRPr="007D12A6" w:rsidRDefault="00111CC0" w:rsidP="00111CC0">
            <w:pPr>
              <w:spacing w:after="0" w:line="240" w:lineRule="auto"/>
              <w:jc w:val="lef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Poľnohospodárske fondy spolu - MPRV SR</w:t>
            </w:r>
          </w:p>
        </w:tc>
        <w:tc>
          <w:tcPr>
            <w:tcW w:w="556" w:type="pct"/>
            <w:tcBorders>
              <w:top w:val="nil"/>
              <w:left w:val="nil"/>
              <w:bottom w:val="nil"/>
              <w:right w:val="nil"/>
            </w:tcBorders>
            <w:shd w:val="clear" w:color="000000" w:fill="FFFFFF"/>
            <w:noWrap/>
            <w:vAlign w:val="center"/>
            <w:hideMark/>
          </w:tcPr>
          <w:p w14:paraId="0C6CC689" w14:textId="77777777" w:rsidR="00111CC0" w:rsidRPr="007D12A6" w:rsidRDefault="00111CC0" w:rsidP="00111CC0">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650 225</w:t>
            </w:r>
          </w:p>
        </w:tc>
        <w:tc>
          <w:tcPr>
            <w:tcW w:w="557" w:type="pct"/>
            <w:tcBorders>
              <w:top w:val="nil"/>
              <w:left w:val="nil"/>
              <w:bottom w:val="nil"/>
              <w:right w:val="nil"/>
            </w:tcBorders>
            <w:shd w:val="clear" w:color="000000" w:fill="FFFFFF"/>
            <w:noWrap/>
            <w:vAlign w:val="center"/>
            <w:hideMark/>
          </w:tcPr>
          <w:p w14:paraId="44092A4B" w14:textId="77777777" w:rsidR="00111CC0" w:rsidRPr="007D12A6" w:rsidRDefault="00111CC0" w:rsidP="00111CC0">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709 672</w:t>
            </w:r>
          </w:p>
        </w:tc>
        <w:tc>
          <w:tcPr>
            <w:tcW w:w="470" w:type="pct"/>
            <w:tcBorders>
              <w:top w:val="nil"/>
              <w:left w:val="nil"/>
              <w:bottom w:val="nil"/>
              <w:right w:val="nil"/>
            </w:tcBorders>
            <w:shd w:val="clear" w:color="000000" w:fill="FFFFFF"/>
            <w:noWrap/>
            <w:vAlign w:val="center"/>
            <w:hideMark/>
          </w:tcPr>
          <w:p w14:paraId="2EA865C0" w14:textId="77777777" w:rsidR="00111CC0" w:rsidRPr="007D12A6" w:rsidRDefault="00111CC0" w:rsidP="00111CC0">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580 717</w:t>
            </w:r>
          </w:p>
        </w:tc>
        <w:tc>
          <w:tcPr>
            <w:tcW w:w="665" w:type="pct"/>
            <w:tcBorders>
              <w:top w:val="nil"/>
              <w:left w:val="nil"/>
              <w:bottom w:val="nil"/>
              <w:right w:val="nil"/>
            </w:tcBorders>
            <w:shd w:val="clear" w:color="000000" w:fill="FFFFFF"/>
            <w:noWrap/>
            <w:vAlign w:val="center"/>
            <w:hideMark/>
          </w:tcPr>
          <w:p w14:paraId="0D543CD0" w14:textId="77777777" w:rsidR="00111CC0" w:rsidRPr="007D12A6" w:rsidRDefault="00111CC0" w:rsidP="00111CC0">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653 482</w:t>
            </w:r>
          </w:p>
        </w:tc>
        <w:tc>
          <w:tcPr>
            <w:tcW w:w="557" w:type="pct"/>
            <w:tcBorders>
              <w:top w:val="nil"/>
              <w:left w:val="nil"/>
              <w:bottom w:val="nil"/>
              <w:right w:val="nil"/>
            </w:tcBorders>
            <w:shd w:val="clear" w:color="000000" w:fill="FFFFFF"/>
            <w:noWrap/>
            <w:vAlign w:val="center"/>
            <w:hideMark/>
          </w:tcPr>
          <w:p w14:paraId="73ADA4AB" w14:textId="77777777" w:rsidR="00111CC0" w:rsidRPr="007D12A6" w:rsidRDefault="00111CC0" w:rsidP="00111CC0">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72 765</w:t>
            </w:r>
          </w:p>
        </w:tc>
        <w:tc>
          <w:tcPr>
            <w:tcW w:w="440" w:type="pct"/>
            <w:tcBorders>
              <w:top w:val="nil"/>
              <w:left w:val="nil"/>
              <w:bottom w:val="nil"/>
              <w:right w:val="nil"/>
            </w:tcBorders>
            <w:shd w:val="clear" w:color="000000" w:fill="FFFFFF"/>
            <w:noWrap/>
            <w:vAlign w:val="center"/>
            <w:hideMark/>
          </w:tcPr>
          <w:p w14:paraId="67931B4C" w14:textId="77777777" w:rsidR="00111CC0" w:rsidRPr="007D12A6" w:rsidRDefault="00111CC0" w:rsidP="00111CC0">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12,5</w:t>
            </w:r>
          </w:p>
        </w:tc>
      </w:tr>
      <w:tr w:rsidR="00111CC0" w:rsidRPr="007D12A6" w14:paraId="64FD7676" w14:textId="77777777" w:rsidTr="00CF37CE">
        <w:trPr>
          <w:trHeight w:val="510"/>
        </w:trPr>
        <w:tc>
          <w:tcPr>
            <w:tcW w:w="1756" w:type="pct"/>
            <w:tcBorders>
              <w:top w:val="nil"/>
              <w:left w:val="nil"/>
              <w:bottom w:val="nil"/>
              <w:right w:val="nil"/>
            </w:tcBorders>
            <w:shd w:val="clear" w:color="000000" w:fill="FFFFFF"/>
            <w:vAlign w:val="center"/>
            <w:hideMark/>
          </w:tcPr>
          <w:p w14:paraId="1F1BA16F" w14:textId="77777777" w:rsidR="00111CC0" w:rsidRPr="007D12A6" w:rsidRDefault="00111CC0" w:rsidP="00111CC0">
            <w:pPr>
              <w:spacing w:after="0" w:line="240" w:lineRule="auto"/>
              <w:jc w:val="left"/>
              <w:rPr>
                <w:rFonts w:eastAsia="Times New Roman" w:cs="Times New Roman"/>
                <w:color w:val="000000"/>
                <w:sz w:val="18"/>
                <w:szCs w:val="18"/>
                <w:lang w:eastAsia="sk-SK"/>
              </w:rPr>
            </w:pPr>
            <w:r w:rsidRPr="007D12A6">
              <w:rPr>
                <w:rFonts w:eastAsia="Times New Roman" w:cs="Times New Roman"/>
                <w:color w:val="000000"/>
                <w:sz w:val="18"/>
                <w:szCs w:val="18"/>
                <w:lang w:eastAsia="sk-SK"/>
              </w:rPr>
              <w:t xml:space="preserve">Štrukturálne fondy, Kohézny fond, Európsky fond pre rybné hospodárstvo 2. programové obdobie </w:t>
            </w:r>
          </w:p>
        </w:tc>
        <w:tc>
          <w:tcPr>
            <w:tcW w:w="556" w:type="pct"/>
            <w:tcBorders>
              <w:top w:val="nil"/>
              <w:left w:val="nil"/>
              <w:bottom w:val="nil"/>
              <w:right w:val="nil"/>
            </w:tcBorders>
            <w:shd w:val="clear" w:color="000000" w:fill="FFFFFF"/>
            <w:noWrap/>
            <w:vAlign w:val="center"/>
            <w:hideMark/>
          </w:tcPr>
          <w:p w14:paraId="020CDF64" w14:textId="77777777" w:rsidR="00111CC0" w:rsidRPr="007D12A6" w:rsidRDefault="00111CC0" w:rsidP="00111CC0">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0</w:t>
            </w:r>
          </w:p>
        </w:tc>
        <w:tc>
          <w:tcPr>
            <w:tcW w:w="557" w:type="pct"/>
            <w:tcBorders>
              <w:top w:val="nil"/>
              <w:left w:val="nil"/>
              <w:bottom w:val="nil"/>
              <w:right w:val="nil"/>
            </w:tcBorders>
            <w:shd w:val="clear" w:color="000000" w:fill="FFFFFF"/>
            <w:noWrap/>
            <w:vAlign w:val="center"/>
            <w:hideMark/>
          </w:tcPr>
          <w:p w14:paraId="42E2BE6B" w14:textId="77777777" w:rsidR="00111CC0" w:rsidRPr="007D12A6" w:rsidRDefault="00111CC0" w:rsidP="00111CC0">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0</w:t>
            </w:r>
          </w:p>
        </w:tc>
        <w:tc>
          <w:tcPr>
            <w:tcW w:w="470" w:type="pct"/>
            <w:tcBorders>
              <w:top w:val="nil"/>
              <w:left w:val="nil"/>
              <w:bottom w:val="nil"/>
              <w:right w:val="nil"/>
            </w:tcBorders>
            <w:shd w:val="clear" w:color="000000" w:fill="FFFFFF"/>
            <w:noWrap/>
            <w:vAlign w:val="center"/>
            <w:hideMark/>
          </w:tcPr>
          <w:p w14:paraId="0FAFE678" w14:textId="77777777" w:rsidR="00111CC0" w:rsidRPr="007D12A6" w:rsidRDefault="00111CC0" w:rsidP="00111CC0">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0</w:t>
            </w:r>
          </w:p>
        </w:tc>
        <w:tc>
          <w:tcPr>
            <w:tcW w:w="665" w:type="pct"/>
            <w:tcBorders>
              <w:top w:val="nil"/>
              <w:left w:val="nil"/>
              <w:bottom w:val="nil"/>
              <w:right w:val="nil"/>
            </w:tcBorders>
            <w:shd w:val="clear" w:color="000000" w:fill="FFFFFF"/>
            <w:noWrap/>
            <w:vAlign w:val="center"/>
            <w:hideMark/>
          </w:tcPr>
          <w:p w14:paraId="6A293AAB" w14:textId="77777777" w:rsidR="00111CC0" w:rsidRPr="007D12A6" w:rsidRDefault="00111CC0" w:rsidP="00111CC0">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0</w:t>
            </w:r>
          </w:p>
        </w:tc>
        <w:tc>
          <w:tcPr>
            <w:tcW w:w="557" w:type="pct"/>
            <w:tcBorders>
              <w:top w:val="nil"/>
              <w:left w:val="nil"/>
              <w:bottom w:val="nil"/>
              <w:right w:val="nil"/>
            </w:tcBorders>
            <w:shd w:val="clear" w:color="000000" w:fill="FFFFFF"/>
            <w:noWrap/>
            <w:vAlign w:val="center"/>
            <w:hideMark/>
          </w:tcPr>
          <w:p w14:paraId="4ABCB159" w14:textId="77777777" w:rsidR="00111CC0" w:rsidRPr="007D12A6" w:rsidRDefault="00111CC0" w:rsidP="00111CC0">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0</w:t>
            </w:r>
          </w:p>
        </w:tc>
        <w:tc>
          <w:tcPr>
            <w:tcW w:w="440" w:type="pct"/>
            <w:tcBorders>
              <w:top w:val="nil"/>
              <w:left w:val="nil"/>
              <w:bottom w:val="nil"/>
              <w:right w:val="nil"/>
            </w:tcBorders>
            <w:shd w:val="clear" w:color="000000" w:fill="FFFFFF"/>
            <w:noWrap/>
            <w:vAlign w:val="center"/>
            <w:hideMark/>
          </w:tcPr>
          <w:p w14:paraId="43EC8D81" w14:textId="77777777" w:rsidR="00111CC0" w:rsidRPr="007D12A6" w:rsidRDefault="00111CC0" w:rsidP="00111CC0">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w:t>
            </w:r>
          </w:p>
        </w:tc>
      </w:tr>
      <w:tr w:rsidR="00111CC0" w:rsidRPr="007D12A6" w14:paraId="609A8A2B" w14:textId="77777777" w:rsidTr="00CF37CE">
        <w:trPr>
          <w:trHeight w:val="615"/>
        </w:trPr>
        <w:tc>
          <w:tcPr>
            <w:tcW w:w="1756" w:type="pct"/>
            <w:tcBorders>
              <w:top w:val="nil"/>
              <w:left w:val="nil"/>
              <w:bottom w:val="nil"/>
              <w:right w:val="nil"/>
            </w:tcBorders>
            <w:shd w:val="clear" w:color="000000" w:fill="FFFFFF"/>
            <w:vAlign w:val="center"/>
            <w:hideMark/>
          </w:tcPr>
          <w:p w14:paraId="6AB67C95" w14:textId="77777777" w:rsidR="00111CC0" w:rsidRPr="007D12A6" w:rsidRDefault="00111CC0" w:rsidP="00111CC0">
            <w:pPr>
              <w:spacing w:after="0" w:line="240" w:lineRule="auto"/>
              <w:jc w:val="left"/>
              <w:rPr>
                <w:rFonts w:eastAsia="Times New Roman" w:cs="Times New Roman"/>
                <w:color w:val="000000"/>
                <w:sz w:val="18"/>
                <w:szCs w:val="18"/>
                <w:lang w:eastAsia="sk-SK"/>
              </w:rPr>
            </w:pPr>
            <w:r w:rsidRPr="007D12A6">
              <w:rPr>
                <w:rFonts w:eastAsia="Times New Roman" w:cs="Times New Roman"/>
                <w:color w:val="000000"/>
                <w:sz w:val="18"/>
                <w:szCs w:val="18"/>
                <w:lang w:eastAsia="sk-SK"/>
              </w:rPr>
              <w:t xml:space="preserve">Štrukturálne fondy, Kohézny fond, Európsky námorný a rybársky fond 3. programové obdobie </w:t>
            </w:r>
          </w:p>
        </w:tc>
        <w:tc>
          <w:tcPr>
            <w:tcW w:w="556" w:type="pct"/>
            <w:tcBorders>
              <w:top w:val="nil"/>
              <w:left w:val="nil"/>
              <w:bottom w:val="nil"/>
              <w:right w:val="nil"/>
            </w:tcBorders>
            <w:shd w:val="clear" w:color="000000" w:fill="FFFFFF"/>
            <w:noWrap/>
            <w:vAlign w:val="center"/>
            <w:hideMark/>
          </w:tcPr>
          <w:p w14:paraId="75D659A9" w14:textId="77777777" w:rsidR="00111CC0" w:rsidRPr="007D12A6" w:rsidRDefault="00111CC0" w:rsidP="00111CC0">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1 416 456</w:t>
            </w:r>
          </w:p>
        </w:tc>
        <w:tc>
          <w:tcPr>
            <w:tcW w:w="557" w:type="pct"/>
            <w:tcBorders>
              <w:top w:val="nil"/>
              <w:left w:val="nil"/>
              <w:bottom w:val="nil"/>
              <w:right w:val="nil"/>
            </w:tcBorders>
            <w:shd w:val="clear" w:color="000000" w:fill="FFFFFF"/>
            <w:noWrap/>
            <w:vAlign w:val="center"/>
            <w:hideMark/>
          </w:tcPr>
          <w:p w14:paraId="3B3A9A10" w14:textId="77777777" w:rsidR="00111CC0" w:rsidRPr="007D12A6" w:rsidRDefault="00111CC0" w:rsidP="00111CC0">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1 354 785</w:t>
            </w:r>
          </w:p>
        </w:tc>
        <w:tc>
          <w:tcPr>
            <w:tcW w:w="470" w:type="pct"/>
            <w:tcBorders>
              <w:top w:val="nil"/>
              <w:left w:val="nil"/>
              <w:bottom w:val="nil"/>
              <w:right w:val="nil"/>
            </w:tcBorders>
            <w:shd w:val="clear" w:color="000000" w:fill="FFFFFF"/>
            <w:noWrap/>
            <w:vAlign w:val="center"/>
            <w:hideMark/>
          </w:tcPr>
          <w:p w14:paraId="5235206B" w14:textId="77777777" w:rsidR="00111CC0" w:rsidRPr="007D12A6" w:rsidRDefault="00111CC0" w:rsidP="00111CC0">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1 068 197</w:t>
            </w:r>
          </w:p>
        </w:tc>
        <w:tc>
          <w:tcPr>
            <w:tcW w:w="665" w:type="pct"/>
            <w:tcBorders>
              <w:top w:val="nil"/>
              <w:left w:val="nil"/>
              <w:bottom w:val="nil"/>
              <w:right w:val="nil"/>
            </w:tcBorders>
            <w:shd w:val="clear" w:color="000000" w:fill="FFFFFF"/>
            <w:noWrap/>
            <w:vAlign w:val="center"/>
            <w:hideMark/>
          </w:tcPr>
          <w:p w14:paraId="5B298315" w14:textId="77777777" w:rsidR="00111CC0" w:rsidRPr="007D12A6" w:rsidRDefault="00111CC0" w:rsidP="00111CC0">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1 642 695</w:t>
            </w:r>
          </w:p>
        </w:tc>
        <w:tc>
          <w:tcPr>
            <w:tcW w:w="557" w:type="pct"/>
            <w:tcBorders>
              <w:top w:val="nil"/>
              <w:left w:val="nil"/>
              <w:bottom w:val="nil"/>
              <w:right w:val="nil"/>
            </w:tcBorders>
            <w:shd w:val="clear" w:color="000000" w:fill="FFFFFF"/>
            <w:noWrap/>
            <w:vAlign w:val="center"/>
            <w:hideMark/>
          </w:tcPr>
          <w:p w14:paraId="6296B124" w14:textId="77777777" w:rsidR="00111CC0" w:rsidRPr="007D12A6" w:rsidRDefault="00111CC0" w:rsidP="00111CC0">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574 498</w:t>
            </w:r>
          </w:p>
        </w:tc>
        <w:tc>
          <w:tcPr>
            <w:tcW w:w="440" w:type="pct"/>
            <w:tcBorders>
              <w:top w:val="nil"/>
              <w:left w:val="nil"/>
              <w:bottom w:val="nil"/>
              <w:right w:val="nil"/>
            </w:tcBorders>
            <w:shd w:val="clear" w:color="000000" w:fill="FFFFFF"/>
            <w:noWrap/>
            <w:vAlign w:val="center"/>
            <w:hideMark/>
          </w:tcPr>
          <w:p w14:paraId="4A169D3A" w14:textId="77777777" w:rsidR="00111CC0" w:rsidRPr="007D12A6" w:rsidRDefault="00111CC0" w:rsidP="00111CC0">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53,8</w:t>
            </w:r>
          </w:p>
        </w:tc>
      </w:tr>
      <w:tr w:rsidR="00111CC0" w:rsidRPr="007D12A6" w14:paraId="5FE2B03D" w14:textId="77777777" w:rsidTr="00CF37CE">
        <w:trPr>
          <w:trHeight w:val="330"/>
        </w:trPr>
        <w:tc>
          <w:tcPr>
            <w:tcW w:w="1756" w:type="pct"/>
            <w:tcBorders>
              <w:top w:val="nil"/>
              <w:left w:val="nil"/>
              <w:bottom w:val="nil"/>
              <w:right w:val="nil"/>
            </w:tcBorders>
            <w:shd w:val="clear" w:color="000000" w:fill="FFFFFF"/>
            <w:vAlign w:val="center"/>
            <w:hideMark/>
          </w:tcPr>
          <w:p w14:paraId="23B37421" w14:textId="77777777" w:rsidR="00111CC0" w:rsidRPr="007D12A6" w:rsidRDefault="00111CC0" w:rsidP="00111CC0">
            <w:pPr>
              <w:spacing w:after="0" w:line="240" w:lineRule="auto"/>
              <w:jc w:val="left"/>
              <w:rPr>
                <w:rFonts w:eastAsia="Times New Roman" w:cs="Times New Roman"/>
                <w:color w:val="000000"/>
                <w:sz w:val="18"/>
                <w:szCs w:val="18"/>
                <w:lang w:eastAsia="sk-SK"/>
              </w:rPr>
            </w:pPr>
            <w:r w:rsidRPr="007D12A6">
              <w:rPr>
                <w:rFonts w:eastAsia="Times New Roman" w:cs="Times New Roman"/>
                <w:color w:val="000000"/>
                <w:sz w:val="18"/>
                <w:szCs w:val="18"/>
                <w:lang w:eastAsia="sk-SK"/>
              </w:rPr>
              <w:t>Programy EÚS 3. programové obdobie (CO MF SR)</w:t>
            </w:r>
          </w:p>
        </w:tc>
        <w:tc>
          <w:tcPr>
            <w:tcW w:w="556" w:type="pct"/>
            <w:tcBorders>
              <w:top w:val="nil"/>
              <w:left w:val="nil"/>
              <w:bottom w:val="nil"/>
              <w:right w:val="nil"/>
            </w:tcBorders>
            <w:shd w:val="clear" w:color="000000" w:fill="FFFFFF"/>
            <w:noWrap/>
            <w:vAlign w:val="center"/>
            <w:hideMark/>
          </w:tcPr>
          <w:p w14:paraId="367AEE08" w14:textId="77777777" w:rsidR="00111CC0" w:rsidRPr="007D12A6" w:rsidRDefault="00111CC0" w:rsidP="00111CC0">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2 602</w:t>
            </w:r>
          </w:p>
        </w:tc>
        <w:tc>
          <w:tcPr>
            <w:tcW w:w="557" w:type="pct"/>
            <w:tcBorders>
              <w:top w:val="nil"/>
              <w:left w:val="nil"/>
              <w:bottom w:val="nil"/>
              <w:right w:val="nil"/>
            </w:tcBorders>
            <w:shd w:val="clear" w:color="000000" w:fill="FFFFFF"/>
            <w:noWrap/>
            <w:vAlign w:val="center"/>
            <w:hideMark/>
          </w:tcPr>
          <w:p w14:paraId="250A6CCB" w14:textId="77777777" w:rsidR="00111CC0" w:rsidRPr="007D12A6" w:rsidRDefault="00111CC0" w:rsidP="00111CC0">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15 624</w:t>
            </w:r>
          </w:p>
        </w:tc>
        <w:tc>
          <w:tcPr>
            <w:tcW w:w="470" w:type="pct"/>
            <w:tcBorders>
              <w:top w:val="nil"/>
              <w:left w:val="nil"/>
              <w:bottom w:val="nil"/>
              <w:right w:val="nil"/>
            </w:tcBorders>
            <w:shd w:val="clear" w:color="000000" w:fill="FFFFFF"/>
            <w:noWrap/>
            <w:vAlign w:val="center"/>
            <w:hideMark/>
          </w:tcPr>
          <w:p w14:paraId="1BFC70F4" w14:textId="77777777" w:rsidR="00111CC0" w:rsidRPr="007D12A6" w:rsidRDefault="00111CC0" w:rsidP="00111CC0">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18 019</w:t>
            </w:r>
          </w:p>
        </w:tc>
        <w:tc>
          <w:tcPr>
            <w:tcW w:w="665" w:type="pct"/>
            <w:tcBorders>
              <w:top w:val="nil"/>
              <w:left w:val="nil"/>
              <w:bottom w:val="nil"/>
              <w:right w:val="nil"/>
            </w:tcBorders>
            <w:shd w:val="clear" w:color="000000" w:fill="FFFFFF"/>
            <w:noWrap/>
            <w:vAlign w:val="center"/>
            <w:hideMark/>
          </w:tcPr>
          <w:p w14:paraId="3E8605E0" w14:textId="77777777" w:rsidR="00111CC0" w:rsidRPr="007D12A6" w:rsidRDefault="00111CC0" w:rsidP="00111CC0">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26 092</w:t>
            </w:r>
          </w:p>
        </w:tc>
        <w:tc>
          <w:tcPr>
            <w:tcW w:w="557" w:type="pct"/>
            <w:tcBorders>
              <w:top w:val="nil"/>
              <w:left w:val="nil"/>
              <w:bottom w:val="nil"/>
              <w:right w:val="nil"/>
            </w:tcBorders>
            <w:shd w:val="clear" w:color="000000" w:fill="FFFFFF"/>
            <w:noWrap/>
            <w:vAlign w:val="center"/>
            <w:hideMark/>
          </w:tcPr>
          <w:p w14:paraId="369C35EC" w14:textId="77777777" w:rsidR="00111CC0" w:rsidRPr="007D12A6" w:rsidRDefault="00111CC0" w:rsidP="00111CC0">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8 073</w:t>
            </w:r>
          </w:p>
        </w:tc>
        <w:tc>
          <w:tcPr>
            <w:tcW w:w="440" w:type="pct"/>
            <w:tcBorders>
              <w:top w:val="nil"/>
              <w:left w:val="nil"/>
              <w:bottom w:val="nil"/>
              <w:right w:val="nil"/>
            </w:tcBorders>
            <w:shd w:val="clear" w:color="000000" w:fill="FFFFFF"/>
            <w:noWrap/>
            <w:vAlign w:val="center"/>
            <w:hideMark/>
          </w:tcPr>
          <w:p w14:paraId="21CD6685" w14:textId="77777777" w:rsidR="00111CC0" w:rsidRPr="007D12A6" w:rsidRDefault="00111CC0" w:rsidP="00111CC0">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44,8</w:t>
            </w:r>
          </w:p>
        </w:tc>
      </w:tr>
      <w:tr w:rsidR="00111CC0" w:rsidRPr="007D12A6" w14:paraId="44AEFDE1" w14:textId="77777777" w:rsidTr="00CF37CE">
        <w:trPr>
          <w:trHeight w:val="330"/>
        </w:trPr>
        <w:tc>
          <w:tcPr>
            <w:tcW w:w="1756" w:type="pct"/>
            <w:tcBorders>
              <w:top w:val="nil"/>
              <w:left w:val="nil"/>
              <w:bottom w:val="nil"/>
              <w:right w:val="nil"/>
            </w:tcBorders>
            <w:shd w:val="clear" w:color="000000" w:fill="FFFFFF"/>
            <w:vAlign w:val="center"/>
            <w:hideMark/>
          </w:tcPr>
          <w:p w14:paraId="16900FA5" w14:textId="77777777" w:rsidR="00111CC0" w:rsidRPr="007D12A6" w:rsidRDefault="00111CC0" w:rsidP="00111CC0">
            <w:pPr>
              <w:spacing w:after="0" w:line="240" w:lineRule="auto"/>
              <w:jc w:val="lef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Štrukturálne operácie - MF SR</w:t>
            </w:r>
          </w:p>
        </w:tc>
        <w:tc>
          <w:tcPr>
            <w:tcW w:w="556" w:type="pct"/>
            <w:tcBorders>
              <w:top w:val="nil"/>
              <w:left w:val="nil"/>
              <w:bottom w:val="nil"/>
              <w:right w:val="nil"/>
            </w:tcBorders>
            <w:shd w:val="clear" w:color="000000" w:fill="FFFFFF"/>
            <w:noWrap/>
            <w:vAlign w:val="center"/>
            <w:hideMark/>
          </w:tcPr>
          <w:p w14:paraId="2FB4ED9B" w14:textId="77777777" w:rsidR="00111CC0" w:rsidRPr="007D12A6" w:rsidRDefault="00111CC0" w:rsidP="00111CC0">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1 419 058</w:t>
            </w:r>
          </w:p>
        </w:tc>
        <w:tc>
          <w:tcPr>
            <w:tcW w:w="557" w:type="pct"/>
            <w:tcBorders>
              <w:top w:val="nil"/>
              <w:left w:val="nil"/>
              <w:bottom w:val="nil"/>
              <w:right w:val="nil"/>
            </w:tcBorders>
            <w:shd w:val="clear" w:color="000000" w:fill="FFFFFF"/>
            <w:noWrap/>
            <w:vAlign w:val="center"/>
            <w:hideMark/>
          </w:tcPr>
          <w:p w14:paraId="4B0C23C8" w14:textId="77777777" w:rsidR="00111CC0" w:rsidRPr="007D12A6" w:rsidRDefault="00111CC0" w:rsidP="00111CC0">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1 370 409</w:t>
            </w:r>
          </w:p>
        </w:tc>
        <w:tc>
          <w:tcPr>
            <w:tcW w:w="470" w:type="pct"/>
            <w:tcBorders>
              <w:top w:val="nil"/>
              <w:left w:val="nil"/>
              <w:bottom w:val="nil"/>
              <w:right w:val="nil"/>
            </w:tcBorders>
            <w:shd w:val="clear" w:color="000000" w:fill="FFFFFF"/>
            <w:noWrap/>
            <w:vAlign w:val="center"/>
            <w:hideMark/>
          </w:tcPr>
          <w:p w14:paraId="2BC58CA5" w14:textId="77777777" w:rsidR="00111CC0" w:rsidRPr="007D12A6" w:rsidRDefault="00111CC0" w:rsidP="00111CC0">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1 086 216</w:t>
            </w:r>
          </w:p>
        </w:tc>
        <w:tc>
          <w:tcPr>
            <w:tcW w:w="665" w:type="pct"/>
            <w:tcBorders>
              <w:top w:val="nil"/>
              <w:left w:val="nil"/>
              <w:bottom w:val="nil"/>
              <w:right w:val="nil"/>
            </w:tcBorders>
            <w:shd w:val="clear" w:color="000000" w:fill="FFFFFF"/>
            <w:noWrap/>
            <w:vAlign w:val="center"/>
            <w:hideMark/>
          </w:tcPr>
          <w:p w14:paraId="54B15960" w14:textId="77777777" w:rsidR="00111CC0" w:rsidRPr="007D12A6" w:rsidRDefault="00111CC0" w:rsidP="00111CC0">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1 668 787</w:t>
            </w:r>
          </w:p>
        </w:tc>
        <w:tc>
          <w:tcPr>
            <w:tcW w:w="557" w:type="pct"/>
            <w:tcBorders>
              <w:top w:val="nil"/>
              <w:left w:val="nil"/>
              <w:bottom w:val="nil"/>
              <w:right w:val="nil"/>
            </w:tcBorders>
            <w:shd w:val="clear" w:color="000000" w:fill="FFFFFF"/>
            <w:noWrap/>
            <w:vAlign w:val="center"/>
            <w:hideMark/>
          </w:tcPr>
          <w:p w14:paraId="32BEA3FF" w14:textId="77777777" w:rsidR="00111CC0" w:rsidRPr="007D12A6" w:rsidRDefault="00111CC0" w:rsidP="00111CC0">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582 571</w:t>
            </w:r>
          </w:p>
        </w:tc>
        <w:tc>
          <w:tcPr>
            <w:tcW w:w="440" w:type="pct"/>
            <w:tcBorders>
              <w:top w:val="nil"/>
              <w:left w:val="nil"/>
              <w:bottom w:val="nil"/>
              <w:right w:val="nil"/>
            </w:tcBorders>
            <w:shd w:val="clear" w:color="000000" w:fill="FFFFFF"/>
            <w:noWrap/>
            <w:vAlign w:val="center"/>
            <w:hideMark/>
          </w:tcPr>
          <w:p w14:paraId="56A64B99" w14:textId="77777777" w:rsidR="00111CC0" w:rsidRPr="007D12A6" w:rsidRDefault="00111CC0" w:rsidP="00111CC0">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53,6</w:t>
            </w:r>
          </w:p>
        </w:tc>
      </w:tr>
      <w:tr w:rsidR="00111CC0" w:rsidRPr="007D12A6" w14:paraId="43B69965" w14:textId="77777777" w:rsidTr="00CF37CE">
        <w:trPr>
          <w:trHeight w:val="330"/>
        </w:trPr>
        <w:tc>
          <w:tcPr>
            <w:tcW w:w="1756" w:type="pct"/>
            <w:tcBorders>
              <w:top w:val="nil"/>
              <w:left w:val="nil"/>
              <w:bottom w:val="nil"/>
              <w:right w:val="nil"/>
            </w:tcBorders>
            <w:shd w:val="clear" w:color="000000" w:fill="FFFFFF"/>
            <w:vAlign w:val="center"/>
            <w:hideMark/>
          </w:tcPr>
          <w:p w14:paraId="084E7DA7" w14:textId="77777777" w:rsidR="00111CC0" w:rsidRPr="007D12A6" w:rsidRDefault="00111CC0" w:rsidP="00111CC0">
            <w:pPr>
              <w:spacing w:after="0" w:line="240" w:lineRule="auto"/>
              <w:jc w:val="left"/>
              <w:rPr>
                <w:rFonts w:eastAsia="Times New Roman" w:cs="Times New Roman"/>
                <w:color w:val="000000"/>
                <w:sz w:val="18"/>
                <w:szCs w:val="18"/>
                <w:lang w:eastAsia="sk-SK"/>
              </w:rPr>
            </w:pPr>
            <w:r w:rsidRPr="007D12A6">
              <w:rPr>
                <w:rFonts w:eastAsia="Times New Roman" w:cs="Times New Roman"/>
                <w:color w:val="000000"/>
                <w:sz w:val="18"/>
                <w:szCs w:val="18"/>
                <w:lang w:eastAsia="sk-SK"/>
              </w:rPr>
              <w:t>OP Sociálneho začlenenia najodkázanejších osôb</w:t>
            </w:r>
          </w:p>
        </w:tc>
        <w:tc>
          <w:tcPr>
            <w:tcW w:w="556" w:type="pct"/>
            <w:tcBorders>
              <w:top w:val="nil"/>
              <w:left w:val="nil"/>
              <w:bottom w:val="nil"/>
              <w:right w:val="nil"/>
            </w:tcBorders>
            <w:shd w:val="clear" w:color="000000" w:fill="FFFFFF"/>
            <w:noWrap/>
            <w:vAlign w:val="center"/>
            <w:hideMark/>
          </w:tcPr>
          <w:p w14:paraId="46372C23" w14:textId="77777777" w:rsidR="00111CC0" w:rsidRPr="007D12A6" w:rsidRDefault="00111CC0" w:rsidP="00111CC0">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11 949</w:t>
            </w:r>
          </w:p>
        </w:tc>
        <w:tc>
          <w:tcPr>
            <w:tcW w:w="557" w:type="pct"/>
            <w:tcBorders>
              <w:top w:val="nil"/>
              <w:left w:val="nil"/>
              <w:bottom w:val="nil"/>
              <w:right w:val="nil"/>
            </w:tcBorders>
            <w:shd w:val="clear" w:color="000000" w:fill="FFFFFF"/>
            <w:noWrap/>
            <w:vAlign w:val="center"/>
            <w:hideMark/>
          </w:tcPr>
          <w:p w14:paraId="4DA50498" w14:textId="77777777" w:rsidR="00111CC0" w:rsidRPr="007D12A6" w:rsidRDefault="00111CC0" w:rsidP="00111CC0">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12 300</w:t>
            </w:r>
          </w:p>
        </w:tc>
        <w:tc>
          <w:tcPr>
            <w:tcW w:w="470" w:type="pct"/>
            <w:tcBorders>
              <w:top w:val="nil"/>
              <w:left w:val="nil"/>
              <w:bottom w:val="nil"/>
              <w:right w:val="nil"/>
            </w:tcBorders>
            <w:shd w:val="clear" w:color="000000" w:fill="FFFFFF"/>
            <w:noWrap/>
            <w:vAlign w:val="center"/>
            <w:hideMark/>
          </w:tcPr>
          <w:p w14:paraId="4EAE18CE" w14:textId="77777777" w:rsidR="00111CC0" w:rsidRPr="007D12A6" w:rsidRDefault="00111CC0" w:rsidP="00111CC0">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10 756</w:t>
            </w:r>
          </w:p>
        </w:tc>
        <w:tc>
          <w:tcPr>
            <w:tcW w:w="665" w:type="pct"/>
            <w:tcBorders>
              <w:top w:val="nil"/>
              <w:left w:val="nil"/>
              <w:bottom w:val="nil"/>
              <w:right w:val="nil"/>
            </w:tcBorders>
            <w:shd w:val="clear" w:color="000000" w:fill="FFFFFF"/>
            <w:noWrap/>
            <w:vAlign w:val="center"/>
            <w:hideMark/>
          </w:tcPr>
          <w:p w14:paraId="07FA6BA9" w14:textId="77777777" w:rsidR="00111CC0" w:rsidRPr="007D12A6" w:rsidRDefault="00111CC0" w:rsidP="00111CC0">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4 636</w:t>
            </w:r>
          </w:p>
        </w:tc>
        <w:tc>
          <w:tcPr>
            <w:tcW w:w="557" w:type="pct"/>
            <w:tcBorders>
              <w:top w:val="nil"/>
              <w:left w:val="nil"/>
              <w:bottom w:val="nil"/>
              <w:right w:val="nil"/>
            </w:tcBorders>
            <w:shd w:val="clear" w:color="000000" w:fill="FFFFFF"/>
            <w:noWrap/>
            <w:vAlign w:val="center"/>
            <w:hideMark/>
          </w:tcPr>
          <w:p w14:paraId="2D00D730" w14:textId="77777777" w:rsidR="00111CC0" w:rsidRPr="007D12A6" w:rsidRDefault="00111CC0" w:rsidP="00111CC0">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-6 120</w:t>
            </w:r>
          </w:p>
        </w:tc>
        <w:tc>
          <w:tcPr>
            <w:tcW w:w="440" w:type="pct"/>
            <w:tcBorders>
              <w:top w:val="nil"/>
              <w:left w:val="nil"/>
              <w:bottom w:val="nil"/>
              <w:right w:val="nil"/>
            </w:tcBorders>
            <w:shd w:val="clear" w:color="000000" w:fill="FFFFFF"/>
            <w:noWrap/>
            <w:vAlign w:val="center"/>
            <w:hideMark/>
          </w:tcPr>
          <w:p w14:paraId="144C0709" w14:textId="77777777" w:rsidR="00111CC0" w:rsidRPr="007D12A6" w:rsidRDefault="00111CC0" w:rsidP="00111CC0">
            <w:pPr>
              <w:spacing w:after="0" w:line="240" w:lineRule="auto"/>
              <w:jc w:val="right"/>
              <w:rPr>
                <w:rFonts w:eastAsia="Times New Roman" w:cs="Times New Roman"/>
                <w:color w:val="000000"/>
                <w:sz w:val="18"/>
                <w:szCs w:val="18"/>
                <w:lang w:eastAsia="sk-SK"/>
              </w:rPr>
            </w:pPr>
            <w:r w:rsidRPr="007D12A6">
              <w:rPr>
                <w:rFonts w:eastAsia="Times New Roman" w:cs="Times New Roman"/>
                <w:color w:val="000000"/>
                <w:sz w:val="18"/>
                <w:szCs w:val="18"/>
                <w:lang w:eastAsia="sk-SK"/>
              </w:rPr>
              <w:t>-56,9</w:t>
            </w:r>
          </w:p>
        </w:tc>
      </w:tr>
      <w:tr w:rsidR="00111CC0" w:rsidRPr="007D12A6" w14:paraId="0E4C2691" w14:textId="77777777" w:rsidTr="00CF37CE">
        <w:trPr>
          <w:trHeight w:val="330"/>
        </w:trPr>
        <w:tc>
          <w:tcPr>
            <w:tcW w:w="1756" w:type="pct"/>
            <w:tcBorders>
              <w:top w:val="nil"/>
              <w:left w:val="nil"/>
              <w:bottom w:val="nil"/>
              <w:right w:val="nil"/>
            </w:tcBorders>
            <w:shd w:val="clear" w:color="000000" w:fill="FFFFFF"/>
            <w:vAlign w:val="center"/>
            <w:hideMark/>
          </w:tcPr>
          <w:p w14:paraId="4F278936" w14:textId="77777777" w:rsidR="00111CC0" w:rsidRPr="007D12A6" w:rsidRDefault="00111CC0" w:rsidP="00111CC0">
            <w:pPr>
              <w:spacing w:after="0" w:line="240" w:lineRule="auto"/>
              <w:jc w:val="lef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Štrukturálne operácie - MPSVR SR</w:t>
            </w:r>
          </w:p>
        </w:tc>
        <w:tc>
          <w:tcPr>
            <w:tcW w:w="556" w:type="pct"/>
            <w:tcBorders>
              <w:top w:val="nil"/>
              <w:left w:val="nil"/>
              <w:bottom w:val="nil"/>
              <w:right w:val="nil"/>
            </w:tcBorders>
            <w:shd w:val="clear" w:color="000000" w:fill="FFFFFF"/>
            <w:noWrap/>
            <w:vAlign w:val="center"/>
            <w:hideMark/>
          </w:tcPr>
          <w:p w14:paraId="3AC7CE6F" w14:textId="77777777" w:rsidR="00111CC0" w:rsidRPr="007D12A6" w:rsidRDefault="00111CC0" w:rsidP="00111CC0">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11 949</w:t>
            </w:r>
          </w:p>
        </w:tc>
        <w:tc>
          <w:tcPr>
            <w:tcW w:w="557" w:type="pct"/>
            <w:tcBorders>
              <w:top w:val="nil"/>
              <w:left w:val="nil"/>
              <w:bottom w:val="nil"/>
              <w:right w:val="nil"/>
            </w:tcBorders>
            <w:shd w:val="clear" w:color="000000" w:fill="FFFFFF"/>
            <w:noWrap/>
            <w:vAlign w:val="center"/>
            <w:hideMark/>
          </w:tcPr>
          <w:p w14:paraId="1E474ECB" w14:textId="77777777" w:rsidR="00111CC0" w:rsidRPr="007D12A6" w:rsidRDefault="00111CC0" w:rsidP="00111CC0">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12 300</w:t>
            </w:r>
          </w:p>
        </w:tc>
        <w:tc>
          <w:tcPr>
            <w:tcW w:w="470" w:type="pct"/>
            <w:tcBorders>
              <w:top w:val="nil"/>
              <w:left w:val="nil"/>
              <w:bottom w:val="nil"/>
              <w:right w:val="nil"/>
            </w:tcBorders>
            <w:shd w:val="clear" w:color="000000" w:fill="FFFFFF"/>
            <w:noWrap/>
            <w:vAlign w:val="center"/>
            <w:hideMark/>
          </w:tcPr>
          <w:p w14:paraId="30A68CC0" w14:textId="77777777" w:rsidR="00111CC0" w:rsidRPr="007D12A6" w:rsidRDefault="00111CC0" w:rsidP="00111CC0">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10 756</w:t>
            </w:r>
          </w:p>
        </w:tc>
        <w:tc>
          <w:tcPr>
            <w:tcW w:w="665" w:type="pct"/>
            <w:tcBorders>
              <w:top w:val="nil"/>
              <w:left w:val="nil"/>
              <w:bottom w:val="nil"/>
              <w:right w:val="nil"/>
            </w:tcBorders>
            <w:shd w:val="clear" w:color="auto" w:fill="auto"/>
            <w:noWrap/>
            <w:vAlign w:val="center"/>
            <w:hideMark/>
          </w:tcPr>
          <w:p w14:paraId="007274C6" w14:textId="77777777" w:rsidR="00111CC0" w:rsidRPr="007D12A6" w:rsidRDefault="00111CC0" w:rsidP="00111CC0">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4 636</w:t>
            </w:r>
          </w:p>
        </w:tc>
        <w:tc>
          <w:tcPr>
            <w:tcW w:w="557" w:type="pct"/>
            <w:tcBorders>
              <w:top w:val="nil"/>
              <w:left w:val="nil"/>
              <w:bottom w:val="nil"/>
              <w:right w:val="nil"/>
            </w:tcBorders>
            <w:shd w:val="clear" w:color="000000" w:fill="FFFFFF"/>
            <w:noWrap/>
            <w:vAlign w:val="center"/>
            <w:hideMark/>
          </w:tcPr>
          <w:p w14:paraId="41F68D4C" w14:textId="77777777" w:rsidR="00111CC0" w:rsidRPr="007D12A6" w:rsidRDefault="00111CC0" w:rsidP="00111CC0">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-6 120</w:t>
            </w:r>
          </w:p>
        </w:tc>
        <w:tc>
          <w:tcPr>
            <w:tcW w:w="440" w:type="pct"/>
            <w:tcBorders>
              <w:top w:val="nil"/>
              <w:left w:val="nil"/>
              <w:bottom w:val="nil"/>
              <w:right w:val="nil"/>
            </w:tcBorders>
            <w:shd w:val="clear" w:color="000000" w:fill="FFFFFF"/>
            <w:noWrap/>
            <w:vAlign w:val="center"/>
            <w:hideMark/>
          </w:tcPr>
          <w:p w14:paraId="2A976D63" w14:textId="77777777" w:rsidR="00111CC0" w:rsidRPr="007D12A6" w:rsidRDefault="00111CC0" w:rsidP="00111CC0">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-56,9</w:t>
            </w:r>
          </w:p>
        </w:tc>
      </w:tr>
      <w:tr w:rsidR="00111CC0" w:rsidRPr="007D12A6" w14:paraId="02192EAC" w14:textId="77777777" w:rsidTr="00CF37CE">
        <w:trPr>
          <w:trHeight w:val="345"/>
        </w:trPr>
        <w:tc>
          <w:tcPr>
            <w:tcW w:w="1756" w:type="pct"/>
            <w:tcBorders>
              <w:top w:val="single" w:sz="4" w:space="0" w:color="auto"/>
              <w:left w:val="nil"/>
              <w:bottom w:val="single" w:sz="8" w:space="0" w:color="auto"/>
              <w:right w:val="nil"/>
            </w:tcBorders>
            <w:shd w:val="clear" w:color="000000" w:fill="FFFFFF"/>
            <w:vAlign w:val="center"/>
            <w:hideMark/>
          </w:tcPr>
          <w:p w14:paraId="1A70339D" w14:textId="77777777" w:rsidR="00111CC0" w:rsidRPr="007D12A6" w:rsidRDefault="00111CC0" w:rsidP="00111CC0">
            <w:pPr>
              <w:spacing w:after="0" w:line="240" w:lineRule="auto"/>
              <w:jc w:val="lef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Spolu výdavky za prostriedky EÚ</w:t>
            </w:r>
          </w:p>
        </w:tc>
        <w:tc>
          <w:tcPr>
            <w:tcW w:w="556" w:type="pct"/>
            <w:tcBorders>
              <w:top w:val="single" w:sz="4" w:space="0" w:color="auto"/>
              <w:left w:val="nil"/>
              <w:bottom w:val="single" w:sz="8" w:space="0" w:color="auto"/>
              <w:right w:val="nil"/>
            </w:tcBorders>
            <w:shd w:val="clear" w:color="000000" w:fill="FFFFFF"/>
            <w:noWrap/>
            <w:vAlign w:val="center"/>
            <w:hideMark/>
          </w:tcPr>
          <w:p w14:paraId="5D78C495" w14:textId="77777777" w:rsidR="00111CC0" w:rsidRPr="007D12A6" w:rsidRDefault="00111CC0" w:rsidP="00111CC0">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2 081 232</w:t>
            </w:r>
          </w:p>
        </w:tc>
        <w:tc>
          <w:tcPr>
            <w:tcW w:w="557" w:type="pct"/>
            <w:tcBorders>
              <w:top w:val="single" w:sz="4" w:space="0" w:color="auto"/>
              <w:left w:val="nil"/>
              <w:bottom w:val="single" w:sz="8" w:space="0" w:color="auto"/>
              <w:right w:val="nil"/>
            </w:tcBorders>
            <w:shd w:val="clear" w:color="000000" w:fill="FFFFFF"/>
            <w:noWrap/>
            <w:vAlign w:val="center"/>
            <w:hideMark/>
          </w:tcPr>
          <w:p w14:paraId="7D1A6AF5" w14:textId="77777777" w:rsidR="00111CC0" w:rsidRPr="007D12A6" w:rsidRDefault="00111CC0" w:rsidP="00111CC0">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2 092 381</w:t>
            </w:r>
          </w:p>
        </w:tc>
        <w:tc>
          <w:tcPr>
            <w:tcW w:w="470" w:type="pct"/>
            <w:tcBorders>
              <w:top w:val="single" w:sz="4" w:space="0" w:color="auto"/>
              <w:left w:val="nil"/>
              <w:bottom w:val="single" w:sz="8" w:space="0" w:color="auto"/>
              <w:right w:val="nil"/>
            </w:tcBorders>
            <w:shd w:val="clear" w:color="auto" w:fill="auto"/>
            <w:noWrap/>
            <w:vAlign w:val="center"/>
            <w:hideMark/>
          </w:tcPr>
          <w:p w14:paraId="7986293E" w14:textId="77777777" w:rsidR="00111CC0" w:rsidRPr="007D12A6" w:rsidRDefault="00111CC0" w:rsidP="00111CC0">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1 677 689</w:t>
            </w:r>
          </w:p>
        </w:tc>
        <w:tc>
          <w:tcPr>
            <w:tcW w:w="665" w:type="pct"/>
            <w:tcBorders>
              <w:top w:val="single" w:sz="4" w:space="0" w:color="auto"/>
              <w:left w:val="nil"/>
              <w:bottom w:val="single" w:sz="8" w:space="0" w:color="auto"/>
              <w:right w:val="nil"/>
            </w:tcBorders>
            <w:shd w:val="clear" w:color="000000" w:fill="FFFFFF"/>
            <w:noWrap/>
            <w:vAlign w:val="center"/>
            <w:hideMark/>
          </w:tcPr>
          <w:p w14:paraId="2AE933A0" w14:textId="77777777" w:rsidR="00111CC0" w:rsidRPr="007D12A6" w:rsidRDefault="00111CC0" w:rsidP="00111CC0">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2 326 905</w:t>
            </w:r>
          </w:p>
        </w:tc>
        <w:tc>
          <w:tcPr>
            <w:tcW w:w="557" w:type="pct"/>
            <w:tcBorders>
              <w:top w:val="single" w:sz="4" w:space="0" w:color="auto"/>
              <w:left w:val="nil"/>
              <w:bottom w:val="single" w:sz="8" w:space="0" w:color="auto"/>
              <w:right w:val="nil"/>
            </w:tcBorders>
            <w:shd w:val="clear" w:color="000000" w:fill="FFFFFF"/>
            <w:noWrap/>
            <w:vAlign w:val="center"/>
            <w:hideMark/>
          </w:tcPr>
          <w:p w14:paraId="4F6E3D97" w14:textId="77777777" w:rsidR="00111CC0" w:rsidRPr="007D12A6" w:rsidRDefault="00111CC0" w:rsidP="00111CC0">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649 216</w:t>
            </w:r>
          </w:p>
        </w:tc>
        <w:tc>
          <w:tcPr>
            <w:tcW w:w="440" w:type="pct"/>
            <w:tcBorders>
              <w:top w:val="single" w:sz="4" w:space="0" w:color="auto"/>
              <w:left w:val="nil"/>
              <w:bottom w:val="single" w:sz="8" w:space="0" w:color="auto"/>
              <w:right w:val="nil"/>
            </w:tcBorders>
            <w:shd w:val="clear" w:color="000000" w:fill="FFFFFF"/>
            <w:noWrap/>
            <w:vAlign w:val="center"/>
            <w:hideMark/>
          </w:tcPr>
          <w:p w14:paraId="533DBA19" w14:textId="77777777" w:rsidR="00111CC0" w:rsidRPr="007D12A6" w:rsidRDefault="00111CC0" w:rsidP="00111CC0">
            <w:pPr>
              <w:spacing w:after="0" w:line="240" w:lineRule="auto"/>
              <w:jc w:val="right"/>
              <w:rPr>
                <w:rFonts w:eastAsia="Times New Roman" w:cs="Times New Roman"/>
                <w:b/>
                <w:bCs/>
                <w:color w:val="000000"/>
                <w:sz w:val="18"/>
                <w:szCs w:val="18"/>
                <w:lang w:eastAsia="sk-SK"/>
              </w:rPr>
            </w:pPr>
            <w:r w:rsidRPr="007D12A6">
              <w:rPr>
                <w:rFonts w:eastAsia="Times New Roman" w:cs="Times New Roman"/>
                <w:b/>
                <w:bCs/>
                <w:color w:val="000000"/>
                <w:sz w:val="18"/>
                <w:szCs w:val="18"/>
                <w:lang w:eastAsia="sk-SK"/>
              </w:rPr>
              <w:t>38,7</w:t>
            </w:r>
          </w:p>
        </w:tc>
      </w:tr>
    </w:tbl>
    <w:p w14:paraId="78A7AB55" w14:textId="77777777" w:rsidR="00111CC0" w:rsidRPr="00111CC0" w:rsidRDefault="00111CC0" w:rsidP="00111CC0">
      <w:pPr>
        <w:jc w:val="right"/>
        <w:rPr>
          <w:rFonts w:eastAsia="Times New Roman" w:cs="Times New Roman"/>
          <w:b/>
          <w:lang w:eastAsia="sk-SK"/>
        </w:rPr>
      </w:pPr>
      <w:r w:rsidRPr="00111CC0">
        <w:rPr>
          <w:rFonts w:eastAsia="Times New Roman" w:cs="Times New Roman"/>
          <w:sz w:val="18"/>
          <w:szCs w:val="18"/>
          <w:lang w:eastAsia="sk-SK"/>
        </w:rPr>
        <w:t>Zdroj: MF SR</w:t>
      </w:r>
      <w:r w:rsidRPr="00111CC0">
        <w:rPr>
          <w:rFonts w:eastAsia="Times New Roman" w:cs="Times New Roman"/>
          <w:b/>
          <w:lang w:eastAsia="sk-SK"/>
        </w:rPr>
        <w:t xml:space="preserve"> </w:t>
      </w:r>
    </w:p>
    <w:p w14:paraId="7D4116A1" w14:textId="77777777" w:rsidR="007D5989" w:rsidRDefault="007D5989" w:rsidP="008D4C2B">
      <w:pPr>
        <w:tabs>
          <w:tab w:val="left" w:pos="284"/>
        </w:tabs>
        <w:spacing w:line="240" w:lineRule="auto"/>
        <w:rPr>
          <w:rFonts w:eastAsia="Times New Roman" w:cs="Times New Roman"/>
          <w:b/>
          <w:sz w:val="24"/>
          <w:szCs w:val="24"/>
          <w:lang w:eastAsia="sk-SK"/>
        </w:rPr>
      </w:pPr>
    </w:p>
    <w:p w14:paraId="5364C142" w14:textId="77777777" w:rsidR="00111CC0" w:rsidRPr="00D715AF" w:rsidRDefault="00111CC0" w:rsidP="008D4C2B">
      <w:pPr>
        <w:tabs>
          <w:tab w:val="left" w:pos="284"/>
        </w:tabs>
        <w:spacing w:line="240" w:lineRule="auto"/>
        <w:rPr>
          <w:rFonts w:eastAsia="Times New Roman" w:cs="Times New Roman"/>
          <w:b/>
          <w:sz w:val="24"/>
          <w:szCs w:val="24"/>
          <w:lang w:eastAsia="sk-SK"/>
        </w:rPr>
      </w:pPr>
      <w:r w:rsidRPr="00D715AF">
        <w:rPr>
          <w:rFonts w:eastAsia="Times New Roman" w:cs="Times New Roman"/>
          <w:b/>
          <w:sz w:val="24"/>
          <w:szCs w:val="24"/>
          <w:lang w:eastAsia="sk-SK"/>
        </w:rPr>
        <w:t xml:space="preserve">Výdavky na spolufinancovanie zo ŠR </w:t>
      </w:r>
    </w:p>
    <w:p w14:paraId="5B56D1AC" w14:textId="19F5694E" w:rsidR="00111CC0" w:rsidRPr="00D715AF" w:rsidRDefault="00111CC0" w:rsidP="008D4C2B">
      <w:pPr>
        <w:spacing w:line="240" w:lineRule="auto"/>
        <w:rPr>
          <w:rFonts w:eastAsia="Times New Roman" w:cs="Times New Roman"/>
          <w:sz w:val="24"/>
          <w:szCs w:val="24"/>
          <w:lang w:eastAsia="sk-SK"/>
        </w:rPr>
      </w:pPr>
      <w:r w:rsidRPr="00D715AF">
        <w:rPr>
          <w:rFonts w:eastAsia="Times New Roman" w:cs="Times New Roman"/>
          <w:sz w:val="24"/>
          <w:szCs w:val="24"/>
          <w:lang w:eastAsia="sk-SK"/>
        </w:rPr>
        <w:t>Boli rozpočtované vo výške 271 634 tis. eur, z toho prostriedky na spolufinancovanie zo ŠR k prostriedkom EÚ vo výške 262 832 tis. eur, prostriedky na spolufinancovanie k zahraničným grantom a prostriedkom poskytnutým na základe medzinárodných zmlúv vo výške 8 452 tis. eur a prostriedky na spolufinancovanie vnútorných politík v sume 350 tis. eur. Skutočné plnenie výdavkov na spolufinancovanie zo ŠR je vo výške 387 187 tis. eur, z toho prostriedky na spolufinancovanie zo ŠR k prostriedkom EÚ vo výške 378 051 tis. eur, prostriedky na spolufinancovanie k zahraničným grantom a prostriedkom poskytnutým na základe medzinárodných zmlúv vo výške 7 594 tis. eur a prostriedky na spolufinancovanie vnútorných politík v sume 1 542 tis. eur.</w:t>
      </w:r>
    </w:p>
    <w:p w14:paraId="2CB6A560" w14:textId="77777777" w:rsidR="00111CC0" w:rsidRPr="00D715AF" w:rsidRDefault="00111CC0" w:rsidP="008D4C2B">
      <w:pPr>
        <w:numPr>
          <w:ilvl w:val="0"/>
          <w:numId w:val="5"/>
        </w:numPr>
        <w:tabs>
          <w:tab w:val="left" w:pos="284"/>
        </w:tabs>
        <w:spacing w:line="240" w:lineRule="auto"/>
        <w:ind w:left="0" w:firstLine="0"/>
        <w:jc w:val="left"/>
        <w:rPr>
          <w:rFonts w:eastAsia="Times New Roman" w:cs="Times New Roman"/>
          <w:b/>
          <w:sz w:val="24"/>
          <w:szCs w:val="24"/>
          <w:lang w:eastAsia="sk-SK"/>
        </w:rPr>
      </w:pPr>
      <w:r w:rsidRPr="00D715AF">
        <w:rPr>
          <w:rFonts w:eastAsia="Times New Roman" w:cs="Times New Roman"/>
          <w:b/>
          <w:sz w:val="24"/>
          <w:szCs w:val="24"/>
          <w:lang w:eastAsia="sk-SK"/>
        </w:rPr>
        <w:t>Spolufinancovanie zo štátneho rozpočtu k prostriedkom EÚ</w:t>
      </w:r>
    </w:p>
    <w:p w14:paraId="75F3314F" w14:textId="11AFC37C" w:rsidR="00111CC0" w:rsidRPr="00D715AF" w:rsidRDefault="00111CC0" w:rsidP="008D4C2B">
      <w:pPr>
        <w:spacing w:line="240" w:lineRule="auto"/>
        <w:rPr>
          <w:rFonts w:eastAsia="Times New Roman" w:cs="Times New Roman"/>
          <w:sz w:val="24"/>
          <w:szCs w:val="24"/>
          <w:lang w:eastAsia="sk-SK"/>
        </w:rPr>
      </w:pPr>
      <w:r w:rsidRPr="00D715AF">
        <w:rPr>
          <w:rFonts w:eastAsia="Times New Roman" w:cs="Times New Roman"/>
          <w:sz w:val="24"/>
          <w:szCs w:val="24"/>
          <w:lang w:eastAsia="sk-SK"/>
        </w:rPr>
        <w:t xml:space="preserve">Z rovnakého dôvodu ako pri úprave výdavkov z prostriedkov EÚ došlo k úprave rozpočtu na spolufinancovanie zo štátneho rozpočtu. Zároveň z dôvodu rýchlejšej implementácie projektov v rámci OP Technická pomoc 2014 - 2020 bol navýšený rozpočet Úradu vlády SR </w:t>
      </w:r>
      <w:r w:rsidR="00996C44" w:rsidRPr="00D715AF">
        <w:rPr>
          <w:rFonts w:eastAsia="Times New Roman" w:cs="Times New Roman"/>
          <w:sz w:val="24"/>
          <w:szCs w:val="24"/>
          <w:lang w:eastAsia="sk-SK"/>
        </w:rPr>
        <w:t>v sume 2 018 </w:t>
      </w:r>
      <w:r w:rsidRPr="00D715AF">
        <w:rPr>
          <w:rFonts w:eastAsia="Times New Roman" w:cs="Times New Roman"/>
          <w:sz w:val="24"/>
          <w:szCs w:val="24"/>
          <w:lang w:eastAsia="sk-SK"/>
        </w:rPr>
        <w:t xml:space="preserve">tis. eur z kapitoly VPS – Rezerva na prostriedky EÚ a odvody EÚ – rýchlejšia realizácia a väčší počet projektov a ďalšie výdavky súvisiace s financovaním spoločných programov. </w:t>
      </w:r>
    </w:p>
    <w:p w14:paraId="0DB790F3" w14:textId="77777777" w:rsidR="00111CC0" w:rsidRPr="00D715AF" w:rsidRDefault="00111CC0" w:rsidP="008D4C2B">
      <w:pPr>
        <w:spacing w:line="240" w:lineRule="auto"/>
        <w:rPr>
          <w:rFonts w:eastAsia="Times New Roman" w:cs="Times New Roman"/>
          <w:sz w:val="24"/>
          <w:szCs w:val="24"/>
          <w:lang w:eastAsia="sk-SK"/>
        </w:rPr>
      </w:pPr>
      <w:r w:rsidRPr="00D715AF">
        <w:rPr>
          <w:rFonts w:eastAsia="Times New Roman" w:cs="Times New Roman"/>
          <w:sz w:val="24"/>
          <w:szCs w:val="24"/>
          <w:lang w:eastAsia="sk-SK"/>
        </w:rPr>
        <w:t>Čerpanie výdavkov na spolufinancovanie zo ŠR k prostriedkom EÚ v roku 2020 za štrukturálne operácie je mierne nižšie ako upravený rozpočet a predstavuje sumu 303 596 tis. eur. Nižšie čerpanie oproti upravenému rozpočtu sa prejavilo v kapitole Ministerstva investícií, regionálneho rozvoja a informatizácie SR, Kancelárie najvyššieho súdu SR, Ministerstva obrany SR a Slovenskej akadémie vied z rovnakého dôvodu, ako pri výdavkoch EÚ.</w:t>
      </w:r>
    </w:p>
    <w:p w14:paraId="469D2200" w14:textId="1749C396" w:rsidR="007D5989" w:rsidRDefault="00111CC0" w:rsidP="008D4C2B">
      <w:pPr>
        <w:spacing w:line="240" w:lineRule="auto"/>
        <w:rPr>
          <w:rFonts w:eastAsia="Times New Roman" w:cs="Times New Roman"/>
          <w:sz w:val="24"/>
          <w:szCs w:val="24"/>
          <w:lang w:eastAsia="sk-SK"/>
        </w:rPr>
      </w:pPr>
      <w:r w:rsidRPr="00D715AF">
        <w:rPr>
          <w:rFonts w:eastAsia="Times New Roman" w:cs="Times New Roman"/>
          <w:sz w:val="24"/>
          <w:szCs w:val="24"/>
          <w:lang w:eastAsia="sk-SK"/>
        </w:rPr>
        <w:t>Skutočné plnenie výdavkov na spolufinancovanie zo ŠR vo výške 378 051 tis. eur predstavuje plnenie na úrovni 100 % z upraveného rozpočtu. Výdavky za štrukturálne operácie, pri ktorých plní úlohu certifikačného orgánu Ministerstvo financií SR, sú vo výške 302 778 tis. eur (z toho štrukturálne fondy 3. programového obdobia v sume 252</w:t>
      </w:r>
      <w:r w:rsidR="00AF5C05">
        <w:rPr>
          <w:rFonts w:eastAsia="Times New Roman" w:cs="Times New Roman"/>
          <w:sz w:val="24"/>
          <w:szCs w:val="24"/>
          <w:lang w:eastAsia="sk-SK"/>
        </w:rPr>
        <w:t xml:space="preserve"> 273 tis. eur a Kohézny fond 3. </w:t>
      </w:r>
      <w:r w:rsidRPr="00D715AF">
        <w:rPr>
          <w:rFonts w:eastAsia="Times New Roman" w:cs="Times New Roman"/>
          <w:sz w:val="24"/>
          <w:szCs w:val="24"/>
          <w:lang w:eastAsia="sk-SK"/>
        </w:rPr>
        <w:t>programového o</w:t>
      </w:r>
      <w:r w:rsidR="007D5989">
        <w:rPr>
          <w:rFonts w:eastAsia="Times New Roman" w:cs="Times New Roman"/>
          <w:sz w:val="24"/>
          <w:szCs w:val="24"/>
          <w:lang w:eastAsia="sk-SK"/>
        </w:rPr>
        <w:t>bdobia v sume 50 505 tis. eur).</w:t>
      </w:r>
    </w:p>
    <w:p w14:paraId="56406775" w14:textId="152E351E" w:rsidR="00111CC0" w:rsidRPr="00D715AF" w:rsidRDefault="00111CC0" w:rsidP="008D4C2B">
      <w:pPr>
        <w:spacing w:line="240" w:lineRule="auto"/>
        <w:rPr>
          <w:rFonts w:eastAsia="Times New Roman" w:cs="Times New Roman"/>
          <w:sz w:val="24"/>
          <w:szCs w:val="24"/>
          <w:lang w:eastAsia="sk-SK"/>
        </w:rPr>
      </w:pPr>
      <w:r w:rsidRPr="00D715AF">
        <w:rPr>
          <w:rFonts w:eastAsia="Times New Roman" w:cs="Times New Roman"/>
          <w:sz w:val="24"/>
          <w:szCs w:val="24"/>
          <w:lang w:eastAsia="sk-SK"/>
        </w:rPr>
        <w:t>Výdavky za štrukturálne operácie, pri ktorých plní úlohu certifikačného orgánu Ministerstvo práce, sociálnych vecí a rodiny SR, sú v sume 818 tis. eur. Výdavky za poľnohospodárske fondy boli vo výške 74 455 tis. eur (z toho za Európsky poľnohospodársky fond rozvoja vidieka v sume 67 814 tis. eur a za Európsky poľnohospodársky záručný fond v sume 6 641 tis. eur).</w:t>
      </w:r>
    </w:p>
    <w:tbl>
      <w:tblPr>
        <w:tblW w:w="5072" w:type="pct"/>
        <w:tblLayout w:type="fixed"/>
        <w:tblCellMar>
          <w:left w:w="70" w:type="dxa"/>
          <w:right w:w="70" w:type="dxa"/>
        </w:tblCellMar>
        <w:tblLook w:val="04A0" w:firstRow="1" w:lastRow="0" w:firstColumn="1" w:lastColumn="0" w:noHBand="0" w:noVBand="1"/>
      </w:tblPr>
      <w:tblGrid>
        <w:gridCol w:w="3588"/>
        <w:gridCol w:w="861"/>
        <w:gridCol w:w="940"/>
        <w:gridCol w:w="923"/>
        <w:gridCol w:w="1146"/>
        <w:gridCol w:w="968"/>
        <w:gridCol w:w="751"/>
        <w:gridCol w:w="170"/>
      </w:tblGrid>
      <w:tr w:rsidR="00111CC0" w:rsidRPr="00C0771E" w14:paraId="071DFB4A" w14:textId="77777777" w:rsidTr="00C0771E">
        <w:trPr>
          <w:trHeight w:val="295"/>
        </w:trPr>
        <w:tc>
          <w:tcPr>
            <w:tcW w:w="2882" w:type="pct"/>
            <w:gridSpan w:val="3"/>
            <w:tcBorders>
              <w:top w:val="nil"/>
              <w:left w:val="nil"/>
              <w:bottom w:val="nil"/>
              <w:right w:val="nil"/>
            </w:tcBorders>
            <w:shd w:val="clear" w:color="000000" w:fill="000000"/>
            <w:noWrap/>
            <w:vAlign w:val="center"/>
            <w:hideMark/>
          </w:tcPr>
          <w:p w14:paraId="42E9C0FE" w14:textId="77777777" w:rsidR="00111CC0" w:rsidRPr="00C0771E" w:rsidRDefault="00111CC0" w:rsidP="00111CC0">
            <w:pPr>
              <w:spacing w:after="0" w:line="240" w:lineRule="auto"/>
              <w:jc w:val="left"/>
              <w:rPr>
                <w:rFonts w:eastAsia="Times New Roman" w:cs="Times New Roman"/>
                <w:b/>
                <w:bCs/>
                <w:color w:val="FFFFFF"/>
                <w:sz w:val="18"/>
                <w:szCs w:val="18"/>
                <w:lang w:eastAsia="sk-SK"/>
              </w:rPr>
            </w:pPr>
            <w:r w:rsidRPr="00C0771E">
              <w:rPr>
                <w:rFonts w:eastAsia="Times New Roman" w:cs="Times New Roman"/>
                <w:b/>
                <w:bCs/>
                <w:color w:val="FFFFFF"/>
                <w:sz w:val="18"/>
                <w:szCs w:val="18"/>
                <w:lang w:eastAsia="sk-SK"/>
              </w:rPr>
              <w:t xml:space="preserve">Výdavky spolufinancovania zo ŠR k prostriedkom EÚ </w:t>
            </w:r>
          </w:p>
        </w:tc>
        <w:tc>
          <w:tcPr>
            <w:tcW w:w="494" w:type="pct"/>
            <w:tcBorders>
              <w:top w:val="nil"/>
              <w:left w:val="nil"/>
              <w:bottom w:val="nil"/>
              <w:right w:val="nil"/>
            </w:tcBorders>
            <w:shd w:val="clear" w:color="000000" w:fill="000000"/>
            <w:noWrap/>
            <w:vAlign w:val="center"/>
            <w:hideMark/>
          </w:tcPr>
          <w:p w14:paraId="1C9D9EBA" w14:textId="77777777" w:rsidR="00111CC0" w:rsidRPr="00C0771E" w:rsidRDefault="00111CC0" w:rsidP="00111CC0">
            <w:pPr>
              <w:spacing w:after="0" w:line="240" w:lineRule="auto"/>
              <w:jc w:val="left"/>
              <w:rPr>
                <w:rFonts w:ascii="Arial Narrow" w:eastAsia="Times New Roman" w:hAnsi="Arial Narrow" w:cs="Times New Roman"/>
                <w:color w:val="000000"/>
                <w:sz w:val="18"/>
                <w:szCs w:val="18"/>
                <w:lang w:eastAsia="sk-SK"/>
              </w:rPr>
            </w:pPr>
            <w:r w:rsidRPr="00C0771E">
              <w:rPr>
                <w:rFonts w:ascii="Arial Narrow" w:eastAsia="Times New Roman" w:hAnsi="Arial Narrow" w:cs="Times New Roman"/>
                <w:color w:val="000000"/>
                <w:sz w:val="18"/>
                <w:szCs w:val="18"/>
                <w:lang w:eastAsia="sk-SK"/>
              </w:rPr>
              <w:t> </w:t>
            </w:r>
          </w:p>
        </w:tc>
        <w:tc>
          <w:tcPr>
            <w:tcW w:w="613" w:type="pct"/>
            <w:tcBorders>
              <w:top w:val="nil"/>
              <w:left w:val="nil"/>
              <w:bottom w:val="nil"/>
              <w:right w:val="nil"/>
            </w:tcBorders>
            <w:shd w:val="clear" w:color="000000" w:fill="000000"/>
            <w:noWrap/>
            <w:vAlign w:val="center"/>
            <w:hideMark/>
          </w:tcPr>
          <w:p w14:paraId="65DEFFDD" w14:textId="77777777" w:rsidR="00111CC0" w:rsidRPr="00C0771E" w:rsidRDefault="00111CC0" w:rsidP="00111CC0">
            <w:pPr>
              <w:spacing w:after="0" w:line="240" w:lineRule="auto"/>
              <w:jc w:val="left"/>
              <w:rPr>
                <w:rFonts w:ascii="Arial Narrow" w:eastAsia="Times New Roman" w:hAnsi="Arial Narrow" w:cs="Times New Roman"/>
                <w:color w:val="000000"/>
                <w:sz w:val="18"/>
                <w:szCs w:val="18"/>
                <w:lang w:eastAsia="sk-SK"/>
              </w:rPr>
            </w:pPr>
          </w:p>
        </w:tc>
        <w:tc>
          <w:tcPr>
            <w:tcW w:w="920" w:type="pct"/>
            <w:gridSpan w:val="2"/>
            <w:tcBorders>
              <w:top w:val="nil"/>
              <w:left w:val="nil"/>
              <w:bottom w:val="nil"/>
              <w:right w:val="nil"/>
            </w:tcBorders>
            <w:shd w:val="clear" w:color="000000" w:fill="000000"/>
            <w:noWrap/>
            <w:vAlign w:val="center"/>
            <w:hideMark/>
          </w:tcPr>
          <w:p w14:paraId="370AA743" w14:textId="77777777" w:rsidR="00111CC0" w:rsidRPr="00C0771E" w:rsidRDefault="00111CC0" w:rsidP="00111CC0">
            <w:pPr>
              <w:spacing w:after="0" w:line="240" w:lineRule="auto"/>
              <w:jc w:val="right"/>
              <w:rPr>
                <w:rFonts w:eastAsia="Times New Roman" w:cs="Times New Roman"/>
                <w:b/>
                <w:bCs/>
                <w:color w:val="FFFFFF"/>
                <w:sz w:val="18"/>
                <w:szCs w:val="18"/>
                <w:lang w:eastAsia="sk-SK"/>
              </w:rPr>
            </w:pPr>
            <w:r w:rsidRPr="00C0771E">
              <w:rPr>
                <w:rFonts w:eastAsia="Times New Roman" w:cs="Times New Roman"/>
                <w:b/>
                <w:bCs/>
                <w:color w:val="FFFFFF"/>
                <w:sz w:val="18"/>
                <w:szCs w:val="18"/>
                <w:lang w:eastAsia="sk-SK"/>
              </w:rPr>
              <w:t>v tis. eur</w:t>
            </w:r>
          </w:p>
        </w:tc>
        <w:tc>
          <w:tcPr>
            <w:tcW w:w="92" w:type="pct"/>
            <w:tcBorders>
              <w:top w:val="nil"/>
              <w:left w:val="nil"/>
              <w:bottom w:val="nil"/>
              <w:right w:val="nil"/>
            </w:tcBorders>
            <w:shd w:val="clear" w:color="auto" w:fill="auto"/>
            <w:noWrap/>
            <w:vAlign w:val="center"/>
            <w:hideMark/>
          </w:tcPr>
          <w:p w14:paraId="2EBF9759" w14:textId="77777777" w:rsidR="00111CC0" w:rsidRPr="00C0771E" w:rsidRDefault="00111CC0" w:rsidP="00111CC0">
            <w:pPr>
              <w:spacing w:after="0" w:line="240" w:lineRule="auto"/>
              <w:jc w:val="left"/>
              <w:rPr>
                <w:rFonts w:eastAsia="Times New Roman" w:cs="Times New Roman"/>
                <w:b/>
                <w:bCs/>
                <w:color w:val="FFFFFF"/>
                <w:sz w:val="18"/>
                <w:szCs w:val="18"/>
                <w:lang w:eastAsia="sk-SK"/>
              </w:rPr>
            </w:pPr>
          </w:p>
        </w:tc>
      </w:tr>
      <w:tr w:rsidR="00111CC0" w:rsidRPr="00C0771E" w14:paraId="4E06EE29" w14:textId="77777777" w:rsidTr="00C0771E">
        <w:trPr>
          <w:trHeight w:val="236"/>
        </w:trPr>
        <w:tc>
          <w:tcPr>
            <w:tcW w:w="1919" w:type="pct"/>
            <w:tcBorders>
              <w:top w:val="nil"/>
              <w:left w:val="nil"/>
              <w:bottom w:val="nil"/>
              <w:right w:val="nil"/>
            </w:tcBorders>
            <w:shd w:val="clear" w:color="000000" w:fill="BFBFBF"/>
            <w:vAlign w:val="center"/>
            <w:hideMark/>
          </w:tcPr>
          <w:p w14:paraId="243E0413" w14:textId="77777777" w:rsidR="00111CC0" w:rsidRPr="00C0771E" w:rsidRDefault="00111CC0" w:rsidP="00111CC0">
            <w:pPr>
              <w:spacing w:after="0" w:line="240" w:lineRule="auto"/>
              <w:jc w:val="left"/>
              <w:rPr>
                <w:rFonts w:eastAsia="Times New Roman" w:cs="Times New Roman"/>
                <w:b/>
                <w:bCs/>
                <w:color w:val="FFFFFF"/>
                <w:sz w:val="18"/>
                <w:szCs w:val="18"/>
                <w:lang w:eastAsia="sk-SK"/>
              </w:rPr>
            </w:pPr>
            <w:r w:rsidRPr="00C0771E">
              <w:rPr>
                <w:rFonts w:eastAsia="Times New Roman" w:cs="Times New Roman"/>
                <w:b/>
                <w:bCs/>
                <w:color w:val="FFFFFF"/>
                <w:sz w:val="18"/>
                <w:szCs w:val="18"/>
                <w:lang w:eastAsia="sk-SK"/>
              </w:rPr>
              <w:t> </w:t>
            </w:r>
          </w:p>
        </w:tc>
        <w:tc>
          <w:tcPr>
            <w:tcW w:w="962" w:type="pct"/>
            <w:gridSpan w:val="2"/>
            <w:tcBorders>
              <w:top w:val="nil"/>
              <w:left w:val="nil"/>
              <w:bottom w:val="nil"/>
              <w:right w:val="nil"/>
            </w:tcBorders>
            <w:shd w:val="clear" w:color="000000" w:fill="BFBFBF"/>
            <w:vAlign w:val="center"/>
            <w:hideMark/>
          </w:tcPr>
          <w:p w14:paraId="7A2F1D99" w14:textId="77777777" w:rsidR="00111CC0" w:rsidRPr="00C0771E" w:rsidRDefault="00111CC0" w:rsidP="00111CC0">
            <w:pPr>
              <w:spacing w:after="0" w:line="240" w:lineRule="auto"/>
              <w:jc w:val="center"/>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Skutočnosť </w:t>
            </w:r>
          </w:p>
        </w:tc>
        <w:tc>
          <w:tcPr>
            <w:tcW w:w="494" w:type="pct"/>
            <w:tcBorders>
              <w:top w:val="nil"/>
              <w:left w:val="nil"/>
              <w:bottom w:val="nil"/>
              <w:right w:val="nil"/>
            </w:tcBorders>
            <w:shd w:val="clear" w:color="000000" w:fill="BFBFBF"/>
            <w:vAlign w:val="center"/>
            <w:hideMark/>
          </w:tcPr>
          <w:p w14:paraId="7C8F6878" w14:textId="77777777" w:rsidR="00111CC0" w:rsidRPr="00C0771E" w:rsidRDefault="00111CC0" w:rsidP="00111CC0">
            <w:pPr>
              <w:spacing w:after="0" w:line="240" w:lineRule="auto"/>
              <w:jc w:val="center"/>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Rozpočet</w:t>
            </w:r>
          </w:p>
        </w:tc>
        <w:tc>
          <w:tcPr>
            <w:tcW w:w="613" w:type="pct"/>
            <w:tcBorders>
              <w:top w:val="nil"/>
              <w:left w:val="nil"/>
              <w:bottom w:val="nil"/>
              <w:right w:val="nil"/>
            </w:tcBorders>
            <w:shd w:val="clear" w:color="000000" w:fill="BFBFBF"/>
            <w:vAlign w:val="center"/>
            <w:hideMark/>
          </w:tcPr>
          <w:p w14:paraId="24A7C765" w14:textId="77777777" w:rsidR="00111CC0" w:rsidRPr="00C0771E" w:rsidRDefault="00111CC0" w:rsidP="00111CC0">
            <w:pPr>
              <w:spacing w:after="0" w:line="240" w:lineRule="auto"/>
              <w:jc w:val="center"/>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Skutočnosť</w:t>
            </w:r>
          </w:p>
        </w:tc>
        <w:tc>
          <w:tcPr>
            <w:tcW w:w="518" w:type="pct"/>
            <w:tcBorders>
              <w:top w:val="nil"/>
              <w:left w:val="nil"/>
              <w:bottom w:val="nil"/>
              <w:right w:val="nil"/>
            </w:tcBorders>
            <w:shd w:val="clear" w:color="000000" w:fill="BFBFBF"/>
            <w:vAlign w:val="center"/>
            <w:hideMark/>
          </w:tcPr>
          <w:p w14:paraId="539934A6" w14:textId="77777777" w:rsidR="00111CC0" w:rsidRPr="00C0771E" w:rsidRDefault="00111CC0" w:rsidP="00111CC0">
            <w:pPr>
              <w:spacing w:after="0" w:line="240" w:lineRule="auto"/>
              <w:jc w:val="center"/>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Rozdiel</w:t>
            </w:r>
          </w:p>
        </w:tc>
        <w:tc>
          <w:tcPr>
            <w:tcW w:w="402" w:type="pct"/>
            <w:tcBorders>
              <w:top w:val="nil"/>
              <w:left w:val="nil"/>
              <w:bottom w:val="nil"/>
              <w:right w:val="nil"/>
            </w:tcBorders>
            <w:shd w:val="clear" w:color="000000" w:fill="BFBFBF"/>
            <w:vAlign w:val="center"/>
            <w:hideMark/>
          </w:tcPr>
          <w:p w14:paraId="37859EAB" w14:textId="77777777" w:rsidR="00111CC0" w:rsidRPr="00C0771E" w:rsidRDefault="00111CC0" w:rsidP="00111CC0">
            <w:pPr>
              <w:spacing w:after="0" w:line="240" w:lineRule="auto"/>
              <w:jc w:val="center"/>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 </w:t>
            </w:r>
          </w:p>
        </w:tc>
        <w:tc>
          <w:tcPr>
            <w:tcW w:w="92" w:type="pct"/>
            <w:tcBorders>
              <w:top w:val="nil"/>
              <w:left w:val="nil"/>
              <w:bottom w:val="nil"/>
              <w:right w:val="nil"/>
            </w:tcBorders>
            <w:shd w:val="clear" w:color="auto" w:fill="auto"/>
            <w:noWrap/>
            <w:vAlign w:val="bottom"/>
            <w:hideMark/>
          </w:tcPr>
          <w:p w14:paraId="1C24E236" w14:textId="77777777" w:rsidR="00111CC0" w:rsidRPr="00C0771E" w:rsidRDefault="00111CC0" w:rsidP="00111CC0">
            <w:pPr>
              <w:spacing w:after="0" w:line="240" w:lineRule="auto"/>
              <w:jc w:val="center"/>
              <w:rPr>
                <w:rFonts w:eastAsia="Times New Roman" w:cs="Times New Roman"/>
                <w:b/>
                <w:bCs/>
                <w:color w:val="000000"/>
                <w:sz w:val="18"/>
                <w:szCs w:val="18"/>
                <w:lang w:eastAsia="sk-SK"/>
              </w:rPr>
            </w:pPr>
          </w:p>
        </w:tc>
      </w:tr>
      <w:tr w:rsidR="00111CC0" w:rsidRPr="00C0771E" w14:paraId="4A97973A" w14:textId="77777777" w:rsidTr="00C0771E">
        <w:trPr>
          <w:trHeight w:val="236"/>
        </w:trPr>
        <w:tc>
          <w:tcPr>
            <w:tcW w:w="1919" w:type="pct"/>
            <w:tcBorders>
              <w:top w:val="nil"/>
              <w:left w:val="nil"/>
              <w:bottom w:val="nil"/>
              <w:right w:val="nil"/>
            </w:tcBorders>
            <w:shd w:val="clear" w:color="000000" w:fill="BFBFBF"/>
            <w:vAlign w:val="center"/>
            <w:hideMark/>
          </w:tcPr>
          <w:p w14:paraId="7AEB6BBD" w14:textId="77777777" w:rsidR="00111CC0" w:rsidRPr="00C0771E" w:rsidRDefault="00111CC0" w:rsidP="00111CC0">
            <w:pPr>
              <w:spacing w:after="0" w:line="240" w:lineRule="auto"/>
              <w:jc w:val="center"/>
              <w:rPr>
                <w:rFonts w:eastAsia="Times New Roman" w:cs="Times New Roman"/>
                <w:b/>
                <w:bCs/>
                <w:sz w:val="18"/>
                <w:szCs w:val="18"/>
                <w:lang w:eastAsia="sk-SK"/>
              </w:rPr>
            </w:pPr>
            <w:r w:rsidRPr="00C0771E">
              <w:rPr>
                <w:rFonts w:eastAsia="Times New Roman" w:cs="Times New Roman"/>
                <w:b/>
                <w:bCs/>
                <w:sz w:val="18"/>
                <w:szCs w:val="18"/>
                <w:lang w:eastAsia="sk-SK"/>
              </w:rPr>
              <w:t> </w:t>
            </w:r>
          </w:p>
        </w:tc>
        <w:tc>
          <w:tcPr>
            <w:tcW w:w="460" w:type="pct"/>
            <w:tcBorders>
              <w:top w:val="nil"/>
              <w:left w:val="nil"/>
              <w:bottom w:val="nil"/>
              <w:right w:val="nil"/>
            </w:tcBorders>
            <w:shd w:val="clear" w:color="000000" w:fill="BFBFBF"/>
            <w:vAlign w:val="center"/>
            <w:hideMark/>
          </w:tcPr>
          <w:p w14:paraId="3491317D" w14:textId="77777777" w:rsidR="00111CC0" w:rsidRPr="00C0771E" w:rsidRDefault="00111CC0" w:rsidP="00111CC0">
            <w:pPr>
              <w:spacing w:after="0" w:line="240" w:lineRule="auto"/>
              <w:jc w:val="center"/>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2018</w:t>
            </w:r>
          </w:p>
        </w:tc>
        <w:tc>
          <w:tcPr>
            <w:tcW w:w="502" w:type="pct"/>
            <w:tcBorders>
              <w:top w:val="nil"/>
              <w:left w:val="nil"/>
              <w:bottom w:val="nil"/>
              <w:right w:val="nil"/>
            </w:tcBorders>
            <w:shd w:val="clear" w:color="000000" w:fill="BFBFBF"/>
            <w:vAlign w:val="center"/>
            <w:hideMark/>
          </w:tcPr>
          <w:p w14:paraId="41245DC1" w14:textId="77777777" w:rsidR="00111CC0" w:rsidRPr="00C0771E" w:rsidRDefault="00111CC0" w:rsidP="00111CC0">
            <w:pPr>
              <w:spacing w:after="0" w:line="240" w:lineRule="auto"/>
              <w:jc w:val="center"/>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2019</w:t>
            </w:r>
          </w:p>
        </w:tc>
        <w:tc>
          <w:tcPr>
            <w:tcW w:w="494" w:type="pct"/>
            <w:tcBorders>
              <w:top w:val="nil"/>
              <w:left w:val="nil"/>
              <w:bottom w:val="nil"/>
              <w:right w:val="nil"/>
            </w:tcBorders>
            <w:shd w:val="clear" w:color="000000" w:fill="BFBFBF"/>
            <w:vAlign w:val="center"/>
            <w:hideMark/>
          </w:tcPr>
          <w:p w14:paraId="2B2D8AAF" w14:textId="77777777" w:rsidR="00111CC0" w:rsidRPr="00C0771E" w:rsidRDefault="00111CC0" w:rsidP="00111CC0">
            <w:pPr>
              <w:spacing w:after="0" w:line="240" w:lineRule="auto"/>
              <w:jc w:val="center"/>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2020</w:t>
            </w:r>
          </w:p>
        </w:tc>
        <w:tc>
          <w:tcPr>
            <w:tcW w:w="613" w:type="pct"/>
            <w:tcBorders>
              <w:top w:val="nil"/>
              <w:left w:val="nil"/>
              <w:bottom w:val="nil"/>
              <w:right w:val="nil"/>
            </w:tcBorders>
            <w:shd w:val="clear" w:color="000000" w:fill="BFBFBF"/>
            <w:vAlign w:val="center"/>
            <w:hideMark/>
          </w:tcPr>
          <w:p w14:paraId="0D2E1FB0" w14:textId="77777777" w:rsidR="00111CC0" w:rsidRPr="00C0771E" w:rsidRDefault="00111CC0" w:rsidP="00111CC0">
            <w:pPr>
              <w:spacing w:after="0" w:line="240" w:lineRule="auto"/>
              <w:jc w:val="center"/>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2020</w:t>
            </w:r>
          </w:p>
        </w:tc>
        <w:tc>
          <w:tcPr>
            <w:tcW w:w="518" w:type="pct"/>
            <w:tcBorders>
              <w:top w:val="nil"/>
              <w:left w:val="nil"/>
              <w:bottom w:val="nil"/>
              <w:right w:val="nil"/>
            </w:tcBorders>
            <w:shd w:val="clear" w:color="000000" w:fill="BFBFBF"/>
            <w:vAlign w:val="center"/>
            <w:hideMark/>
          </w:tcPr>
          <w:p w14:paraId="3D825AAF" w14:textId="77777777" w:rsidR="00111CC0" w:rsidRPr="00C0771E" w:rsidRDefault="00111CC0" w:rsidP="00111CC0">
            <w:pPr>
              <w:spacing w:after="0" w:line="240" w:lineRule="auto"/>
              <w:jc w:val="center"/>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 xml:space="preserve"> v tis. eur</w:t>
            </w:r>
          </w:p>
        </w:tc>
        <w:tc>
          <w:tcPr>
            <w:tcW w:w="402" w:type="pct"/>
            <w:tcBorders>
              <w:top w:val="nil"/>
              <w:left w:val="nil"/>
              <w:bottom w:val="nil"/>
              <w:right w:val="nil"/>
            </w:tcBorders>
            <w:shd w:val="clear" w:color="000000" w:fill="BFBFBF"/>
            <w:vAlign w:val="center"/>
            <w:hideMark/>
          </w:tcPr>
          <w:p w14:paraId="4CDDCACF" w14:textId="77777777" w:rsidR="00111CC0" w:rsidRPr="00C0771E" w:rsidRDefault="00111CC0" w:rsidP="00111CC0">
            <w:pPr>
              <w:spacing w:after="0" w:line="240" w:lineRule="auto"/>
              <w:jc w:val="center"/>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v %</w:t>
            </w:r>
          </w:p>
        </w:tc>
        <w:tc>
          <w:tcPr>
            <w:tcW w:w="92" w:type="pct"/>
            <w:tcBorders>
              <w:top w:val="nil"/>
              <w:left w:val="nil"/>
              <w:bottom w:val="nil"/>
              <w:right w:val="nil"/>
            </w:tcBorders>
            <w:shd w:val="clear" w:color="auto" w:fill="auto"/>
            <w:noWrap/>
            <w:vAlign w:val="bottom"/>
            <w:hideMark/>
          </w:tcPr>
          <w:p w14:paraId="73BA3BDE" w14:textId="77777777" w:rsidR="00111CC0" w:rsidRPr="00C0771E" w:rsidRDefault="00111CC0" w:rsidP="00111CC0">
            <w:pPr>
              <w:spacing w:after="0" w:line="240" w:lineRule="auto"/>
              <w:jc w:val="center"/>
              <w:rPr>
                <w:rFonts w:eastAsia="Times New Roman" w:cs="Times New Roman"/>
                <w:b/>
                <w:bCs/>
                <w:color w:val="000000"/>
                <w:sz w:val="18"/>
                <w:szCs w:val="18"/>
                <w:lang w:eastAsia="sk-SK"/>
              </w:rPr>
            </w:pPr>
          </w:p>
        </w:tc>
      </w:tr>
      <w:tr w:rsidR="00111CC0" w:rsidRPr="00C0771E" w14:paraId="6B3D3E2E" w14:textId="77777777" w:rsidTr="00C0771E">
        <w:trPr>
          <w:trHeight w:val="247"/>
        </w:trPr>
        <w:tc>
          <w:tcPr>
            <w:tcW w:w="1919" w:type="pct"/>
            <w:tcBorders>
              <w:top w:val="nil"/>
              <w:left w:val="nil"/>
              <w:bottom w:val="single" w:sz="8" w:space="0" w:color="auto"/>
              <w:right w:val="nil"/>
            </w:tcBorders>
            <w:shd w:val="clear" w:color="000000" w:fill="BFBFBF"/>
            <w:vAlign w:val="center"/>
            <w:hideMark/>
          </w:tcPr>
          <w:p w14:paraId="34917558" w14:textId="77777777" w:rsidR="00111CC0" w:rsidRPr="00C0771E" w:rsidRDefault="00111CC0" w:rsidP="00111CC0">
            <w:pPr>
              <w:spacing w:after="0" w:line="240" w:lineRule="auto"/>
              <w:jc w:val="left"/>
              <w:rPr>
                <w:rFonts w:eastAsia="Times New Roman" w:cs="Times New Roman"/>
                <w:b/>
                <w:bCs/>
                <w:color w:val="FFFFFF"/>
                <w:sz w:val="18"/>
                <w:szCs w:val="18"/>
                <w:lang w:eastAsia="sk-SK"/>
              </w:rPr>
            </w:pPr>
            <w:r w:rsidRPr="00C0771E">
              <w:rPr>
                <w:rFonts w:eastAsia="Times New Roman" w:cs="Times New Roman"/>
                <w:b/>
                <w:bCs/>
                <w:color w:val="FFFFFF"/>
                <w:sz w:val="18"/>
                <w:szCs w:val="18"/>
                <w:lang w:eastAsia="sk-SK"/>
              </w:rPr>
              <w:t> </w:t>
            </w:r>
          </w:p>
        </w:tc>
        <w:tc>
          <w:tcPr>
            <w:tcW w:w="460" w:type="pct"/>
            <w:tcBorders>
              <w:top w:val="nil"/>
              <w:left w:val="nil"/>
              <w:bottom w:val="single" w:sz="8" w:space="0" w:color="auto"/>
              <w:right w:val="nil"/>
            </w:tcBorders>
            <w:shd w:val="clear" w:color="000000" w:fill="BFBFBF"/>
            <w:vAlign w:val="center"/>
            <w:hideMark/>
          </w:tcPr>
          <w:p w14:paraId="4B4F92AD" w14:textId="77777777" w:rsidR="00111CC0" w:rsidRPr="00C0771E" w:rsidRDefault="00111CC0" w:rsidP="00111CC0">
            <w:pPr>
              <w:spacing w:after="0" w:line="240" w:lineRule="auto"/>
              <w:jc w:val="center"/>
              <w:rPr>
                <w:rFonts w:eastAsia="Times New Roman" w:cs="Times New Roman"/>
                <w:b/>
                <w:bCs/>
                <w:sz w:val="18"/>
                <w:szCs w:val="18"/>
                <w:lang w:eastAsia="sk-SK"/>
              </w:rPr>
            </w:pPr>
            <w:r w:rsidRPr="00C0771E">
              <w:rPr>
                <w:rFonts w:eastAsia="Times New Roman" w:cs="Times New Roman"/>
                <w:b/>
                <w:bCs/>
                <w:sz w:val="18"/>
                <w:szCs w:val="18"/>
                <w:lang w:eastAsia="sk-SK"/>
              </w:rPr>
              <w:t>1</w:t>
            </w:r>
          </w:p>
        </w:tc>
        <w:tc>
          <w:tcPr>
            <w:tcW w:w="502" w:type="pct"/>
            <w:tcBorders>
              <w:top w:val="nil"/>
              <w:left w:val="nil"/>
              <w:bottom w:val="single" w:sz="8" w:space="0" w:color="auto"/>
              <w:right w:val="nil"/>
            </w:tcBorders>
            <w:shd w:val="clear" w:color="000000" w:fill="BFBFBF"/>
            <w:vAlign w:val="center"/>
            <w:hideMark/>
          </w:tcPr>
          <w:p w14:paraId="46BACB4B" w14:textId="77777777" w:rsidR="00111CC0" w:rsidRPr="00C0771E" w:rsidRDefault="00111CC0" w:rsidP="00111CC0">
            <w:pPr>
              <w:spacing w:after="0" w:line="240" w:lineRule="auto"/>
              <w:jc w:val="center"/>
              <w:rPr>
                <w:rFonts w:eastAsia="Times New Roman" w:cs="Times New Roman"/>
                <w:b/>
                <w:bCs/>
                <w:sz w:val="18"/>
                <w:szCs w:val="18"/>
                <w:lang w:eastAsia="sk-SK"/>
              </w:rPr>
            </w:pPr>
            <w:r w:rsidRPr="00C0771E">
              <w:rPr>
                <w:rFonts w:eastAsia="Times New Roman" w:cs="Times New Roman"/>
                <w:b/>
                <w:bCs/>
                <w:sz w:val="18"/>
                <w:szCs w:val="18"/>
                <w:lang w:eastAsia="sk-SK"/>
              </w:rPr>
              <w:t>2</w:t>
            </w:r>
          </w:p>
        </w:tc>
        <w:tc>
          <w:tcPr>
            <w:tcW w:w="494" w:type="pct"/>
            <w:tcBorders>
              <w:top w:val="nil"/>
              <w:left w:val="nil"/>
              <w:bottom w:val="single" w:sz="8" w:space="0" w:color="auto"/>
              <w:right w:val="nil"/>
            </w:tcBorders>
            <w:shd w:val="clear" w:color="000000" w:fill="BFBFBF"/>
            <w:vAlign w:val="center"/>
            <w:hideMark/>
          </w:tcPr>
          <w:p w14:paraId="0715CAED" w14:textId="77777777" w:rsidR="00111CC0" w:rsidRPr="00C0771E" w:rsidRDefault="00111CC0" w:rsidP="00111CC0">
            <w:pPr>
              <w:spacing w:after="0" w:line="240" w:lineRule="auto"/>
              <w:jc w:val="center"/>
              <w:rPr>
                <w:rFonts w:eastAsia="Times New Roman" w:cs="Times New Roman"/>
                <w:b/>
                <w:bCs/>
                <w:sz w:val="18"/>
                <w:szCs w:val="18"/>
                <w:lang w:eastAsia="sk-SK"/>
              </w:rPr>
            </w:pPr>
            <w:r w:rsidRPr="00C0771E">
              <w:rPr>
                <w:rFonts w:eastAsia="Times New Roman" w:cs="Times New Roman"/>
                <w:b/>
                <w:bCs/>
                <w:sz w:val="18"/>
                <w:szCs w:val="18"/>
                <w:lang w:eastAsia="sk-SK"/>
              </w:rPr>
              <w:t>3</w:t>
            </w:r>
          </w:p>
        </w:tc>
        <w:tc>
          <w:tcPr>
            <w:tcW w:w="613" w:type="pct"/>
            <w:tcBorders>
              <w:top w:val="nil"/>
              <w:left w:val="nil"/>
              <w:bottom w:val="single" w:sz="8" w:space="0" w:color="auto"/>
              <w:right w:val="nil"/>
            </w:tcBorders>
            <w:shd w:val="clear" w:color="000000" w:fill="BFBFBF"/>
            <w:vAlign w:val="center"/>
            <w:hideMark/>
          </w:tcPr>
          <w:p w14:paraId="6A168EEE" w14:textId="77777777" w:rsidR="00111CC0" w:rsidRPr="00C0771E" w:rsidRDefault="00111CC0" w:rsidP="00111CC0">
            <w:pPr>
              <w:spacing w:after="0" w:line="240" w:lineRule="auto"/>
              <w:jc w:val="center"/>
              <w:rPr>
                <w:rFonts w:eastAsia="Times New Roman" w:cs="Times New Roman"/>
                <w:b/>
                <w:bCs/>
                <w:sz w:val="18"/>
                <w:szCs w:val="18"/>
                <w:lang w:eastAsia="sk-SK"/>
              </w:rPr>
            </w:pPr>
            <w:r w:rsidRPr="00C0771E">
              <w:rPr>
                <w:rFonts w:eastAsia="Times New Roman" w:cs="Times New Roman"/>
                <w:b/>
                <w:bCs/>
                <w:sz w:val="18"/>
                <w:szCs w:val="18"/>
                <w:lang w:eastAsia="sk-SK"/>
              </w:rPr>
              <w:t>4</w:t>
            </w:r>
          </w:p>
        </w:tc>
        <w:tc>
          <w:tcPr>
            <w:tcW w:w="518" w:type="pct"/>
            <w:tcBorders>
              <w:top w:val="nil"/>
              <w:left w:val="nil"/>
              <w:bottom w:val="single" w:sz="8" w:space="0" w:color="auto"/>
              <w:right w:val="nil"/>
            </w:tcBorders>
            <w:shd w:val="clear" w:color="000000" w:fill="BFBFBF"/>
            <w:vAlign w:val="center"/>
            <w:hideMark/>
          </w:tcPr>
          <w:p w14:paraId="7E76406F" w14:textId="77777777" w:rsidR="00111CC0" w:rsidRPr="00C0771E" w:rsidRDefault="00111CC0" w:rsidP="00111CC0">
            <w:pPr>
              <w:spacing w:after="0" w:line="240" w:lineRule="auto"/>
              <w:jc w:val="center"/>
              <w:rPr>
                <w:rFonts w:eastAsia="Times New Roman" w:cs="Times New Roman"/>
                <w:b/>
                <w:bCs/>
                <w:sz w:val="18"/>
                <w:szCs w:val="18"/>
                <w:lang w:eastAsia="sk-SK"/>
              </w:rPr>
            </w:pPr>
            <w:r w:rsidRPr="00C0771E">
              <w:rPr>
                <w:rFonts w:eastAsia="Times New Roman" w:cs="Times New Roman"/>
                <w:b/>
                <w:bCs/>
                <w:sz w:val="18"/>
                <w:szCs w:val="18"/>
                <w:lang w:eastAsia="sk-SK"/>
              </w:rPr>
              <w:t>5=4-3</w:t>
            </w:r>
          </w:p>
        </w:tc>
        <w:tc>
          <w:tcPr>
            <w:tcW w:w="402" w:type="pct"/>
            <w:tcBorders>
              <w:top w:val="nil"/>
              <w:left w:val="nil"/>
              <w:bottom w:val="single" w:sz="8" w:space="0" w:color="auto"/>
              <w:right w:val="nil"/>
            </w:tcBorders>
            <w:shd w:val="clear" w:color="000000" w:fill="BFBFBF"/>
            <w:vAlign w:val="center"/>
            <w:hideMark/>
          </w:tcPr>
          <w:p w14:paraId="1992EBD2" w14:textId="77777777" w:rsidR="00111CC0" w:rsidRPr="00C0771E" w:rsidRDefault="00111CC0" w:rsidP="00111CC0">
            <w:pPr>
              <w:spacing w:after="0" w:line="240" w:lineRule="auto"/>
              <w:jc w:val="center"/>
              <w:rPr>
                <w:rFonts w:eastAsia="Times New Roman" w:cs="Times New Roman"/>
                <w:b/>
                <w:bCs/>
                <w:sz w:val="18"/>
                <w:szCs w:val="18"/>
                <w:lang w:eastAsia="sk-SK"/>
              </w:rPr>
            </w:pPr>
            <w:r w:rsidRPr="00C0771E">
              <w:rPr>
                <w:rFonts w:eastAsia="Times New Roman" w:cs="Times New Roman"/>
                <w:b/>
                <w:bCs/>
                <w:sz w:val="18"/>
                <w:szCs w:val="18"/>
                <w:lang w:eastAsia="sk-SK"/>
              </w:rPr>
              <w:t>6=4-3</w:t>
            </w:r>
          </w:p>
        </w:tc>
        <w:tc>
          <w:tcPr>
            <w:tcW w:w="92" w:type="pct"/>
            <w:tcBorders>
              <w:top w:val="nil"/>
              <w:left w:val="nil"/>
              <w:bottom w:val="nil"/>
              <w:right w:val="nil"/>
            </w:tcBorders>
            <w:shd w:val="clear" w:color="auto" w:fill="auto"/>
            <w:noWrap/>
            <w:vAlign w:val="bottom"/>
            <w:hideMark/>
          </w:tcPr>
          <w:p w14:paraId="346D96C1" w14:textId="77777777" w:rsidR="00111CC0" w:rsidRPr="00C0771E" w:rsidRDefault="00111CC0" w:rsidP="00111CC0">
            <w:pPr>
              <w:spacing w:after="0" w:line="240" w:lineRule="auto"/>
              <w:jc w:val="center"/>
              <w:rPr>
                <w:rFonts w:eastAsia="Times New Roman" w:cs="Times New Roman"/>
                <w:b/>
                <w:bCs/>
                <w:sz w:val="18"/>
                <w:szCs w:val="18"/>
                <w:lang w:eastAsia="sk-SK"/>
              </w:rPr>
            </w:pPr>
          </w:p>
        </w:tc>
      </w:tr>
      <w:tr w:rsidR="00111CC0" w:rsidRPr="00C0771E" w14:paraId="23D08F23" w14:textId="77777777" w:rsidTr="00C0771E">
        <w:trPr>
          <w:trHeight w:val="236"/>
        </w:trPr>
        <w:tc>
          <w:tcPr>
            <w:tcW w:w="1919" w:type="pct"/>
            <w:tcBorders>
              <w:top w:val="nil"/>
              <w:left w:val="nil"/>
              <w:bottom w:val="nil"/>
              <w:right w:val="nil"/>
            </w:tcBorders>
            <w:shd w:val="clear" w:color="000000" w:fill="FFFFFF"/>
            <w:vAlign w:val="center"/>
            <w:hideMark/>
          </w:tcPr>
          <w:p w14:paraId="27876346" w14:textId="77777777" w:rsidR="00111CC0" w:rsidRPr="00C0771E" w:rsidRDefault="00111CC0" w:rsidP="00111CC0">
            <w:pPr>
              <w:spacing w:after="0" w:line="240" w:lineRule="auto"/>
              <w:jc w:val="left"/>
              <w:rPr>
                <w:rFonts w:eastAsia="Times New Roman" w:cs="Times New Roman"/>
                <w:color w:val="000000"/>
                <w:sz w:val="18"/>
                <w:szCs w:val="18"/>
                <w:lang w:eastAsia="sk-SK"/>
              </w:rPr>
            </w:pPr>
            <w:r w:rsidRPr="00C0771E">
              <w:rPr>
                <w:rFonts w:eastAsia="Times New Roman" w:cs="Times New Roman"/>
                <w:color w:val="000000"/>
                <w:sz w:val="18"/>
                <w:szCs w:val="18"/>
                <w:lang w:eastAsia="sk-SK"/>
              </w:rPr>
              <w:t>Poľnohospodárske fondy 3. programové obdobie</w:t>
            </w:r>
          </w:p>
        </w:tc>
        <w:tc>
          <w:tcPr>
            <w:tcW w:w="460" w:type="pct"/>
            <w:tcBorders>
              <w:top w:val="nil"/>
              <w:left w:val="nil"/>
              <w:bottom w:val="nil"/>
              <w:right w:val="nil"/>
            </w:tcBorders>
            <w:shd w:val="clear" w:color="000000" w:fill="FFFFFF"/>
            <w:noWrap/>
            <w:vAlign w:val="center"/>
            <w:hideMark/>
          </w:tcPr>
          <w:p w14:paraId="0FF831F3"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80 894</w:t>
            </w:r>
          </w:p>
        </w:tc>
        <w:tc>
          <w:tcPr>
            <w:tcW w:w="502" w:type="pct"/>
            <w:tcBorders>
              <w:top w:val="nil"/>
              <w:left w:val="nil"/>
              <w:bottom w:val="nil"/>
              <w:right w:val="nil"/>
            </w:tcBorders>
            <w:shd w:val="clear" w:color="000000" w:fill="FFFFFF"/>
            <w:noWrap/>
            <w:vAlign w:val="center"/>
            <w:hideMark/>
          </w:tcPr>
          <w:p w14:paraId="3FA0EFA0"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79 641</w:t>
            </w:r>
          </w:p>
        </w:tc>
        <w:tc>
          <w:tcPr>
            <w:tcW w:w="494" w:type="pct"/>
            <w:tcBorders>
              <w:top w:val="nil"/>
              <w:left w:val="nil"/>
              <w:bottom w:val="nil"/>
              <w:right w:val="nil"/>
            </w:tcBorders>
            <w:shd w:val="clear" w:color="000000" w:fill="FFFFFF"/>
            <w:noWrap/>
            <w:vAlign w:val="center"/>
            <w:hideMark/>
          </w:tcPr>
          <w:p w14:paraId="1C159762"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64 356</w:t>
            </w:r>
          </w:p>
        </w:tc>
        <w:tc>
          <w:tcPr>
            <w:tcW w:w="613" w:type="pct"/>
            <w:tcBorders>
              <w:top w:val="nil"/>
              <w:left w:val="nil"/>
              <w:bottom w:val="nil"/>
              <w:right w:val="nil"/>
            </w:tcBorders>
            <w:shd w:val="clear" w:color="000000" w:fill="FFFFFF"/>
            <w:noWrap/>
            <w:vAlign w:val="center"/>
            <w:hideMark/>
          </w:tcPr>
          <w:p w14:paraId="035D3E4E"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74 455</w:t>
            </w:r>
          </w:p>
        </w:tc>
        <w:tc>
          <w:tcPr>
            <w:tcW w:w="518" w:type="pct"/>
            <w:tcBorders>
              <w:top w:val="nil"/>
              <w:left w:val="nil"/>
              <w:bottom w:val="nil"/>
              <w:right w:val="nil"/>
            </w:tcBorders>
            <w:shd w:val="clear" w:color="000000" w:fill="FFFFFF"/>
            <w:noWrap/>
            <w:vAlign w:val="center"/>
            <w:hideMark/>
          </w:tcPr>
          <w:p w14:paraId="2B2BF68D"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10 099</w:t>
            </w:r>
          </w:p>
        </w:tc>
        <w:tc>
          <w:tcPr>
            <w:tcW w:w="402" w:type="pct"/>
            <w:tcBorders>
              <w:top w:val="nil"/>
              <w:left w:val="nil"/>
              <w:bottom w:val="nil"/>
              <w:right w:val="nil"/>
            </w:tcBorders>
            <w:shd w:val="clear" w:color="000000" w:fill="FFFFFF"/>
            <w:noWrap/>
            <w:vAlign w:val="center"/>
            <w:hideMark/>
          </w:tcPr>
          <w:p w14:paraId="509E4C40"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15,7</w:t>
            </w:r>
          </w:p>
        </w:tc>
        <w:tc>
          <w:tcPr>
            <w:tcW w:w="92" w:type="pct"/>
            <w:tcBorders>
              <w:top w:val="nil"/>
              <w:left w:val="nil"/>
              <w:bottom w:val="nil"/>
              <w:right w:val="nil"/>
            </w:tcBorders>
            <w:shd w:val="clear" w:color="auto" w:fill="auto"/>
            <w:noWrap/>
            <w:vAlign w:val="bottom"/>
            <w:hideMark/>
          </w:tcPr>
          <w:p w14:paraId="63E00299" w14:textId="77777777" w:rsidR="00111CC0" w:rsidRPr="00C0771E" w:rsidRDefault="00111CC0" w:rsidP="00111CC0">
            <w:pPr>
              <w:spacing w:after="0" w:line="240" w:lineRule="auto"/>
              <w:jc w:val="right"/>
              <w:rPr>
                <w:rFonts w:eastAsia="Times New Roman" w:cs="Times New Roman"/>
                <w:color w:val="000000"/>
                <w:sz w:val="18"/>
                <w:szCs w:val="18"/>
                <w:lang w:eastAsia="sk-SK"/>
              </w:rPr>
            </w:pPr>
          </w:p>
        </w:tc>
      </w:tr>
      <w:tr w:rsidR="00111CC0" w:rsidRPr="00C0771E" w14:paraId="04F9CDD9" w14:textId="77777777" w:rsidTr="00C0771E">
        <w:trPr>
          <w:trHeight w:val="236"/>
        </w:trPr>
        <w:tc>
          <w:tcPr>
            <w:tcW w:w="1919" w:type="pct"/>
            <w:tcBorders>
              <w:top w:val="nil"/>
              <w:left w:val="nil"/>
              <w:bottom w:val="nil"/>
              <w:right w:val="nil"/>
            </w:tcBorders>
            <w:shd w:val="clear" w:color="000000" w:fill="FFFFFF"/>
            <w:vAlign w:val="center"/>
            <w:hideMark/>
          </w:tcPr>
          <w:p w14:paraId="130FE63E" w14:textId="77777777" w:rsidR="00111CC0" w:rsidRPr="00C0771E" w:rsidRDefault="00111CC0" w:rsidP="00111CC0">
            <w:pPr>
              <w:spacing w:after="0" w:line="240" w:lineRule="auto"/>
              <w:jc w:val="lef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Poľnohospodárske fondy spolu - MPRV SR</w:t>
            </w:r>
          </w:p>
        </w:tc>
        <w:tc>
          <w:tcPr>
            <w:tcW w:w="460" w:type="pct"/>
            <w:tcBorders>
              <w:top w:val="nil"/>
              <w:left w:val="nil"/>
              <w:bottom w:val="nil"/>
              <w:right w:val="nil"/>
            </w:tcBorders>
            <w:shd w:val="clear" w:color="000000" w:fill="FFFFFF"/>
            <w:noWrap/>
            <w:vAlign w:val="center"/>
            <w:hideMark/>
          </w:tcPr>
          <w:p w14:paraId="640098A9"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80 894</w:t>
            </w:r>
          </w:p>
        </w:tc>
        <w:tc>
          <w:tcPr>
            <w:tcW w:w="502" w:type="pct"/>
            <w:tcBorders>
              <w:top w:val="nil"/>
              <w:left w:val="nil"/>
              <w:bottom w:val="nil"/>
              <w:right w:val="nil"/>
            </w:tcBorders>
            <w:shd w:val="clear" w:color="000000" w:fill="FFFFFF"/>
            <w:noWrap/>
            <w:vAlign w:val="center"/>
            <w:hideMark/>
          </w:tcPr>
          <w:p w14:paraId="05ED77D2"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79 641</w:t>
            </w:r>
          </w:p>
        </w:tc>
        <w:tc>
          <w:tcPr>
            <w:tcW w:w="494" w:type="pct"/>
            <w:tcBorders>
              <w:top w:val="nil"/>
              <w:left w:val="nil"/>
              <w:bottom w:val="nil"/>
              <w:right w:val="nil"/>
            </w:tcBorders>
            <w:shd w:val="clear" w:color="000000" w:fill="FFFFFF"/>
            <w:noWrap/>
            <w:vAlign w:val="center"/>
            <w:hideMark/>
          </w:tcPr>
          <w:p w14:paraId="021A6066"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64 356</w:t>
            </w:r>
          </w:p>
        </w:tc>
        <w:tc>
          <w:tcPr>
            <w:tcW w:w="613" w:type="pct"/>
            <w:tcBorders>
              <w:top w:val="nil"/>
              <w:left w:val="nil"/>
              <w:bottom w:val="nil"/>
              <w:right w:val="nil"/>
            </w:tcBorders>
            <w:shd w:val="clear" w:color="000000" w:fill="FFFFFF"/>
            <w:noWrap/>
            <w:vAlign w:val="center"/>
            <w:hideMark/>
          </w:tcPr>
          <w:p w14:paraId="48F0E9DE"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74 455</w:t>
            </w:r>
          </w:p>
        </w:tc>
        <w:tc>
          <w:tcPr>
            <w:tcW w:w="518" w:type="pct"/>
            <w:tcBorders>
              <w:top w:val="nil"/>
              <w:left w:val="nil"/>
              <w:bottom w:val="nil"/>
              <w:right w:val="nil"/>
            </w:tcBorders>
            <w:shd w:val="clear" w:color="000000" w:fill="FFFFFF"/>
            <w:noWrap/>
            <w:vAlign w:val="center"/>
            <w:hideMark/>
          </w:tcPr>
          <w:p w14:paraId="5D48C80F"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10 099</w:t>
            </w:r>
          </w:p>
        </w:tc>
        <w:tc>
          <w:tcPr>
            <w:tcW w:w="402" w:type="pct"/>
            <w:tcBorders>
              <w:top w:val="nil"/>
              <w:left w:val="nil"/>
              <w:bottom w:val="nil"/>
              <w:right w:val="nil"/>
            </w:tcBorders>
            <w:shd w:val="clear" w:color="000000" w:fill="FFFFFF"/>
            <w:noWrap/>
            <w:vAlign w:val="center"/>
            <w:hideMark/>
          </w:tcPr>
          <w:p w14:paraId="4C2FD332"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15,7</w:t>
            </w:r>
          </w:p>
        </w:tc>
        <w:tc>
          <w:tcPr>
            <w:tcW w:w="92" w:type="pct"/>
            <w:tcBorders>
              <w:top w:val="nil"/>
              <w:left w:val="nil"/>
              <w:bottom w:val="nil"/>
              <w:right w:val="nil"/>
            </w:tcBorders>
            <w:shd w:val="clear" w:color="auto" w:fill="auto"/>
            <w:noWrap/>
            <w:vAlign w:val="bottom"/>
            <w:hideMark/>
          </w:tcPr>
          <w:p w14:paraId="61C606A5"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p>
        </w:tc>
      </w:tr>
      <w:tr w:rsidR="00111CC0" w:rsidRPr="00C0771E" w14:paraId="64840F16" w14:textId="77777777" w:rsidTr="00C0771E">
        <w:trPr>
          <w:trHeight w:val="366"/>
        </w:trPr>
        <w:tc>
          <w:tcPr>
            <w:tcW w:w="1919" w:type="pct"/>
            <w:tcBorders>
              <w:top w:val="nil"/>
              <w:left w:val="nil"/>
              <w:bottom w:val="nil"/>
              <w:right w:val="nil"/>
            </w:tcBorders>
            <w:shd w:val="clear" w:color="000000" w:fill="FFFFFF"/>
            <w:vAlign w:val="center"/>
            <w:hideMark/>
          </w:tcPr>
          <w:p w14:paraId="7E5AB281" w14:textId="77777777" w:rsidR="00111CC0" w:rsidRPr="00C0771E" w:rsidRDefault="00111CC0" w:rsidP="00111CC0">
            <w:pPr>
              <w:spacing w:after="0" w:line="240" w:lineRule="auto"/>
              <w:jc w:val="left"/>
              <w:rPr>
                <w:rFonts w:eastAsia="Times New Roman" w:cs="Times New Roman"/>
                <w:color w:val="000000"/>
                <w:sz w:val="18"/>
                <w:szCs w:val="18"/>
                <w:lang w:eastAsia="sk-SK"/>
              </w:rPr>
            </w:pPr>
            <w:r w:rsidRPr="00C0771E">
              <w:rPr>
                <w:rFonts w:eastAsia="Times New Roman" w:cs="Times New Roman"/>
                <w:color w:val="000000"/>
                <w:sz w:val="18"/>
                <w:szCs w:val="18"/>
                <w:lang w:eastAsia="sk-SK"/>
              </w:rPr>
              <w:t xml:space="preserve">Štrukturálne fondy, Kohézny fond, Európsky fond pre rybné hospodárstvo 2. programové obdobie </w:t>
            </w:r>
          </w:p>
        </w:tc>
        <w:tc>
          <w:tcPr>
            <w:tcW w:w="460" w:type="pct"/>
            <w:tcBorders>
              <w:top w:val="nil"/>
              <w:left w:val="nil"/>
              <w:bottom w:val="nil"/>
              <w:right w:val="nil"/>
            </w:tcBorders>
            <w:shd w:val="clear" w:color="000000" w:fill="FFFFFF"/>
            <w:noWrap/>
            <w:vAlign w:val="center"/>
            <w:hideMark/>
          </w:tcPr>
          <w:p w14:paraId="787EF34C"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0</w:t>
            </w:r>
          </w:p>
        </w:tc>
        <w:tc>
          <w:tcPr>
            <w:tcW w:w="502" w:type="pct"/>
            <w:tcBorders>
              <w:top w:val="nil"/>
              <w:left w:val="nil"/>
              <w:bottom w:val="nil"/>
              <w:right w:val="nil"/>
            </w:tcBorders>
            <w:shd w:val="clear" w:color="000000" w:fill="FFFFFF"/>
            <w:noWrap/>
            <w:vAlign w:val="center"/>
            <w:hideMark/>
          </w:tcPr>
          <w:p w14:paraId="3948B54D"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0</w:t>
            </w:r>
          </w:p>
        </w:tc>
        <w:tc>
          <w:tcPr>
            <w:tcW w:w="494" w:type="pct"/>
            <w:tcBorders>
              <w:top w:val="nil"/>
              <w:left w:val="nil"/>
              <w:bottom w:val="nil"/>
              <w:right w:val="nil"/>
            </w:tcBorders>
            <w:shd w:val="clear" w:color="000000" w:fill="FFFFFF"/>
            <w:noWrap/>
            <w:vAlign w:val="center"/>
            <w:hideMark/>
          </w:tcPr>
          <w:p w14:paraId="35602D34"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0</w:t>
            </w:r>
          </w:p>
        </w:tc>
        <w:tc>
          <w:tcPr>
            <w:tcW w:w="613" w:type="pct"/>
            <w:tcBorders>
              <w:top w:val="nil"/>
              <w:left w:val="nil"/>
              <w:bottom w:val="nil"/>
              <w:right w:val="nil"/>
            </w:tcBorders>
            <w:shd w:val="clear" w:color="auto" w:fill="auto"/>
            <w:noWrap/>
            <w:vAlign w:val="center"/>
            <w:hideMark/>
          </w:tcPr>
          <w:p w14:paraId="45B302C0"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0</w:t>
            </w:r>
          </w:p>
        </w:tc>
        <w:tc>
          <w:tcPr>
            <w:tcW w:w="518" w:type="pct"/>
            <w:tcBorders>
              <w:top w:val="nil"/>
              <w:left w:val="nil"/>
              <w:bottom w:val="nil"/>
              <w:right w:val="nil"/>
            </w:tcBorders>
            <w:shd w:val="clear" w:color="000000" w:fill="FFFFFF"/>
            <w:noWrap/>
            <w:vAlign w:val="center"/>
            <w:hideMark/>
          </w:tcPr>
          <w:p w14:paraId="7F7D57F0"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0</w:t>
            </w:r>
          </w:p>
        </w:tc>
        <w:tc>
          <w:tcPr>
            <w:tcW w:w="402" w:type="pct"/>
            <w:tcBorders>
              <w:top w:val="nil"/>
              <w:left w:val="nil"/>
              <w:bottom w:val="nil"/>
              <w:right w:val="nil"/>
            </w:tcBorders>
            <w:shd w:val="clear" w:color="000000" w:fill="FFFFFF"/>
            <w:noWrap/>
            <w:vAlign w:val="center"/>
            <w:hideMark/>
          </w:tcPr>
          <w:p w14:paraId="06A38A60"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w:t>
            </w:r>
          </w:p>
        </w:tc>
        <w:tc>
          <w:tcPr>
            <w:tcW w:w="92" w:type="pct"/>
            <w:tcBorders>
              <w:top w:val="nil"/>
              <w:left w:val="nil"/>
              <w:bottom w:val="nil"/>
              <w:right w:val="nil"/>
            </w:tcBorders>
            <w:shd w:val="clear" w:color="auto" w:fill="auto"/>
            <w:noWrap/>
            <w:vAlign w:val="bottom"/>
            <w:hideMark/>
          </w:tcPr>
          <w:p w14:paraId="4B0045D6" w14:textId="77777777" w:rsidR="00111CC0" w:rsidRPr="00C0771E" w:rsidRDefault="00111CC0" w:rsidP="00111CC0">
            <w:pPr>
              <w:spacing w:after="0" w:line="240" w:lineRule="auto"/>
              <w:jc w:val="right"/>
              <w:rPr>
                <w:rFonts w:eastAsia="Times New Roman" w:cs="Times New Roman"/>
                <w:color w:val="000000"/>
                <w:sz w:val="18"/>
                <w:szCs w:val="18"/>
                <w:lang w:eastAsia="sk-SK"/>
              </w:rPr>
            </w:pPr>
          </w:p>
        </w:tc>
      </w:tr>
      <w:tr w:rsidR="00111CC0" w:rsidRPr="00C0771E" w14:paraId="7928ADC2" w14:textId="77777777" w:rsidTr="00C0771E">
        <w:trPr>
          <w:trHeight w:val="366"/>
        </w:trPr>
        <w:tc>
          <w:tcPr>
            <w:tcW w:w="1919" w:type="pct"/>
            <w:tcBorders>
              <w:top w:val="nil"/>
              <w:left w:val="nil"/>
              <w:bottom w:val="nil"/>
              <w:right w:val="nil"/>
            </w:tcBorders>
            <w:shd w:val="clear" w:color="000000" w:fill="FFFFFF"/>
            <w:vAlign w:val="center"/>
            <w:hideMark/>
          </w:tcPr>
          <w:p w14:paraId="3943B1DC" w14:textId="77777777" w:rsidR="00111CC0" w:rsidRPr="00C0771E" w:rsidRDefault="00111CC0" w:rsidP="00111CC0">
            <w:pPr>
              <w:spacing w:after="0" w:line="240" w:lineRule="auto"/>
              <w:jc w:val="left"/>
              <w:rPr>
                <w:rFonts w:eastAsia="Times New Roman" w:cs="Times New Roman"/>
                <w:color w:val="000000"/>
                <w:sz w:val="18"/>
                <w:szCs w:val="18"/>
                <w:lang w:eastAsia="sk-SK"/>
              </w:rPr>
            </w:pPr>
            <w:r w:rsidRPr="00C0771E">
              <w:rPr>
                <w:rFonts w:eastAsia="Times New Roman" w:cs="Times New Roman"/>
                <w:color w:val="000000"/>
                <w:sz w:val="18"/>
                <w:szCs w:val="18"/>
                <w:lang w:eastAsia="sk-SK"/>
              </w:rPr>
              <w:t xml:space="preserve">Štrukturálne fondy, Kohézny fond, Európsky námorný a rybársky fond 3. programové obdobie </w:t>
            </w:r>
          </w:p>
        </w:tc>
        <w:tc>
          <w:tcPr>
            <w:tcW w:w="460" w:type="pct"/>
            <w:tcBorders>
              <w:top w:val="nil"/>
              <w:left w:val="nil"/>
              <w:bottom w:val="nil"/>
              <w:right w:val="nil"/>
            </w:tcBorders>
            <w:shd w:val="clear" w:color="000000" w:fill="FFFFFF"/>
            <w:noWrap/>
            <w:vAlign w:val="center"/>
            <w:hideMark/>
          </w:tcPr>
          <w:p w14:paraId="750B09DA"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228 230</w:t>
            </w:r>
          </w:p>
        </w:tc>
        <w:tc>
          <w:tcPr>
            <w:tcW w:w="502" w:type="pct"/>
            <w:tcBorders>
              <w:top w:val="nil"/>
              <w:left w:val="nil"/>
              <w:bottom w:val="nil"/>
              <w:right w:val="nil"/>
            </w:tcBorders>
            <w:shd w:val="clear" w:color="000000" w:fill="FFFFFF"/>
            <w:noWrap/>
            <w:vAlign w:val="center"/>
            <w:hideMark/>
          </w:tcPr>
          <w:p w14:paraId="4385F498"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213 068</w:t>
            </w:r>
          </w:p>
        </w:tc>
        <w:tc>
          <w:tcPr>
            <w:tcW w:w="494" w:type="pct"/>
            <w:tcBorders>
              <w:top w:val="nil"/>
              <w:left w:val="nil"/>
              <w:bottom w:val="nil"/>
              <w:right w:val="nil"/>
            </w:tcBorders>
            <w:shd w:val="clear" w:color="000000" w:fill="FFFFFF"/>
            <w:noWrap/>
            <w:vAlign w:val="center"/>
            <w:hideMark/>
          </w:tcPr>
          <w:p w14:paraId="05054390"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194 338</w:t>
            </w:r>
          </w:p>
        </w:tc>
        <w:tc>
          <w:tcPr>
            <w:tcW w:w="613" w:type="pct"/>
            <w:tcBorders>
              <w:top w:val="nil"/>
              <w:left w:val="nil"/>
              <w:bottom w:val="nil"/>
              <w:right w:val="nil"/>
            </w:tcBorders>
            <w:shd w:val="clear" w:color="000000" w:fill="FFFFFF"/>
            <w:noWrap/>
            <w:vAlign w:val="center"/>
            <w:hideMark/>
          </w:tcPr>
          <w:p w14:paraId="35FDA4B5"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301 319</w:t>
            </w:r>
          </w:p>
        </w:tc>
        <w:tc>
          <w:tcPr>
            <w:tcW w:w="518" w:type="pct"/>
            <w:tcBorders>
              <w:top w:val="nil"/>
              <w:left w:val="nil"/>
              <w:bottom w:val="nil"/>
              <w:right w:val="nil"/>
            </w:tcBorders>
            <w:shd w:val="clear" w:color="000000" w:fill="FFFFFF"/>
            <w:noWrap/>
            <w:vAlign w:val="center"/>
            <w:hideMark/>
          </w:tcPr>
          <w:p w14:paraId="5EA492D6"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106 981</w:t>
            </w:r>
          </w:p>
        </w:tc>
        <w:tc>
          <w:tcPr>
            <w:tcW w:w="402" w:type="pct"/>
            <w:tcBorders>
              <w:top w:val="nil"/>
              <w:left w:val="nil"/>
              <w:bottom w:val="nil"/>
              <w:right w:val="nil"/>
            </w:tcBorders>
            <w:shd w:val="clear" w:color="000000" w:fill="FFFFFF"/>
            <w:noWrap/>
            <w:vAlign w:val="center"/>
            <w:hideMark/>
          </w:tcPr>
          <w:p w14:paraId="6AA208D6"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55,0</w:t>
            </w:r>
          </w:p>
        </w:tc>
        <w:tc>
          <w:tcPr>
            <w:tcW w:w="92" w:type="pct"/>
            <w:tcBorders>
              <w:top w:val="nil"/>
              <w:left w:val="nil"/>
              <w:bottom w:val="nil"/>
              <w:right w:val="nil"/>
            </w:tcBorders>
            <w:shd w:val="clear" w:color="auto" w:fill="auto"/>
            <w:noWrap/>
            <w:vAlign w:val="bottom"/>
            <w:hideMark/>
          </w:tcPr>
          <w:p w14:paraId="6539E590" w14:textId="77777777" w:rsidR="00111CC0" w:rsidRPr="00C0771E" w:rsidRDefault="00111CC0" w:rsidP="00111CC0">
            <w:pPr>
              <w:spacing w:after="0" w:line="240" w:lineRule="auto"/>
              <w:jc w:val="right"/>
              <w:rPr>
                <w:rFonts w:eastAsia="Times New Roman" w:cs="Times New Roman"/>
                <w:color w:val="000000"/>
                <w:sz w:val="18"/>
                <w:szCs w:val="18"/>
                <w:lang w:eastAsia="sk-SK"/>
              </w:rPr>
            </w:pPr>
          </w:p>
        </w:tc>
      </w:tr>
      <w:tr w:rsidR="00111CC0" w:rsidRPr="00C0771E" w14:paraId="7DC9C7EA" w14:textId="77777777" w:rsidTr="00C0771E">
        <w:trPr>
          <w:trHeight w:val="236"/>
        </w:trPr>
        <w:tc>
          <w:tcPr>
            <w:tcW w:w="1919" w:type="pct"/>
            <w:tcBorders>
              <w:top w:val="nil"/>
              <w:left w:val="nil"/>
              <w:bottom w:val="nil"/>
              <w:right w:val="nil"/>
            </w:tcBorders>
            <w:shd w:val="clear" w:color="000000" w:fill="FFFFFF"/>
            <w:vAlign w:val="center"/>
            <w:hideMark/>
          </w:tcPr>
          <w:p w14:paraId="289EF39F" w14:textId="77777777" w:rsidR="00111CC0" w:rsidRPr="00C0771E" w:rsidRDefault="00111CC0" w:rsidP="00111CC0">
            <w:pPr>
              <w:spacing w:after="0" w:line="240" w:lineRule="auto"/>
              <w:jc w:val="left"/>
              <w:rPr>
                <w:rFonts w:eastAsia="Times New Roman" w:cs="Times New Roman"/>
                <w:color w:val="000000"/>
                <w:sz w:val="18"/>
                <w:szCs w:val="18"/>
                <w:lang w:eastAsia="sk-SK"/>
              </w:rPr>
            </w:pPr>
            <w:r w:rsidRPr="00C0771E">
              <w:rPr>
                <w:rFonts w:eastAsia="Times New Roman" w:cs="Times New Roman"/>
                <w:color w:val="000000"/>
                <w:sz w:val="18"/>
                <w:szCs w:val="18"/>
                <w:lang w:eastAsia="sk-SK"/>
              </w:rPr>
              <w:t>Programy EÚS 3. programové obdobie (CO MF SR)</w:t>
            </w:r>
          </w:p>
        </w:tc>
        <w:tc>
          <w:tcPr>
            <w:tcW w:w="460" w:type="pct"/>
            <w:tcBorders>
              <w:top w:val="nil"/>
              <w:left w:val="nil"/>
              <w:bottom w:val="nil"/>
              <w:right w:val="nil"/>
            </w:tcBorders>
            <w:shd w:val="clear" w:color="000000" w:fill="FFFFFF"/>
            <w:noWrap/>
            <w:vAlign w:val="center"/>
            <w:hideMark/>
          </w:tcPr>
          <w:p w14:paraId="74F4F63F"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94</w:t>
            </w:r>
          </w:p>
        </w:tc>
        <w:tc>
          <w:tcPr>
            <w:tcW w:w="502" w:type="pct"/>
            <w:tcBorders>
              <w:top w:val="nil"/>
              <w:left w:val="nil"/>
              <w:bottom w:val="nil"/>
              <w:right w:val="nil"/>
            </w:tcBorders>
            <w:shd w:val="clear" w:color="000000" w:fill="FFFFFF"/>
            <w:noWrap/>
            <w:vAlign w:val="center"/>
            <w:hideMark/>
          </w:tcPr>
          <w:p w14:paraId="7497C6C5"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897</w:t>
            </w:r>
          </w:p>
        </w:tc>
        <w:tc>
          <w:tcPr>
            <w:tcW w:w="494" w:type="pct"/>
            <w:tcBorders>
              <w:top w:val="nil"/>
              <w:left w:val="nil"/>
              <w:bottom w:val="nil"/>
              <w:right w:val="nil"/>
            </w:tcBorders>
            <w:shd w:val="clear" w:color="000000" w:fill="FFFFFF"/>
            <w:noWrap/>
            <w:vAlign w:val="center"/>
            <w:hideMark/>
          </w:tcPr>
          <w:p w14:paraId="7DB16561"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2 240</w:t>
            </w:r>
          </w:p>
        </w:tc>
        <w:tc>
          <w:tcPr>
            <w:tcW w:w="613" w:type="pct"/>
            <w:tcBorders>
              <w:top w:val="nil"/>
              <w:left w:val="nil"/>
              <w:bottom w:val="nil"/>
              <w:right w:val="nil"/>
            </w:tcBorders>
            <w:shd w:val="clear" w:color="000000" w:fill="FFFFFF"/>
            <w:noWrap/>
            <w:vAlign w:val="center"/>
            <w:hideMark/>
          </w:tcPr>
          <w:p w14:paraId="198B3725"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1 459</w:t>
            </w:r>
          </w:p>
        </w:tc>
        <w:tc>
          <w:tcPr>
            <w:tcW w:w="518" w:type="pct"/>
            <w:tcBorders>
              <w:top w:val="nil"/>
              <w:left w:val="nil"/>
              <w:bottom w:val="nil"/>
              <w:right w:val="nil"/>
            </w:tcBorders>
            <w:shd w:val="clear" w:color="000000" w:fill="FFFFFF"/>
            <w:noWrap/>
            <w:vAlign w:val="center"/>
            <w:hideMark/>
          </w:tcPr>
          <w:p w14:paraId="0CCF587E"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-781</w:t>
            </w:r>
          </w:p>
        </w:tc>
        <w:tc>
          <w:tcPr>
            <w:tcW w:w="402" w:type="pct"/>
            <w:tcBorders>
              <w:top w:val="nil"/>
              <w:left w:val="nil"/>
              <w:bottom w:val="nil"/>
              <w:right w:val="nil"/>
            </w:tcBorders>
            <w:shd w:val="clear" w:color="000000" w:fill="FFFFFF"/>
            <w:noWrap/>
            <w:vAlign w:val="center"/>
            <w:hideMark/>
          </w:tcPr>
          <w:p w14:paraId="09828948"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w:t>
            </w:r>
          </w:p>
        </w:tc>
        <w:tc>
          <w:tcPr>
            <w:tcW w:w="92" w:type="pct"/>
            <w:tcBorders>
              <w:top w:val="nil"/>
              <w:left w:val="nil"/>
              <w:bottom w:val="nil"/>
              <w:right w:val="nil"/>
            </w:tcBorders>
            <w:shd w:val="clear" w:color="auto" w:fill="auto"/>
            <w:noWrap/>
            <w:vAlign w:val="bottom"/>
            <w:hideMark/>
          </w:tcPr>
          <w:p w14:paraId="6FD948C6" w14:textId="77777777" w:rsidR="00111CC0" w:rsidRPr="00C0771E" w:rsidRDefault="00111CC0" w:rsidP="00111CC0">
            <w:pPr>
              <w:spacing w:after="0" w:line="240" w:lineRule="auto"/>
              <w:jc w:val="right"/>
              <w:rPr>
                <w:rFonts w:eastAsia="Times New Roman" w:cs="Times New Roman"/>
                <w:color w:val="000000"/>
                <w:sz w:val="18"/>
                <w:szCs w:val="18"/>
                <w:lang w:eastAsia="sk-SK"/>
              </w:rPr>
            </w:pPr>
          </w:p>
        </w:tc>
      </w:tr>
      <w:tr w:rsidR="00111CC0" w:rsidRPr="00C0771E" w14:paraId="16C6DE22" w14:textId="77777777" w:rsidTr="00C0771E">
        <w:trPr>
          <w:trHeight w:val="236"/>
        </w:trPr>
        <w:tc>
          <w:tcPr>
            <w:tcW w:w="1919" w:type="pct"/>
            <w:tcBorders>
              <w:top w:val="nil"/>
              <w:left w:val="nil"/>
              <w:bottom w:val="nil"/>
              <w:right w:val="nil"/>
            </w:tcBorders>
            <w:shd w:val="clear" w:color="000000" w:fill="FFFFFF"/>
            <w:vAlign w:val="center"/>
            <w:hideMark/>
          </w:tcPr>
          <w:p w14:paraId="4107631B" w14:textId="77777777" w:rsidR="00111CC0" w:rsidRPr="00C0771E" w:rsidRDefault="00111CC0" w:rsidP="00111CC0">
            <w:pPr>
              <w:spacing w:after="0" w:line="240" w:lineRule="auto"/>
              <w:jc w:val="lef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Štrukturálne operácie - MF SR</w:t>
            </w:r>
          </w:p>
        </w:tc>
        <w:tc>
          <w:tcPr>
            <w:tcW w:w="460" w:type="pct"/>
            <w:tcBorders>
              <w:top w:val="nil"/>
              <w:left w:val="nil"/>
              <w:bottom w:val="nil"/>
              <w:right w:val="nil"/>
            </w:tcBorders>
            <w:shd w:val="clear" w:color="000000" w:fill="FFFFFF"/>
            <w:noWrap/>
            <w:vAlign w:val="center"/>
            <w:hideMark/>
          </w:tcPr>
          <w:p w14:paraId="5371C977"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228 324</w:t>
            </w:r>
          </w:p>
        </w:tc>
        <w:tc>
          <w:tcPr>
            <w:tcW w:w="502" w:type="pct"/>
            <w:tcBorders>
              <w:top w:val="nil"/>
              <w:left w:val="nil"/>
              <w:bottom w:val="nil"/>
              <w:right w:val="nil"/>
            </w:tcBorders>
            <w:shd w:val="clear" w:color="000000" w:fill="FFFFFF"/>
            <w:noWrap/>
            <w:vAlign w:val="center"/>
            <w:hideMark/>
          </w:tcPr>
          <w:p w14:paraId="4F4ABF15"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213 965</w:t>
            </w:r>
          </w:p>
        </w:tc>
        <w:tc>
          <w:tcPr>
            <w:tcW w:w="494" w:type="pct"/>
            <w:tcBorders>
              <w:top w:val="nil"/>
              <w:left w:val="nil"/>
              <w:bottom w:val="nil"/>
              <w:right w:val="nil"/>
            </w:tcBorders>
            <w:shd w:val="clear" w:color="000000" w:fill="FFFFFF"/>
            <w:noWrap/>
            <w:vAlign w:val="center"/>
            <w:hideMark/>
          </w:tcPr>
          <w:p w14:paraId="01917534"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196 578</w:t>
            </w:r>
          </w:p>
        </w:tc>
        <w:tc>
          <w:tcPr>
            <w:tcW w:w="613" w:type="pct"/>
            <w:tcBorders>
              <w:top w:val="nil"/>
              <w:left w:val="nil"/>
              <w:bottom w:val="nil"/>
              <w:right w:val="nil"/>
            </w:tcBorders>
            <w:shd w:val="clear" w:color="000000" w:fill="FFFFFF"/>
            <w:noWrap/>
            <w:vAlign w:val="center"/>
            <w:hideMark/>
          </w:tcPr>
          <w:p w14:paraId="444A06EF"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302 778</w:t>
            </w:r>
          </w:p>
        </w:tc>
        <w:tc>
          <w:tcPr>
            <w:tcW w:w="518" w:type="pct"/>
            <w:tcBorders>
              <w:top w:val="nil"/>
              <w:left w:val="nil"/>
              <w:bottom w:val="nil"/>
              <w:right w:val="nil"/>
            </w:tcBorders>
            <w:shd w:val="clear" w:color="000000" w:fill="FFFFFF"/>
            <w:noWrap/>
            <w:vAlign w:val="center"/>
            <w:hideMark/>
          </w:tcPr>
          <w:p w14:paraId="66F8DDC2"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106 200</w:t>
            </w:r>
          </w:p>
        </w:tc>
        <w:tc>
          <w:tcPr>
            <w:tcW w:w="402" w:type="pct"/>
            <w:tcBorders>
              <w:top w:val="nil"/>
              <w:left w:val="nil"/>
              <w:bottom w:val="nil"/>
              <w:right w:val="nil"/>
            </w:tcBorders>
            <w:shd w:val="clear" w:color="000000" w:fill="FFFFFF"/>
            <w:noWrap/>
            <w:vAlign w:val="center"/>
            <w:hideMark/>
          </w:tcPr>
          <w:p w14:paraId="74604619"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54,0</w:t>
            </w:r>
          </w:p>
        </w:tc>
        <w:tc>
          <w:tcPr>
            <w:tcW w:w="92" w:type="pct"/>
            <w:tcBorders>
              <w:top w:val="nil"/>
              <w:left w:val="nil"/>
              <w:bottom w:val="nil"/>
              <w:right w:val="nil"/>
            </w:tcBorders>
            <w:shd w:val="clear" w:color="auto" w:fill="auto"/>
            <w:noWrap/>
            <w:vAlign w:val="bottom"/>
            <w:hideMark/>
          </w:tcPr>
          <w:p w14:paraId="2C6E1921"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p>
        </w:tc>
      </w:tr>
      <w:tr w:rsidR="00111CC0" w:rsidRPr="00C0771E" w14:paraId="371BC619" w14:textId="77777777" w:rsidTr="00C0771E">
        <w:trPr>
          <w:trHeight w:val="236"/>
        </w:trPr>
        <w:tc>
          <w:tcPr>
            <w:tcW w:w="1919" w:type="pct"/>
            <w:tcBorders>
              <w:top w:val="nil"/>
              <w:left w:val="nil"/>
              <w:bottom w:val="nil"/>
              <w:right w:val="nil"/>
            </w:tcBorders>
            <w:shd w:val="clear" w:color="000000" w:fill="FFFFFF"/>
            <w:vAlign w:val="center"/>
            <w:hideMark/>
          </w:tcPr>
          <w:p w14:paraId="66447B57" w14:textId="77777777" w:rsidR="00111CC0" w:rsidRPr="00C0771E" w:rsidRDefault="00111CC0" w:rsidP="00111CC0">
            <w:pPr>
              <w:spacing w:after="0" w:line="240" w:lineRule="auto"/>
              <w:jc w:val="left"/>
              <w:rPr>
                <w:rFonts w:eastAsia="Times New Roman" w:cs="Times New Roman"/>
                <w:color w:val="000000"/>
                <w:sz w:val="18"/>
                <w:szCs w:val="18"/>
                <w:lang w:eastAsia="sk-SK"/>
              </w:rPr>
            </w:pPr>
            <w:r w:rsidRPr="00C0771E">
              <w:rPr>
                <w:rFonts w:eastAsia="Times New Roman" w:cs="Times New Roman"/>
                <w:color w:val="000000"/>
                <w:sz w:val="18"/>
                <w:szCs w:val="18"/>
                <w:lang w:eastAsia="sk-SK"/>
              </w:rPr>
              <w:t>OP Sociálneho začlenenia najodkázanejších osôb</w:t>
            </w:r>
          </w:p>
        </w:tc>
        <w:tc>
          <w:tcPr>
            <w:tcW w:w="460" w:type="pct"/>
            <w:tcBorders>
              <w:top w:val="nil"/>
              <w:left w:val="nil"/>
              <w:bottom w:val="nil"/>
              <w:right w:val="nil"/>
            </w:tcBorders>
            <w:shd w:val="clear" w:color="000000" w:fill="FFFFFF"/>
            <w:noWrap/>
            <w:vAlign w:val="center"/>
            <w:hideMark/>
          </w:tcPr>
          <w:p w14:paraId="6C3CB343"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2 109</w:t>
            </w:r>
          </w:p>
        </w:tc>
        <w:tc>
          <w:tcPr>
            <w:tcW w:w="502" w:type="pct"/>
            <w:tcBorders>
              <w:top w:val="nil"/>
              <w:left w:val="nil"/>
              <w:bottom w:val="nil"/>
              <w:right w:val="nil"/>
            </w:tcBorders>
            <w:shd w:val="clear" w:color="000000" w:fill="FFFFFF"/>
            <w:noWrap/>
            <w:vAlign w:val="center"/>
            <w:hideMark/>
          </w:tcPr>
          <w:p w14:paraId="6FB5F870"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2 171</w:t>
            </w:r>
          </w:p>
        </w:tc>
        <w:tc>
          <w:tcPr>
            <w:tcW w:w="494" w:type="pct"/>
            <w:tcBorders>
              <w:top w:val="nil"/>
              <w:left w:val="nil"/>
              <w:bottom w:val="nil"/>
              <w:right w:val="nil"/>
            </w:tcBorders>
            <w:shd w:val="clear" w:color="000000" w:fill="FFFFFF"/>
            <w:noWrap/>
            <w:vAlign w:val="center"/>
            <w:hideMark/>
          </w:tcPr>
          <w:p w14:paraId="3308DE7E"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1 898</w:t>
            </w:r>
          </w:p>
        </w:tc>
        <w:tc>
          <w:tcPr>
            <w:tcW w:w="613" w:type="pct"/>
            <w:tcBorders>
              <w:top w:val="nil"/>
              <w:left w:val="nil"/>
              <w:bottom w:val="nil"/>
              <w:right w:val="nil"/>
            </w:tcBorders>
            <w:shd w:val="clear" w:color="000000" w:fill="FFFFFF"/>
            <w:noWrap/>
            <w:vAlign w:val="center"/>
            <w:hideMark/>
          </w:tcPr>
          <w:p w14:paraId="764C60B6"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818</w:t>
            </w:r>
          </w:p>
        </w:tc>
        <w:tc>
          <w:tcPr>
            <w:tcW w:w="518" w:type="pct"/>
            <w:tcBorders>
              <w:top w:val="nil"/>
              <w:left w:val="nil"/>
              <w:bottom w:val="nil"/>
              <w:right w:val="nil"/>
            </w:tcBorders>
            <w:shd w:val="clear" w:color="000000" w:fill="FFFFFF"/>
            <w:noWrap/>
            <w:vAlign w:val="center"/>
            <w:hideMark/>
          </w:tcPr>
          <w:p w14:paraId="6B271742"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-1 080</w:t>
            </w:r>
          </w:p>
        </w:tc>
        <w:tc>
          <w:tcPr>
            <w:tcW w:w="402" w:type="pct"/>
            <w:tcBorders>
              <w:top w:val="nil"/>
              <w:left w:val="nil"/>
              <w:bottom w:val="nil"/>
              <w:right w:val="nil"/>
            </w:tcBorders>
            <w:shd w:val="clear" w:color="000000" w:fill="FFFFFF"/>
            <w:noWrap/>
            <w:vAlign w:val="center"/>
            <w:hideMark/>
          </w:tcPr>
          <w:p w14:paraId="55B4239B"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-56,9</w:t>
            </w:r>
          </w:p>
        </w:tc>
        <w:tc>
          <w:tcPr>
            <w:tcW w:w="92" w:type="pct"/>
            <w:tcBorders>
              <w:top w:val="nil"/>
              <w:left w:val="nil"/>
              <w:bottom w:val="nil"/>
              <w:right w:val="nil"/>
            </w:tcBorders>
            <w:shd w:val="clear" w:color="auto" w:fill="auto"/>
            <w:noWrap/>
            <w:vAlign w:val="bottom"/>
            <w:hideMark/>
          </w:tcPr>
          <w:p w14:paraId="7AC6C90C" w14:textId="77777777" w:rsidR="00111CC0" w:rsidRPr="00C0771E" w:rsidRDefault="00111CC0" w:rsidP="00111CC0">
            <w:pPr>
              <w:spacing w:after="0" w:line="240" w:lineRule="auto"/>
              <w:jc w:val="right"/>
              <w:rPr>
                <w:rFonts w:eastAsia="Times New Roman" w:cs="Times New Roman"/>
                <w:color w:val="000000"/>
                <w:sz w:val="18"/>
                <w:szCs w:val="18"/>
                <w:lang w:eastAsia="sk-SK"/>
              </w:rPr>
            </w:pPr>
          </w:p>
        </w:tc>
      </w:tr>
      <w:tr w:rsidR="00111CC0" w:rsidRPr="00C0771E" w14:paraId="0F31ED19" w14:textId="77777777" w:rsidTr="00C0771E">
        <w:trPr>
          <w:trHeight w:val="236"/>
        </w:trPr>
        <w:tc>
          <w:tcPr>
            <w:tcW w:w="1919" w:type="pct"/>
            <w:tcBorders>
              <w:top w:val="nil"/>
              <w:left w:val="nil"/>
              <w:bottom w:val="nil"/>
              <w:right w:val="nil"/>
            </w:tcBorders>
            <w:shd w:val="clear" w:color="000000" w:fill="FFFFFF"/>
            <w:vAlign w:val="center"/>
            <w:hideMark/>
          </w:tcPr>
          <w:p w14:paraId="3F8B86EC" w14:textId="77777777" w:rsidR="00111CC0" w:rsidRPr="00C0771E" w:rsidRDefault="00111CC0" w:rsidP="00111CC0">
            <w:pPr>
              <w:spacing w:after="0" w:line="240" w:lineRule="auto"/>
              <w:jc w:val="lef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Štrukturálne operácie - MPSVR SR</w:t>
            </w:r>
          </w:p>
        </w:tc>
        <w:tc>
          <w:tcPr>
            <w:tcW w:w="460" w:type="pct"/>
            <w:tcBorders>
              <w:top w:val="nil"/>
              <w:left w:val="nil"/>
              <w:bottom w:val="nil"/>
              <w:right w:val="nil"/>
            </w:tcBorders>
            <w:shd w:val="clear" w:color="000000" w:fill="FFFFFF"/>
            <w:noWrap/>
            <w:vAlign w:val="center"/>
            <w:hideMark/>
          </w:tcPr>
          <w:p w14:paraId="66C3DD67"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2 109</w:t>
            </w:r>
          </w:p>
        </w:tc>
        <w:tc>
          <w:tcPr>
            <w:tcW w:w="502" w:type="pct"/>
            <w:tcBorders>
              <w:top w:val="nil"/>
              <w:left w:val="nil"/>
              <w:bottom w:val="nil"/>
              <w:right w:val="nil"/>
            </w:tcBorders>
            <w:shd w:val="clear" w:color="000000" w:fill="FFFFFF"/>
            <w:noWrap/>
            <w:vAlign w:val="center"/>
            <w:hideMark/>
          </w:tcPr>
          <w:p w14:paraId="0311B82D"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2 171</w:t>
            </w:r>
          </w:p>
        </w:tc>
        <w:tc>
          <w:tcPr>
            <w:tcW w:w="494" w:type="pct"/>
            <w:tcBorders>
              <w:top w:val="nil"/>
              <w:left w:val="nil"/>
              <w:bottom w:val="nil"/>
              <w:right w:val="nil"/>
            </w:tcBorders>
            <w:shd w:val="clear" w:color="000000" w:fill="FFFFFF"/>
            <w:noWrap/>
            <w:vAlign w:val="center"/>
            <w:hideMark/>
          </w:tcPr>
          <w:p w14:paraId="59D33E35"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1 898</w:t>
            </w:r>
          </w:p>
        </w:tc>
        <w:tc>
          <w:tcPr>
            <w:tcW w:w="613" w:type="pct"/>
            <w:tcBorders>
              <w:top w:val="nil"/>
              <w:left w:val="nil"/>
              <w:bottom w:val="nil"/>
              <w:right w:val="nil"/>
            </w:tcBorders>
            <w:shd w:val="clear" w:color="auto" w:fill="auto"/>
            <w:noWrap/>
            <w:vAlign w:val="center"/>
            <w:hideMark/>
          </w:tcPr>
          <w:p w14:paraId="18066960"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818</w:t>
            </w:r>
          </w:p>
        </w:tc>
        <w:tc>
          <w:tcPr>
            <w:tcW w:w="518" w:type="pct"/>
            <w:tcBorders>
              <w:top w:val="nil"/>
              <w:left w:val="nil"/>
              <w:bottom w:val="nil"/>
              <w:right w:val="nil"/>
            </w:tcBorders>
            <w:shd w:val="clear" w:color="000000" w:fill="FFFFFF"/>
            <w:noWrap/>
            <w:vAlign w:val="center"/>
            <w:hideMark/>
          </w:tcPr>
          <w:p w14:paraId="4905447E"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-1 080</w:t>
            </w:r>
          </w:p>
        </w:tc>
        <w:tc>
          <w:tcPr>
            <w:tcW w:w="402" w:type="pct"/>
            <w:tcBorders>
              <w:top w:val="nil"/>
              <w:left w:val="nil"/>
              <w:bottom w:val="nil"/>
              <w:right w:val="nil"/>
            </w:tcBorders>
            <w:shd w:val="clear" w:color="000000" w:fill="FFFFFF"/>
            <w:noWrap/>
            <w:vAlign w:val="center"/>
            <w:hideMark/>
          </w:tcPr>
          <w:p w14:paraId="6A216D96"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-56,9</w:t>
            </w:r>
          </w:p>
        </w:tc>
        <w:tc>
          <w:tcPr>
            <w:tcW w:w="92" w:type="pct"/>
            <w:tcBorders>
              <w:top w:val="nil"/>
              <w:left w:val="nil"/>
              <w:bottom w:val="nil"/>
              <w:right w:val="nil"/>
            </w:tcBorders>
            <w:shd w:val="clear" w:color="auto" w:fill="auto"/>
            <w:noWrap/>
            <w:vAlign w:val="bottom"/>
            <w:hideMark/>
          </w:tcPr>
          <w:p w14:paraId="1F760F33"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p>
        </w:tc>
      </w:tr>
      <w:tr w:rsidR="00111CC0" w:rsidRPr="00C0771E" w14:paraId="0E8B3003" w14:textId="77777777" w:rsidTr="00C0771E">
        <w:trPr>
          <w:trHeight w:val="247"/>
        </w:trPr>
        <w:tc>
          <w:tcPr>
            <w:tcW w:w="1919" w:type="pct"/>
            <w:tcBorders>
              <w:top w:val="single" w:sz="4" w:space="0" w:color="auto"/>
              <w:left w:val="nil"/>
              <w:bottom w:val="single" w:sz="8" w:space="0" w:color="auto"/>
              <w:right w:val="nil"/>
            </w:tcBorders>
            <w:shd w:val="clear" w:color="000000" w:fill="FFFFFF"/>
            <w:vAlign w:val="center"/>
            <w:hideMark/>
          </w:tcPr>
          <w:p w14:paraId="09619C32" w14:textId="77777777" w:rsidR="00111CC0" w:rsidRPr="00C0771E" w:rsidRDefault="00111CC0" w:rsidP="00111CC0">
            <w:pPr>
              <w:spacing w:after="0" w:line="240" w:lineRule="auto"/>
              <w:jc w:val="lef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Spolu výdavky za prostriedky ŠR</w:t>
            </w:r>
          </w:p>
        </w:tc>
        <w:tc>
          <w:tcPr>
            <w:tcW w:w="460" w:type="pct"/>
            <w:tcBorders>
              <w:top w:val="single" w:sz="4" w:space="0" w:color="auto"/>
              <w:left w:val="nil"/>
              <w:bottom w:val="single" w:sz="8" w:space="0" w:color="auto"/>
              <w:right w:val="nil"/>
            </w:tcBorders>
            <w:shd w:val="clear" w:color="000000" w:fill="FFFFFF"/>
            <w:noWrap/>
            <w:vAlign w:val="center"/>
            <w:hideMark/>
          </w:tcPr>
          <w:p w14:paraId="00B1E1EA"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311 327</w:t>
            </w:r>
          </w:p>
        </w:tc>
        <w:tc>
          <w:tcPr>
            <w:tcW w:w="502" w:type="pct"/>
            <w:tcBorders>
              <w:top w:val="single" w:sz="4" w:space="0" w:color="auto"/>
              <w:left w:val="nil"/>
              <w:bottom w:val="single" w:sz="8" w:space="0" w:color="auto"/>
              <w:right w:val="nil"/>
            </w:tcBorders>
            <w:shd w:val="clear" w:color="000000" w:fill="FFFFFF"/>
            <w:noWrap/>
            <w:vAlign w:val="center"/>
            <w:hideMark/>
          </w:tcPr>
          <w:p w14:paraId="433486E1"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295 777</w:t>
            </w:r>
          </w:p>
        </w:tc>
        <w:tc>
          <w:tcPr>
            <w:tcW w:w="494" w:type="pct"/>
            <w:tcBorders>
              <w:top w:val="single" w:sz="4" w:space="0" w:color="auto"/>
              <w:left w:val="nil"/>
              <w:bottom w:val="single" w:sz="8" w:space="0" w:color="auto"/>
              <w:right w:val="nil"/>
            </w:tcBorders>
            <w:shd w:val="clear" w:color="000000" w:fill="FFFFFF"/>
            <w:noWrap/>
            <w:vAlign w:val="center"/>
            <w:hideMark/>
          </w:tcPr>
          <w:p w14:paraId="51273A68"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262 832</w:t>
            </w:r>
          </w:p>
        </w:tc>
        <w:tc>
          <w:tcPr>
            <w:tcW w:w="613" w:type="pct"/>
            <w:tcBorders>
              <w:top w:val="single" w:sz="4" w:space="0" w:color="auto"/>
              <w:left w:val="nil"/>
              <w:bottom w:val="single" w:sz="8" w:space="0" w:color="auto"/>
              <w:right w:val="nil"/>
            </w:tcBorders>
            <w:shd w:val="clear" w:color="auto" w:fill="auto"/>
            <w:noWrap/>
            <w:vAlign w:val="center"/>
            <w:hideMark/>
          </w:tcPr>
          <w:p w14:paraId="68F896D3"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378 051</w:t>
            </w:r>
          </w:p>
        </w:tc>
        <w:tc>
          <w:tcPr>
            <w:tcW w:w="518" w:type="pct"/>
            <w:tcBorders>
              <w:top w:val="single" w:sz="4" w:space="0" w:color="auto"/>
              <w:left w:val="nil"/>
              <w:bottom w:val="single" w:sz="8" w:space="0" w:color="auto"/>
              <w:right w:val="nil"/>
            </w:tcBorders>
            <w:shd w:val="clear" w:color="000000" w:fill="FFFFFF"/>
            <w:noWrap/>
            <w:vAlign w:val="center"/>
            <w:hideMark/>
          </w:tcPr>
          <w:p w14:paraId="23BEFDD6"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115 219</w:t>
            </w:r>
          </w:p>
        </w:tc>
        <w:tc>
          <w:tcPr>
            <w:tcW w:w="402" w:type="pct"/>
            <w:tcBorders>
              <w:top w:val="single" w:sz="4" w:space="0" w:color="auto"/>
              <w:left w:val="nil"/>
              <w:bottom w:val="single" w:sz="8" w:space="0" w:color="auto"/>
              <w:right w:val="nil"/>
            </w:tcBorders>
            <w:shd w:val="clear" w:color="000000" w:fill="FFFFFF"/>
            <w:noWrap/>
            <w:vAlign w:val="center"/>
            <w:hideMark/>
          </w:tcPr>
          <w:p w14:paraId="711CC4C5"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43,8</w:t>
            </w:r>
          </w:p>
        </w:tc>
        <w:tc>
          <w:tcPr>
            <w:tcW w:w="92" w:type="pct"/>
            <w:tcBorders>
              <w:top w:val="nil"/>
              <w:left w:val="nil"/>
              <w:bottom w:val="nil"/>
              <w:right w:val="nil"/>
            </w:tcBorders>
            <w:shd w:val="clear" w:color="auto" w:fill="auto"/>
            <w:noWrap/>
            <w:vAlign w:val="bottom"/>
            <w:hideMark/>
          </w:tcPr>
          <w:p w14:paraId="77B5A516"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p>
        </w:tc>
      </w:tr>
    </w:tbl>
    <w:p w14:paraId="0640C9DB" w14:textId="77777777" w:rsidR="00111CC0" w:rsidRPr="00111CC0" w:rsidRDefault="00111CC0" w:rsidP="00111CC0">
      <w:pPr>
        <w:jc w:val="right"/>
        <w:rPr>
          <w:sz w:val="18"/>
          <w:szCs w:val="18"/>
        </w:rPr>
      </w:pPr>
      <w:r w:rsidRPr="00111CC0">
        <w:rPr>
          <w:sz w:val="18"/>
          <w:szCs w:val="18"/>
        </w:rPr>
        <w:t>Zdroj: MF SR</w:t>
      </w:r>
    </w:p>
    <w:p w14:paraId="7E8C7E31" w14:textId="77777777" w:rsidR="00111CC0" w:rsidRPr="00D715AF" w:rsidRDefault="00111CC0" w:rsidP="008D4C2B">
      <w:pPr>
        <w:numPr>
          <w:ilvl w:val="0"/>
          <w:numId w:val="5"/>
        </w:numPr>
        <w:tabs>
          <w:tab w:val="left" w:pos="284"/>
        </w:tabs>
        <w:spacing w:line="240" w:lineRule="auto"/>
        <w:ind w:left="0" w:firstLine="0"/>
        <w:rPr>
          <w:b/>
          <w:sz w:val="24"/>
          <w:szCs w:val="24"/>
        </w:rPr>
      </w:pPr>
      <w:r w:rsidRPr="00D715AF">
        <w:rPr>
          <w:b/>
          <w:sz w:val="24"/>
          <w:szCs w:val="24"/>
        </w:rPr>
        <w:t>Spolufinancovanie zo štátneho rozpočtu k zahraničným grantom z EÚ a k prostriedkom poskytnutým na základe medzinárodných zmlúv</w:t>
      </w:r>
    </w:p>
    <w:p w14:paraId="6ED2215F" w14:textId="5A65120F" w:rsidR="00111CC0" w:rsidRPr="00D715AF" w:rsidRDefault="00111CC0" w:rsidP="008D4C2B">
      <w:pPr>
        <w:spacing w:line="240" w:lineRule="auto"/>
        <w:rPr>
          <w:sz w:val="24"/>
          <w:szCs w:val="24"/>
        </w:rPr>
      </w:pPr>
      <w:r w:rsidRPr="00D715AF">
        <w:rPr>
          <w:sz w:val="24"/>
          <w:szCs w:val="24"/>
        </w:rPr>
        <w:t>Okrem výdavkov na spolufinancovanie zo ŠR k prostriedkom EÚ sú rozpočtované aj výdavky na spolufinancovanie zo ŠR k zahraničným grantom (finančný nástroj pre životné prostredie LIFE+ a programy európskej územnej spolupráce), k prostriedkom poskytnutým na základe medzinárodných zmlúv (Finančný mechanizmus EHP a Nórsky finančný mechanizmus) a</w:t>
      </w:r>
      <w:r w:rsidR="00AF5C05">
        <w:rPr>
          <w:sz w:val="24"/>
          <w:szCs w:val="24"/>
        </w:rPr>
        <w:t xml:space="preserve"> </w:t>
      </w:r>
      <w:r w:rsidRPr="00D715AF">
        <w:rPr>
          <w:sz w:val="24"/>
          <w:szCs w:val="24"/>
        </w:rPr>
        <w:t>k</w:t>
      </w:r>
      <w:r w:rsidR="00AF5C05">
        <w:rPr>
          <w:sz w:val="24"/>
          <w:szCs w:val="24"/>
        </w:rPr>
        <w:t> </w:t>
      </w:r>
      <w:r w:rsidRPr="00D715AF">
        <w:rPr>
          <w:sz w:val="24"/>
          <w:szCs w:val="24"/>
        </w:rPr>
        <w:t xml:space="preserve">prostriedkom na spolufinancovanie </w:t>
      </w:r>
      <w:r w:rsidRPr="00D715AF">
        <w:rPr>
          <w:bCs/>
          <w:sz w:val="24"/>
          <w:szCs w:val="24"/>
        </w:rPr>
        <w:t xml:space="preserve">fondov pre oblasť vnútorných záležitostí na </w:t>
      </w:r>
      <w:r w:rsidR="00AF5C05">
        <w:rPr>
          <w:sz w:val="24"/>
          <w:szCs w:val="24"/>
        </w:rPr>
        <w:t>roky 2014 - </w:t>
      </w:r>
      <w:r w:rsidRPr="00D715AF">
        <w:rPr>
          <w:sz w:val="24"/>
          <w:szCs w:val="24"/>
        </w:rPr>
        <w:t>2020.</w:t>
      </w:r>
    </w:p>
    <w:p w14:paraId="0E573838" w14:textId="77777777" w:rsidR="00111CC0" w:rsidRPr="00D715AF" w:rsidRDefault="00111CC0" w:rsidP="008D4C2B">
      <w:pPr>
        <w:spacing w:line="240" w:lineRule="auto"/>
        <w:rPr>
          <w:sz w:val="24"/>
          <w:szCs w:val="24"/>
        </w:rPr>
      </w:pPr>
      <w:r w:rsidRPr="00D715AF">
        <w:rPr>
          <w:sz w:val="24"/>
          <w:szCs w:val="24"/>
        </w:rPr>
        <w:t>Čerpanie výdavkov na spolufinancovanie k zahraničným grantom z prostriedkov EÚ v roku 2020 predstavovalo sumu 3 576 tis. eur. Čerpanie výdavkov k prostriedkom poskytnutým na základe medzinárodných zmlúv v roku 2020 predstavovalo sumu 4 018 tis. eur.</w:t>
      </w:r>
    </w:p>
    <w:p w14:paraId="0E21143F" w14:textId="77777777" w:rsidR="00CF37CE" w:rsidRDefault="00CF37CE">
      <w:pPr>
        <w:spacing w:after="160" w:line="259" w:lineRule="auto"/>
        <w:jc w:val="left"/>
        <w:rPr>
          <w:sz w:val="24"/>
          <w:szCs w:val="24"/>
        </w:rPr>
      </w:pPr>
      <w:r>
        <w:rPr>
          <w:sz w:val="24"/>
          <w:szCs w:val="24"/>
        </w:rPr>
        <w:br w:type="page"/>
      </w:r>
    </w:p>
    <w:p w14:paraId="431475D0" w14:textId="73BF54B2" w:rsidR="00111CC0" w:rsidRPr="00D715AF" w:rsidRDefault="00111CC0" w:rsidP="008D4C2B">
      <w:pPr>
        <w:spacing w:line="240" w:lineRule="auto"/>
        <w:rPr>
          <w:sz w:val="24"/>
          <w:szCs w:val="24"/>
        </w:rPr>
      </w:pPr>
      <w:r w:rsidRPr="00D715AF">
        <w:rPr>
          <w:sz w:val="24"/>
          <w:szCs w:val="24"/>
        </w:rPr>
        <w:t>Prehľad výdavkov na spolufinancovanie zo štátneho rozpočtu k zahraničným grantom z EÚ a k prostriedkom poskytnutým na základe medzinárodných zmlúv je uvedený v nasledovnej tabuľke:</w:t>
      </w:r>
    </w:p>
    <w:tbl>
      <w:tblPr>
        <w:tblW w:w="4985" w:type="pct"/>
        <w:tblLayout w:type="fixed"/>
        <w:tblCellMar>
          <w:left w:w="70" w:type="dxa"/>
          <w:right w:w="70" w:type="dxa"/>
        </w:tblCellMar>
        <w:tblLook w:val="04A0" w:firstRow="1" w:lastRow="0" w:firstColumn="1" w:lastColumn="0" w:noHBand="0" w:noVBand="1"/>
      </w:tblPr>
      <w:tblGrid>
        <w:gridCol w:w="3358"/>
        <w:gridCol w:w="1005"/>
        <w:gridCol w:w="1007"/>
        <w:gridCol w:w="1080"/>
        <w:gridCol w:w="976"/>
        <w:gridCol w:w="254"/>
        <w:gridCol w:w="652"/>
        <w:gridCol w:w="854"/>
      </w:tblGrid>
      <w:tr w:rsidR="00111CC0" w:rsidRPr="00C0771E" w14:paraId="796B4611" w14:textId="77777777" w:rsidTr="00111CC0">
        <w:trPr>
          <w:trHeight w:val="263"/>
        </w:trPr>
        <w:tc>
          <w:tcPr>
            <w:tcW w:w="4535" w:type="pct"/>
            <w:gridSpan w:val="7"/>
            <w:tcBorders>
              <w:top w:val="nil"/>
              <w:left w:val="nil"/>
              <w:bottom w:val="nil"/>
              <w:right w:val="nil"/>
            </w:tcBorders>
            <w:shd w:val="clear" w:color="000000" w:fill="000000"/>
            <w:noWrap/>
            <w:vAlign w:val="bottom"/>
            <w:hideMark/>
          </w:tcPr>
          <w:p w14:paraId="49D1D2E3" w14:textId="77777777" w:rsidR="00111CC0" w:rsidRPr="00C0771E" w:rsidRDefault="00111CC0" w:rsidP="00111CC0">
            <w:pPr>
              <w:spacing w:after="0" w:line="240" w:lineRule="auto"/>
              <w:jc w:val="left"/>
              <w:rPr>
                <w:rFonts w:eastAsia="Times New Roman" w:cs="Times New Roman"/>
                <w:b/>
                <w:bCs/>
                <w:color w:val="FFFFFF"/>
                <w:sz w:val="18"/>
                <w:szCs w:val="18"/>
                <w:lang w:eastAsia="sk-SK"/>
              </w:rPr>
            </w:pPr>
            <w:bookmarkStart w:id="69" w:name="RANGE!A1:G11"/>
            <w:r w:rsidRPr="00C0771E">
              <w:rPr>
                <w:rFonts w:eastAsia="Times New Roman" w:cs="Times New Roman"/>
                <w:b/>
                <w:bCs/>
                <w:color w:val="FFFFFF"/>
                <w:sz w:val="18"/>
                <w:szCs w:val="18"/>
                <w:lang w:eastAsia="sk-SK"/>
              </w:rPr>
              <w:t xml:space="preserve">Spolufinancovanie zo ŠR k zahraničným grantom/k prostriedkom poskytnutým na základe medzinárodných zmlúv </w:t>
            </w:r>
            <w:bookmarkEnd w:id="69"/>
          </w:p>
        </w:tc>
        <w:tc>
          <w:tcPr>
            <w:tcW w:w="465" w:type="pct"/>
            <w:tcBorders>
              <w:top w:val="nil"/>
              <w:left w:val="nil"/>
              <w:bottom w:val="nil"/>
              <w:right w:val="nil"/>
            </w:tcBorders>
            <w:shd w:val="clear" w:color="000000" w:fill="000000"/>
            <w:noWrap/>
            <w:vAlign w:val="bottom"/>
            <w:hideMark/>
          </w:tcPr>
          <w:p w14:paraId="1194180C" w14:textId="77777777" w:rsidR="00111CC0" w:rsidRPr="00C0771E" w:rsidRDefault="00111CC0" w:rsidP="00111CC0">
            <w:pPr>
              <w:spacing w:after="0" w:line="240" w:lineRule="auto"/>
              <w:jc w:val="left"/>
              <w:rPr>
                <w:rFonts w:eastAsia="Times New Roman" w:cs="Times New Roman"/>
                <w:b/>
                <w:bCs/>
                <w:color w:val="FFFFFF"/>
                <w:sz w:val="18"/>
                <w:szCs w:val="18"/>
                <w:lang w:eastAsia="sk-SK"/>
              </w:rPr>
            </w:pPr>
            <w:r w:rsidRPr="00C0771E">
              <w:rPr>
                <w:rFonts w:eastAsia="Times New Roman" w:cs="Times New Roman"/>
                <w:b/>
                <w:bCs/>
                <w:color w:val="FFFFFF"/>
                <w:sz w:val="18"/>
                <w:szCs w:val="18"/>
                <w:lang w:eastAsia="sk-SK"/>
              </w:rPr>
              <w:t>v tis. eur</w:t>
            </w:r>
          </w:p>
        </w:tc>
      </w:tr>
      <w:tr w:rsidR="00111CC0" w:rsidRPr="00C0771E" w14:paraId="0BB071CB" w14:textId="77777777" w:rsidTr="00EA0787">
        <w:trPr>
          <w:trHeight w:val="263"/>
        </w:trPr>
        <w:tc>
          <w:tcPr>
            <w:tcW w:w="1828" w:type="pct"/>
            <w:tcBorders>
              <w:top w:val="nil"/>
              <w:left w:val="nil"/>
              <w:bottom w:val="nil"/>
              <w:right w:val="nil"/>
            </w:tcBorders>
            <w:shd w:val="clear" w:color="000000" w:fill="BFBFBF"/>
            <w:vAlign w:val="center"/>
            <w:hideMark/>
          </w:tcPr>
          <w:p w14:paraId="236C05D8" w14:textId="77777777" w:rsidR="00111CC0" w:rsidRPr="00C0771E" w:rsidRDefault="00111CC0" w:rsidP="00111CC0">
            <w:pPr>
              <w:spacing w:after="0" w:line="240" w:lineRule="auto"/>
              <w:jc w:val="left"/>
              <w:rPr>
                <w:rFonts w:eastAsia="Times New Roman" w:cs="Times New Roman"/>
                <w:b/>
                <w:bCs/>
                <w:color w:val="FFFFFF"/>
                <w:sz w:val="18"/>
                <w:szCs w:val="18"/>
                <w:lang w:eastAsia="sk-SK"/>
              </w:rPr>
            </w:pPr>
            <w:r w:rsidRPr="00C0771E">
              <w:rPr>
                <w:rFonts w:eastAsia="Times New Roman" w:cs="Times New Roman"/>
                <w:b/>
                <w:bCs/>
                <w:color w:val="FFFFFF"/>
                <w:sz w:val="18"/>
                <w:szCs w:val="18"/>
                <w:lang w:eastAsia="sk-SK"/>
              </w:rPr>
              <w:t> </w:t>
            </w:r>
          </w:p>
        </w:tc>
        <w:tc>
          <w:tcPr>
            <w:tcW w:w="1095" w:type="pct"/>
            <w:gridSpan w:val="2"/>
            <w:tcBorders>
              <w:top w:val="nil"/>
              <w:left w:val="nil"/>
              <w:bottom w:val="nil"/>
              <w:right w:val="nil"/>
            </w:tcBorders>
            <w:shd w:val="clear" w:color="000000" w:fill="BFBFBF"/>
            <w:vAlign w:val="center"/>
            <w:hideMark/>
          </w:tcPr>
          <w:p w14:paraId="0228F921" w14:textId="77777777" w:rsidR="00111CC0" w:rsidRPr="00C0771E" w:rsidRDefault="00111CC0" w:rsidP="00111CC0">
            <w:pPr>
              <w:spacing w:after="0" w:line="240" w:lineRule="auto"/>
              <w:jc w:val="center"/>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Skutočnosť</w:t>
            </w:r>
          </w:p>
        </w:tc>
        <w:tc>
          <w:tcPr>
            <w:tcW w:w="588" w:type="pct"/>
            <w:tcBorders>
              <w:top w:val="nil"/>
              <w:left w:val="nil"/>
              <w:bottom w:val="nil"/>
              <w:right w:val="nil"/>
            </w:tcBorders>
            <w:shd w:val="clear" w:color="000000" w:fill="BFBFBF"/>
            <w:vAlign w:val="center"/>
            <w:hideMark/>
          </w:tcPr>
          <w:p w14:paraId="78EA094D" w14:textId="77777777" w:rsidR="00111CC0" w:rsidRPr="00C0771E" w:rsidRDefault="00111CC0" w:rsidP="00111CC0">
            <w:pPr>
              <w:spacing w:after="0" w:line="240" w:lineRule="auto"/>
              <w:jc w:val="center"/>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Rozpočet</w:t>
            </w:r>
          </w:p>
        </w:tc>
        <w:tc>
          <w:tcPr>
            <w:tcW w:w="669" w:type="pct"/>
            <w:gridSpan w:val="2"/>
            <w:tcBorders>
              <w:top w:val="nil"/>
              <w:left w:val="nil"/>
              <w:bottom w:val="nil"/>
              <w:right w:val="nil"/>
            </w:tcBorders>
            <w:shd w:val="clear" w:color="000000" w:fill="BFBFBF"/>
            <w:vAlign w:val="center"/>
            <w:hideMark/>
          </w:tcPr>
          <w:p w14:paraId="4573D685" w14:textId="77777777" w:rsidR="00111CC0" w:rsidRPr="00C0771E" w:rsidRDefault="00111CC0" w:rsidP="00111CC0">
            <w:pPr>
              <w:spacing w:after="0" w:line="240" w:lineRule="auto"/>
              <w:jc w:val="center"/>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Skutočnosť</w:t>
            </w:r>
          </w:p>
        </w:tc>
        <w:tc>
          <w:tcPr>
            <w:tcW w:w="819" w:type="pct"/>
            <w:gridSpan w:val="2"/>
            <w:tcBorders>
              <w:top w:val="nil"/>
              <w:left w:val="nil"/>
              <w:bottom w:val="nil"/>
              <w:right w:val="nil"/>
            </w:tcBorders>
            <w:shd w:val="clear" w:color="000000" w:fill="BFBFBF"/>
            <w:vAlign w:val="center"/>
            <w:hideMark/>
          </w:tcPr>
          <w:p w14:paraId="07F98D5A" w14:textId="77777777" w:rsidR="00111CC0" w:rsidRPr="00C0771E" w:rsidRDefault="00111CC0" w:rsidP="00111CC0">
            <w:pPr>
              <w:spacing w:after="0" w:line="240" w:lineRule="auto"/>
              <w:jc w:val="center"/>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Rozdiel</w:t>
            </w:r>
          </w:p>
        </w:tc>
      </w:tr>
      <w:tr w:rsidR="00111CC0" w:rsidRPr="00C0771E" w14:paraId="6507ADBC" w14:textId="77777777" w:rsidTr="00EA0787">
        <w:trPr>
          <w:trHeight w:val="263"/>
        </w:trPr>
        <w:tc>
          <w:tcPr>
            <w:tcW w:w="1828" w:type="pct"/>
            <w:tcBorders>
              <w:top w:val="nil"/>
              <w:left w:val="nil"/>
              <w:bottom w:val="nil"/>
              <w:right w:val="nil"/>
            </w:tcBorders>
            <w:shd w:val="clear" w:color="000000" w:fill="BFBFBF"/>
            <w:vAlign w:val="center"/>
            <w:hideMark/>
          </w:tcPr>
          <w:p w14:paraId="0B0A1FCA" w14:textId="77777777" w:rsidR="00111CC0" w:rsidRPr="00C0771E" w:rsidRDefault="00111CC0" w:rsidP="00111CC0">
            <w:pPr>
              <w:spacing w:after="0" w:line="240" w:lineRule="auto"/>
              <w:jc w:val="center"/>
              <w:rPr>
                <w:rFonts w:eastAsia="Times New Roman" w:cs="Times New Roman"/>
                <w:b/>
                <w:bCs/>
                <w:sz w:val="18"/>
                <w:szCs w:val="18"/>
                <w:lang w:eastAsia="sk-SK"/>
              </w:rPr>
            </w:pPr>
            <w:r w:rsidRPr="00C0771E">
              <w:rPr>
                <w:rFonts w:eastAsia="Times New Roman" w:cs="Times New Roman"/>
                <w:b/>
                <w:bCs/>
                <w:sz w:val="18"/>
                <w:szCs w:val="18"/>
                <w:lang w:eastAsia="sk-SK"/>
              </w:rPr>
              <w:t> </w:t>
            </w:r>
          </w:p>
        </w:tc>
        <w:tc>
          <w:tcPr>
            <w:tcW w:w="547" w:type="pct"/>
            <w:tcBorders>
              <w:top w:val="nil"/>
              <w:left w:val="nil"/>
              <w:bottom w:val="nil"/>
              <w:right w:val="nil"/>
            </w:tcBorders>
            <w:shd w:val="clear" w:color="000000" w:fill="BFBFBF"/>
            <w:vAlign w:val="center"/>
            <w:hideMark/>
          </w:tcPr>
          <w:p w14:paraId="1E722DD9" w14:textId="77777777" w:rsidR="00111CC0" w:rsidRPr="00C0771E" w:rsidRDefault="00111CC0" w:rsidP="00111CC0">
            <w:pPr>
              <w:spacing w:after="0" w:line="240" w:lineRule="auto"/>
              <w:jc w:val="center"/>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2018</w:t>
            </w:r>
          </w:p>
        </w:tc>
        <w:tc>
          <w:tcPr>
            <w:tcW w:w="548" w:type="pct"/>
            <w:tcBorders>
              <w:top w:val="nil"/>
              <w:left w:val="nil"/>
              <w:bottom w:val="nil"/>
              <w:right w:val="nil"/>
            </w:tcBorders>
            <w:shd w:val="clear" w:color="000000" w:fill="BFBFBF"/>
            <w:vAlign w:val="center"/>
            <w:hideMark/>
          </w:tcPr>
          <w:p w14:paraId="1D55B0C8" w14:textId="77777777" w:rsidR="00111CC0" w:rsidRPr="00C0771E" w:rsidRDefault="00111CC0" w:rsidP="00111CC0">
            <w:pPr>
              <w:spacing w:after="0" w:line="240" w:lineRule="auto"/>
              <w:jc w:val="center"/>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2019</w:t>
            </w:r>
          </w:p>
        </w:tc>
        <w:tc>
          <w:tcPr>
            <w:tcW w:w="588" w:type="pct"/>
            <w:tcBorders>
              <w:top w:val="nil"/>
              <w:left w:val="nil"/>
              <w:bottom w:val="nil"/>
              <w:right w:val="nil"/>
            </w:tcBorders>
            <w:shd w:val="clear" w:color="000000" w:fill="BFBFBF"/>
            <w:vAlign w:val="center"/>
            <w:hideMark/>
          </w:tcPr>
          <w:p w14:paraId="7B6B9F0D" w14:textId="77777777" w:rsidR="00111CC0" w:rsidRPr="00C0771E" w:rsidRDefault="00111CC0" w:rsidP="00111CC0">
            <w:pPr>
              <w:spacing w:after="0" w:line="240" w:lineRule="auto"/>
              <w:jc w:val="center"/>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2020</w:t>
            </w:r>
          </w:p>
        </w:tc>
        <w:tc>
          <w:tcPr>
            <w:tcW w:w="531" w:type="pct"/>
            <w:tcBorders>
              <w:top w:val="nil"/>
              <w:left w:val="nil"/>
              <w:bottom w:val="nil"/>
              <w:right w:val="nil"/>
            </w:tcBorders>
            <w:shd w:val="clear" w:color="000000" w:fill="BFBFBF"/>
            <w:vAlign w:val="center"/>
            <w:hideMark/>
          </w:tcPr>
          <w:p w14:paraId="6AC1B0FA" w14:textId="77777777" w:rsidR="00111CC0" w:rsidRPr="00C0771E" w:rsidRDefault="00111CC0" w:rsidP="00111CC0">
            <w:pPr>
              <w:spacing w:after="0" w:line="240" w:lineRule="auto"/>
              <w:jc w:val="center"/>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2020</w:t>
            </w:r>
          </w:p>
        </w:tc>
        <w:tc>
          <w:tcPr>
            <w:tcW w:w="493" w:type="pct"/>
            <w:gridSpan w:val="2"/>
            <w:tcBorders>
              <w:top w:val="nil"/>
              <w:left w:val="nil"/>
              <w:bottom w:val="nil"/>
              <w:right w:val="nil"/>
            </w:tcBorders>
            <w:shd w:val="clear" w:color="000000" w:fill="BFBFBF"/>
            <w:vAlign w:val="center"/>
            <w:hideMark/>
          </w:tcPr>
          <w:p w14:paraId="23AF5F62" w14:textId="77777777" w:rsidR="00111CC0" w:rsidRPr="00C0771E" w:rsidRDefault="00111CC0" w:rsidP="00111CC0">
            <w:pPr>
              <w:spacing w:after="0" w:line="240" w:lineRule="auto"/>
              <w:jc w:val="center"/>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v tis. eur</w:t>
            </w:r>
          </w:p>
        </w:tc>
        <w:tc>
          <w:tcPr>
            <w:tcW w:w="465" w:type="pct"/>
            <w:tcBorders>
              <w:top w:val="nil"/>
              <w:left w:val="nil"/>
              <w:bottom w:val="nil"/>
              <w:right w:val="nil"/>
            </w:tcBorders>
            <w:shd w:val="clear" w:color="000000" w:fill="BFBFBF"/>
            <w:vAlign w:val="center"/>
            <w:hideMark/>
          </w:tcPr>
          <w:p w14:paraId="19EAF00C" w14:textId="77777777" w:rsidR="00111CC0" w:rsidRPr="00C0771E" w:rsidRDefault="00111CC0" w:rsidP="00111CC0">
            <w:pPr>
              <w:spacing w:after="0" w:line="240" w:lineRule="auto"/>
              <w:jc w:val="center"/>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v %</w:t>
            </w:r>
          </w:p>
        </w:tc>
      </w:tr>
      <w:tr w:rsidR="00111CC0" w:rsidRPr="00C0771E" w14:paraId="0C267479" w14:textId="77777777" w:rsidTr="00EA0787">
        <w:trPr>
          <w:trHeight w:val="275"/>
        </w:trPr>
        <w:tc>
          <w:tcPr>
            <w:tcW w:w="1828" w:type="pct"/>
            <w:tcBorders>
              <w:top w:val="nil"/>
              <w:left w:val="nil"/>
              <w:bottom w:val="single" w:sz="8" w:space="0" w:color="auto"/>
              <w:right w:val="nil"/>
            </w:tcBorders>
            <w:shd w:val="clear" w:color="000000" w:fill="BFBFBF"/>
            <w:vAlign w:val="center"/>
            <w:hideMark/>
          </w:tcPr>
          <w:p w14:paraId="72A0FA08" w14:textId="77777777" w:rsidR="00111CC0" w:rsidRPr="00C0771E" w:rsidRDefault="00111CC0" w:rsidP="00111CC0">
            <w:pPr>
              <w:spacing w:after="0" w:line="240" w:lineRule="auto"/>
              <w:jc w:val="left"/>
              <w:rPr>
                <w:rFonts w:eastAsia="Times New Roman" w:cs="Times New Roman"/>
                <w:b/>
                <w:bCs/>
                <w:color w:val="FFFFFF"/>
                <w:sz w:val="18"/>
                <w:szCs w:val="18"/>
                <w:lang w:eastAsia="sk-SK"/>
              </w:rPr>
            </w:pPr>
            <w:r w:rsidRPr="00C0771E">
              <w:rPr>
                <w:rFonts w:eastAsia="Times New Roman" w:cs="Times New Roman"/>
                <w:b/>
                <w:bCs/>
                <w:color w:val="FFFFFF"/>
                <w:sz w:val="18"/>
                <w:szCs w:val="18"/>
                <w:lang w:eastAsia="sk-SK"/>
              </w:rPr>
              <w:t> </w:t>
            </w:r>
          </w:p>
        </w:tc>
        <w:tc>
          <w:tcPr>
            <w:tcW w:w="547" w:type="pct"/>
            <w:tcBorders>
              <w:top w:val="nil"/>
              <w:left w:val="nil"/>
              <w:bottom w:val="single" w:sz="8" w:space="0" w:color="auto"/>
              <w:right w:val="nil"/>
            </w:tcBorders>
            <w:shd w:val="clear" w:color="000000" w:fill="BFBFBF"/>
            <w:vAlign w:val="center"/>
            <w:hideMark/>
          </w:tcPr>
          <w:p w14:paraId="24A504F6" w14:textId="77777777" w:rsidR="00111CC0" w:rsidRPr="00C0771E" w:rsidRDefault="00111CC0" w:rsidP="00111CC0">
            <w:pPr>
              <w:spacing w:after="0" w:line="240" w:lineRule="auto"/>
              <w:jc w:val="center"/>
              <w:rPr>
                <w:rFonts w:eastAsia="Times New Roman" w:cs="Times New Roman"/>
                <w:b/>
                <w:bCs/>
                <w:sz w:val="18"/>
                <w:szCs w:val="18"/>
                <w:lang w:eastAsia="sk-SK"/>
              </w:rPr>
            </w:pPr>
            <w:r w:rsidRPr="00C0771E">
              <w:rPr>
                <w:rFonts w:eastAsia="Times New Roman" w:cs="Times New Roman"/>
                <w:b/>
                <w:bCs/>
                <w:sz w:val="18"/>
                <w:szCs w:val="18"/>
                <w:lang w:eastAsia="sk-SK"/>
              </w:rPr>
              <w:t>1</w:t>
            </w:r>
          </w:p>
        </w:tc>
        <w:tc>
          <w:tcPr>
            <w:tcW w:w="548" w:type="pct"/>
            <w:tcBorders>
              <w:top w:val="nil"/>
              <w:left w:val="nil"/>
              <w:bottom w:val="single" w:sz="8" w:space="0" w:color="auto"/>
              <w:right w:val="nil"/>
            </w:tcBorders>
            <w:shd w:val="clear" w:color="000000" w:fill="BFBFBF"/>
            <w:vAlign w:val="center"/>
            <w:hideMark/>
          </w:tcPr>
          <w:p w14:paraId="69BC152D" w14:textId="77777777" w:rsidR="00111CC0" w:rsidRPr="00C0771E" w:rsidRDefault="00111CC0" w:rsidP="00111CC0">
            <w:pPr>
              <w:spacing w:after="0" w:line="240" w:lineRule="auto"/>
              <w:jc w:val="center"/>
              <w:rPr>
                <w:rFonts w:eastAsia="Times New Roman" w:cs="Times New Roman"/>
                <w:b/>
                <w:bCs/>
                <w:sz w:val="18"/>
                <w:szCs w:val="18"/>
                <w:lang w:eastAsia="sk-SK"/>
              </w:rPr>
            </w:pPr>
            <w:r w:rsidRPr="00C0771E">
              <w:rPr>
                <w:rFonts w:eastAsia="Times New Roman" w:cs="Times New Roman"/>
                <w:b/>
                <w:bCs/>
                <w:sz w:val="18"/>
                <w:szCs w:val="18"/>
                <w:lang w:eastAsia="sk-SK"/>
              </w:rPr>
              <w:t>2</w:t>
            </w:r>
          </w:p>
        </w:tc>
        <w:tc>
          <w:tcPr>
            <w:tcW w:w="588" w:type="pct"/>
            <w:tcBorders>
              <w:top w:val="nil"/>
              <w:left w:val="nil"/>
              <w:bottom w:val="single" w:sz="8" w:space="0" w:color="auto"/>
              <w:right w:val="nil"/>
            </w:tcBorders>
            <w:shd w:val="clear" w:color="000000" w:fill="BFBFBF"/>
            <w:vAlign w:val="center"/>
            <w:hideMark/>
          </w:tcPr>
          <w:p w14:paraId="6F8547F2" w14:textId="77777777" w:rsidR="00111CC0" w:rsidRPr="00C0771E" w:rsidRDefault="00111CC0" w:rsidP="00111CC0">
            <w:pPr>
              <w:spacing w:after="0" w:line="240" w:lineRule="auto"/>
              <w:jc w:val="center"/>
              <w:rPr>
                <w:rFonts w:eastAsia="Times New Roman" w:cs="Times New Roman"/>
                <w:b/>
                <w:bCs/>
                <w:sz w:val="18"/>
                <w:szCs w:val="18"/>
                <w:lang w:eastAsia="sk-SK"/>
              </w:rPr>
            </w:pPr>
            <w:r w:rsidRPr="00C0771E">
              <w:rPr>
                <w:rFonts w:eastAsia="Times New Roman" w:cs="Times New Roman"/>
                <w:b/>
                <w:bCs/>
                <w:sz w:val="18"/>
                <w:szCs w:val="18"/>
                <w:lang w:eastAsia="sk-SK"/>
              </w:rPr>
              <w:t>3</w:t>
            </w:r>
          </w:p>
        </w:tc>
        <w:tc>
          <w:tcPr>
            <w:tcW w:w="531" w:type="pct"/>
            <w:tcBorders>
              <w:top w:val="nil"/>
              <w:left w:val="nil"/>
              <w:bottom w:val="single" w:sz="8" w:space="0" w:color="auto"/>
              <w:right w:val="nil"/>
            </w:tcBorders>
            <w:shd w:val="clear" w:color="000000" w:fill="BFBFBF"/>
            <w:vAlign w:val="center"/>
            <w:hideMark/>
          </w:tcPr>
          <w:p w14:paraId="6725FEA1" w14:textId="77777777" w:rsidR="00111CC0" w:rsidRPr="00C0771E" w:rsidRDefault="00111CC0" w:rsidP="00111CC0">
            <w:pPr>
              <w:spacing w:after="0" w:line="240" w:lineRule="auto"/>
              <w:jc w:val="center"/>
              <w:rPr>
                <w:rFonts w:eastAsia="Times New Roman" w:cs="Times New Roman"/>
                <w:b/>
                <w:bCs/>
                <w:sz w:val="18"/>
                <w:szCs w:val="18"/>
                <w:lang w:eastAsia="sk-SK"/>
              </w:rPr>
            </w:pPr>
            <w:r w:rsidRPr="00C0771E">
              <w:rPr>
                <w:rFonts w:eastAsia="Times New Roman" w:cs="Times New Roman"/>
                <w:b/>
                <w:bCs/>
                <w:sz w:val="18"/>
                <w:szCs w:val="18"/>
                <w:lang w:eastAsia="sk-SK"/>
              </w:rPr>
              <w:t>4</w:t>
            </w:r>
          </w:p>
        </w:tc>
        <w:tc>
          <w:tcPr>
            <w:tcW w:w="493" w:type="pct"/>
            <w:gridSpan w:val="2"/>
            <w:tcBorders>
              <w:top w:val="nil"/>
              <w:left w:val="nil"/>
              <w:bottom w:val="single" w:sz="8" w:space="0" w:color="auto"/>
              <w:right w:val="nil"/>
            </w:tcBorders>
            <w:shd w:val="clear" w:color="000000" w:fill="BFBFBF"/>
            <w:vAlign w:val="center"/>
            <w:hideMark/>
          </w:tcPr>
          <w:p w14:paraId="37A66019" w14:textId="77777777" w:rsidR="00111CC0" w:rsidRPr="00C0771E" w:rsidRDefault="00111CC0" w:rsidP="00111CC0">
            <w:pPr>
              <w:spacing w:after="0" w:line="240" w:lineRule="auto"/>
              <w:jc w:val="center"/>
              <w:rPr>
                <w:rFonts w:eastAsia="Times New Roman" w:cs="Times New Roman"/>
                <w:b/>
                <w:bCs/>
                <w:sz w:val="18"/>
                <w:szCs w:val="18"/>
                <w:lang w:eastAsia="sk-SK"/>
              </w:rPr>
            </w:pPr>
            <w:r w:rsidRPr="00C0771E">
              <w:rPr>
                <w:rFonts w:eastAsia="Times New Roman" w:cs="Times New Roman"/>
                <w:b/>
                <w:bCs/>
                <w:sz w:val="18"/>
                <w:szCs w:val="18"/>
                <w:lang w:eastAsia="sk-SK"/>
              </w:rPr>
              <w:t>5=4-3</w:t>
            </w:r>
          </w:p>
        </w:tc>
        <w:tc>
          <w:tcPr>
            <w:tcW w:w="465" w:type="pct"/>
            <w:tcBorders>
              <w:top w:val="nil"/>
              <w:left w:val="nil"/>
              <w:bottom w:val="single" w:sz="8" w:space="0" w:color="auto"/>
              <w:right w:val="nil"/>
            </w:tcBorders>
            <w:shd w:val="clear" w:color="000000" w:fill="BFBFBF"/>
            <w:vAlign w:val="center"/>
            <w:hideMark/>
          </w:tcPr>
          <w:p w14:paraId="04C1715B" w14:textId="77777777" w:rsidR="00111CC0" w:rsidRPr="00C0771E" w:rsidRDefault="00111CC0" w:rsidP="00111CC0">
            <w:pPr>
              <w:spacing w:after="0" w:line="240" w:lineRule="auto"/>
              <w:jc w:val="center"/>
              <w:rPr>
                <w:rFonts w:eastAsia="Times New Roman" w:cs="Times New Roman"/>
                <w:b/>
                <w:bCs/>
                <w:sz w:val="18"/>
                <w:szCs w:val="18"/>
                <w:lang w:eastAsia="sk-SK"/>
              </w:rPr>
            </w:pPr>
            <w:r w:rsidRPr="00C0771E">
              <w:rPr>
                <w:rFonts w:eastAsia="Times New Roman" w:cs="Times New Roman"/>
                <w:b/>
                <w:bCs/>
                <w:sz w:val="18"/>
                <w:szCs w:val="18"/>
                <w:lang w:eastAsia="sk-SK"/>
              </w:rPr>
              <w:t>6=4-3</w:t>
            </w:r>
          </w:p>
        </w:tc>
      </w:tr>
      <w:tr w:rsidR="00111CC0" w:rsidRPr="00C0771E" w14:paraId="1E530225" w14:textId="77777777" w:rsidTr="00EA0787">
        <w:trPr>
          <w:trHeight w:val="406"/>
        </w:trPr>
        <w:tc>
          <w:tcPr>
            <w:tcW w:w="1828" w:type="pct"/>
            <w:tcBorders>
              <w:top w:val="nil"/>
              <w:left w:val="nil"/>
              <w:bottom w:val="nil"/>
              <w:right w:val="nil"/>
            </w:tcBorders>
            <w:shd w:val="clear" w:color="000000" w:fill="FFFFFF"/>
            <w:vAlign w:val="center"/>
            <w:hideMark/>
          </w:tcPr>
          <w:p w14:paraId="3A4EF337" w14:textId="77777777" w:rsidR="00111CC0" w:rsidRPr="00C0771E" w:rsidRDefault="00111CC0" w:rsidP="00111CC0">
            <w:pPr>
              <w:spacing w:after="0" w:line="240" w:lineRule="auto"/>
              <w:jc w:val="left"/>
              <w:rPr>
                <w:rFonts w:eastAsia="Times New Roman" w:cs="Times New Roman"/>
                <w:color w:val="000000"/>
                <w:sz w:val="18"/>
                <w:szCs w:val="18"/>
                <w:lang w:eastAsia="sk-SK"/>
              </w:rPr>
            </w:pPr>
            <w:r w:rsidRPr="00C0771E">
              <w:rPr>
                <w:rFonts w:eastAsia="Times New Roman" w:cs="Times New Roman"/>
                <w:color w:val="000000"/>
                <w:sz w:val="18"/>
                <w:szCs w:val="18"/>
                <w:lang w:eastAsia="sk-SK"/>
              </w:rPr>
              <w:t xml:space="preserve">Finančný nástroj pre životné prostredie </w:t>
            </w:r>
            <w:r w:rsidRPr="00C0771E">
              <w:rPr>
                <w:rFonts w:eastAsia="Times New Roman" w:cs="Times New Roman"/>
                <w:color w:val="000000"/>
                <w:sz w:val="18"/>
                <w:szCs w:val="18"/>
                <w:lang w:eastAsia="sk-SK"/>
              </w:rPr>
              <w:br/>
              <w:t>LIFE + (2. a 3. programové obdobie)</w:t>
            </w:r>
          </w:p>
        </w:tc>
        <w:tc>
          <w:tcPr>
            <w:tcW w:w="547" w:type="pct"/>
            <w:tcBorders>
              <w:top w:val="nil"/>
              <w:left w:val="nil"/>
              <w:bottom w:val="nil"/>
              <w:right w:val="nil"/>
            </w:tcBorders>
            <w:shd w:val="clear" w:color="000000" w:fill="FFFFFF"/>
            <w:noWrap/>
            <w:vAlign w:val="center"/>
            <w:hideMark/>
          </w:tcPr>
          <w:p w14:paraId="01D553BC"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1 548</w:t>
            </w:r>
          </w:p>
        </w:tc>
        <w:tc>
          <w:tcPr>
            <w:tcW w:w="548" w:type="pct"/>
            <w:tcBorders>
              <w:top w:val="nil"/>
              <w:left w:val="nil"/>
              <w:bottom w:val="nil"/>
              <w:right w:val="nil"/>
            </w:tcBorders>
            <w:shd w:val="clear" w:color="000000" w:fill="FFFFFF"/>
            <w:noWrap/>
            <w:vAlign w:val="center"/>
            <w:hideMark/>
          </w:tcPr>
          <w:p w14:paraId="6FFA0319"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3 145</w:t>
            </w:r>
          </w:p>
        </w:tc>
        <w:tc>
          <w:tcPr>
            <w:tcW w:w="588" w:type="pct"/>
            <w:tcBorders>
              <w:top w:val="nil"/>
              <w:left w:val="nil"/>
              <w:bottom w:val="nil"/>
              <w:right w:val="nil"/>
            </w:tcBorders>
            <w:shd w:val="clear" w:color="000000" w:fill="FFFFFF"/>
            <w:noWrap/>
            <w:vAlign w:val="center"/>
            <w:hideMark/>
          </w:tcPr>
          <w:p w14:paraId="6555D1F0"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1 500</w:t>
            </w:r>
          </w:p>
        </w:tc>
        <w:tc>
          <w:tcPr>
            <w:tcW w:w="531" w:type="pct"/>
            <w:tcBorders>
              <w:top w:val="nil"/>
              <w:left w:val="nil"/>
              <w:bottom w:val="nil"/>
              <w:right w:val="nil"/>
            </w:tcBorders>
            <w:shd w:val="clear" w:color="000000" w:fill="FFFFFF"/>
            <w:noWrap/>
            <w:vAlign w:val="center"/>
            <w:hideMark/>
          </w:tcPr>
          <w:p w14:paraId="2863DEB2"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1 571</w:t>
            </w:r>
          </w:p>
        </w:tc>
        <w:tc>
          <w:tcPr>
            <w:tcW w:w="493" w:type="pct"/>
            <w:gridSpan w:val="2"/>
            <w:tcBorders>
              <w:top w:val="nil"/>
              <w:left w:val="nil"/>
              <w:bottom w:val="nil"/>
              <w:right w:val="nil"/>
            </w:tcBorders>
            <w:shd w:val="clear" w:color="000000" w:fill="FFFFFF"/>
            <w:noWrap/>
            <w:vAlign w:val="center"/>
            <w:hideMark/>
          </w:tcPr>
          <w:p w14:paraId="1A632BD5"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71</w:t>
            </w:r>
          </w:p>
        </w:tc>
        <w:tc>
          <w:tcPr>
            <w:tcW w:w="465" w:type="pct"/>
            <w:tcBorders>
              <w:top w:val="nil"/>
              <w:left w:val="nil"/>
              <w:bottom w:val="nil"/>
              <w:right w:val="nil"/>
            </w:tcBorders>
            <w:shd w:val="clear" w:color="000000" w:fill="FFFFFF"/>
            <w:noWrap/>
            <w:vAlign w:val="center"/>
            <w:hideMark/>
          </w:tcPr>
          <w:p w14:paraId="699543B2"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4,7</w:t>
            </w:r>
          </w:p>
        </w:tc>
      </w:tr>
      <w:tr w:rsidR="00111CC0" w:rsidRPr="00C0771E" w14:paraId="146BCD66" w14:textId="77777777" w:rsidTr="00EA0787">
        <w:trPr>
          <w:trHeight w:val="263"/>
        </w:trPr>
        <w:tc>
          <w:tcPr>
            <w:tcW w:w="1828" w:type="pct"/>
            <w:tcBorders>
              <w:top w:val="nil"/>
              <w:left w:val="nil"/>
              <w:bottom w:val="nil"/>
              <w:right w:val="nil"/>
            </w:tcBorders>
            <w:shd w:val="clear" w:color="000000" w:fill="FFFFFF"/>
            <w:vAlign w:val="center"/>
            <w:hideMark/>
          </w:tcPr>
          <w:p w14:paraId="7186104B" w14:textId="77777777" w:rsidR="00111CC0" w:rsidRPr="00C0771E" w:rsidRDefault="00111CC0" w:rsidP="00111CC0">
            <w:pPr>
              <w:spacing w:after="0" w:line="240" w:lineRule="auto"/>
              <w:jc w:val="left"/>
              <w:rPr>
                <w:rFonts w:eastAsia="Times New Roman" w:cs="Times New Roman"/>
                <w:color w:val="000000"/>
                <w:sz w:val="18"/>
                <w:szCs w:val="18"/>
                <w:lang w:eastAsia="sk-SK"/>
              </w:rPr>
            </w:pPr>
            <w:r w:rsidRPr="00C0771E">
              <w:rPr>
                <w:rFonts w:eastAsia="Times New Roman" w:cs="Times New Roman"/>
                <w:color w:val="000000"/>
                <w:sz w:val="18"/>
                <w:szCs w:val="18"/>
                <w:lang w:eastAsia="sk-SK"/>
              </w:rPr>
              <w:t>Programy EÚS (2. a 3. programové obdobie)</w:t>
            </w:r>
          </w:p>
        </w:tc>
        <w:tc>
          <w:tcPr>
            <w:tcW w:w="547" w:type="pct"/>
            <w:tcBorders>
              <w:top w:val="nil"/>
              <w:left w:val="nil"/>
              <w:bottom w:val="nil"/>
              <w:right w:val="nil"/>
            </w:tcBorders>
            <w:shd w:val="clear" w:color="000000" w:fill="FFFFFF"/>
            <w:noWrap/>
            <w:vAlign w:val="center"/>
            <w:hideMark/>
          </w:tcPr>
          <w:p w14:paraId="3F2BF8B2"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1 258</w:t>
            </w:r>
          </w:p>
        </w:tc>
        <w:tc>
          <w:tcPr>
            <w:tcW w:w="548" w:type="pct"/>
            <w:tcBorders>
              <w:top w:val="nil"/>
              <w:left w:val="nil"/>
              <w:bottom w:val="nil"/>
              <w:right w:val="nil"/>
            </w:tcBorders>
            <w:shd w:val="clear" w:color="000000" w:fill="FFFFFF"/>
            <w:noWrap/>
            <w:vAlign w:val="center"/>
            <w:hideMark/>
          </w:tcPr>
          <w:p w14:paraId="14F08A6D"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3 176</w:t>
            </w:r>
          </w:p>
        </w:tc>
        <w:tc>
          <w:tcPr>
            <w:tcW w:w="588" w:type="pct"/>
            <w:tcBorders>
              <w:top w:val="nil"/>
              <w:left w:val="nil"/>
              <w:bottom w:val="nil"/>
              <w:right w:val="nil"/>
            </w:tcBorders>
            <w:shd w:val="clear" w:color="000000" w:fill="FFFFFF"/>
            <w:noWrap/>
            <w:vAlign w:val="center"/>
            <w:hideMark/>
          </w:tcPr>
          <w:p w14:paraId="6AFB2F31"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2 935</w:t>
            </w:r>
          </w:p>
        </w:tc>
        <w:tc>
          <w:tcPr>
            <w:tcW w:w="531" w:type="pct"/>
            <w:tcBorders>
              <w:top w:val="nil"/>
              <w:left w:val="nil"/>
              <w:bottom w:val="nil"/>
              <w:right w:val="nil"/>
            </w:tcBorders>
            <w:shd w:val="clear" w:color="000000" w:fill="FFFFFF"/>
            <w:noWrap/>
            <w:vAlign w:val="center"/>
            <w:hideMark/>
          </w:tcPr>
          <w:p w14:paraId="414E6276"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2 005</w:t>
            </w:r>
          </w:p>
        </w:tc>
        <w:tc>
          <w:tcPr>
            <w:tcW w:w="493" w:type="pct"/>
            <w:gridSpan w:val="2"/>
            <w:tcBorders>
              <w:top w:val="nil"/>
              <w:left w:val="nil"/>
              <w:bottom w:val="nil"/>
              <w:right w:val="nil"/>
            </w:tcBorders>
            <w:shd w:val="clear" w:color="000000" w:fill="FFFFFF"/>
            <w:noWrap/>
            <w:vAlign w:val="center"/>
            <w:hideMark/>
          </w:tcPr>
          <w:p w14:paraId="772425DA"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-930</w:t>
            </w:r>
          </w:p>
        </w:tc>
        <w:tc>
          <w:tcPr>
            <w:tcW w:w="465" w:type="pct"/>
            <w:tcBorders>
              <w:top w:val="nil"/>
              <w:left w:val="nil"/>
              <w:bottom w:val="nil"/>
              <w:right w:val="nil"/>
            </w:tcBorders>
            <w:shd w:val="clear" w:color="000000" w:fill="FFFFFF"/>
            <w:noWrap/>
            <w:vAlign w:val="center"/>
            <w:hideMark/>
          </w:tcPr>
          <w:p w14:paraId="40CD05FF"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-31,7</w:t>
            </w:r>
          </w:p>
        </w:tc>
      </w:tr>
      <w:tr w:rsidR="00111CC0" w:rsidRPr="00C0771E" w14:paraId="744ED033" w14:textId="77777777" w:rsidTr="00EA0787">
        <w:trPr>
          <w:trHeight w:val="406"/>
        </w:trPr>
        <w:tc>
          <w:tcPr>
            <w:tcW w:w="1828" w:type="pct"/>
            <w:tcBorders>
              <w:top w:val="nil"/>
              <w:left w:val="nil"/>
              <w:bottom w:val="nil"/>
              <w:right w:val="nil"/>
            </w:tcBorders>
            <w:shd w:val="clear" w:color="000000" w:fill="FFFFFF"/>
            <w:vAlign w:val="center"/>
            <w:hideMark/>
          </w:tcPr>
          <w:p w14:paraId="06B379A8" w14:textId="77777777" w:rsidR="00111CC0" w:rsidRPr="00C0771E" w:rsidRDefault="00111CC0" w:rsidP="00111CC0">
            <w:pPr>
              <w:spacing w:after="0" w:line="240" w:lineRule="auto"/>
              <w:jc w:val="lef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Spolu spolufinancovanie k zahraničným grantom z prostriedkov EÚ</w:t>
            </w:r>
          </w:p>
        </w:tc>
        <w:tc>
          <w:tcPr>
            <w:tcW w:w="547" w:type="pct"/>
            <w:tcBorders>
              <w:top w:val="nil"/>
              <w:left w:val="nil"/>
              <w:bottom w:val="nil"/>
              <w:right w:val="nil"/>
            </w:tcBorders>
            <w:shd w:val="clear" w:color="000000" w:fill="FFFFFF"/>
            <w:noWrap/>
            <w:vAlign w:val="center"/>
            <w:hideMark/>
          </w:tcPr>
          <w:p w14:paraId="2E4ECCF7"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2 806</w:t>
            </w:r>
          </w:p>
        </w:tc>
        <w:tc>
          <w:tcPr>
            <w:tcW w:w="548" w:type="pct"/>
            <w:tcBorders>
              <w:top w:val="nil"/>
              <w:left w:val="nil"/>
              <w:bottom w:val="nil"/>
              <w:right w:val="nil"/>
            </w:tcBorders>
            <w:shd w:val="clear" w:color="000000" w:fill="FFFFFF"/>
            <w:noWrap/>
            <w:vAlign w:val="center"/>
            <w:hideMark/>
          </w:tcPr>
          <w:p w14:paraId="2019FCA5"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6 321</w:t>
            </w:r>
          </w:p>
        </w:tc>
        <w:tc>
          <w:tcPr>
            <w:tcW w:w="588" w:type="pct"/>
            <w:tcBorders>
              <w:top w:val="nil"/>
              <w:left w:val="nil"/>
              <w:bottom w:val="nil"/>
              <w:right w:val="nil"/>
            </w:tcBorders>
            <w:shd w:val="clear" w:color="000000" w:fill="FFFFFF"/>
            <w:noWrap/>
            <w:vAlign w:val="center"/>
            <w:hideMark/>
          </w:tcPr>
          <w:p w14:paraId="1FFE0269"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4 435</w:t>
            </w:r>
          </w:p>
        </w:tc>
        <w:tc>
          <w:tcPr>
            <w:tcW w:w="531" w:type="pct"/>
            <w:tcBorders>
              <w:top w:val="nil"/>
              <w:left w:val="nil"/>
              <w:bottom w:val="nil"/>
              <w:right w:val="nil"/>
            </w:tcBorders>
            <w:shd w:val="clear" w:color="auto" w:fill="auto"/>
            <w:noWrap/>
            <w:vAlign w:val="center"/>
            <w:hideMark/>
          </w:tcPr>
          <w:p w14:paraId="6EAF4005"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3 576</w:t>
            </w:r>
          </w:p>
        </w:tc>
        <w:tc>
          <w:tcPr>
            <w:tcW w:w="493" w:type="pct"/>
            <w:gridSpan w:val="2"/>
            <w:tcBorders>
              <w:top w:val="nil"/>
              <w:left w:val="nil"/>
              <w:bottom w:val="nil"/>
              <w:right w:val="nil"/>
            </w:tcBorders>
            <w:shd w:val="clear" w:color="000000" w:fill="FFFFFF"/>
            <w:noWrap/>
            <w:vAlign w:val="center"/>
            <w:hideMark/>
          </w:tcPr>
          <w:p w14:paraId="543803C4"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-859</w:t>
            </w:r>
          </w:p>
        </w:tc>
        <w:tc>
          <w:tcPr>
            <w:tcW w:w="465" w:type="pct"/>
            <w:tcBorders>
              <w:top w:val="nil"/>
              <w:left w:val="nil"/>
              <w:bottom w:val="nil"/>
              <w:right w:val="nil"/>
            </w:tcBorders>
            <w:shd w:val="clear" w:color="000000" w:fill="FFFFFF"/>
            <w:noWrap/>
            <w:vAlign w:val="center"/>
            <w:hideMark/>
          </w:tcPr>
          <w:p w14:paraId="03F54B1A"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-19,4</w:t>
            </w:r>
          </w:p>
        </w:tc>
      </w:tr>
      <w:tr w:rsidR="00111CC0" w:rsidRPr="00C0771E" w14:paraId="6C900649" w14:textId="77777777" w:rsidTr="00EA0787">
        <w:trPr>
          <w:trHeight w:val="263"/>
        </w:trPr>
        <w:tc>
          <w:tcPr>
            <w:tcW w:w="1828" w:type="pct"/>
            <w:tcBorders>
              <w:top w:val="nil"/>
              <w:left w:val="nil"/>
              <w:bottom w:val="nil"/>
              <w:right w:val="nil"/>
            </w:tcBorders>
            <w:shd w:val="clear" w:color="000000" w:fill="FFFFFF"/>
            <w:vAlign w:val="center"/>
            <w:hideMark/>
          </w:tcPr>
          <w:p w14:paraId="0E9637BB" w14:textId="77777777" w:rsidR="00111CC0" w:rsidRPr="00C0771E" w:rsidRDefault="00111CC0" w:rsidP="00111CC0">
            <w:pPr>
              <w:spacing w:after="0" w:line="240" w:lineRule="auto"/>
              <w:jc w:val="left"/>
              <w:rPr>
                <w:rFonts w:eastAsia="Times New Roman" w:cs="Times New Roman"/>
                <w:color w:val="000000"/>
                <w:sz w:val="18"/>
                <w:szCs w:val="18"/>
                <w:lang w:eastAsia="sk-SK"/>
              </w:rPr>
            </w:pPr>
            <w:r w:rsidRPr="00C0771E">
              <w:rPr>
                <w:rFonts w:eastAsia="Times New Roman" w:cs="Times New Roman"/>
                <w:color w:val="000000"/>
                <w:sz w:val="18"/>
                <w:szCs w:val="18"/>
                <w:lang w:eastAsia="sk-SK"/>
              </w:rPr>
              <w:t>Finančný mechanizmus EHP</w:t>
            </w:r>
          </w:p>
        </w:tc>
        <w:tc>
          <w:tcPr>
            <w:tcW w:w="547" w:type="pct"/>
            <w:tcBorders>
              <w:top w:val="nil"/>
              <w:left w:val="nil"/>
              <w:bottom w:val="nil"/>
              <w:right w:val="nil"/>
            </w:tcBorders>
            <w:shd w:val="clear" w:color="000000" w:fill="FFFFFF"/>
            <w:noWrap/>
            <w:vAlign w:val="center"/>
            <w:hideMark/>
          </w:tcPr>
          <w:p w14:paraId="33E4B682"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999</w:t>
            </w:r>
          </w:p>
        </w:tc>
        <w:tc>
          <w:tcPr>
            <w:tcW w:w="548" w:type="pct"/>
            <w:tcBorders>
              <w:top w:val="nil"/>
              <w:left w:val="nil"/>
              <w:bottom w:val="nil"/>
              <w:right w:val="nil"/>
            </w:tcBorders>
            <w:shd w:val="clear" w:color="000000" w:fill="FFFFFF"/>
            <w:noWrap/>
            <w:vAlign w:val="center"/>
            <w:hideMark/>
          </w:tcPr>
          <w:p w14:paraId="683A6E31"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1 073</w:t>
            </w:r>
          </w:p>
        </w:tc>
        <w:tc>
          <w:tcPr>
            <w:tcW w:w="588" w:type="pct"/>
            <w:tcBorders>
              <w:top w:val="nil"/>
              <w:left w:val="nil"/>
              <w:bottom w:val="nil"/>
              <w:right w:val="nil"/>
            </w:tcBorders>
            <w:shd w:val="clear" w:color="000000" w:fill="FFFFFF"/>
            <w:noWrap/>
            <w:vAlign w:val="center"/>
            <w:hideMark/>
          </w:tcPr>
          <w:p w14:paraId="24A24D41"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1 563</w:t>
            </w:r>
          </w:p>
        </w:tc>
        <w:tc>
          <w:tcPr>
            <w:tcW w:w="531" w:type="pct"/>
            <w:tcBorders>
              <w:top w:val="nil"/>
              <w:left w:val="nil"/>
              <w:bottom w:val="nil"/>
              <w:right w:val="nil"/>
            </w:tcBorders>
            <w:shd w:val="clear" w:color="000000" w:fill="FFFFFF"/>
            <w:noWrap/>
            <w:vAlign w:val="center"/>
            <w:hideMark/>
          </w:tcPr>
          <w:p w14:paraId="017A8F55"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1 564</w:t>
            </w:r>
          </w:p>
        </w:tc>
        <w:tc>
          <w:tcPr>
            <w:tcW w:w="493" w:type="pct"/>
            <w:gridSpan w:val="2"/>
            <w:tcBorders>
              <w:top w:val="nil"/>
              <w:left w:val="nil"/>
              <w:bottom w:val="nil"/>
              <w:right w:val="nil"/>
            </w:tcBorders>
            <w:shd w:val="clear" w:color="000000" w:fill="FFFFFF"/>
            <w:noWrap/>
            <w:vAlign w:val="center"/>
            <w:hideMark/>
          </w:tcPr>
          <w:p w14:paraId="55D965C0"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1</w:t>
            </w:r>
          </w:p>
        </w:tc>
        <w:tc>
          <w:tcPr>
            <w:tcW w:w="465" w:type="pct"/>
            <w:tcBorders>
              <w:top w:val="nil"/>
              <w:left w:val="nil"/>
              <w:bottom w:val="nil"/>
              <w:right w:val="nil"/>
            </w:tcBorders>
            <w:shd w:val="clear" w:color="000000" w:fill="FFFFFF"/>
            <w:noWrap/>
            <w:vAlign w:val="center"/>
            <w:hideMark/>
          </w:tcPr>
          <w:p w14:paraId="10216799"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0,1</w:t>
            </w:r>
          </w:p>
        </w:tc>
      </w:tr>
      <w:tr w:rsidR="00111CC0" w:rsidRPr="00C0771E" w14:paraId="308FE67D" w14:textId="77777777" w:rsidTr="00EA0787">
        <w:trPr>
          <w:trHeight w:val="263"/>
        </w:trPr>
        <w:tc>
          <w:tcPr>
            <w:tcW w:w="1828" w:type="pct"/>
            <w:tcBorders>
              <w:top w:val="nil"/>
              <w:left w:val="nil"/>
              <w:bottom w:val="nil"/>
              <w:right w:val="nil"/>
            </w:tcBorders>
            <w:shd w:val="clear" w:color="000000" w:fill="FFFFFF"/>
            <w:vAlign w:val="center"/>
            <w:hideMark/>
          </w:tcPr>
          <w:p w14:paraId="6C4E1714" w14:textId="77777777" w:rsidR="00111CC0" w:rsidRPr="00C0771E" w:rsidRDefault="00111CC0" w:rsidP="00111CC0">
            <w:pPr>
              <w:spacing w:after="0" w:line="240" w:lineRule="auto"/>
              <w:jc w:val="left"/>
              <w:rPr>
                <w:rFonts w:eastAsia="Times New Roman" w:cs="Times New Roman"/>
                <w:color w:val="000000"/>
                <w:sz w:val="18"/>
                <w:szCs w:val="18"/>
                <w:lang w:eastAsia="sk-SK"/>
              </w:rPr>
            </w:pPr>
            <w:r w:rsidRPr="00C0771E">
              <w:rPr>
                <w:rFonts w:eastAsia="Times New Roman" w:cs="Times New Roman"/>
                <w:color w:val="000000"/>
                <w:sz w:val="18"/>
                <w:szCs w:val="18"/>
                <w:lang w:eastAsia="sk-SK"/>
              </w:rPr>
              <w:t>Nórsky finančný mechanizmus</w:t>
            </w:r>
          </w:p>
        </w:tc>
        <w:tc>
          <w:tcPr>
            <w:tcW w:w="547" w:type="pct"/>
            <w:tcBorders>
              <w:top w:val="nil"/>
              <w:left w:val="nil"/>
              <w:bottom w:val="nil"/>
              <w:right w:val="nil"/>
            </w:tcBorders>
            <w:shd w:val="clear" w:color="000000" w:fill="FFFFFF"/>
            <w:noWrap/>
            <w:vAlign w:val="center"/>
            <w:hideMark/>
          </w:tcPr>
          <w:p w14:paraId="0AD83E26"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1 318</w:t>
            </w:r>
          </w:p>
        </w:tc>
        <w:tc>
          <w:tcPr>
            <w:tcW w:w="548" w:type="pct"/>
            <w:tcBorders>
              <w:top w:val="nil"/>
              <w:left w:val="nil"/>
              <w:bottom w:val="nil"/>
              <w:right w:val="nil"/>
            </w:tcBorders>
            <w:shd w:val="clear" w:color="000000" w:fill="FFFFFF"/>
            <w:noWrap/>
            <w:vAlign w:val="center"/>
            <w:hideMark/>
          </w:tcPr>
          <w:p w14:paraId="24D4F03A"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1 177</w:t>
            </w:r>
          </w:p>
        </w:tc>
        <w:tc>
          <w:tcPr>
            <w:tcW w:w="588" w:type="pct"/>
            <w:tcBorders>
              <w:top w:val="nil"/>
              <w:left w:val="nil"/>
              <w:bottom w:val="nil"/>
              <w:right w:val="nil"/>
            </w:tcBorders>
            <w:shd w:val="clear" w:color="000000" w:fill="FFFFFF"/>
            <w:noWrap/>
            <w:vAlign w:val="center"/>
            <w:hideMark/>
          </w:tcPr>
          <w:p w14:paraId="1810B24C"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2 454</w:t>
            </w:r>
          </w:p>
        </w:tc>
        <w:tc>
          <w:tcPr>
            <w:tcW w:w="531" w:type="pct"/>
            <w:tcBorders>
              <w:top w:val="nil"/>
              <w:left w:val="nil"/>
              <w:bottom w:val="nil"/>
              <w:right w:val="nil"/>
            </w:tcBorders>
            <w:shd w:val="clear" w:color="000000" w:fill="FFFFFF"/>
            <w:noWrap/>
            <w:vAlign w:val="center"/>
            <w:hideMark/>
          </w:tcPr>
          <w:p w14:paraId="5394BD30"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2 454</w:t>
            </w:r>
          </w:p>
        </w:tc>
        <w:tc>
          <w:tcPr>
            <w:tcW w:w="493" w:type="pct"/>
            <w:gridSpan w:val="2"/>
            <w:tcBorders>
              <w:top w:val="nil"/>
              <w:left w:val="nil"/>
              <w:bottom w:val="nil"/>
              <w:right w:val="nil"/>
            </w:tcBorders>
            <w:shd w:val="clear" w:color="000000" w:fill="FFFFFF"/>
            <w:noWrap/>
            <w:vAlign w:val="center"/>
            <w:hideMark/>
          </w:tcPr>
          <w:p w14:paraId="0C2AC164"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0</w:t>
            </w:r>
          </w:p>
        </w:tc>
        <w:tc>
          <w:tcPr>
            <w:tcW w:w="465" w:type="pct"/>
            <w:tcBorders>
              <w:top w:val="nil"/>
              <w:left w:val="nil"/>
              <w:bottom w:val="nil"/>
              <w:right w:val="nil"/>
            </w:tcBorders>
            <w:shd w:val="clear" w:color="000000" w:fill="FFFFFF"/>
            <w:noWrap/>
            <w:vAlign w:val="center"/>
            <w:hideMark/>
          </w:tcPr>
          <w:p w14:paraId="5F49E2D5"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0,0</w:t>
            </w:r>
          </w:p>
        </w:tc>
      </w:tr>
      <w:tr w:rsidR="00111CC0" w:rsidRPr="00C0771E" w14:paraId="68CEE2EC" w14:textId="77777777" w:rsidTr="00EA0787">
        <w:trPr>
          <w:trHeight w:val="609"/>
        </w:trPr>
        <w:tc>
          <w:tcPr>
            <w:tcW w:w="1828" w:type="pct"/>
            <w:tcBorders>
              <w:top w:val="nil"/>
              <w:left w:val="nil"/>
              <w:bottom w:val="nil"/>
              <w:right w:val="nil"/>
            </w:tcBorders>
            <w:shd w:val="clear" w:color="000000" w:fill="FFFFFF"/>
            <w:vAlign w:val="center"/>
            <w:hideMark/>
          </w:tcPr>
          <w:p w14:paraId="1B8A0C79" w14:textId="77777777" w:rsidR="00111CC0" w:rsidRPr="00C0771E" w:rsidRDefault="00111CC0" w:rsidP="00111CC0">
            <w:pPr>
              <w:spacing w:after="0" w:line="240" w:lineRule="auto"/>
              <w:jc w:val="lef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Spolu spolufinancovanie k prostriedkom poskytnutým na základe medzinárodných zmlúv</w:t>
            </w:r>
          </w:p>
        </w:tc>
        <w:tc>
          <w:tcPr>
            <w:tcW w:w="547" w:type="pct"/>
            <w:tcBorders>
              <w:top w:val="nil"/>
              <w:left w:val="nil"/>
              <w:bottom w:val="nil"/>
              <w:right w:val="nil"/>
            </w:tcBorders>
            <w:shd w:val="clear" w:color="000000" w:fill="FFFFFF"/>
            <w:noWrap/>
            <w:vAlign w:val="center"/>
            <w:hideMark/>
          </w:tcPr>
          <w:p w14:paraId="1A0D473D"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2 317</w:t>
            </w:r>
          </w:p>
        </w:tc>
        <w:tc>
          <w:tcPr>
            <w:tcW w:w="548" w:type="pct"/>
            <w:tcBorders>
              <w:top w:val="nil"/>
              <w:left w:val="nil"/>
              <w:bottom w:val="nil"/>
              <w:right w:val="nil"/>
            </w:tcBorders>
            <w:shd w:val="clear" w:color="000000" w:fill="FFFFFF"/>
            <w:noWrap/>
            <w:vAlign w:val="center"/>
            <w:hideMark/>
          </w:tcPr>
          <w:p w14:paraId="0A72BB5E"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2 250</w:t>
            </w:r>
          </w:p>
        </w:tc>
        <w:tc>
          <w:tcPr>
            <w:tcW w:w="588" w:type="pct"/>
            <w:tcBorders>
              <w:top w:val="nil"/>
              <w:left w:val="nil"/>
              <w:bottom w:val="nil"/>
              <w:right w:val="nil"/>
            </w:tcBorders>
            <w:shd w:val="clear" w:color="000000" w:fill="FFFFFF"/>
            <w:noWrap/>
            <w:vAlign w:val="center"/>
            <w:hideMark/>
          </w:tcPr>
          <w:p w14:paraId="6E8AAE35"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4 017</w:t>
            </w:r>
          </w:p>
        </w:tc>
        <w:tc>
          <w:tcPr>
            <w:tcW w:w="531" w:type="pct"/>
            <w:tcBorders>
              <w:top w:val="nil"/>
              <w:left w:val="nil"/>
              <w:bottom w:val="nil"/>
              <w:right w:val="nil"/>
            </w:tcBorders>
            <w:shd w:val="clear" w:color="auto" w:fill="auto"/>
            <w:noWrap/>
            <w:vAlign w:val="center"/>
            <w:hideMark/>
          </w:tcPr>
          <w:p w14:paraId="594A15C6"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4 018</w:t>
            </w:r>
          </w:p>
        </w:tc>
        <w:tc>
          <w:tcPr>
            <w:tcW w:w="493" w:type="pct"/>
            <w:gridSpan w:val="2"/>
            <w:tcBorders>
              <w:top w:val="nil"/>
              <w:left w:val="nil"/>
              <w:bottom w:val="nil"/>
              <w:right w:val="nil"/>
            </w:tcBorders>
            <w:shd w:val="clear" w:color="000000" w:fill="FFFFFF"/>
            <w:noWrap/>
            <w:vAlign w:val="center"/>
            <w:hideMark/>
          </w:tcPr>
          <w:p w14:paraId="0A3223C6"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1</w:t>
            </w:r>
          </w:p>
        </w:tc>
        <w:tc>
          <w:tcPr>
            <w:tcW w:w="465" w:type="pct"/>
            <w:tcBorders>
              <w:top w:val="nil"/>
              <w:left w:val="nil"/>
              <w:bottom w:val="nil"/>
              <w:right w:val="nil"/>
            </w:tcBorders>
            <w:shd w:val="clear" w:color="000000" w:fill="FFFFFF"/>
            <w:noWrap/>
            <w:vAlign w:val="center"/>
            <w:hideMark/>
          </w:tcPr>
          <w:p w14:paraId="40932A69"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0,0</w:t>
            </w:r>
          </w:p>
        </w:tc>
      </w:tr>
      <w:tr w:rsidR="00111CC0" w:rsidRPr="00C0771E" w14:paraId="5DF44864" w14:textId="77777777" w:rsidTr="00EA0787">
        <w:trPr>
          <w:trHeight w:val="275"/>
        </w:trPr>
        <w:tc>
          <w:tcPr>
            <w:tcW w:w="1828" w:type="pct"/>
            <w:tcBorders>
              <w:top w:val="single" w:sz="4" w:space="0" w:color="auto"/>
              <w:left w:val="nil"/>
              <w:bottom w:val="single" w:sz="8" w:space="0" w:color="auto"/>
              <w:right w:val="nil"/>
            </w:tcBorders>
            <w:shd w:val="clear" w:color="000000" w:fill="FFFFFF"/>
            <w:vAlign w:val="center"/>
            <w:hideMark/>
          </w:tcPr>
          <w:p w14:paraId="63E45D56" w14:textId="77777777" w:rsidR="00111CC0" w:rsidRPr="00C0771E" w:rsidRDefault="00111CC0" w:rsidP="00111CC0">
            <w:pPr>
              <w:spacing w:after="0" w:line="240" w:lineRule="auto"/>
              <w:jc w:val="lef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 xml:space="preserve">Spolu </w:t>
            </w:r>
          </w:p>
        </w:tc>
        <w:tc>
          <w:tcPr>
            <w:tcW w:w="547" w:type="pct"/>
            <w:tcBorders>
              <w:top w:val="single" w:sz="4" w:space="0" w:color="auto"/>
              <w:left w:val="nil"/>
              <w:bottom w:val="single" w:sz="8" w:space="0" w:color="auto"/>
              <w:right w:val="nil"/>
            </w:tcBorders>
            <w:shd w:val="clear" w:color="000000" w:fill="FFFFFF"/>
            <w:noWrap/>
            <w:vAlign w:val="center"/>
            <w:hideMark/>
          </w:tcPr>
          <w:p w14:paraId="4ADD91C5"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5 123</w:t>
            </w:r>
          </w:p>
        </w:tc>
        <w:tc>
          <w:tcPr>
            <w:tcW w:w="548" w:type="pct"/>
            <w:tcBorders>
              <w:top w:val="single" w:sz="4" w:space="0" w:color="auto"/>
              <w:left w:val="nil"/>
              <w:bottom w:val="single" w:sz="8" w:space="0" w:color="auto"/>
              <w:right w:val="nil"/>
            </w:tcBorders>
            <w:shd w:val="clear" w:color="000000" w:fill="FFFFFF"/>
            <w:noWrap/>
            <w:vAlign w:val="center"/>
            <w:hideMark/>
          </w:tcPr>
          <w:p w14:paraId="312E1121"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8 571</w:t>
            </w:r>
          </w:p>
        </w:tc>
        <w:tc>
          <w:tcPr>
            <w:tcW w:w="588" w:type="pct"/>
            <w:tcBorders>
              <w:top w:val="single" w:sz="4" w:space="0" w:color="auto"/>
              <w:left w:val="nil"/>
              <w:bottom w:val="single" w:sz="8" w:space="0" w:color="auto"/>
              <w:right w:val="nil"/>
            </w:tcBorders>
            <w:shd w:val="clear" w:color="000000" w:fill="FFFFFF"/>
            <w:noWrap/>
            <w:vAlign w:val="center"/>
            <w:hideMark/>
          </w:tcPr>
          <w:p w14:paraId="4F53DB4E"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8 452</w:t>
            </w:r>
          </w:p>
        </w:tc>
        <w:tc>
          <w:tcPr>
            <w:tcW w:w="531" w:type="pct"/>
            <w:tcBorders>
              <w:top w:val="single" w:sz="4" w:space="0" w:color="auto"/>
              <w:left w:val="nil"/>
              <w:bottom w:val="single" w:sz="8" w:space="0" w:color="auto"/>
              <w:right w:val="nil"/>
            </w:tcBorders>
            <w:shd w:val="clear" w:color="000000" w:fill="FFFFFF"/>
            <w:noWrap/>
            <w:vAlign w:val="center"/>
            <w:hideMark/>
          </w:tcPr>
          <w:p w14:paraId="5F1121A4"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7 594</w:t>
            </w:r>
          </w:p>
        </w:tc>
        <w:tc>
          <w:tcPr>
            <w:tcW w:w="493" w:type="pct"/>
            <w:gridSpan w:val="2"/>
            <w:tcBorders>
              <w:top w:val="single" w:sz="4" w:space="0" w:color="auto"/>
              <w:left w:val="nil"/>
              <w:bottom w:val="single" w:sz="8" w:space="0" w:color="auto"/>
              <w:right w:val="nil"/>
            </w:tcBorders>
            <w:shd w:val="clear" w:color="000000" w:fill="FFFFFF"/>
            <w:noWrap/>
            <w:vAlign w:val="center"/>
            <w:hideMark/>
          </w:tcPr>
          <w:p w14:paraId="2F447668"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-858</w:t>
            </w:r>
          </w:p>
        </w:tc>
        <w:tc>
          <w:tcPr>
            <w:tcW w:w="465" w:type="pct"/>
            <w:tcBorders>
              <w:top w:val="single" w:sz="4" w:space="0" w:color="auto"/>
              <w:left w:val="nil"/>
              <w:bottom w:val="single" w:sz="8" w:space="0" w:color="auto"/>
              <w:right w:val="nil"/>
            </w:tcBorders>
            <w:shd w:val="clear" w:color="000000" w:fill="FFFFFF"/>
            <w:noWrap/>
            <w:vAlign w:val="center"/>
            <w:hideMark/>
          </w:tcPr>
          <w:p w14:paraId="707F47D9"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-10,2</w:t>
            </w:r>
          </w:p>
        </w:tc>
      </w:tr>
    </w:tbl>
    <w:p w14:paraId="469B532E" w14:textId="77777777" w:rsidR="00111CC0" w:rsidRPr="00E2630C" w:rsidRDefault="00111CC0" w:rsidP="00111CC0">
      <w:pPr>
        <w:jc w:val="right"/>
        <w:rPr>
          <w:sz w:val="18"/>
          <w:szCs w:val="18"/>
        </w:rPr>
      </w:pPr>
      <w:r w:rsidRPr="00E2630C">
        <w:rPr>
          <w:sz w:val="18"/>
          <w:szCs w:val="18"/>
        </w:rPr>
        <w:t>Zdroj: MF SR</w:t>
      </w:r>
    </w:p>
    <w:p w14:paraId="169DC71F" w14:textId="2D8AAED1" w:rsidR="00EA0787" w:rsidRDefault="00111CC0" w:rsidP="00CF37CE">
      <w:pPr>
        <w:spacing w:line="240" w:lineRule="auto"/>
      </w:pPr>
      <w:r w:rsidRPr="00D715AF">
        <w:rPr>
          <w:sz w:val="24"/>
          <w:szCs w:val="24"/>
        </w:rPr>
        <w:t>Celkový prehľad výdavkov na spolufinancovanie zo štátneho rozpočtu k prostriedkom EÚ, k zahraničným grantom z prostriedkov EÚ a k prostriedkom poskytnutým na základe medzinárodných zmlúv vrátane vnútorných politík EÚ je uvedený v nasledovnej tabuľke:</w:t>
      </w:r>
    </w:p>
    <w:tbl>
      <w:tblPr>
        <w:tblW w:w="5055" w:type="pct"/>
        <w:tblLayout w:type="fixed"/>
        <w:tblCellMar>
          <w:left w:w="70" w:type="dxa"/>
          <w:right w:w="70" w:type="dxa"/>
        </w:tblCellMar>
        <w:tblLook w:val="04A0" w:firstRow="1" w:lastRow="0" w:firstColumn="1" w:lastColumn="0" w:noHBand="0" w:noVBand="1"/>
      </w:tblPr>
      <w:tblGrid>
        <w:gridCol w:w="3414"/>
        <w:gridCol w:w="972"/>
        <w:gridCol w:w="863"/>
        <w:gridCol w:w="1120"/>
        <w:gridCol w:w="1217"/>
        <w:gridCol w:w="857"/>
        <w:gridCol w:w="872"/>
      </w:tblGrid>
      <w:tr w:rsidR="00111CC0" w:rsidRPr="00C0771E" w14:paraId="2C25DB17" w14:textId="77777777" w:rsidTr="00C0771E">
        <w:trPr>
          <w:trHeight w:val="434"/>
        </w:trPr>
        <w:tc>
          <w:tcPr>
            <w:tcW w:w="3419" w:type="pct"/>
            <w:gridSpan w:val="4"/>
            <w:tcBorders>
              <w:top w:val="nil"/>
              <w:left w:val="nil"/>
              <w:bottom w:val="nil"/>
              <w:right w:val="nil"/>
            </w:tcBorders>
            <w:shd w:val="clear" w:color="000000" w:fill="000000"/>
            <w:noWrap/>
            <w:vAlign w:val="center"/>
            <w:hideMark/>
          </w:tcPr>
          <w:p w14:paraId="5BC5BED9" w14:textId="77777777" w:rsidR="00111CC0" w:rsidRPr="00C0771E" w:rsidRDefault="00111CC0" w:rsidP="00111CC0">
            <w:pPr>
              <w:spacing w:after="0" w:line="240" w:lineRule="auto"/>
              <w:jc w:val="left"/>
              <w:rPr>
                <w:rFonts w:eastAsia="Times New Roman" w:cs="Times New Roman"/>
                <w:b/>
                <w:bCs/>
                <w:color w:val="FFFFFF"/>
                <w:sz w:val="18"/>
                <w:szCs w:val="18"/>
                <w:lang w:eastAsia="sk-SK"/>
              </w:rPr>
            </w:pPr>
            <w:bookmarkStart w:id="70" w:name="RANGE!A1:G10"/>
            <w:r w:rsidRPr="00C0771E">
              <w:rPr>
                <w:rFonts w:eastAsia="Times New Roman" w:cs="Times New Roman"/>
                <w:b/>
                <w:bCs/>
                <w:color w:val="FFFFFF"/>
                <w:sz w:val="18"/>
                <w:szCs w:val="18"/>
                <w:lang w:eastAsia="sk-SK"/>
              </w:rPr>
              <w:t xml:space="preserve">Celkový prehľad spolufinancovania zo ŠR vrátane vnútorných politík EÚ </w:t>
            </w:r>
            <w:bookmarkEnd w:id="70"/>
          </w:p>
        </w:tc>
        <w:tc>
          <w:tcPr>
            <w:tcW w:w="653" w:type="pct"/>
            <w:tcBorders>
              <w:top w:val="nil"/>
              <w:left w:val="nil"/>
              <w:bottom w:val="nil"/>
              <w:right w:val="nil"/>
            </w:tcBorders>
            <w:shd w:val="clear" w:color="000000" w:fill="000000"/>
            <w:noWrap/>
            <w:vAlign w:val="center"/>
            <w:hideMark/>
          </w:tcPr>
          <w:p w14:paraId="4C376D96" w14:textId="77777777" w:rsidR="00111CC0" w:rsidRPr="00C0771E" w:rsidRDefault="00111CC0" w:rsidP="00111CC0">
            <w:pPr>
              <w:spacing w:after="0" w:line="240" w:lineRule="auto"/>
              <w:jc w:val="left"/>
              <w:rPr>
                <w:rFonts w:eastAsia="Times New Roman" w:cs="Times New Roman"/>
                <w:color w:val="000000"/>
                <w:sz w:val="18"/>
                <w:szCs w:val="18"/>
                <w:lang w:eastAsia="sk-SK"/>
              </w:rPr>
            </w:pPr>
            <w:r w:rsidRPr="00C0771E">
              <w:rPr>
                <w:rFonts w:eastAsia="Times New Roman" w:cs="Times New Roman"/>
                <w:color w:val="000000"/>
                <w:sz w:val="18"/>
                <w:szCs w:val="18"/>
                <w:lang w:eastAsia="sk-SK"/>
              </w:rPr>
              <w:t> </w:t>
            </w:r>
          </w:p>
        </w:tc>
        <w:tc>
          <w:tcPr>
            <w:tcW w:w="460" w:type="pct"/>
            <w:tcBorders>
              <w:top w:val="nil"/>
              <w:left w:val="nil"/>
              <w:bottom w:val="nil"/>
              <w:right w:val="nil"/>
            </w:tcBorders>
            <w:shd w:val="clear" w:color="000000" w:fill="000000"/>
            <w:noWrap/>
            <w:vAlign w:val="center"/>
            <w:hideMark/>
          </w:tcPr>
          <w:p w14:paraId="0573FCC5" w14:textId="77777777" w:rsidR="00111CC0" w:rsidRPr="00C0771E" w:rsidRDefault="00111CC0" w:rsidP="00111CC0">
            <w:pPr>
              <w:spacing w:after="0" w:line="240" w:lineRule="auto"/>
              <w:jc w:val="left"/>
              <w:rPr>
                <w:rFonts w:eastAsia="Times New Roman" w:cs="Times New Roman"/>
                <w:color w:val="000000"/>
                <w:sz w:val="18"/>
                <w:szCs w:val="18"/>
                <w:lang w:eastAsia="sk-SK"/>
              </w:rPr>
            </w:pPr>
            <w:r w:rsidRPr="00C0771E">
              <w:rPr>
                <w:rFonts w:eastAsia="Times New Roman" w:cs="Times New Roman"/>
                <w:color w:val="000000"/>
                <w:sz w:val="18"/>
                <w:szCs w:val="18"/>
                <w:lang w:eastAsia="sk-SK"/>
              </w:rPr>
              <w:t> </w:t>
            </w:r>
          </w:p>
        </w:tc>
        <w:tc>
          <w:tcPr>
            <w:tcW w:w="468" w:type="pct"/>
            <w:tcBorders>
              <w:top w:val="nil"/>
              <w:left w:val="nil"/>
              <w:bottom w:val="nil"/>
              <w:right w:val="nil"/>
            </w:tcBorders>
            <w:shd w:val="clear" w:color="000000" w:fill="000000"/>
            <w:noWrap/>
            <w:vAlign w:val="center"/>
            <w:hideMark/>
          </w:tcPr>
          <w:p w14:paraId="4DB4CCE9" w14:textId="77777777" w:rsidR="00111CC0" w:rsidRPr="00C0771E" w:rsidRDefault="00111CC0" w:rsidP="00111CC0">
            <w:pPr>
              <w:spacing w:after="0" w:line="240" w:lineRule="auto"/>
              <w:jc w:val="left"/>
              <w:rPr>
                <w:rFonts w:eastAsia="Times New Roman" w:cs="Times New Roman"/>
                <w:b/>
                <w:bCs/>
                <w:color w:val="FFFFFF"/>
                <w:sz w:val="18"/>
                <w:szCs w:val="18"/>
                <w:lang w:eastAsia="sk-SK"/>
              </w:rPr>
            </w:pPr>
            <w:r w:rsidRPr="00C0771E">
              <w:rPr>
                <w:rFonts w:eastAsia="Times New Roman" w:cs="Times New Roman"/>
                <w:b/>
                <w:bCs/>
                <w:color w:val="FFFFFF"/>
                <w:sz w:val="18"/>
                <w:szCs w:val="18"/>
                <w:lang w:eastAsia="sk-SK"/>
              </w:rPr>
              <w:t>v tis. eur</w:t>
            </w:r>
          </w:p>
        </w:tc>
      </w:tr>
      <w:tr w:rsidR="00111CC0" w:rsidRPr="00C0771E" w14:paraId="1480A963" w14:textId="77777777" w:rsidTr="00EA0787">
        <w:trPr>
          <w:trHeight w:val="266"/>
        </w:trPr>
        <w:tc>
          <w:tcPr>
            <w:tcW w:w="1833" w:type="pct"/>
            <w:tcBorders>
              <w:top w:val="nil"/>
              <w:left w:val="nil"/>
              <w:bottom w:val="nil"/>
              <w:right w:val="nil"/>
            </w:tcBorders>
            <w:shd w:val="clear" w:color="000000" w:fill="BFBFBF"/>
            <w:vAlign w:val="center"/>
            <w:hideMark/>
          </w:tcPr>
          <w:p w14:paraId="4352D008" w14:textId="77777777" w:rsidR="00111CC0" w:rsidRPr="00C0771E" w:rsidRDefault="00111CC0" w:rsidP="00111CC0">
            <w:pPr>
              <w:spacing w:after="0" w:line="240" w:lineRule="auto"/>
              <w:jc w:val="left"/>
              <w:rPr>
                <w:rFonts w:eastAsia="Times New Roman" w:cs="Times New Roman"/>
                <w:b/>
                <w:bCs/>
                <w:color w:val="FFFFFF"/>
                <w:sz w:val="18"/>
                <w:szCs w:val="18"/>
                <w:lang w:eastAsia="sk-SK"/>
              </w:rPr>
            </w:pPr>
            <w:r w:rsidRPr="00C0771E">
              <w:rPr>
                <w:rFonts w:eastAsia="Times New Roman" w:cs="Times New Roman"/>
                <w:b/>
                <w:bCs/>
                <w:color w:val="FFFFFF"/>
                <w:sz w:val="18"/>
                <w:szCs w:val="18"/>
                <w:lang w:eastAsia="sk-SK"/>
              </w:rPr>
              <w:t> </w:t>
            </w:r>
          </w:p>
        </w:tc>
        <w:tc>
          <w:tcPr>
            <w:tcW w:w="985" w:type="pct"/>
            <w:gridSpan w:val="2"/>
            <w:tcBorders>
              <w:top w:val="nil"/>
              <w:left w:val="nil"/>
              <w:bottom w:val="nil"/>
              <w:right w:val="nil"/>
            </w:tcBorders>
            <w:shd w:val="clear" w:color="000000" w:fill="BFBFBF"/>
            <w:vAlign w:val="center"/>
            <w:hideMark/>
          </w:tcPr>
          <w:p w14:paraId="5B03921B" w14:textId="77777777" w:rsidR="00111CC0" w:rsidRPr="00C0771E" w:rsidRDefault="00111CC0" w:rsidP="00111CC0">
            <w:pPr>
              <w:spacing w:after="0" w:line="240" w:lineRule="auto"/>
              <w:jc w:val="center"/>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Skutočnosť</w:t>
            </w:r>
          </w:p>
        </w:tc>
        <w:tc>
          <w:tcPr>
            <w:tcW w:w="601" w:type="pct"/>
            <w:tcBorders>
              <w:top w:val="nil"/>
              <w:left w:val="nil"/>
              <w:bottom w:val="nil"/>
              <w:right w:val="nil"/>
            </w:tcBorders>
            <w:shd w:val="clear" w:color="000000" w:fill="BFBFBF"/>
            <w:vAlign w:val="center"/>
            <w:hideMark/>
          </w:tcPr>
          <w:p w14:paraId="3308EF6D" w14:textId="77777777" w:rsidR="00111CC0" w:rsidRPr="00C0771E" w:rsidRDefault="00111CC0" w:rsidP="00111CC0">
            <w:pPr>
              <w:spacing w:after="0" w:line="240" w:lineRule="auto"/>
              <w:jc w:val="center"/>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Rozpočet</w:t>
            </w:r>
          </w:p>
        </w:tc>
        <w:tc>
          <w:tcPr>
            <w:tcW w:w="653" w:type="pct"/>
            <w:tcBorders>
              <w:top w:val="nil"/>
              <w:left w:val="nil"/>
              <w:bottom w:val="nil"/>
              <w:right w:val="nil"/>
            </w:tcBorders>
            <w:shd w:val="clear" w:color="000000" w:fill="BFBFBF"/>
            <w:vAlign w:val="center"/>
            <w:hideMark/>
          </w:tcPr>
          <w:p w14:paraId="78D5E55D" w14:textId="77777777" w:rsidR="00111CC0" w:rsidRPr="00C0771E" w:rsidRDefault="00111CC0" w:rsidP="00111CC0">
            <w:pPr>
              <w:spacing w:after="0" w:line="240" w:lineRule="auto"/>
              <w:jc w:val="center"/>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Skutočnosť</w:t>
            </w:r>
          </w:p>
        </w:tc>
        <w:tc>
          <w:tcPr>
            <w:tcW w:w="928" w:type="pct"/>
            <w:gridSpan w:val="2"/>
            <w:tcBorders>
              <w:top w:val="nil"/>
              <w:left w:val="nil"/>
              <w:bottom w:val="nil"/>
              <w:right w:val="nil"/>
            </w:tcBorders>
            <w:shd w:val="clear" w:color="000000" w:fill="BFBFBF"/>
            <w:vAlign w:val="center"/>
            <w:hideMark/>
          </w:tcPr>
          <w:p w14:paraId="40CD068A" w14:textId="77777777" w:rsidR="00111CC0" w:rsidRPr="00C0771E" w:rsidRDefault="00111CC0" w:rsidP="00111CC0">
            <w:pPr>
              <w:spacing w:after="0" w:line="240" w:lineRule="auto"/>
              <w:jc w:val="center"/>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Rozdiel</w:t>
            </w:r>
          </w:p>
        </w:tc>
      </w:tr>
      <w:tr w:rsidR="00111CC0" w:rsidRPr="00C0771E" w14:paraId="5A217FFC" w14:textId="77777777" w:rsidTr="00EA0787">
        <w:trPr>
          <w:trHeight w:val="266"/>
        </w:trPr>
        <w:tc>
          <w:tcPr>
            <w:tcW w:w="1833" w:type="pct"/>
            <w:tcBorders>
              <w:top w:val="nil"/>
              <w:left w:val="nil"/>
              <w:bottom w:val="nil"/>
              <w:right w:val="nil"/>
            </w:tcBorders>
            <w:shd w:val="clear" w:color="000000" w:fill="BFBFBF"/>
            <w:vAlign w:val="center"/>
            <w:hideMark/>
          </w:tcPr>
          <w:p w14:paraId="26EEF8DC" w14:textId="77777777" w:rsidR="00111CC0" w:rsidRPr="00C0771E" w:rsidRDefault="00111CC0" w:rsidP="00111CC0">
            <w:pPr>
              <w:spacing w:after="0" w:line="240" w:lineRule="auto"/>
              <w:jc w:val="center"/>
              <w:rPr>
                <w:rFonts w:eastAsia="Times New Roman" w:cs="Times New Roman"/>
                <w:b/>
                <w:bCs/>
                <w:sz w:val="18"/>
                <w:szCs w:val="18"/>
                <w:lang w:eastAsia="sk-SK"/>
              </w:rPr>
            </w:pPr>
            <w:r w:rsidRPr="00C0771E">
              <w:rPr>
                <w:rFonts w:eastAsia="Times New Roman" w:cs="Times New Roman"/>
                <w:b/>
                <w:bCs/>
                <w:sz w:val="18"/>
                <w:szCs w:val="18"/>
                <w:lang w:eastAsia="sk-SK"/>
              </w:rPr>
              <w:t> </w:t>
            </w:r>
          </w:p>
        </w:tc>
        <w:tc>
          <w:tcPr>
            <w:tcW w:w="522" w:type="pct"/>
            <w:tcBorders>
              <w:top w:val="nil"/>
              <w:left w:val="nil"/>
              <w:bottom w:val="nil"/>
              <w:right w:val="nil"/>
            </w:tcBorders>
            <w:shd w:val="clear" w:color="000000" w:fill="BFBFBF"/>
            <w:vAlign w:val="center"/>
            <w:hideMark/>
          </w:tcPr>
          <w:p w14:paraId="38CDC4BF" w14:textId="77777777" w:rsidR="00111CC0" w:rsidRPr="00C0771E" w:rsidRDefault="00111CC0" w:rsidP="00111CC0">
            <w:pPr>
              <w:spacing w:after="0" w:line="240" w:lineRule="auto"/>
              <w:jc w:val="center"/>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2018</w:t>
            </w:r>
          </w:p>
        </w:tc>
        <w:tc>
          <w:tcPr>
            <w:tcW w:w="462" w:type="pct"/>
            <w:tcBorders>
              <w:top w:val="nil"/>
              <w:left w:val="nil"/>
              <w:bottom w:val="nil"/>
              <w:right w:val="nil"/>
            </w:tcBorders>
            <w:shd w:val="clear" w:color="000000" w:fill="BFBFBF"/>
            <w:vAlign w:val="center"/>
            <w:hideMark/>
          </w:tcPr>
          <w:p w14:paraId="4901AF66" w14:textId="77777777" w:rsidR="00111CC0" w:rsidRPr="00C0771E" w:rsidRDefault="00111CC0" w:rsidP="00111CC0">
            <w:pPr>
              <w:spacing w:after="0" w:line="240" w:lineRule="auto"/>
              <w:jc w:val="center"/>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2019</w:t>
            </w:r>
          </w:p>
        </w:tc>
        <w:tc>
          <w:tcPr>
            <w:tcW w:w="601" w:type="pct"/>
            <w:tcBorders>
              <w:top w:val="nil"/>
              <w:left w:val="nil"/>
              <w:bottom w:val="nil"/>
              <w:right w:val="nil"/>
            </w:tcBorders>
            <w:shd w:val="clear" w:color="000000" w:fill="BFBFBF"/>
            <w:vAlign w:val="center"/>
            <w:hideMark/>
          </w:tcPr>
          <w:p w14:paraId="60B2B7FD" w14:textId="77777777" w:rsidR="00111CC0" w:rsidRPr="00C0771E" w:rsidRDefault="00111CC0" w:rsidP="00111CC0">
            <w:pPr>
              <w:spacing w:after="0" w:line="240" w:lineRule="auto"/>
              <w:jc w:val="center"/>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2020</w:t>
            </w:r>
          </w:p>
        </w:tc>
        <w:tc>
          <w:tcPr>
            <w:tcW w:w="653" w:type="pct"/>
            <w:tcBorders>
              <w:top w:val="nil"/>
              <w:left w:val="nil"/>
              <w:bottom w:val="nil"/>
              <w:right w:val="nil"/>
            </w:tcBorders>
            <w:shd w:val="clear" w:color="000000" w:fill="BFBFBF"/>
            <w:vAlign w:val="center"/>
            <w:hideMark/>
          </w:tcPr>
          <w:p w14:paraId="4349603E" w14:textId="77777777" w:rsidR="00111CC0" w:rsidRPr="00C0771E" w:rsidRDefault="00111CC0" w:rsidP="00111CC0">
            <w:pPr>
              <w:spacing w:after="0" w:line="240" w:lineRule="auto"/>
              <w:jc w:val="center"/>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2020</w:t>
            </w:r>
          </w:p>
        </w:tc>
        <w:tc>
          <w:tcPr>
            <w:tcW w:w="460" w:type="pct"/>
            <w:tcBorders>
              <w:top w:val="nil"/>
              <w:left w:val="nil"/>
              <w:bottom w:val="nil"/>
              <w:right w:val="nil"/>
            </w:tcBorders>
            <w:shd w:val="clear" w:color="000000" w:fill="BFBFBF"/>
            <w:vAlign w:val="center"/>
            <w:hideMark/>
          </w:tcPr>
          <w:p w14:paraId="70FE039C" w14:textId="77777777" w:rsidR="00111CC0" w:rsidRPr="00C0771E" w:rsidRDefault="00111CC0" w:rsidP="00111CC0">
            <w:pPr>
              <w:spacing w:after="0" w:line="240" w:lineRule="auto"/>
              <w:jc w:val="center"/>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 xml:space="preserve"> v tis. eur</w:t>
            </w:r>
          </w:p>
        </w:tc>
        <w:tc>
          <w:tcPr>
            <w:tcW w:w="468" w:type="pct"/>
            <w:tcBorders>
              <w:top w:val="nil"/>
              <w:left w:val="nil"/>
              <w:bottom w:val="nil"/>
              <w:right w:val="nil"/>
            </w:tcBorders>
            <w:shd w:val="clear" w:color="000000" w:fill="BFBFBF"/>
            <w:vAlign w:val="center"/>
            <w:hideMark/>
          </w:tcPr>
          <w:p w14:paraId="5BDD76C0" w14:textId="77777777" w:rsidR="00111CC0" w:rsidRPr="00C0771E" w:rsidRDefault="00111CC0" w:rsidP="00111CC0">
            <w:pPr>
              <w:spacing w:after="0" w:line="240" w:lineRule="auto"/>
              <w:jc w:val="center"/>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v %</w:t>
            </w:r>
          </w:p>
        </w:tc>
      </w:tr>
      <w:tr w:rsidR="00111CC0" w:rsidRPr="00C0771E" w14:paraId="5D2DE1EB" w14:textId="77777777" w:rsidTr="00EA0787">
        <w:trPr>
          <w:trHeight w:val="155"/>
        </w:trPr>
        <w:tc>
          <w:tcPr>
            <w:tcW w:w="1833" w:type="pct"/>
            <w:tcBorders>
              <w:top w:val="nil"/>
              <w:left w:val="nil"/>
              <w:bottom w:val="single" w:sz="8" w:space="0" w:color="auto"/>
              <w:right w:val="nil"/>
            </w:tcBorders>
            <w:shd w:val="clear" w:color="000000" w:fill="BFBFBF"/>
            <w:vAlign w:val="center"/>
            <w:hideMark/>
          </w:tcPr>
          <w:p w14:paraId="5237D763" w14:textId="77777777" w:rsidR="00111CC0" w:rsidRPr="00C0771E" w:rsidRDefault="00111CC0" w:rsidP="00111CC0">
            <w:pPr>
              <w:spacing w:after="0" w:line="240" w:lineRule="auto"/>
              <w:jc w:val="left"/>
              <w:rPr>
                <w:rFonts w:eastAsia="Times New Roman" w:cs="Times New Roman"/>
                <w:b/>
                <w:bCs/>
                <w:color w:val="FFFFFF"/>
                <w:sz w:val="18"/>
                <w:szCs w:val="18"/>
                <w:lang w:eastAsia="sk-SK"/>
              </w:rPr>
            </w:pPr>
            <w:r w:rsidRPr="00C0771E">
              <w:rPr>
                <w:rFonts w:eastAsia="Times New Roman" w:cs="Times New Roman"/>
                <w:b/>
                <w:bCs/>
                <w:color w:val="FFFFFF"/>
                <w:sz w:val="18"/>
                <w:szCs w:val="18"/>
                <w:lang w:eastAsia="sk-SK"/>
              </w:rPr>
              <w:t> </w:t>
            </w:r>
          </w:p>
        </w:tc>
        <w:tc>
          <w:tcPr>
            <w:tcW w:w="522" w:type="pct"/>
            <w:tcBorders>
              <w:top w:val="nil"/>
              <w:left w:val="nil"/>
              <w:bottom w:val="single" w:sz="8" w:space="0" w:color="auto"/>
              <w:right w:val="nil"/>
            </w:tcBorders>
            <w:shd w:val="clear" w:color="000000" w:fill="BFBFBF"/>
            <w:vAlign w:val="center"/>
            <w:hideMark/>
          </w:tcPr>
          <w:p w14:paraId="434EDFEF" w14:textId="77777777" w:rsidR="00111CC0" w:rsidRPr="00C0771E" w:rsidRDefault="00111CC0" w:rsidP="00111CC0">
            <w:pPr>
              <w:spacing w:after="0" w:line="240" w:lineRule="auto"/>
              <w:jc w:val="center"/>
              <w:rPr>
                <w:rFonts w:eastAsia="Times New Roman" w:cs="Times New Roman"/>
                <w:b/>
                <w:bCs/>
                <w:sz w:val="18"/>
                <w:szCs w:val="18"/>
                <w:lang w:eastAsia="sk-SK"/>
              </w:rPr>
            </w:pPr>
            <w:r w:rsidRPr="00C0771E">
              <w:rPr>
                <w:rFonts w:eastAsia="Times New Roman" w:cs="Times New Roman"/>
                <w:b/>
                <w:bCs/>
                <w:sz w:val="18"/>
                <w:szCs w:val="18"/>
                <w:lang w:eastAsia="sk-SK"/>
              </w:rPr>
              <w:t>1</w:t>
            </w:r>
          </w:p>
        </w:tc>
        <w:tc>
          <w:tcPr>
            <w:tcW w:w="462" w:type="pct"/>
            <w:tcBorders>
              <w:top w:val="nil"/>
              <w:left w:val="nil"/>
              <w:bottom w:val="single" w:sz="8" w:space="0" w:color="auto"/>
              <w:right w:val="nil"/>
            </w:tcBorders>
            <w:shd w:val="clear" w:color="000000" w:fill="BFBFBF"/>
            <w:vAlign w:val="center"/>
            <w:hideMark/>
          </w:tcPr>
          <w:p w14:paraId="43F1AE0A" w14:textId="77777777" w:rsidR="00111CC0" w:rsidRPr="00C0771E" w:rsidRDefault="00111CC0" w:rsidP="00111CC0">
            <w:pPr>
              <w:spacing w:after="0" w:line="240" w:lineRule="auto"/>
              <w:jc w:val="center"/>
              <w:rPr>
                <w:rFonts w:eastAsia="Times New Roman" w:cs="Times New Roman"/>
                <w:b/>
                <w:bCs/>
                <w:sz w:val="18"/>
                <w:szCs w:val="18"/>
                <w:lang w:eastAsia="sk-SK"/>
              </w:rPr>
            </w:pPr>
            <w:r w:rsidRPr="00C0771E">
              <w:rPr>
                <w:rFonts w:eastAsia="Times New Roman" w:cs="Times New Roman"/>
                <w:b/>
                <w:bCs/>
                <w:sz w:val="18"/>
                <w:szCs w:val="18"/>
                <w:lang w:eastAsia="sk-SK"/>
              </w:rPr>
              <w:t>2</w:t>
            </w:r>
          </w:p>
        </w:tc>
        <w:tc>
          <w:tcPr>
            <w:tcW w:w="601" w:type="pct"/>
            <w:tcBorders>
              <w:top w:val="nil"/>
              <w:left w:val="nil"/>
              <w:bottom w:val="single" w:sz="8" w:space="0" w:color="auto"/>
              <w:right w:val="nil"/>
            </w:tcBorders>
            <w:shd w:val="clear" w:color="000000" w:fill="BFBFBF"/>
            <w:vAlign w:val="center"/>
            <w:hideMark/>
          </w:tcPr>
          <w:p w14:paraId="29AE83C9" w14:textId="77777777" w:rsidR="00111CC0" w:rsidRPr="00C0771E" w:rsidRDefault="00111CC0" w:rsidP="00111CC0">
            <w:pPr>
              <w:spacing w:after="0" w:line="240" w:lineRule="auto"/>
              <w:jc w:val="center"/>
              <w:rPr>
                <w:rFonts w:eastAsia="Times New Roman" w:cs="Times New Roman"/>
                <w:b/>
                <w:bCs/>
                <w:sz w:val="18"/>
                <w:szCs w:val="18"/>
                <w:lang w:eastAsia="sk-SK"/>
              </w:rPr>
            </w:pPr>
            <w:r w:rsidRPr="00C0771E">
              <w:rPr>
                <w:rFonts w:eastAsia="Times New Roman" w:cs="Times New Roman"/>
                <w:b/>
                <w:bCs/>
                <w:sz w:val="18"/>
                <w:szCs w:val="18"/>
                <w:lang w:eastAsia="sk-SK"/>
              </w:rPr>
              <w:t>3</w:t>
            </w:r>
          </w:p>
        </w:tc>
        <w:tc>
          <w:tcPr>
            <w:tcW w:w="653" w:type="pct"/>
            <w:tcBorders>
              <w:top w:val="nil"/>
              <w:left w:val="nil"/>
              <w:bottom w:val="single" w:sz="8" w:space="0" w:color="auto"/>
              <w:right w:val="nil"/>
            </w:tcBorders>
            <w:shd w:val="clear" w:color="000000" w:fill="BFBFBF"/>
            <w:vAlign w:val="center"/>
            <w:hideMark/>
          </w:tcPr>
          <w:p w14:paraId="27027ACE" w14:textId="77777777" w:rsidR="00111CC0" w:rsidRPr="00C0771E" w:rsidRDefault="00111CC0" w:rsidP="00111CC0">
            <w:pPr>
              <w:spacing w:after="0" w:line="240" w:lineRule="auto"/>
              <w:jc w:val="center"/>
              <w:rPr>
                <w:rFonts w:eastAsia="Times New Roman" w:cs="Times New Roman"/>
                <w:b/>
                <w:bCs/>
                <w:sz w:val="18"/>
                <w:szCs w:val="18"/>
                <w:lang w:eastAsia="sk-SK"/>
              </w:rPr>
            </w:pPr>
            <w:r w:rsidRPr="00C0771E">
              <w:rPr>
                <w:rFonts w:eastAsia="Times New Roman" w:cs="Times New Roman"/>
                <w:b/>
                <w:bCs/>
                <w:sz w:val="18"/>
                <w:szCs w:val="18"/>
                <w:lang w:eastAsia="sk-SK"/>
              </w:rPr>
              <w:t>4</w:t>
            </w:r>
          </w:p>
        </w:tc>
        <w:tc>
          <w:tcPr>
            <w:tcW w:w="460" w:type="pct"/>
            <w:tcBorders>
              <w:top w:val="nil"/>
              <w:left w:val="nil"/>
              <w:bottom w:val="single" w:sz="8" w:space="0" w:color="auto"/>
              <w:right w:val="nil"/>
            </w:tcBorders>
            <w:shd w:val="clear" w:color="000000" w:fill="BFBFBF"/>
            <w:vAlign w:val="center"/>
            <w:hideMark/>
          </w:tcPr>
          <w:p w14:paraId="252E00F0" w14:textId="77777777" w:rsidR="00111CC0" w:rsidRPr="00C0771E" w:rsidRDefault="00111CC0" w:rsidP="00111CC0">
            <w:pPr>
              <w:spacing w:after="0" w:line="240" w:lineRule="auto"/>
              <w:jc w:val="center"/>
              <w:rPr>
                <w:rFonts w:eastAsia="Times New Roman" w:cs="Times New Roman"/>
                <w:b/>
                <w:bCs/>
                <w:sz w:val="18"/>
                <w:szCs w:val="18"/>
                <w:lang w:eastAsia="sk-SK"/>
              </w:rPr>
            </w:pPr>
            <w:r w:rsidRPr="00C0771E">
              <w:rPr>
                <w:rFonts w:eastAsia="Times New Roman" w:cs="Times New Roman"/>
                <w:b/>
                <w:bCs/>
                <w:sz w:val="18"/>
                <w:szCs w:val="18"/>
                <w:lang w:eastAsia="sk-SK"/>
              </w:rPr>
              <w:t>5=4-3</w:t>
            </w:r>
          </w:p>
        </w:tc>
        <w:tc>
          <w:tcPr>
            <w:tcW w:w="468" w:type="pct"/>
            <w:tcBorders>
              <w:top w:val="nil"/>
              <w:left w:val="nil"/>
              <w:bottom w:val="single" w:sz="8" w:space="0" w:color="auto"/>
              <w:right w:val="nil"/>
            </w:tcBorders>
            <w:shd w:val="clear" w:color="000000" w:fill="BFBFBF"/>
            <w:vAlign w:val="center"/>
            <w:hideMark/>
          </w:tcPr>
          <w:p w14:paraId="70E6B154" w14:textId="77777777" w:rsidR="00111CC0" w:rsidRPr="00C0771E" w:rsidRDefault="00111CC0" w:rsidP="00111CC0">
            <w:pPr>
              <w:spacing w:after="0" w:line="240" w:lineRule="auto"/>
              <w:jc w:val="center"/>
              <w:rPr>
                <w:rFonts w:eastAsia="Times New Roman" w:cs="Times New Roman"/>
                <w:b/>
                <w:bCs/>
                <w:sz w:val="18"/>
                <w:szCs w:val="18"/>
                <w:lang w:eastAsia="sk-SK"/>
              </w:rPr>
            </w:pPr>
            <w:r w:rsidRPr="00C0771E">
              <w:rPr>
                <w:rFonts w:eastAsia="Times New Roman" w:cs="Times New Roman"/>
                <w:b/>
                <w:bCs/>
                <w:sz w:val="18"/>
                <w:szCs w:val="18"/>
                <w:lang w:eastAsia="sk-SK"/>
              </w:rPr>
              <w:t>6=4-3</w:t>
            </w:r>
          </w:p>
        </w:tc>
      </w:tr>
      <w:tr w:rsidR="00111CC0" w:rsidRPr="00C0771E" w14:paraId="355C5CEB" w14:textId="77777777" w:rsidTr="00EA0787">
        <w:trPr>
          <w:trHeight w:val="596"/>
        </w:trPr>
        <w:tc>
          <w:tcPr>
            <w:tcW w:w="1833" w:type="pct"/>
            <w:tcBorders>
              <w:top w:val="single" w:sz="4" w:space="0" w:color="auto"/>
              <w:left w:val="nil"/>
              <w:bottom w:val="nil"/>
              <w:right w:val="nil"/>
            </w:tcBorders>
            <w:shd w:val="clear" w:color="auto" w:fill="auto"/>
            <w:vAlign w:val="center"/>
            <w:hideMark/>
          </w:tcPr>
          <w:p w14:paraId="4440DEB2" w14:textId="77777777" w:rsidR="00111CC0" w:rsidRPr="00C0771E" w:rsidRDefault="00111CC0" w:rsidP="00111CC0">
            <w:pPr>
              <w:spacing w:after="0" w:line="240" w:lineRule="auto"/>
              <w:jc w:val="left"/>
              <w:rPr>
                <w:rFonts w:eastAsia="Times New Roman" w:cs="Times New Roman"/>
                <w:color w:val="000000"/>
                <w:sz w:val="18"/>
                <w:szCs w:val="18"/>
                <w:lang w:eastAsia="sk-SK"/>
              </w:rPr>
            </w:pPr>
            <w:r w:rsidRPr="00C0771E">
              <w:rPr>
                <w:rFonts w:eastAsia="Times New Roman" w:cs="Times New Roman"/>
                <w:color w:val="000000"/>
                <w:sz w:val="18"/>
                <w:szCs w:val="18"/>
                <w:lang w:eastAsia="sk-SK"/>
              </w:rPr>
              <w:t>Spolufinancovanie k prostriedkom EÚ (štrukturálne operácie, poľnohospodárske fondy)</w:t>
            </w:r>
          </w:p>
        </w:tc>
        <w:tc>
          <w:tcPr>
            <w:tcW w:w="522" w:type="pct"/>
            <w:tcBorders>
              <w:top w:val="nil"/>
              <w:left w:val="nil"/>
              <w:bottom w:val="nil"/>
              <w:right w:val="nil"/>
            </w:tcBorders>
            <w:shd w:val="clear" w:color="auto" w:fill="auto"/>
            <w:noWrap/>
            <w:vAlign w:val="center"/>
            <w:hideMark/>
          </w:tcPr>
          <w:p w14:paraId="07AC22D7"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311 327</w:t>
            </w:r>
          </w:p>
        </w:tc>
        <w:tc>
          <w:tcPr>
            <w:tcW w:w="462" w:type="pct"/>
            <w:tcBorders>
              <w:top w:val="nil"/>
              <w:left w:val="nil"/>
              <w:bottom w:val="nil"/>
              <w:right w:val="nil"/>
            </w:tcBorders>
            <w:shd w:val="clear" w:color="auto" w:fill="auto"/>
            <w:noWrap/>
            <w:vAlign w:val="center"/>
            <w:hideMark/>
          </w:tcPr>
          <w:p w14:paraId="71C15337"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295 777</w:t>
            </w:r>
          </w:p>
        </w:tc>
        <w:tc>
          <w:tcPr>
            <w:tcW w:w="601" w:type="pct"/>
            <w:tcBorders>
              <w:top w:val="nil"/>
              <w:left w:val="nil"/>
              <w:bottom w:val="nil"/>
              <w:right w:val="nil"/>
            </w:tcBorders>
            <w:shd w:val="clear" w:color="auto" w:fill="auto"/>
            <w:noWrap/>
            <w:vAlign w:val="center"/>
            <w:hideMark/>
          </w:tcPr>
          <w:p w14:paraId="20A25F44"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262 832</w:t>
            </w:r>
          </w:p>
        </w:tc>
        <w:tc>
          <w:tcPr>
            <w:tcW w:w="653" w:type="pct"/>
            <w:tcBorders>
              <w:top w:val="nil"/>
              <w:left w:val="nil"/>
              <w:bottom w:val="nil"/>
              <w:right w:val="nil"/>
            </w:tcBorders>
            <w:shd w:val="clear" w:color="auto" w:fill="auto"/>
            <w:noWrap/>
            <w:vAlign w:val="center"/>
            <w:hideMark/>
          </w:tcPr>
          <w:p w14:paraId="102D77F7"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378 051</w:t>
            </w:r>
          </w:p>
        </w:tc>
        <w:tc>
          <w:tcPr>
            <w:tcW w:w="460" w:type="pct"/>
            <w:tcBorders>
              <w:top w:val="nil"/>
              <w:left w:val="nil"/>
              <w:bottom w:val="nil"/>
              <w:right w:val="nil"/>
            </w:tcBorders>
            <w:shd w:val="clear" w:color="auto" w:fill="auto"/>
            <w:noWrap/>
            <w:vAlign w:val="center"/>
            <w:hideMark/>
          </w:tcPr>
          <w:p w14:paraId="3B60046A"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115 219</w:t>
            </w:r>
          </w:p>
        </w:tc>
        <w:tc>
          <w:tcPr>
            <w:tcW w:w="468" w:type="pct"/>
            <w:tcBorders>
              <w:top w:val="single" w:sz="4" w:space="0" w:color="auto"/>
              <w:left w:val="nil"/>
              <w:bottom w:val="nil"/>
              <w:right w:val="nil"/>
            </w:tcBorders>
            <w:shd w:val="clear" w:color="auto" w:fill="auto"/>
            <w:noWrap/>
            <w:vAlign w:val="center"/>
            <w:hideMark/>
          </w:tcPr>
          <w:p w14:paraId="6D962D7F"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43,8</w:t>
            </w:r>
          </w:p>
        </w:tc>
      </w:tr>
      <w:tr w:rsidR="00111CC0" w:rsidRPr="00C0771E" w14:paraId="321B6E25" w14:textId="77777777" w:rsidTr="00EA0787">
        <w:trPr>
          <w:trHeight w:val="596"/>
        </w:trPr>
        <w:tc>
          <w:tcPr>
            <w:tcW w:w="1833" w:type="pct"/>
            <w:tcBorders>
              <w:top w:val="nil"/>
              <w:left w:val="nil"/>
              <w:bottom w:val="nil"/>
              <w:right w:val="nil"/>
            </w:tcBorders>
            <w:shd w:val="clear" w:color="auto" w:fill="auto"/>
            <w:vAlign w:val="center"/>
            <w:hideMark/>
          </w:tcPr>
          <w:p w14:paraId="33657FE9" w14:textId="77777777" w:rsidR="00111CC0" w:rsidRPr="00C0771E" w:rsidRDefault="00111CC0" w:rsidP="00111CC0">
            <w:pPr>
              <w:spacing w:after="0" w:line="240" w:lineRule="auto"/>
              <w:jc w:val="left"/>
              <w:rPr>
                <w:rFonts w:eastAsia="Times New Roman" w:cs="Times New Roman"/>
                <w:color w:val="000000"/>
                <w:sz w:val="18"/>
                <w:szCs w:val="18"/>
                <w:lang w:eastAsia="sk-SK"/>
              </w:rPr>
            </w:pPr>
            <w:r w:rsidRPr="00C0771E">
              <w:rPr>
                <w:rFonts w:eastAsia="Times New Roman" w:cs="Times New Roman"/>
                <w:color w:val="000000"/>
                <w:sz w:val="18"/>
                <w:szCs w:val="18"/>
                <w:lang w:eastAsia="sk-SK"/>
              </w:rPr>
              <w:t>Spolufinancovanie k zahraničným grantom z prostriedkov EÚ (EÚS, LIFE +)</w:t>
            </w:r>
          </w:p>
        </w:tc>
        <w:tc>
          <w:tcPr>
            <w:tcW w:w="522" w:type="pct"/>
            <w:tcBorders>
              <w:top w:val="nil"/>
              <w:left w:val="nil"/>
              <w:bottom w:val="nil"/>
              <w:right w:val="nil"/>
            </w:tcBorders>
            <w:shd w:val="clear" w:color="auto" w:fill="auto"/>
            <w:noWrap/>
            <w:vAlign w:val="center"/>
            <w:hideMark/>
          </w:tcPr>
          <w:p w14:paraId="57E8CDA2"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2 806</w:t>
            </w:r>
          </w:p>
        </w:tc>
        <w:tc>
          <w:tcPr>
            <w:tcW w:w="462" w:type="pct"/>
            <w:tcBorders>
              <w:top w:val="nil"/>
              <w:left w:val="nil"/>
              <w:bottom w:val="nil"/>
              <w:right w:val="nil"/>
            </w:tcBorders>
            <w:shd w:val="clear" w:color="auto" w:fill="auto"/>
            <w:noWrap/>
            <w:vAlign w:val="center"/>
            <w:hideMark/>
          </w:tcPr>
          <w:p w14:paraId="19259E57"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6 321</w:t>
            </w:r>
          </w:p>
        </w:tc>
        <w:tc>
          <w:tcPr>
            <w:tcW w:w="601" w:type="pct"/>
            <w:tcBorders>
              <w:top w:val="nil"/>
              <w:left w:val="nil"/>
              <w:bottom w:val="nil"/>
              <w:right w:val="nil"/>
            </w:tcBorders>
            <w:shd w:val="clear" w:color="auto" w:fill="auto"/>
            <w:noWrap/>
            <w:vAlign w:val="center"/>
            <w:hideMark/>
          </w:tcPr>
          <w:p w14:paraId="533824F4"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4 435</w:t>
            </w:r>
          </w:p>
        </w:tc>
        <w:tc>
          <w:tcPr>
            <w:tcW w:w="653" w:type="pct"/>
            <w:tcBorders>
              <w:top w:val="nil"/>
              <w:left w:val="nil"/>
              <w:bottom w:val="nil"/>
              <w:right w:val="nil"/>
            </w:tcBorders>
            <w:shd w:val="clear" w:color="auto" w:fill="auto"/>
            <w:noWrap/>
            <w:vAlign w:val="center"/>
            <w:hideMark/>
          </w:tcPr>
          <w:p w14:paraId="2BEE8B12"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3 576</w:t>
            </w:r>
          </w:p>
        </w:tc>
        <w:tc>
          <w:tcPr>
            <w:tcW w:w="460" w:type="pct"/>
            <w:tcBorders>
              <w:top w:val="nil"/>
              <w:left w:val="nil"/>
              <w:bottom w:val="nil"/>
              <w:right w:val="nil"/>
            </w:tcBorders>
            <w:shd w:val="clear" w:color="auto" w:fill="auto"/>
            <w:noWrap/>
            <w:vAlign w:val="center"/>
            <w:hideMark/>
          </w:tcPr>
          <w:p w14:paraId="7959F0A0"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-859</w:t>
            </w:r>
          </w:p>
        </w:tc>
        <w:tc>
          <w:tcPr>
            <w:tcW w:w="468" w:type="pct"/>
            <w:tcBorders>
              <w:top w:val="nil"/>
              <w:left w:val="nil"/>
              <w:bottom w:val="nil"/>
              <w:right w:val="nil"/>
            </w:tcBorders>
            <w:shd w:val="clear" w:color="auto" w:fill="auto"/>
            <w:noWrap/>
            <w:vAlign w:val="center"/>
            <w:hideMark/>
          </w:tcPr>
          <w:p w14:paraId="0A712815"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-19,4</w:t>
            </w:r>
          </w:p>
        </w:tc>
      </w:tr>
      <w:tr w:rsidR="00111CC0" w:rsidRPr="00C0771E" w14:paraId="21BBAF2D" w14:textId="77777777" w:rsidTr="00EA0787">
        <w:trPr>
          <w:trHeight w:val="596"/>
        </w:trPr>
        <w:tc>
          <w:tcPr>
            <w:tcW w:w="1833" w:type="pct"/>
            <w:tcBorders>
              <w:top w:val="nil"/>
              <w:left w:val="nil"/>
              <w:bottom w:val="nil"/>
              <w:right w:val="nil"/>
            </w:tcBorders>
            <w:shd w:val="clear" w:color="auto" w:fill="auto"/>
            <w:vAlign w:val="center"/>
            <w:hideMark/>
          </w:tcPr>
          <w:p w14:paraId="615D43FA" w14:textId="77777777" w:rsidR="00111CC0" w:rsidRPr="00C0771E" w:rsidRDefault="00111CC0" w:rsidP="00111CC0">
            <w:pPr>
              <w:spacing w:after="0" w:line="240" w:lineRule="auto"/>
              <w:jc w:val="left"/>
              <w:rPr>
                <w:rFonts w:eastAsia="Times New Roman" w:cs="Times New Roman"/>
                <w:color w:val="000000"/>
                <w:sz w:val="18"/>
                <w:szCs w:val="18"/>
                <w:lang w:eastAsia="sk-SK"/>
              </w:rPr>
            </w:pPr>
            <w:r w:rsidRPr="00C0771E">
              <w:rPr>
                <w:rFonts w:eastAsia="Times New Roman" w:cs="Times New Roman"/>
                <w:color w:val="000000"/>
                <w:sz w:val="18"/>
                <w:szCs w:val="18"/>
                <w:lang w:eastAsia="sk-SK"/>
              </w:rPr>
              <w:t>Spolufinancovanie k prostriedkom poskytnutým na základe medzinárodných zmlúv (EHP, NFM)</w:t>
            </w:r>
          </w:p>
        </w:tc>
        <w:tc>
          <w:tcPr>
            <w:tcW w:w="522" w:type="pct"/>
            <w:tcBorders>
              <w:top w:val="nil"/>
              <w:left w:val="nil"/>
              <w:bottom w:val="nil"/>
              <w:right w:val="nil"/>
            </w:tcBorders>
            <w:shd w:val="clear" w:color="auto" w:fill="auto"/>
            <w:noWrap/>
            <w:vAlign w:val="center"/>
            <w:hideMark/>
          </w:tcPr>
          <w:p w14:paraId="5205B30C"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2 317</w:t>
            </w:r>
          </w:p>
        </w:tc>
        <w:tc>
          <w:tcPr>
            <w:tcW w:w="462" w:type="pct"/>
            <w:tcBorders>
              <w:top w:val="nil"/>
              <w:left w:val="nil"/>
              <w:bottom w:val="nil"/>
              <w:right w:val="nil"/>
            </w:tcBorders>
            <w:shd w:val="clear" w:color="auto" w:fill="auto"/>
            <w:noWrap/>
            <w:vAlign w:val="center"/>
            <w:hideMark/>
          </w:tcPr>
          <w:p w14:paraId="3FB2BC69"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2 250</w:t>
            </w:r>
          </w:p>
        </w:tc>
        <w:tc>
          <w:tcPr>
            <w:tcW w:w="601" w:type="pct"/>
            <w:tcBorders>
              <w:top w:val="nil"/>
              <w:left w:val="nil"/>
              <w:bottom w:val="nil"/>
              <w:right w:val="nil"/>
            </w:tcBorders>
            <w:shd w:val="clear" w:color="auto" w:fill="auto"/>
            <w:noWrap/>
            <w:vAlign w:val="center"/>
            <w:hideMark/>
          </w:tcPr>
          <w:p w14:paraId="46F2D4F2"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4 017</w:t>
            </w:r>
          </w:p>
        </w:tc>
        <w:tc>
          <w:tcPr>
            <w:tcW w:w="653" w:type="pct"/>
            <w:tcBorders>
              <w:top w:val="nil"/>
              <w:left w:val="nil"/>
              <w:bottom w:val="nil"/>
              <w:right w:val="nil"/>
            </w:tcBorders>
            <w:shd w:val="clear" w:color="auto" w:fill="auto"/>
            <w:noWrap/>
            <w:vAlign w:val="center"/>
            <w:hideMark/>
          </w:tcPr>
          <w:p w14:paraId="6CE028B8"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4 018</w:t>
            </w:r>
          </w:p>
        </w:tc>
        <w:tc>
          <w:tcPr>
            <w:tcW w:w="460" w:type="pct"/>
            <w:tcBorders>
              <w:top w:val="nil"/>
              <w:left w:val="nil"/>
              <w:bottom w:val="nil"/>
              <w:right w:val="nil"/>
            </w:tcBorders>
            <w:shd w:val="clear" w:color="auto" w:fill="auto"/>
            <w:noWrap/>
            <w:vAlign w:val="center"/>
            <w:hideMark/>
          </w:tcPr>
          <w:p w14:paraId="6E870EC1"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1</w:t>
            </w:r>
          </w:p>
        </w:tc>
        <w:tc>
          <w:tcPr>
            <w:tcW w:w="468" w:type="pct"/>
            <w:tcBorders>
              <w:top w:val="nil"/>
              <w:left w:val="nil"/>
              <w:bottom w:val="nil"/>
              <w:right w:val="nil"/>
            </w:tcBorders>
            <w:shd w:val="clear" w:color="auto" w:fill="auto"/>
            <w:noWrap/>
            <w:vAlign w:val="center"/>
            <w:hideMark/>
          </w:tcPr>
          <w:p w14:paraId="4E4E0251"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0,0</w:t>
            </w:r>
          </w:p>
        </w:tc>
      </w:tr>
      <w:tr w:rsidR="00111CC0" w:rsidRPr="00C0771E" w14:paraId="3679C44E" w14:textId="77777777" w:rsidTr="00EA0787">
        <w:trPr>
          <w:trHeight w:val="266"/>
        </w:trPr>
        <w:tc>
          <w:tcPr>
            <w:tcW w:w="1833" w:type="pct"/>
            <w:tcBorders>
              <w:top w:val="nil"/>
              <w:left w:val="nil"/>
              <w:bottom w:val="nil"/>
              <w:right w:val="nil"/>
            </w:tcBorders>
            <w:shd w:val="clear" w:color="auto" w:fill="auto"/>
            <w:vAlign w:val="center"/>
            <w:hideMark/>
          </w:tcPr>
          <w:p w14:paraId="383C0B58" w14:textId="77777777" w:rsidR="00111CC0" w:rsidRPr="00C0771E" w:rsidRDefault="00111CC0" w:rsidP="00111CC0">
            <w:pPr>
              <w:spacing w:after="0" w:line="240" w:lineRule="auto"/>
              <w:jc w:val="lef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Spolu</w:t>
            </w:r>
          </w:p>
        </w:tc>
        <w:tc>
          <w:tcPr>
            <w:tcW w:w="522" w:type="pct"/>
            <w:tcBorders>
              <w:top w:val="nil"/>
              <w:left w:val="nil"/>
              <w:bottom w:val="nil"/>
              <w:right w:val="nil"/>
            </w:tcBorders>
            <w:shd w:val="clear" w:color="auto" w:fill="auto"/>
            <w:noWrap/>
            <w:vAlign w:val="center"/>
            <w:hideMark/>
          </w:tcPr>
          <w:p w14:paraId="728BF912"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316 450</w:t>
            </w:r>
          </w:p>
        </w:tc>
        <w:tc>
          <w:tcPr>
            <w:tcW w:w="462" w:type="pct"/>
            <w:tcBorders>
              <w:top w:val="nil"/>
              <w:left w:val="nil"/>
              <w:bottom w:val="nil"/>
              <w:right w:val="nil"/>
            </w:tcBorders>
            <w:shd w:val="clear" w:color="auto" w:fill="auto"/>
            <w:noWrap/>
            <w:vAlign w:val="center"/>
            <w:hideMark/>
          </w:tcPr>
          <w:p w14:paraId="7EDF1A07"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304 348</w:t>
            </w:r>
          </w:p>
        </w:tc>
        <w:tc>
          <w:tcPr>
            <w:tcW w:w="601" w:type="pct"/>
            <w:tcBorders>
              <w:top w:val="nil"/>
              <w:left w:val="nil"/>
              <w:bottom w:val="nil"/>
              <w:right w:val="nil"/>
            </w:tcBorders>
            <w:shd w:val="clear" w:color="auto" w:fill="auto"/>
            <w:noWrap/>
            <w:vAlign w:val="center"/>
            <w:hideMark/>
          </w:tcPr>
          <w:p w14:paraId="4FF66D5C"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271 284</w:t>
            </w:r>
          </w:p>
        </w:tc>
        <w:tc>
          <w:tcPr>
            <w:tcW w:w="653" w:type="pct"/>
            <w:tcBorders>
              <w:top w:val="nil"/>
              <w:left w:val="nil"/>
              <w:bottom w:val="nil"/>
              <w:right w:val="nil"/>
            </w:tcBorders>
            <w:shd w:val="clear" w:color="auto" w:fill="auto"/>
            <w:noWrap/>
            <w:vAlign w:val="center"/>
            <w:hideMark/>
          </w:tcPr>
          <w:p w14:paraId="3BCE5523"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385 645</w:t>
            </w:r>
          </w:p>
        </w:tc>
        <w:tc>
          <w:tcPr>
            <w:tcW w:w="460" w:type="pct"/>
            <w:tcBorders>
              <w:top w:val="nil"/>
              <w:left w:val="nil"/>
              <w:bottom w:val="nil"/>
              <w:right w:val="nil"/>
            </w:tcBorders>
            <w:shd w:val="clear" w:color="auto" w:fill="auto"/>
            <w:noWrap/>
            <w:vAlign w:val="center"/>
            <w:hideMark/>
          </w:tcPr>
          <w:p w14:paraId="75A4FD13"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114 361</w:t>
            </w:r>
          </w:p>
        </w:tc>
        <w:tc>
          <w:tcPr>
            <w:tcW w:w="468" w:type="pct"/>
            <w:tcBorders>
              <w:top w:val="nil"/>
              <w:left w:val="nil"/>
              <w:bottom w:val="nil"/>
              <w:right w:val="nil"/>
            </w:tcBorders>
            <w:shd w:val="clear" w:color="auto" w:fill="auto"/>
            <w:noWrap/>
            <w:vAlign w:val="center"/>
            <w:hideMark/>
          </w:tcPr>
          <w:p w14:paraId="558DA82E"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42,2</w:t>
            </w:r>
          </w:p>
        </w:tc>
      </w:tr>
      <w:tr w:rsidR="00111CC0" w:rsidRPr="00C0771E" w14:paraId="7E53A762" w14:textId="77777777" w:rsidTr="00EA0787">
        <w:trPr>
          <w:trHeight w:val="266"/>
        </w:trPr>
        <w:tc>
          <w:tcPr>
            <w:tcW w:w="1833" w:type="pct"/>
            <w:tcBorders>
              <w:top w:val="nil"/>
              <w:left w:val="nil"/>
              <w:bottom w:val="nil"/>
              <w:right w:val="nil"/>
            </w:tcBorders>
            <w:shd w:val="clear" w:color="auto" w:fill="auto"/>
            <w:vAlign w:val="center"/>
            <w:hideMark/>
          </w:tcPr>
          <w:p w14:paraId="786CA4C5" w14:textId="77777777" w:rsidR="00111CC0" w:rsidRPr="00C0771E" w:rsidRDefault="00111CC0" w:rsidP="00111CC0">
            <w:pPr>
              <w:spacing w:after="0" w:line="240" w:lineRule="auto"/>
              <w:jc w:val="left"/>
              <w:rPr>
                <w:rFonts w:eastAsia="Times New Roman" w:cs="Times New Roman"/>
                <w:color w:val="000000"/>
                <w:sz w:val="18"/>
                <w:szCs w:val="18"/>
                <w:lang w:eastAsia="sk-SK"/>
              </w:rPr>
            </w:pPr>
            <w:r w:rsidRPr="00C0771E">
              <w:rPr>
                <w:rFonts w:eastAsia="Times New Roman" w:cs="Times New Roman"/>
                <w:color w:val="000000"/>
                <w:sz w:val="18"/>
                <w:szCs w:val="18"/>
                <w:lang w:eastAsia="sk-SK"/>
              </w:rPr>
              <w:t>Vnútorné politiky EÚ</w:t>
            </w:r>
          </w:p>
        </w:tc>
        <w:tc>
          <w:tcPr>
            <w:tcW w:w="522" w:type="pct"/>
            <w:tcBorders>
              <w:top w:val="nil"/>
              <w:left w:val="nil"/>
              <w:bottom w:val="nil"/>
              <w:right w:val="nil"/>
            </w:tcBorders>
            <w:shd w:val="clear" w:color="auto" w:fill="auto"/>
            <w:noWrap/>
            <w:vAlign w:val="center"/>
            <w:hideMark/>
          </w:tcPr>
          <w:p w14:paraId="7AFA21DC" w14:textId="77777777" w:rsidR="00111CC0" w:rsidRPr="00C0771E" w:rsidRDefault="00111CC0" w:rsidP="00111CC0">
            <w:pPr>
              <w:spacing w:after="0" w:line="240" w:lineRule="auto"/>
              <w:jc w:val="right"/>
              <w:rPr>
                <w:rFonts w:eastAsia="Times New Roman" w:cs="Times New Roman"/>
                <w:sz w:val="18"/>
                <w:szCs w:val="18"/>
                <w:lang w:eastAsia="sk-SK"/>
              </w:rPr>
            </w:pPr>
            <w:r w:rsidRPr="00C0771E">
              <w:rPr>
                <w:rFonts w:eastAsia="Times New Roman" w:cs="Times New Roman"/>
                <w:sz w:val="18"/>
                <w:szCs w:val="18"/>
                <w:lang w:eastAsia="sk-SK"/>
              </w:rPr>
              <w:t>9 624</w:t>
            </w:r>
          </w:p>
        </w:tc>
        <w:tc>
          <w:tcPr>
            <w:tcW w:w="462" w:type="pct"/>
            <w:tcBorders>
              <w:top w:val="nil"/>
              <w:left w:val="nil"/>
              <w:bottom w:val="nil"/>
              <w:right w:val="nil"/>
            </w:tcBorders>
            <w:shd w:val="clear" w:color="auto" w:fill="auto"/>
            <w:noWrap/>
            <w:vAlign w:val="center"/>
            <w:hideMark/>
          </w:tcPr>
          <w:p w14:paraId="68F1DE58" w14:textId="77777777" w:rsidR="00111CC0" w:rsidRPr="00C0771E" w:rsidRDefault="00111CC0" w:rsidP="00111CC0">
            <w:pPr>
              <w:spacing w:after="0" w:line="240" w:lineRule="auto"/>
              <w:jc w:val="right"/>
              <w:rPr>
                <w:rFonts w:eastAsia="Times New Roman" w:cs="Times New Roman"/>
                <w:sz w:val="18"/>
                <w:szCs w:val="18"/>
                <w:lang w:eastAsia="sk-SK"/>
              </w:rPr>
            </w:pPr>
            <w:r w:rsidRPr="00C0771E">
              <w:rPr>
                <w:rFonts w:eastAsia="Times New Roman" w:cs="Times New Roman"/>
                <w:sz w:val="18"/>
                <w:szCs w:val="18"/>
                <w:lang w:eastAsia="sk-SK"/>
              </w:rPr>
              <w:t>1 841</w:t>
            </w:r>
          </w:p>
        </w:tc>
        <w:tc>
          <w:tcPr>
            <w:tcW w:w="601" w:type="pct"/>
            <w:tcBorders>
              <w:top w:val="nil"/>
              <w:left w:val="nil"/>
              <w:bottom w:val="nil"/>
              <w:right w:val="nil"/>
            </w:tcBorders>
            <w:shd w:val="clear" w:color="auto" w:fill="auto"/>
            <w:noWrap/>
            <w:vAlign w:val="center"/>
            <w:hideMark/>
          </w:tcPr>
          <w:p w14:paraId="21EBC5B0" w14:textId="77777777" w:rsidR="00111CC0" w:rsidRPr="00C0771E" w:rsidRDefault="00111CC0" w:rsidP="00111CC0">
            <w:pPr>
              <w:spacing w:after="0" w:line="240" w:lineRule="auto"/>
              <w:jc w:val="right"/>
              <w:rPr>
                <w:rFonts w:eastAsia="Times New Roman" w:cs="Times New Roman"/>
                <w:sz w:val="18"/>
                <w:szCs w:val="18"/>
                <w:lang w:eastAsia="sk-SK"/>
              </w:rPr>
            </w:pPr>
            <w:r w:rsidRPr="00C0771E">
              <w:rPr>
                <w:rFonts w:eastAsia="Times New Roman" w:cs="Times New Roman"/>
                <w:sz w:val="18"/>
                <w:szCs w:val="18"/>
                <w:lang w:eastAsia="sk-SK"/>
              </w:rPr>
              <w:t>350</w:t>
            </w:r>
          </w:p>
        </w:tc>
        <w:tc>
          <w:tcPr>
            <w:tcW w:w="653" w:type="pct"/>
            <w:tcBorders>
              <w:top w:val="nil"/>
              <w:left w:val="nil"/>
              <w:bottom w:val="nil"/>
              <w:right w:val="nil"/>
            </w:tcBorders>
            <w:shd w:val="clear" w:color="auto" w:fill="auto"/>
            <w:noWrap/>
            <w:vAlign w:val="center"/>
            <w:hideMark/>
          </w:tcPr>
          <w:p w14:paraId="6D0BC41B" w14:textId="77777777" w:rsidR="00111CC0" w:rsidRPr="00C0771E" w:rsidRDefault="00111CC0" w:rsidP="00111CC0">
            <w:pPr>
              <w:spacing w:after="0" w:line="240" w:lineRule="auto"/>
              <w:jc w:val="right"/>
              <w:rPr>
                <w:rFonts w:eastAsia="Times New Roman" w:cs="Times New Roman"/>
                <w:sz w:val="18"/>
                <w:szCs w:val="18"/>
                <w:lang w:eastAsia="sk-SK"/>
              </w:rPr>
            </w:pPr>
            <w:r w:rsidRPr="00C0771E">
              <w:rPr>
                <w:rFonts w:eastAsia="Times New Roman" w:cs="Times New Roman"/>
                <w:sz w:val="18"/>
                <w:szCs w:val="18"/>
                <w:lang w:eastAsia="sk-SK"/>
              </w:rPr>
              <w:t>1 542</w:t>
            </w:r>
          </w:p>
        </w:tc>
        <w:tc>
          <w:tcPr>
            <w:tcW w:w="460" w:type="pct"/>
            <w:tcBorders>
              <w:top w:val="nil"/>
              <w:left w:val="nil"/>
              <w:bottom w:val="nil"/>
              <w:right w:val="nil"/>
            </w:tcBorders>
            <w:shd w:val="clear" w:color="auto" w:fill="auto"/>
            <w:noWrap/>
            <w:vAlign w:val="center"/>
            <w:hideMark/>
          </w:tcPr>
          <w:p w14:paraId="776F3179"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1 192</w:t>
            </w:r>
          </w:p>
        </w:tc>
        <w:tc>
          <w:tcPr>
            <w:tcW w:w="468" w:type="pct"/>
            <w:tcBorders>
              <w:top w:val="nil"/>
              <w:left w:val="nil"/>
              <w:bottom w:val="nil"/>
              <w:right w:val="nil"/>
            </w:tcBorders>
            <w:shd w:val="clear" w:color="auto" w:fill="auto"/>
            <w:noWrap/>
            <w:vAlign w:val="center"/>
            <w:hideMark/>
          </w:tcPr>
          <w:p w14:paraId="7FC9DDEC" w14:textId="77777777" w:rsidR="00111CC0" w:rsidRPr="00C0771E" w:rsidRDefault="00111CC0" w:rsidP="00111CC0">
            <w:pPr>
              <w:spacing w:after="0" w:line="240" w:lineRule="auto"/>
              <w:jc w:val="right"/>
              <w:rPr>
                <w:rFonts w:eastAsia="Times New Roman" w:cs="Times New Roman"/>
                <w:color w:val="000000"/>
                <w:sz w:val="18"/>
                <w:szCs w:val="18"/>
                <w:lang w:eastAsia="sk-SK"/>
              </w:rPr>
            </w:pPr>
            <w:r w:rsidRPr="00C0771E">
              <w:rPr>
                <w:rFonts w:eastAsia="Times New Roman" w:cs="Times New Roman"/>
                <w:color w:val="000000"/>
                <w:sz w:val="18"/>
                <w:szCs w:val="18"/>
                <w:lang w:eastAsia="sk-SK"/>
              </w:rPr>
              <w:t>340,6</w:t>
            </w:r>
          </w:p>
        </w:tc>
      </w:tr>
      <w:tr w:rsidR="00111CC0" w:rsidRPr="00C0771E" w14:paraId="25B40DA9" w14:textId="77777777" w:rsidTr="00EA0787">
        <w:trPr>
          <w:trHeight w:val="278"/>
        </w:trPr>
        <w:tc>
          <w:tcPr>
            <w:tcW w:w="1833" w:type="pct"/>
            <w:tcBorders>
              <w:top w:val="single" w:sz="4" w:space="0" w:color="auto"/>
              <w:left w:val="nil"/>
              <w:bottom w:val="single" w:sz="8" w:space="0" w:color="auto"/>
              <w:right w:val="nil"/>
            </w:tcBorders>
            <w:shd w:val="clear" w:color="000000" w:fill="FFFFFF"/>
            <w:vAlign w:val="center"/>
            <w:hideMark/>
          </w:tcPr>
          <w:p w14:paraId="6A495628" w14:textId="77777777" w:rsidR="00111CC0" w:rsidRPr="00C0771E" w:rsidRDefault="00111CC0" w:rsidP="00111CC0">
            <w:pPr>
              <w:spacing w:after="0" w:line="240" w:lineRule="auto"/>
              <w:jc w:val="lef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Spolu (vrátane vnútorných politík EÚ)</w:t>
            </w:r>
          </w:p>
        </w:tc>
        <w:tc>
          <w:tcPr>
            <w:tcW w:w="522" w:type="pct"/>
            <w:tcBorders>
              <w:top w:val="single" w:sz="4" w:space="0" w:color="auto"/>
              <w:left w:val="nil"/>
              <w:bottom w:val="single" w:sz="8" w:space="0" w:color="auto"/>
              <w:right w:val="nil"/>
            </w:tcBorders>
            <w:shd w:val="clear" w:color="000000" w:fill="FFFFFF"/>
            <w:noWrap/>
            <w:vAlign w:val="center"/>
            <w:hideMark/>
          </w:tcPr>
          <w:p w14:paraId="1A7B2A9B"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231 143</w:t>
            </w:r>
          </w:p>
        </w:tc>
        <w:tc>
          <w:tcPr>
            <w:tcW w:w="462" w:type="pct"/>
            <w:tcBorders>
              <w:top w:val="single" w:sz="4" w:space="0" w:color="auto"/>
              <w:left w:val="nil"/>
              <w:bottom w:val="single" w:sz="8" w:space="0" w:color="auto"/>
              <w:right w:val="nil"/>
            </w:tcBorders>
            <w:shd w:val="clear" w:color="000000" w:fill="FFFFFF"/>
            <w:noWrap/>
            <w:vAlign w:val="center"/>
            <w:hideMark/>
          </w:tcPr>
          <w:p w14:paraId="021E2945"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306 189</w:t>
            </w:r>
          </w:p>
        </w:tc>
        <w:tc>
          <w:tcPr>
            <w:tcW w:w="601" w:type="pct"/>
            <w:tcBorders>
              <w:top w:val="single" w:sz="4" w:space="0" w:color="auto"/>
              <w:left w:val="nil"/>
              <w:bottom w:val="single" w:sz="8" w:space="0" w:color="auto"/>
              <w:right w:val="nil"/>
            </w:tcBorders>
            <w:shd w:val="clear" w:color="000000" w:fill="FFFFFF"/>
            <w:noWrap/>
            <w:vAlign w:val="center"/>
            <w:hideMark/>
          </w:tcPr>
          <w:p w14:paraId="5A21EEF1"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271 634</w:t>
            </w:r>
          </w:p>
        </w:tc>
        <w:tc>
          <w:tcPr>
            <w:tcW w:w="653" w:type="pct"/>
            <w:tcBorders>
              <w:top w:val="single" w:sz="4" w:space="0" w:color="auto"/>
              <w:left w:val="nil"/>
              <w:bottom w:val="single" w:sz="8" w:space="0" w:color="auto"/>
              <w:right w:val="nil"/>
            </w:tcBorders>
            <w:shd w:val="clear" w:color="000000" w:fill="FFFFFF"/>
            <w:noWrap/>
            <w:vAlign w:val="center"/>
            <w:hideMark/>
          </w:tcPr>
          <w:p w14:paraId="62D87A34"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387 187</w:t>
            </w:r>
          </w:p>
        </w:tc>
        <w:tc>
          <w:tcPr>
            <w:tcW w:w="460" w:type="pct"/>
            <w:tcBorders>
              <w:top w:val="single" w:sz="4" w:space="0" w:color="auto"/>
              <w:left w:val="nil"/>
              <w:bottom w:val="single" w:sz="8" w:space="0" w:color="auto"/>
              <w:right w:val="nil"/>
            </w:tcBorders>
            <w:shd w:val="clear" w:color="000000" w:fill="FFFFFF"/>
            <w:noWrap/>
            <w:vAlign w:val="center"/>
            <w:hideMark/>
          </w:tcPr>
          <w:p w14:paraId="25D507E4"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115 553</w:t>
            </w:r>
          </w:p>
        </w:tc>
        <w:tc>
          <w:tcPr>
            <w:tcW w:w="468" w:type="pct"/>
            <w:tcBorders>
              <w:top w:val="single" w:sz="4" w:space="0" w:color="auto"/>
              <w:left w:val="nil"/>
              <w:bottom w:val="single" w:sz="8" w:space="0" w:color="auto"/>
              <w:right w:val="nil"/>
            </w:tcBorders>
            <w:shd w:val="clear" w:color="000000" w:fill="FFFFFF"/>
            <w:noWrap/>
            <w:vAlign w:val="center"/>
            <w:hideMark/>
          </w:tcPr>
          <w:p w14:paraId="789C77FD" w14:textId="77777777" w:rsidR="00111CC0" w:rsidRPr="00C0771E" w:rsidRDefault="00111CC0" w:rsidP="00111CC0">
            <w:pPr>
              <w:spacing w:after="0" w:line="240" w:lineRule="auto"/>
              <w:jc w:val="right"/>
              <w:rPr>
                <w:rFonts w:eastAsia="Times New Roman" w:cs="Times New Roman"/>
                <w:b/>
                <w:bCs/>
                <w:color w:val="000000"/>
                <w:sz w:val="18"/>
                <w:szCs w:val="18"/>
                <w:lang w:eastAsia="sk-SK"/>
              </w:rPr>
            </w:pPr>
            <w:r w:rsidRPr="00C0771E">
              <w:rPr>
                <w:rFonts w:eastAsia="Times New Roman" w:cs="Times New Roman"/>
                <w:b/>
                <w:bCs/>
                <w:color w:val="000000"/>
                <w:sz w:val="18"/>
                <w:szCs w:val="18"/>
                <w:lang w:eastAsia="sk-SK"/>
              </w:rPr>
              <w:t>42,5</w:t>
            </w:r>
          </w:p>
        </w:tc>
      </w:tr>
    </w:tbl>
    <w:p w14:paraId="16D6617C" w14:textId="77777777" w:rsidR="00111CC0" w:rsidRPr="00111CC0" w:rsidRDefault="00111CC0" w:rsidP="00111CC0">
      <w:pPr>
        <w:jc w:val="right"/>
        <w:rPr>
          <w:sz w:val="18"/>
          <w:szCs w:val="18"/>
        </w:rPr>
      </w:pPr>
      <w:r w:rsidRPr="00111CC0">
        <w:rPr>
          <w:sz w:val="18"/>
          <w:szCs w:val="18"/>
        </w:rPr>
        <w:t>Zdroj: MF SR</w:t>
      </w:r>
    </w:p>
    <w:p w14:paraId="39669449" w14:textId="2069CA11" w:rsidR="00111CC0" w:rsidRPr="007D5989" w:rsidRDefault="00111CC0" w:rsidP="008D4C2B">
      <w:pPr>
        <w:spacing w:line="240" w:lineRule="auto"/>
        <w:rPr>
          <w:i/>
        </w:rPr>
      </w:pPr>
      <w:r w:rsidRPr="007D5989">
        <w:rPr>
          <w:i/>
        </w:rPr>
        <w:t>V zmysle uznesenia vlády SR č.</w:t>
      </w:r>
      <w:r w:rsidR="003027F4" w:rsidRPr="007D5989">
        <w:rPr>
          <w:i/>
        </w:rPr>
        <w:t xml:space="preserve"> </w:t>
      </w:r>
      <w:r w:rsidRPr="007D5989">
        <w:rPr>
          <w:i/>
        </w:rPr>
        <w:t>355/2020 boli k 1.10.2020 delimitované platobné jednotky Ministerstva financií SR, Úradu vlády SR a Ministerstva pôdohospodárstva a rozvoja vidieka na Ministerstvo investícií, regionálneho rozvoja a informatizácie SR.</w:t>
      </w:r>
      <w:r w:rsidRPr="007D5989">
        <w:rPr>
          <w:rFonts w:ascii="Arial Narrow" w:hAnsi="Arial Narrow"/>
          <w:i/>
          <w:iCs/>
          <w:color w:val="000000"/>
        </w:rPr>
        <w:t xml:space="preserve"> </w:t>
      </w:r>
      <w:r w:rsidRPr="007D5989">
        <w:rPr>
          <w:b/>
          <w:i/>
        </w:rPr>
        <w:t>Plnenie príjmov z prostriedkov EÚ a čerpanie výdavkov z prostriedkov EÚ je uvedené v tabuľke č. 16. Čerpanie výdavkov na spolufinancovanie zo štátneho rozpočtu k prostriedkom EÚ, k zahraničným grantom z prostriedkov EÚ a k prostriedkom poskytnutým na základe medzinárodných zmlúv bez vnútorných politík EÚ je uvedené v tabuľke č. 17.</w:t>
      </w:r>
    </w:p>
    <w:p w14:paraId="1062697C" w14:textId="77777777" w:rsidR="00111CC0" w:rsidRPr="00111CC0" w:rsidRDefault="00111CC0" w:rsidP="00111CC0"/>
    <w:p w14:paraId="7E21772F" w14:textId="77777777" w:rsidR="00CF37CE" w:rsidRDefault="00CF37CE">
      <w:pPr>
        <w:spacing w:after="160" w:line="259" w:lineRule="auto"/>
        <w:jc w:val="left"/>
        <w:rPr>
          <w:rFonts w:eastAsiaTheme="majorEastAsia" w:cstheme="majorBidi"/>
          <w:b/>
          <w:sz w:val="24"/>
          <w:szCs w:val="24"/>
        </w:rPr>
      </w:pPr>
      <w:bookmarkStart w:id="71" w:name="_Toc6415655"/>
      <w:bookmarkStart w:id="72" w:name="_Toc70026108"/>
      <w:r>
        <w:rPr>
          <w:sz w:val="24"/>
        </w:rPr>
        <w:br w:type="page"/>
      </w:r>
    </w:p>
    <w:p w14:paraId="4040C65E" w14:textId="3C615C5F" w:rsidR="008254BE" w:rsidRPr="007D5989" w:rsidRDefault="008254BE" w:rsidP="00EB4DCD">
      <w:pPr>
        <w:pStyle w:val="Nadpis3"/>
        <w:rPr>
          <w:sz w:val="24"/>
        </w:rPr>
      </w:pPr>
      <w:r w:rsidRPr="007D5989">
        <w:rPr>
          <w:sz w:val="24"/>
        </w:rPr>
        <w:t xml:space="preserve">Prostriedky poskytnuté SR používané prostredníctvom </w:t>
      </w:r>
      <w:r w:rsidR="006F14F4" w:rsidRPr="007D5989">
        <w:rPr>
          <w:sz w:val="24"/>
        </w:rPr>
        <w:t>samostatných</w:t>
      </w:r>
      <w:r w:rsidRPr="007D5989">
        <w:rPr>
          <w:sz w:val="24"/>
        </w:rPr>
        <w:t xml:space="preserve"> účtov</w:t>
      </w:r>
      <w:bookmarkEnd w:id="71"/>
      <w:bookmarkEnd w:id="72"/>
    </w:p>
    <w:p w14:paraId="42BF2F74" w14:textId="77777777" w:rsidR="00111CC0" w:rsidRPr="00D715AF" w:rsidRDefault="00111CC0" w:rsidP="008D4C2B">
      <w:pPr>
        <w:spacing w:line="240" w:lineRule="auto"/>
        <w:rPr>
          <w:b/>
          <w:sz w:val="24"/>
          <w:szCs w:val="24"/>
        </w:rPr>
      </w:pPr>
      <w:r w:rsidRPr="00D715AF">
        <w:rPr>
          <w:sz w:val="24"/>
          <w:szCs w:val="24"/>
        </w:rPr>
        <w:t xml:space="preserve">Časť finančných prostriedkov z rozpočtu EÚ a prostriedkov poskytnutých Slovenskej republike na základe medzinárodných zmlúv, ktorými je Slovenská republika viazaná, používajú štátne rozpočtové organizácie </w:t>
      </w:r>
      <w:r w:rsidRPr="00D715AF">
        <w:rPr>
          <w:b/>
          <w:sz w:val="24"/>
          <w:szCs w:val="24"/>
        </w:rPr>
        <w:t>prostredníctvom samostatných účtov:</w:t>
      </w:r>
    </w:p>
    <w:p w14:paraId="3B8C59C5" w14:textId="77777777" w:rsidR="00111CC0" w:rsidRPr="00D715AF" w:rsidRDefault="00111CC0" w:rsidP="008D4C2B">
      <w:pPr>
        <w:shd w:val="clear" w:color="auto" w:fill="FFFFFF"/>
        <w:spacing w:line="240" w:lineRule="auto"/>
        <w:rPr>
          <w:sz w:val="24"/>
          <w:szCs w:val="24"/>
        </w:rPr>
      </w:pPr>
      <w:r w:rsidRPr="00D715AF">
        <w:rPr>
          <w:sz w:val="24"/>
          <w:szCs w:val="24"/>
        </w:rPr>
        <w:t xml:space="preserve">V rámci programov </w:t>
      </w:r>
      <w:r w:rsidRPr="00D715AF">
        <w:rPr>
          <w:b/>
          <w:i/>
          <w:sz w:val="24"/>
          <w:szCs w:val="24"/>
        </w:rPr>
        <w:t>Európskej územnej spolupráce</w:t>
      </w:r>
      <w:r w:rsidRPr="00D715AF">
        <w:rPr>
          <w:sz w:val="24"/>
          <w:szCs w:val="24"/>
        </w:rPr>
        <w:t xml:space="preserve"> prijala Slovenská republika prostredníctvom certifikačného orgánu MF SR príspevky EÚ vo výške 4 615 tis. eur a </w:t>
      </w:r>
      <w:proofErr w:type="spellStart"/>
      <w:r w:rsidRPr="00D715AF">
        <w:rPr>
          <w:sz w:val="24"/>
          <w:szCs w:val="24"/>
        </w:rPr>
        <w:t>prispievajúcich</w:t>
      </w:r>
      <w:proofErr w:type="spellEnd"/>
      <w:r w:rsidRPr="00D715AF">
        <w:rPr>
          <w:sz w:val="24"/>
          <w:szCs w:val="24"/>
        </w:rPr>
        <w:t xml:space="preserve"> členských štátov EÚ vo výške 1 184 tis. eur na financovanie OP INTERACT III 2014-2020. Na financovanie programov bolo použitých 4 328 tis. eur za prostriedky EÚ a 764 tis. eur za spolufinancovanie z príspevkov členských štátov EÚ.</w:t>
      </w:r>
    </w:p>
    <w:p w14:paraId="125CB23C" w14:textId="77777777" w:rsidR="00111CC0" w:rsidRPr="00D715AF" w:rsidRDefault="00111CC0" w:rsidP="008D4C2B">
      <w:pPr>
        <w:spacing w:line="240" w:lineRule="auto"/>
        <w:rPr>
          <w:sz w:val="24"/>
          <w:szCs w:val="24"/>
        </w:rPr>
      </w:pPr>
      <w:r w:rsidRPr="00D715AF">
        <w:rPr>
          <w:sz w:val="24"/>
          <w:szCs w:val="24"/>
        </w:rPr>
        <w:t xml:space="preserve">Z Úradu pre finančné mechanizmy v Bruseli boli Slovenskej republike v rámci programového obdobia 2014 – 2021 poukázané prostriedky z </w:t>
      </w:r>
      <w:r w:rsidRPr="00D715AF">
        <w:rPr>
          <w:b/>
          <w:i/>
          <w:sz w:val="24"/>
          <w:szCs w:val="24"/>
        </w:rPr>
        <w:t>Finančného mechanizmu EHP a Nórskeho finančného mechanizmu</w:t>
      </w:r>
      <w:r w:rsidRPr="00D715AF">
        <w:rPr>
          <w:b/>
          <w:sz w:val="24"/>
          <w:szCs w:val="24"/>
        </w:rPr>
        <w:t xml:space="preserve"> </w:t>
      </w:r>
      <w:r w:rsidRPr="00D715AF">
        <w:rPr>
          <w:sz w:val="24"/>
          <w:szCs w:val="24"/>
        </w:rPr>
        <w:t xml:space="preserve">vo výške 10 963 tis. eur. Subjektom zapojeným do implementácie boli prevedené prostriedky vo výške 10 963 tis. eur. </w:t>
      </w:r>
    </w:p>
    <w:p w14:paraId="00F66F81" w14:textId="6F8AB5E7" w:rsidR="007D5989" w:rsidRDefault="00111CC0" w:rsidP="00CF37CE">
      <w:pPr>
        <w:spacing w:line="240" w:lineRule="auto"/>
        <w:rPr>
          <w:sz w:val="24"/>
          <w:szCs w:val="24"/>
        </w:rPr>
      </w:pPr>
      <w:r w:rsidRPr="00D715AF">
        <w:rPr>
          <w:sz w:val="24"/>
          <w:szCs w:val="24"/>
        </w:rPr>
        <w:t xml:space="preserve">Slovenskej republike boli v roku 2020 v rámci </w:t>
      </w:r>
      <w:r w:rsidRPr="00D715AF">
        <w:rPr>
          <w:b/>
          <w:i/>
          <w:sz w:val="24"/>
          <w:szCs w:val="24"/>
        </w:rPr>
        <w:t>finančnej obálky</w:t>
      </w:r>
      <w:r w:rsidRPr="00D715AF">
        <w:rPr>
          <w:sz w:val="24"/>
          <w:szCs w:val="24"/>
        </w:rPr>
        <w:t xml:space="preserve"> poskytnuté prostriedky na úhradu cestovných výdavkov súvisiacich s účasťou zá</w:t>
      </w:r>
      <w:r w:rsidR="00996C44" w:rsidRPr="00D715AF">
        <w:rPr>
          <w:sz w:val="24"/>
          <w:szCs w:val="24"/>
        </w:rPr>
        <w:t>stupcov Slovenskej republiky na </w:t>
      </w:r>
      <w:r w:rsidRPr="00D715AF">
        <w:rPr>
          <w:sz w:val="24"/>
          <w:szCs w:val="24"/>
        </w:rPr>
        <w:t>zasadaniach výborov a pracovných skupín Rady EÚ vo výške 631 tis. eur. V roku 2020 boli uhradené cestovné výdavky súvisiace s účasťou zástupcov SR na zasadnutiach výborov a pracovných skupín Rady EÚ v sume 151 tis. eur. V súvislosti s </w:t>
      </w:r>
      <w:proofErr w:type="spellStart"/>
      <w:r w:rsidRPr="00D715AF">
        <w:rPr>
          <w:sz w:val="24"/>
          <w:szCs w:val="24"/>
        </w:rPr>
        <w:t>pandemickou</w:t>
      </w:r>
      <w:proofErr w:type="spellEnd"/>
      <w:r w:rsidRPr="00D715AF">
        <w:rPr>
          <w:sz w:val="24"/>
          <w:szCs w:val="24"/>
        </w:rPr>
        <w:t xml:space="preserve"> situáciou a obmedzením cestovania na zasadnutia Rady EÚ boli na základe návrhu Rady EÚ prevedené nevyužité finančné p</w:t>
      </w:r>
      <w:r w:rsidR="00AF5C05">
        <w:rPr>
          <w:sz w:val="24"/>
          <w:szCs w:val="24"/>
        </w:rPr>
        <w:t>rostriedky vo výške 522 </w:t>
      </w:r>
      <w:r w:rsidRPr="00D715AF">
        <w:rPr>
          <w:sz w:val="24"/>
          <w:szCs w:val="24"/>
        </w:rPr>
        <w:t>tis.</w:t>
      </w:r>
      <w:r w:rsidR="00AF5C05">
        <w:rPr>
          <w:sz w:val="24"/>
          <w:szCs w:val="24"/>
        </w:rPr>
        <w:t> eur.</w:t>
      </w:r>
    </w:p>
    <w:p w14:paraId="040A6B59" w14:textId="1DE0E334" w:rsidR="008254BE" w:rsidRPr="007D5989" w:rsidRDefault="008254BE" w:rsidP="008A6314">
      <w:pPr>
        <w:pStyle w:val="Nadpis3"/>
        <w:rPr>
          <w:sz w:val="24"/>
        </w:rPr>
      </w:pPr>
      <w:bookmarkStart w:id="73" w:name="_Toc6415656"/>
      <w:bookmarkStart w:id="74" w:name="_Toc70026109"/>
      <w:r w:rsidRPr="007D5989">
        <w:rPr>
          <w:sz w:val="24"/>
        </w:rPr>
        <w:t>Zhrnutie čerpania záväzkov programových období po vstupe SR do EÚ</w:t>
      </w:r>
      <w:bookmarkEnd w:id="73"/>
      <w:bookmarkEnd w:id="74"/>
    </w:p>
    <w:p w14:paraId="58412E78" w14:textId="7F945214" w:rsidR="00111CC0" w:rsidRPr="00D715AF" w:rsidRDefault="00111CC0" w:rsidP="008D4C2B">
      <w:pPr>
        <w:spacing w:line="240" w:lineRule="auto"/>
        <w:rPr>
          <w:sz w:val="24"/>
          <w:szCs w:val="24"/>
        </w:rPr>
      </w:pPr>
      <w:r w:rsidRPr="00D715AF">
        <w:rPr>
          <w:sz w:val="24"/>
          <w:szCs w:val="24"/>
        </w:rPr>
        <w:t>Slovenská republika v roku 2020 realizovala výdavky v rámci programového obdobia 2014</w:t>
      </w:r>
      <w:r w:rsidR="00AF5C05">
        <w:rPr>
          <w:sz w:val="24"/>
          <w:szCs w:val="24"/>
        </w:rPr>
        <w:t> </w:t>
      </w:r>
      <w:r w:rsidRPr="00D715AF">
        <w:rPr>
          <w:sz w:val="24"/>
          <w:szCs w:val="24"/>
        </w:rPr>
        <w:t>-</w:t>
      </w:r>
      <w:r w:rsidR="00AF5C05">
        <w:rPr>
          <w:sz w:val="24"/>
          <w:szCs w:val="24"/>
        </w:rPr>
        <w:t> 2</w:t>
      </w:r>
      <w:r w:rsidRPr="00D715AF">
        <w:rPr>
          <w:sz w:val="24"/>
          <w:szCs w:val="24"/>
        </w:rPr>
        <w:t>020. Zároveň vzhľadom na ukončovanie programového obdobia 2007-2013 došlo aj k naplneniu príjmov platobných jednotiek.</w:t>
      </w:r>
    </w:p>
    <w:p w14:paraId="57A0A535" w14:textId="0C98E261" w:rsidR="00111CC0" w:rsidRPr="00D715AF" w:rsidRDefault="00111CC0" w:rsidP="008D4C2B">
      <w:pPr>
        <w:spacing w:line="240" w:lineRule="auto"/>
        <w:rPr>
          <w:sz w:val="24"/>
          <w:szCs w:val="24"/>
        </w:rPr>
      </w:pPr>
      <w:r w:rsidRPr="00D715AF">
        <w:rPr>
          <w:sz w:val="24"/>
          <w:szCs w:val="24"/>
        </w:rPr>
        <w:t>V rámci 2. programového obdobia 2007 – 2013 stále pokrač</w:t>
      </w:r>
      <w:r w:rsidR="00996C44" w:rsidRPr="00D715AF">
        <w:rPr>
          <w:sz w:val="24"/>
          <w:szCs w:val="24"/>
        </w:rPr>
        <w:t>uje proces uzatvárania s EK. Ku </w:t>
      </w:r>
      <w:r w:rsidRPr="00D715AF">
        <w:rPr>
          <w:sz w:val="24"/>
          <w:szCs w:val="24"/>
        </w:rPr>
        <w:t>koncu roka 2020 boli s EK uzatvorené dva operačné programy PS INTERACT II, (čerpanie: 28 733 tis. eur, t</w:t>
      </w:r>
      <w:r w:rsidR="003027F4" w:rsidRPr="00D715AF">
        <w:rPr>
          <w:sz w:val="24"/>
          <w:szCs w:val="24"/>
        </w:rPr>
        <w:t xml:space="preserve">. </w:t>
      </w:r>
      <w:r w:rsidRPr="00D715AF">
        <w:rPr>
          <w:sz w:val="24"/>
          <w:szCs w:val="24"/>
        </w:rPr>
        <w:t>j. 98,0 %) a OP Rybn</w:t>
      </w:r>
      <w:r w:rsidR="00AF5C05">
        <w:rPr>
          <w:sz w:val="24"/>
          <w:szCs w:val="24"/>
        </w:rPr>
        <w:t>é hospodárstvo (čerpanie 10 207 tis. </w:t>
      </w:r>
      <w:r w:rsidRPr="00D715AF">
        <w:rPr>
          <w:sz w:val="24"/>
          <w:szCs w:val="24"/>
        </w:rPr>
        <w:t>eur, t</w:t>
      </w:r>
      <w:r w:rsidR="00996C44" w:rsidRPr="00D715AF">
        <w:rPr>
          <w:sz w:val="24"/>
          <w:szCs w:val="24"/>
        </w:rPr>
        <w:t xml:space="preserve">. </w:t>
      </w:r>
      <w:r w:rsidRPr="00D715AF">
        <w:rPr>
          <w:sz w:val="24"/>
          <w:szCs w:val="24"/>
        </w:rPr>
        <w:t>j. 79,3</w:t>
      </w:r>
      <w:r w:rsidR="00996C44" w:rsidRPr="00D715AF">
        <w:rPr>
          <w:sz w:val="24"/>
          <w:szCs w:val="24"/>
        </w:rPr>
        <w:t> </w:t>
      </w:r>
      <w:r w:rsidRPr="00D715AF">
        <w:rPr>
          <w:sz w:val="24"/>
          <w:szCs w:val="24"/>
        </w:rPr>
        <w:t>%). Výsledné čerpanie bude známe po uzavretí obdobia zo strany EK.</w:t>
      </w:r>
    </w:p>
    <w:p w14:paraId="48EEC682" w14:textId="53207978" w:rsidR="00111CC0" w:rsidRPr="00D715AF" w:rsidRDefault="00111CC0" w:rsidP="008D4C2B">
      <w:pPr>
        <w:spacing w:line="240" w:lineRule="auto"/>
        <w:rPr>
          <w:sz w:val="24"/>
          <w:szCs w:val="24"/>
        </w:rPr>
      </w:pPr>
      <w:r w:rsidRPr="00D715AF">
        <w:rPr>
          <w:sz w:val="24"/>
          <w:szCs w:val="24"/>
        </w:rPr>
        <w:t xml:space="preserve">V rámci 3. programového obdobia 2014 – 2020 z celkového záväzku 10 operačných programov vyčerpala SR na národnej úrovni k 31.12.2020 prostriedky EÚ vo výške 5 468 188 tis. eur, čo predstavuje čerpanie na úrovni 39,67 % záväzku. Implementáciu a čerpanie v r. 2020 vo výraznej miere ovplyvnila zmena legislatívy EÚ vo vzťahu k možnosti preplácania 100 % deklarovaných výdavkov zo strany EK. Uvedené malo pozitívny dopad na príjmy z EK a na plnenie pravidla n+3, ktoré sa plnilo rýchlejšie. Zo strany dotknutých orgánov bolo vyvinuté maximálne úsilie o akceleráciu čerpania, ako aj na projekty zamerané na opatrenia na eliminovanie dopadov pandémie COVID – 19. </w:t>
      </w:r>
    </w:p>
    <w:p w14:paraId="0B42446B" w14:textId="0042976D" w:rsidR="00111CC0" w:rsidRPr="00D715AF" w:rsidRDefault="00111CC0" w:rsidP="008D4C2B">
      <w:pPr>
        <w:spacing w:line="240" w:lineRule="auto"/>
        <w:rPr>
          <w:sz w:val="24"/>
          <w:szCs w:val="24"/>
        </w:rPr>
      </w:pPr>
      <w:r w:rsidRPr="00D715AF">
        <w:rPr>
          <w:sz w:val="24"/>
          <w:szCs w:val="24"/>
        </w:rPr>
        <w:t xml:space="preserve">V rámci </w:t>
      </w:r>
      <w:proofErr w:type="spellStart"/>
      <w:r w:rsidRPr="00D715AF">
        <w:rPr>
          <w:sz w:val="24"/>
          <w:szCs w:val="24"/>
        </w:rPr>
        <w:t>realokácie</w:t>
      </w:r>
      <w:proofErr w:type="spellEnd"/>
      <w:r w:rsidRPr="00D715AF">
        <w:rPr>
          <w:rStyle w:val="Odkaznapoznmkupodiarou"/>
          <w:sz w:val="24"/>
          <w:szCs w:val="24"/>
        </w:rPr>
        <w:footnoteReference w:id="49"/>
      </w:r>
      <w:r w:rsidRPr="00D715AF">
        <w:rPr>
          <w:sz w:val="24"/>
          <w:szCs w:val="24"/>
        </w:rPr>
        <w:t xml:space="preserve"> zdrojov na elimináciu dopadov pandémie COVID - 19 bolo presunutých celkovo 1,105 mld. </w:t>
      </w:r>
      <w:r w:rsidR="004B2662" w:rsidRPr="00D715AF">
        <w:rPr>
          <w:sz w:val="24"/>
          <w:szCs w:val="24"/>
        </w:rPr>
        <w:t>eur</w:t>
      </w:r>
      <w:r w:rsidRPr="00D715AF">
        <w:rPr>
          <w:sz w:val="24"/>
          <w:szCs w:val="24"/>
        </w:rPr>
        <w:t xml:space="preserve"> do oblastí zameraných na</w:t>
      </w:r>
      <w:r w:rsidR="00EA0787" w:rsidRPr="00D715AF">
        <w:rPr>
          <w:sz w:val="24"/>
          <w:szCs w:val="24"/>
        </w:rPr>
        <w:t xml:space="preserve"> (v mil. eur)</w:t>
      </w:r>
      <w:r w:rsidRPr="00D715AF">
        <w:rPr>
          <w:sz w:val="24"/>
          <w:szCs w:val="24"/>
        </w:rPr>
        <w:t>:</w:t>
      </w:r>
    </w:p>
    <w:p w14:paraId="08477286" w14:textId="520F73E7" w:rsidR="00111CC0" w:rsidRPr="00D715AF" w:rsidRDefault="00111CC0" w:rsidP="008D4C2B">
      <w:pPr>
        <w:pStyle w:val="Odsekzoznamu"/>
        <w:numPr>
          <w:ilvl w:val="0"/>
          <w:numId w:val="37"/>
        </w:numPr>
        <w:spacing w:after="120"/>
        <w:jc w:val="both"/>
        <w:rPr>
          <w:rFonts w:ascii="Times New Roman" w:hAnsi="Times New Roman"/>
          <w:sz w:val="24"/>
          <w:szCs w:val="24"/>
          <w:lang w:eastAsia="sk-SK"/>
        </w:rPr>
      </w:pPr>
      <w:r w:rsidRPr="00D715AF">
        <w:rPr>
          <w:rFonts w:ascii="Times New Roman" w:hAnsi="Times New Roman"/>
          <w:sz w:val="24"/>
          <w:szCs w:val="24"/>
          <w:lang w:eastAsia="sk-SK"/>
        </w:rPr>
        <w:t xml:space="preserve">podporu udržania zamestnanosti tzv. </w:t>
      </w:r>
      <w:proofErr w:type="spellStart"/>
      <w:r w:rsidRPr="00D715AF">
        <w:rPr>
          <w:rFonts w:ascii="Times New Roman" w:hAnsi="Times New Roman"/>
          <w:sz w:val="24"/>
          <w:szCs w:val="24"/>
          <w:lang w:eastAsia="sk-SK"/>
        </w:rPr>
        <w:t>Kurzarbeit</w:t>
      </w:r>
      <w:proofErr w:type="spellEnd"/>
      <w:r w:rsidRPr="00D715AF">
        <w:rPr>
          <w:rFonts w:ascii="Times New Roman" w:hAnsi="Times New Roman"/>
          <w:sz w:val="24"/>
          <w:szCs w:val="24"/>
          <w:lang w:eastAsia="sk-SK"/>
        </w:rPr>
        <w:t xml:space="preserve">: 410,26 mil. </w:t>
      </w:r>
      <w:r w:rsidR="004B2662" w:rsidRPr="00D715AF">
        <w:rPr>
          <w:rFonts w:ascii="Times New Roman" w:hAnsi="Times New Roman"/>
          <w:sz w:val="24"/>
          <w:szCs w:val="24"/>
          <w:lang w:eastAsia="sk-SK"/>
        </w:rPr>
        <w:t>eur</w:t>
      </w:r>
      <w:r w:rsidRPr="00D715AF">
        <w:rPr>
          <w:rFonts w:ascii="Times New Roman" w:hAnsi="Times New Roman"/>
          <w:sz w:val="24"/>
          <w:szCs w:val="24"/>
          <w:lang w:eastAsia="sk-SK"/>
        </w:rPr>
        <w:t xml:space="preserve"> (OP Ľudské zdroje);</w:t>
      </w:r>
    </w:p>
    <w:p w14:paraId="38013441" w14:textId="1A7429D6" w:rsidR="00111CC0" w:rsidRPr="00D715AF" w:rsidRDefault="00111CC0" w:rsidP="008D4C2B">
      <w:pPr>
        <w:pStyle w:val="Odsekzoznamu"/>
        <w:numPr>
          <w:ilvl w:val="0"/>
          <w:numId w:val="37"/>
        </w:numPr>
        <w:spacing w:after="120"/>
        <w:jc w:val="both"/>
        <w:rPr>
          <w:rFonts w:ascii="Times New Roman" w:hAnsi="Times New Roman"/>
          <w:sz w:val="24"/>
          <w:szCs w:val="24"/>
          <w:lang w:eastAsia="sk-SK"/>
        </w:rPr>
      </w:pPr>
      <w:r w:rsidRPr="00D715AF">
        <w:rPr>
          <w:rFonts w:ascii="Times New Roman" w:hAnsi="Times New Roman"/>
          <w:sz w:val="24"/>
          <w:szCs w:val="24"/>
          <w:lang w:eastAsia="sk-SK"/>
        </w:rPr>
        <w:t xml:space="preserve">podporu zdravotníckeho systému: 204,0 mil. </w:t>
      </w:r>
      <w:r w:rsidR="004B2662" w:rsidRPr="00D715AF">
        <w:rPr>
          <w:rFonts w:ascii="Times New Roman" w:hAnsi="Times New Roman"/>
          <w:sz w:val="24"/>
          <w:szCs w:val="24"/>
          <w:lang w:eastAsia="sk-SK"/>
        </w:rPr>
        <w:t>eur</w:t>
      </w:r>
      <w:r w:rsidRPr="00D715AF">
        <w:rPr>
          <w:rFonts w:ascii="Times New Roman" w:hAnsi="Times New Roman"/>
          <w:sz w:val="24"/>
          <w:szCs w:val="24"/>
          <w:lang w:eastAsia="sk-SK"/>
        </w:rPr>
        <w:t xml:space="preserve"> (OP Integrovaná infraštruktúra, Integrovaný regionálny OP);</w:t>
      </w:r>
    </w:p>
    <w:p w14:paraId="213E7696" w14:textId="170E9094" w:rsidR="00111CC0" w:rsidRPr="00D715AF" w:rsidRDefault="00111CC0" w:rsidP="008D4C2B">
      <w:pPr>
        <w:pStyle w:val="Odsekzoznamu"/>
        <w:numPr>
          <w:ilvl w:val="0"/>
          <w:numId w:val="37"/>
        </w:numPr>
        <w:spacing w:after="120"/>
        <w:jc w:val="both"/>
        <w:rPr>
          <w:rFonts w:ascii="Times New Roman" w:hAnsi="Times New Roman"/>
          <w:sz w:val="24"/>
          <w:szCs w:val="24"/>
          <w:lang w:eastAsia="sk-SK"/>
        </w:rPr>
      </w:pPr>
      <w:r w:rsidRPr="00D715AF">
        <w:rPr>
          <w:rFonts w:ascii="Times New Roman" w:hAnsi="Times New Roman"/>
          <w:sz w:val="24"/>
          <w:szCs w:val="24"/>
          <w:lang w:eastAsia="sk-SK"/>
        </w:rPr>
        <w:t xml:space="preserve">podporu pre </w:t>
      </w:r>
      <w:proofErr w:type="spellStart"/>
      <w:r w:rsidRPr="00D715AF">
        <w:rPr>
          <w:rFonts w:ascii="Times New Roman" w:hAnsi="Times New Roman"/>
          <w:sz w:val="24"/>
          <w:szCs w:val="24"/>
          <w:lang w:eastAsia="sk-SK"/>
        </w:rPr>
        <w:t>mikro</w:t>
      </w:r>
      <w:proofErr w:type="spellEnd"/>
      <w:r w:rsidRPr="00D715AF">
        <w:rPr>
          <w:rFonts w:ascii="Times New Roman" w:hAnsi="Times New Roman"/>
          <w:sz w:val="24"/>
          <w:szCs w:val="24"/>
          <w:lang w:eastAsia="sk-SK"/>
        </w:rPr>
        <w:t xml:space="preserve">, malé a stredné podniky: 330,20 mil. </w:t>
      </w:r>
      <w:r w:rsidR="004B2662" w:rsidRPr="00D715AF">
        <w:rPr>
          <w:rFonts w:ascii="Times New Roman" w:hAnsi="Times New Roman"/>
          <w:sz w:val="24"/>
          <w:szCs w:val="24"/>
          <w:lang w:eastAsia="sk-SK"/>
        </w:rPr>
        <w:t>eur</w:t>
      </w:r>
      <w:r w:rsidRPr="00D715AF">
        <w:rPr>
          <w:rFonts w:ascii="Times New Roman" w:hAnsi="Times New Roman"/>
          <w:sz w:val="24"/>
          <w:szCs w:val="24"/>
          <w:lang w:eastAsia="sk-SK"/>
        </w:rPr>
        <w:t xml:space="preserve"> (OP Integrovaná infraštruktúra);</w:t>
      </w:r>
    </w:p>
    <w:p w14:paraId="74580B37" w14:textId="6D4B1349" w:rsidR="00111CC0" w:rsidRPr="00D715AF" w:rsidRDefault="00111CC0" w:rsidP="008D4C2B">
      <w:pPr>
        <w:pStyle w:val="Odsekzoznamu"/>
        <w:numPr>
          <w:ilvl w:val="0"/>
          <w:numId w:val="37"/>
        </w:numPr>
        <w:spacing w:after="120"/>
        <w:jc w:val="both"/>
        <w:rPr>
          <w:rFonts w:ascii="Times New Roman" w:hAnsi="Times New Roman"/>
          <w:sz w:val="24"/>
          <w:szCs w:val="24"/>
          <w:lang w:eastAsia="sk-SK"/>
        </w:rPr>
      </w:pPr>
      <w:r w:rsidRPr="00D715AF">
        <w:rPr>
          <w:rFonts w:ascii="Times New Roman" w:hAnsi="Times New Roman"/>
          <w:sz w:val="24"/>
          <w:szCs w:val="24"/>
          <w:lang w:eastAsia="sk-SK"/>
        </w:rPr>
        <w:t xml:space="preserve">podporu zložiek integrovaného záchranného systému: 51 mil. </w:t>
      </w:r>
      <w:r w:rsidR="004B2662" w:rsidRPr="00D715AF">
        <w:rPr>
          <w:rFonts w:ascii="Times New Roman" w:hAnsi="Times New Roman"/>
          <w:sz w:val="24"/>
          <w:szCs w:val="24"/>
          <w:lang w:eastAsia="sk-SK"/>
        </w:rPr>
        <w:t>eur</w:t>
      </w:r>
      <w:r w:rsidRPr="00D715AF">
        <w:rPr>
          <w:rFonts w:ascii="Times New Roman" w:hAnsi="Times New Roman"/>
          <w:sz w:val="24"/>
          <w:szCs w:val="24"/>
          <w:lang w:eastAsia="sk-SK"/>
        </w:rPr>
        <w:t xml:space="preserve"> (OP Kvalita živného prostredia);</w:t>
      </w:r>
    </w:p>
    <w:p w14:paraId="70B33C0E" w14:textId="28326E45" w:rsidR="00111CC0" w:rsidRPr="00D715AF" w:rsidRDefault="00111CC0" w:rsidP="008D4C2B">
      <w:pPr>
        <w:pStyle w:val="Odsekzoznamu"/>
        <w:numPr>
          <w:ilvl w:val="0"/>
          <w:numId w:val="37"/>
        </w:numPr>
        <w:spacing w:after="120"/>
        <w:jc w:val="both"/>
        <w:rPr>
          <w:rFonts w:ascii="Times New Roman" w:hAnsi="Times New Roman"/>
          <w:sz w:val="24"/>
          <w:szCs w:val="24"/>
          <w:lang w:eastAsia="sk-SK"/>
        </w:rPr>
      </w:pPr>
      <w:r w:rsidRPr="00D715AF">
        <w:rPr>
          <w:rFonts w:ascii="Times New Roman" w:hAnsi="Times New Roman"/>
          <w:sz w:val="24"/>
          <w:szCs w:val="24"/>
          <w:lang w:eastAsia="sk-SK"/>
        </w:rPr>
        <w:t xml:space="preserve">iné opatrenia na zmiernenie dopadov COVID -19: 109,30 mil. </w:t>
      </w:r>
      <w:r w:rsidR="004B2662" w:rsidRPr="00D715AF">
        <w:rPr>
          <w:rFonts w:ascii="Times New Roman" w:hAnsi="Times New Roman"/>
          <w:sz w:val="24"/>
          <w:szCs w:val="24"/>
          <w:lang w:eastAsia="sk-SK"/>
        </w:rPr>
        <w:t>eur</w:t>
      </w:r>
      <w:r w:rsidRPr="00D715AF">
        <w:rPr>
          <w:rFonts w:ascii="Times New Roman" w:hAnsi="Times New Roman"/>
          <w:sz w:val="24"/>
          <w:szCs w:val="24"/>
          <w:lang w:eastAsia="sk-SK"/>
        </w:rPr>
        <w:t xml:space="preserve"> (OP Ľudské zdroje).</w:t>
      </w:r>
    </w:p>
    <w:p w14:paraId="1555FFD4" w14:textId="492A7E05" w:rsidR="00D715AF" w:rsidRDefault="00111CC0" w:rsidP="00D715AF">
      <w:pPr>
        <w:spacing w:line="240" w:lineRule="auto"/>
        <w:ind w:left="360"/>
        <w:rPr>
          <w:sz w:val="24"/>
          <w:szCs w:val="24"/>
        </w:rPr>
      </w:pPr>
      <w:r w:rsidRPr="00D715AF">
        <w:rPr>
          <w:sz w:val="24"/>
          <w:szCs w:val="24"/>
        </w:rPr>
        <w:t xml:space="preserve">Z celkovej </w:t>
      </w:r>
      <w:proofErr w:type="spellStart"/>
      <w:r w:rsidRPr="00D715AF">
        <w:rPr>
          <w:sz w:val="24"/>
          <w:szCs w:val="24"/>
        </w:rPr>
        <w:t>realokácie</w:t>
      </w:r>
      <w:proofErr w:type="spellEnd"/>
      <w:r w:rsidRPr="00D715AF">
        <w:rPr>
          <w:sz w:val="24"/>
          <w:szCs w:val="24"/>
        </w:rPr>
        <w:t xml:space="preserve"> zdrojov určených na elimináciu dopadov COVID-19 bolo k 31.12.2020 za EÚ zdroj na národnej úrovni vyčerpaných 342,96 mil. EUR, čo predstavuje 31,04 % podiel presunutých zdrojov.</w:t>
      </w:r>
      <w:bookmarkStart w:id="75" w:name="_Toc6415657"/>
    </w:p>
    <w:p w14:paraId="7E3155B0" w14:textId="77777777" w:rsidR="00D715AF" w:rsidRDefault="00D715AF">
      <w:pPr>
        <w:spacing w:after="160" w:line="259" w:lineRule="auto"/>
        <w:jc w:val="left"/>
        <w:rPr>
          <w:sz w:val="24"/>
          <w:szCs w:val="24"/>
        </w:rPr>
      </w:pPr>
      <w:r>
        <w:rPr>
          <w:sz w:val="24"/>
          <w:szCs w:val="24"/>
        </w:rPr>
        <w:br w:type="page"/>
      </w:r>
    </w:p>
    <w:p w14:paraId="23993F9F" w14:textId="77777777" w:rsidR="00AC293D" w:rsidRDefault="00AC293D" w:rsidP="00D715AF">
      <w:pPr>
        <w:spacing w:line="240" w:lineRule="auto"/>
        <w:ind w:left="360"/>
      </w:pPr>
    </w:p>
    <w:p w14:paraId="09D684AC" w14:textId="77777777" w:rsidR="00D715AF" w:rsidRDefault="00D715AF" w:rsidP="00D715AF">
      <w:pPr>
        <w:spacing w:line="240" w:lineRule="auto"/>
        <w:ind w:left="360"/>
      </w:pPr>
    </w:p>
    <w:p w14:paraId="75C34A51" w14:textId="77777777" w:rsidR="00D715AF" w:rsidRDefault="00D715AF" w:rsidP="00D715AF">
      <w:pPr>
        <w:spacing w:line="240" w:lineRule="auto"/>
        <w:ind w:left="360"/>
      </w:pPr>
    </w:p>
    <w:p w14:paraId="60070A1F" w14:textId="77777777" w:rsidR="00D715AF" w:rsidRDefault="00D715AF" w:rsidP="00D715AF">
      <w:pPr>
        <w:spacing w:line="240" w:lineRule="auto"/>
        <w:ind w:left="360"/>
      </w:pPr>
    </w:p>
    <w:p w14:paraId="091C3B7B" w14:textId="77777777" w:rsidR="00D715AF" w:rsidRDefault="00D715AF" w:rsidP="00D715AF">
      <w:pPr>
        <w:spacing w:line="240" w:lineRule="auto"/>
        <w:ind w:left="360"/>
      </w:pPr>
    </w:p>
    <w:p w14:paraId="1B228699" w14:textId="77777777" w:rsidR="00D715AF" w:rsidRDefault="00D715AF" w:rsidP="00D715AF">
      <w:pPr>
        <w:spacing w:line="240" w:lineRule="auto"/>
        <w:ind w:left="360"/>
      </w:pPr>
    </w:p>
    <w:p w14:paraId="169255CE" w14:textId="77777777" w:rsidR="00D715AF" w:rsidRDefault="00D715AF" w:rsidP="00D715AF">
      <w:pPr>
        <w:spacing w:line="240" w:lineRule="auto"/>
        <w:ind w:left="360"/>
      </w:pPr>
    </w:p>
    <w:p w14:paraId="06F2787C" w14:textId="77777777" w:rsidR="00D715AF" w:rsidRDefault="00D715AF" w:rsidP="00D715AF">
      <w:pPr>
        <w:spacing w:line="240" w:lineRule="auto"/>
        <w:ind w:left="360"/>
      </w:pPr>
    </w:p>
    <w:p w14:paraId="1F04ECD0" w14:textId="77777777" w:rsidR="00D715AF" w:rsidRDefault="00D715AF" w:rsidP="00D715AF">
      <w:pPr>
        <w:spacing w:line="240" w:lineRule="auto"/>
        <w:ind w:left="360"/>
      </w:pPr>
    </w:p>
    <w:p w14:paraId="1AFDB125" w14:textId="77777777" w:rsidR="00D715AF" w:rsidRDefault="00D715AF" w:rsidP="00D715AF">
      <w:pPr>
        <w:spacing w:line="240" w:lineRule="auto"/>
        <w:ind w:left="360"/>
      </w:pPr>
    </w:p>
    <w:p w14:paraId="11819A28" w14:textId="77777777" w:rsidR="00D715AF" w:rsidRDefault="00D715AF" w:rsidP="00D715AF">
      <w:pPr>
        <w:spacing w:line="240" w:lineRule="auto"/>
        <w:ind w:left="360"/>
      </w:pPr>
    </w:p>
    <w:p w14:paraId="3403AF79" w14:textId="77777777" w:rsidR="00D715AF" w:rsidRDefault="00D715AF" w:rsidP="00D715AF">
      <w:pPr>
        <w:spacing w:line="240" w:lineRule="auto"/>
        <w:ind w:left="360"/>
      </w:pPr>
    </w:p>
    <w:p w14:paraId="0C6F7E9D" w14:textId="77777777" w:rsidR="00D715AF" w:rsidRDefault="00D715AF" w:rsidP="00D715AF">
      <w:pPr>
        <w:spacing w:line="240" w:lineRule="auto"/>
        <w:ind w:left="360"/>
      </w:pPr>
    </w:p>
    <w:p w14:paraId="2C5915B8" w14:textId="77777777" w:rsidR="00D715AF" w:rsidRDefault="00D715AF" w:rsidP="00D715AF">
      <w:pPr>
        <w:spacing w:line="240" w:lineRule="auto"/>
        <w:ind w:left="360"/>
      </w:pPr>
    </w:p>
    <w:p w14:paraId="70A2EEA9" w14:textId="77777777" w:rsidR="00D715AF" w:rsidRDefault="00D715AF" w:rsidP="00D715AF">
      <w:pPr>
        <w:spacing w:line="240" w:lineRule="auto"/>
        <w:ind w:left="360"/>
      </w:pPr>
    </w:p>
    <w:p w14:paraId="28B9264D" w14:textId="5B79BB30" w:rsidR="001F4D7C" w:rsidRDefault="008254BE" w:rsidP="001F4D7C">
      <w:pPr>
        <w:pStyle w:val="Nadpis1"/>
        <w:numPr>
          <w:ilvl w:val="0"/>
          <w:numId w:val="0"/>
        </w:numPr>
      </w:pPr>
      <w:bookmarkStart w:id="76" w:name="_Toc70026110"/>
      <w:r>
        <w:t>Tabuľková príloha</w:t>
      </w:r>
      <w:bookmarkEnd w:id="75"/>
      <w:r w:rsidR="00D54F91">
        <w:t xml:space="preserve"> </w:t>
      </w:r>
      <w:r w:rsidR="001C4E82">
        <w:t>k hotovostnému plneniu ŠR</w:t>
      </w:r>
      <w:bookmarkEnd w:id="76"/>
    </w:p>
    <w:p w14:paraId="680F18D8" w14:textId="77777777" w:rsidR="001F4D7C" w:rsidRDefault="001F4D7C">
      <w:pPr>
        <w:spacing w:after="160" w:line="259" w:lineRule="auto"/>
        <w:jc w:val="left"/>
        <w:rPr>
          <w:rFonts w:eastAsiaTheme="majorEastAsia" w:cstheme="majorBidi"/>
          <w:b/>
          <w:sz w:val="26"/>
          <w:szCs w:val="32"/>
        </w:rPr>
      </w:pPr>
      <w:r>
        <w:br w:type="page"/>
      </w:r>
    </w:p>
    <w:tbl>
      <w:tblPr>
        <w:tblW w:w="9249" w:type="dxa"/>
        <w:jc w:val="center"/>
        <w:tblLayout w:type="fixed"/>
        <w:tblLook w:val="01E0" w:firstRow="1" w:lastRow="1" w:firstColumn="1" w:lastColumn="1" w:noHBand="0" w:noVBand="0"/>
      </w:tblPr>
      <w:tblGrid>
        <w:gridCol w:w="1169"/>
        <w:gridCol w:w="8080"/>
      </w:tblGrid>
      <w:tr w:rsidR="001F4D7C" w:rsidRPr="001F4D7C" w14:paraId="1B3048CA" w14:textId="77777777" w:rsidTr="0070573A">
        <w:trPr>
          <w:trHeight w:val="142"/>
          <w:jc w:val="center"/>
        </w:trPr>
        <w:tc>
          <w:tcPr>
            <w:tcW w:w="9249" w:type="dxa"/>
            <w:gridSpan w:val="2"/>
            <w:shd w:val="clear" w:color="auto" w:fill="auto"/>
            <w:vAlign w:val="center"/>
          </w:tcPr>
          <w:p w14:paraId="78F99E06" w14:textId="3DE4C3F7" w:rsidR="001F4D7C" w:rsidRPr="001F4D7C" w:rsidRDefault="001F4D7C" w:rsidP="001F4D7C">
            <w:pPr>
              <w:keepNext/>
              <w:spacing w:line="240" w:lineRule="atLeast"/>
              <w:ind w:right="311"/>
              <w:jc w:val="left"/>
              <w:rPr>
                <w:rFonts w:cs="Times New Roman"/>
                <w:b/>
                <w:sz w:val="24"/>
                <w:szCs w:val="24"/>
              </w:rPr>
            </w:pPr>
            <w:r>
              <w:rPr>
                <w:rFonts w:cs="Times New Roman"/>
                <w:b/>
                <w:sz w:val="24"/>
                <w:szCs w:val="24"/>
              </w:rPr>
              <w:t xml:space="preserve">Zoznam tabuliek </w:t>
            </w:r>
          </w:p>
        </w:tc>
      </w:tr>
      <w:tr w:rsidR="001F4D7C" w:rsidRPr="001F4D7C" w14:paraId="7688A9AB" w14:textId="77777777" w:rsidTr="0070573A">
        <w:trPr>
          <w:jc w:val="center"/>
        </w:trPr>
        <w:tc>
          <w:tcPr>
            <w:tcW w:w="1169" w:type="dxa"/>
            <w:vAlign w:val="center"/>
          </w:tcPr>
          <w:p w14:paraId="2665238F" w14:textId="74C0E316" w:rsidR="001F4D7C" w:rsidRPr="00592DD4" w:rsidRDefault="001F4D7C" w:rsidP="001F4D7C">
            <w:pPr>
              <w:spacing w:after="0" w:line="240" w:lineRule="auto"/>
              <w:rPr>
                <w:rFonts w:cs="Times New Roman"/>
              </w:rPr>
            </w:pPr>
            <w:r w:rsidRPr="00592DD4">
              <w:rPr>
                <w:rFonts w:cs="Times New Roman"/>
              </w:rPr>
              <w:t xml:space="preserve">Tab. č. 1   </w:t>
            </w:r>
          </w:p>
        </w:tc>
        <w:tc>
          <w:tcPr>
            <w:tcW w:w="8080" w:type="dxa"/>
            <w:vAlign w:val="center"/>
          </w:tcPr>
          <w:p w14:paraId="1111E4F1" w14:textId="77777777" w:rsidR="001F4D7C" w:rsidRPr="00592DD4" w:rsidRDefault="001F4D7C" w:rsidP="001F4D7C">
            <w:pPr>
              <w:spacing w:after="0" w:line="240" w:lineRule="auto"/>
              <w:rPr>
                <w:rFonts w:cs="Times New Roman"/>
              </w:rPr>
            </w:pPr>
            <w:r w:rsidRPr="00592DD4">
              <w:rPr>
                <w:rFonts w:cs="Times New Roman"/>
              </w:rPr>
              <w:t>Bilancia príjmov a výdavkov štátneho rozpočtu za rok 2020</w:t>
            </w:r>
          </w:p>
        </w:tc>
      </w:tr>
      <w:tr w:rsidR="001F4D7C" w:rsidRPr="001F4D7C" w14:paraId="0D065963" w14:textId="77777777" w:rsidTr="0070573A">
        <w:trPr>
          <w:jc w:val="center"/>
        </w:trPr>
        <w:tc>
          <w:tcPr>
            <w:tcW w:w="1169" w:type="dxa"/>
            <w:vAlign w:val="center"/>
          </w:tcPr>
          <w:p w14:paraId="73E20732" w14:textId="4A54324B" w:rsidR="001F4D7C" w:rsidRPr="00592DD4" w:rsidRDefault="001F4D7C" w:rsidP="001F4D7C">
            <w:pPr>
              <w:spacing w:after="0" w:line="240" w:lineRule="auto"/>
              <w:rPr>
                <w:rFonts w:cs="Times New Roman"/>
              </w:rPr>
            </w:pPr>
            <w:r w:rsidRPr="00592DD4">
              <w:rPr>
                <w:rFonts w:cs="Times New Roman"/>
              </w:rPr>
              <w:t xml:space="preserve">Tab. č. 2   </w:t>
            </w:r>
          </w:p>
        </w:tc>
        <w:tc>
          <w:tcPr>
            <w:tcW w:w="8080" w:type="dxa"/>
            <w:vAlign w:val="center"/>
          </w:tcPr>
          <w:p w14:paraId="413AEF97" w14:textId="77777777" w:rsidR="001F4D7C" w:rsidRPr="00592DD4" w:rsidRDefault="001F4D7C" w:rsidP="001F4D7C">
            <w:pPr>
              <w:spacing w:after="0" w:line="240" w:lineRule="auto"/>
              <w:rPr>
                <w:rFonts w:cs="Times New Roman"/>
              </w:rPr>
            </w:pPr>
            <w:r w:rsidRPr="00592DD4">
              <w:rPr>
                <w:rFonts w:cs="Times New Roman"/>
              </w:rPr>
              <w:t>Daňové príjmy štátneho rozpočtu za rok 2020</w:t>
            </w:r>
          </w:p>
        </w:tc>
      </w:tr>
      <w:tr w:rsidR="001F4D7C" w:rsidRPr="001F4D7C" w14:paraId="6836AFB5" w14:textId="77777777" w:rsidTr="0070573A">
        <w:trPr>
          <w:jc w:val="center"/>
        </w:trPr>
        <w:tc>
          <w:tcPr>
            <w:tcW w:w="1169" w:type="dxa"/>
            <w:vAlign w:val="center"/>
          </w:tcPr>
          <w:p w14:paraId="479FE329" w14:textId="59D3103F" w:rsidR="001F4D7C" w:rsidRPr="00592DD4" w:rsidRDefault="001F4D7C" w:rsidP="001F4D7C">
            <w:pPr>
              <w:spacing w:after="0" w:line="240" w:lineRule="auto"/>
              <w:rPr>
                <w:rFonts w:cs="Times New Roman"/>
              </w:rPr>
            </w:pPr>
            <w:r w:rsidRPr="00592DD4">
              <w:rPr>
                <w:rFonts w:cs="Times New Roman"/>
              </w:rPr>
              <w:t xml:space="preserve">Tab. č. 3   </w:t>
            </w:r>
          </w:p>
        </w:tc>
        <w:tc>
          <w:tcPr>
            <w:tcW w:w="8080" w:type="dxa"/>
            <w:vAlign w:val="center"/>
          </w:tcPr>
          <w:p w14:paraId="5BDA7E93" w14:textId="77777777" w:rsidR="001F4D7C" w:rsidRPr="00592DD4" w:rsidRDefault="001F4D7C" w:rsidP="001F4D7C">
            <w:pPr>
              <w:spacing w:after="0" w:line="240" w:lineRule="auto"/>
              <w:rPr>
                <w:rFonts w:cs="Times New Roman"/>
              </w:rPr>
            </w:pPr>
            <w:r w:rsidRPr="00592DD4">
              <w:rPr>
                <w:rFonts w:cs="Times New Roman"/>
              </w:rPr>
              <w:t>Nedaňové príjmy štátneho rozpočtu, granty a transfery za rok 2020</w:t>
            </w:r>
          </w:p>
        </w:tc>
      </w:tr>
      <w:tr w:rsidR="001F4D7C" w:rsidRPr="001F4D7C" w14:paraId="46B056B9" w14:textId="77777777" w:rsidTr="0070573A">
        <w:trPr>
          <w:jc w:val="center"/>
        </w:trPr>
        <w:tc>
          <w:tcPr>
            <w:tcW w:w="1169" w:type="dxa"/>
            <w:vAlign w:val="center"/>
          </w:tcPr>
          <w:p w14:paraId="14FF9896" w14:textId="0D150448" w:rsidR="001F4D7C" w:rsidRPr="00592DD4" w:rsidRDefault="001F4D7C" w:rsidP="001F4D7C">
            <w:pPr>
              <w:spacing w:after="0" w:line="240" w:lineRule="auto"/>
              <w:rPr>
                <w:rFonts w:cs="Times New Roman"/>
              </w:rPr>
            </w:pPr>
            <w:r w:rsidRPr="00592DD4">
              <w:rPr>
                <w:rFonts w:cs="Times New Roman"/>
              </w:rPr>
              <w:t xml:space="preserve">Tab. č. 4   </w:t>
            </w:r>
          </w:p>
        </w:tc>
        <w:tc>
          <w:tcPr>
            <w:tcW w:w="8080" w:type="dxa"/>
            <w:vAlign w:val="center"/>
          </w:tcPr>
          <w:p w14:paraId="2C8D6033" w14:textId="40E6EDC4" w:rsidR="001F4D7C" w:rsidRPr="00592DD4" w:rsidRDefault="001F4D7C" w:rsidP="00AC0510">
            <w:pPr>
              <w:spacing w:after="0" w:line="240" w:lineRule="auto"/>
              <w:rPr>
                <w:rFonts w:cs="Times New Roman"/>
              </w:rPr>
            </w:pPr>
            <w:r w:rsidRPr="00592DD4">
              <w:rPr>
                <w:rFonts w:cs="Times New Roman"/>
              </w:rPr>
              <w:t>Príjmy kapitol ŠR za rok 2020 – záväzné ukazovatele</w:t>
            </w:r>
          </w:p>
        </w:tc>
      </w:tr>
      <w:tr w:rsidR="001F4D7C" w:rsidRPr="001F4D7C" w14:paraId="606A8ED4" w14:textId="77777777" w:rsidTr="0070573A">
        <w:trPr>
          <w:jc w:val="center"/>
        </w:trPr>
        <w:tc>
          <w:tcPr>
            <w:tcW w:w="1169" w:type="dxa"/>
            <w:vAlign w:val="center"/>
          </w:tcPr>
          <w:p w14:paraId="75FBDB02" w14:textId="7A5204A9" w:rsidR="001F4D7C" w:rsidRPr="00592DD4" w:rsidRDefault="001F4D7C" w:rsidP="001F4D7C">
            <w:pPr>
              <w:spacing w:after="0" w:line="240" w:lineRule="auto"/>
              <w:rPr>
                <w:rFonts w:cs="Times New Roman"/>
              </w:rPr>
            </w:pPr>
            <w:r w:rsidRPr="00592DD4">
              <w:rPr>
                <w:rFonts w:cs="Times New Roman"/>
              </w:rPr>
              <w:t xml:space="preserve">Tab. č. 5  </w:t>
            </w:r>
          </w:p>
        </w:tc>
        <w:tc>
          <w:tcPr>
            <w:tcW w:w="8080" w:type="dxa"/>
            <w:vAlign w:val="center"/>
          </w:tcPr>
          <w:p w14:paraId="5A0DD9D4" w14:textId="77777777" w:rsidR="001F4D7C" w:rsidRPr="00592DD4" w:rsidRDefault="001F4D7C" w:rsidP="001F4D7C">
            <w:pPr>
              <w:spacing w:after="0" w:line="240" w:lineRule="auto"/>
              <w:rPr>
                <w:rFonts w:cs="Times New Roman"/>
              </w:rPr>
            </w:pPr>
            <w:r w:rsidRPr="00592DD4">
              <w:rPr>
                <w:rFonts w:cs="Times New Roman"/>
              </w:rPr>
              <w:t>Príjmy štátneho rozpočtu podľa kategórií a kapitol ŠR za rok 2020</w:t>
            </w:r>
          </w:p>
        </w:tc>
      </w:tr>
      <w:tr w:rsidR="001F4D7C" w:rsidRPr="001F4D7C" w14:paraId="47965FF3" w14:textId="77777777" w:rsidTr="0070573A">
        <w:trPr>
          <w:jc w:val="center"/>
        </w:trPr>
        <w:tc>
          <w:tcPr>
            <w:tcW w:w="1169" w:type="dxa"/>
            <w:vAlign w:val="center"/>
          </w:tcPr>
          <w:p w14:paraId="72F63BAC" w14:textId="120A04BD" w:rsidR="001F4D7C" w:rsidRPr="00592DD4" w:rsidRDefault="001F4D7C" w:rsidP="00592DD4">
            <w:pPr>
              <w:spacing w:after="0" w:line="240" w:lineRule="auto"/>
              <w:rPr>
                <w:rFonts w:cs="Times New Roman"/>
              </w:rPr>
            </w:pPr>
            <w:r w:rsidRPr="00592DD4">
              <w:rPr>
                <w:rFonts w:cs="Times New Roman"/>
              </w:rPr>
              <w:t xml:space="preserve">Tab. č. 6   </w:t>
            </w:r>
          </w:p>
        </w:tc>
        <w:tc>
          <w:tcPr>
            <w:tcW w:w="8080" w:type="dxa"/>
            <w:vAlign w:val="center"/>
          </w:tcPr>
          <w:p w14:paraId="6B5C1B76" w14:textId="77777777" w:rsidR="001F4D7C" w:rsidRPr="00592DD4" w:rsidRDefault="001F4D7C" w:rsidP="001F4D7C">
            <w:pPr>
              <w:spacing w:after="0" w:line="240" w:lineRule="auto"/>
              <w:rPr>
                <w:rFonts w:cs="Times New Roman"/>
              </w:rPr>
            </w:pPr>
            <w:r w:rsidRPr="00592DD4">
              <w:rPr>
                <w:rFonts w:cs="Times New Roman"/>
                <w:bCs/>
                <w:lang w:eastAsia="sk-SK"/>
              </w:rPr>
              <w:t xml:space="preserve">Príjmy štátneho rozpočtu podľa zdrojov v roku </w:t>
            </w:r>
            <w:r w:rsidRPr="00592DD4">
              <w:rPr>
                <w:rFonts w:cs="Times New Roman"/>
              </w:rPr>
              <w:t>2020</w:t>
            </w:r>
          </w:p>
        </w:tc>
      </w:tr>
      <w:tr w:rsidR="001F4D7C" w:rsidRPr="001F4D7C" w14:paraId="4FE23A54" w14:textId="77777777" w:rsidTr="0070573A">
        <w:trPr>
          <w:jc w:val="center"/>
        </w:trPr>
        <w:tc>
          <w:tcPr>
            <w:tcW w:w="1169" w:type="dxa"/>
            <w:vAlign w:val="center"/>
          </w:tcPr>
          <w:p w14:paraId="6EEBBE46" w14:textId="61F1BDC4" w:rsidR="001F4D7C" w:rsidRPr="00592DD4" w:rsidRDefault="001F4D7C" w:rsidP="00592DD4">
            <w:pPr>
              <w:spacing w:after="0" w:line="240" w:lineRule="auto"/>
              <w:rPr>
                <w:rFonts w:cs="Times New Roman"/>
              </w:rPr>
            </w:pPr>
            <w:r w:rsidRPr="00592DD4">
              <w:rPr>
                <w:rFonts w:cs="Times New Roman"/>
              </w:rPr>
              <w:t xml:space="preserve">Tab. č. 7   </w:t>
            </w:r>
          </w:p>
        </w:tc>
        <w:tc>
          <w:tcPr>
            <w:tcW w:w="8080" w:type="dxa"/>
            <w:vAlign w:val="center"/>
          </w:tcPr>
          <w:p w14:paraId="64EF6AD4" w14:textId="77777777" w:rsidR="001F4D7C" w:rsidRPr="00592DD4" w:rsidRDefault="001F4D7C" w:rsidP="001F4D7C">
            <w:pPr>
              <w:spacing w:after="0" w:line="240" w:lineRule="auto"/>
              <w:rPr>
                <w:rFonts w:cs="Times New Roman"/>
              </w:rPr>
            </w:pPr>
            <w:r w:rsidRPr="00592DD4">
              <w:rPr>
                <w:rFonts w:cs="Times New Roman"/>
              </w:rPr>
              <w:t>Výdavky štátneho rozpočtu podľa kategórií a kapitol ŠR za rok 2020</w:t>
            </w:r>
          </w:p>
        </w:tc>
      </w:tr>
      <w:tr w:rsidR="001F4D7C" w:rsidRPr="001F4D7C" w14:paraId="491E7CD1" w14:textId="77777777" w:rsidTr="0070573A">
        <w:trPr>
          <w:jc w:val="center"/>
        </w:trPr>
        <w:tc>
          <w:tcPr>
            <w:tcW w:w="1169" w:type="dxa"/>
            <w:vAlign w:val="center"/>
          </w:tcPr>
          <w:p w14:paraId="34E49743" w14:textId="5F8EFBEC" w:rsidR="001F4D7C" w:rsidRPr="00592DD4" w:rsidRDefault="001F4D7C" w:rsidP="001F4D7C">
            <w:pPr>
              <w:spacing w:after="0" w:line="240" w:lineRule="auto"/>
              <w:rPr>
                <w:rFonts w:cs="Times New Roman"/>
              </w:rPr>
            </w:pPr>
            <w:r w:rsidRPr="00592DD4">
              <w:rPr>
                <w:rFonts w:cs="Times New Roman"/>
              </w:rPr>
              <w:t xml:space="preserve">Tab. č. 8   </w:t>
            </w:r>
          </w:p>
        </w:tc>
        <w:tc>
          <w:tcPr>
            <w:tcW w:w="8080" w:type="dxa"/>
            <w:vAlign w:val="center"/>
          </w:tcPr>
          <w:p w14:paraId="408BAAA6" w14:textId="77777777" w:rsidR="001F4D7C" w:rsidRPr="00592DD4" w:rsidRDefault="001F4D7C" w:rsidP="001F4D7C">
            <w:pPr>
              <w:spacing w:after="0" w:line="240" w:lineRule="auto"/>
              <w:rPr>
                <w:rFonts w:cs="Times New Roman"/>
              </w:rPr>
            </w:pPr>
            <w:r w:rsidRPr="00592DD4">
              <w:rPr>
                <w:rFonts w:cs="Times New Roman"/>
              </w:rPr>
              <w:t>Bežné transfery za rok 2020</w:t>
            </w:r>
          </w:p>
        </w:tc>
      </w:tr>
      <w:tr w:rsidR="001F4D7C" w:rsidRPr="001F4D7C" w14:paraId="40F06226" w14:textId="77777777" w:rsidTr="0070573A">
        <w:trPr>
          <w:jc w:val="center"/>
        </w:trPr>
        <w:tc>
          <w:tcPr>
            <w:tcW w:w="1169" w:type="dxa"/>
            <w:vAlign w:val="center"/>
          </w:tcPr>
          <w:p w14:paraId="31A747F3" w14:textId="008DD9A1" w:rsidR="001F4D7C" w:rsidRPr="00592DD4" w:rsidRDefault="001F4D7C" w:rsidP="001F4D7C">
            <w:pPr>
              <w:spacing w:after="0" w:line="240" w:lineRule="auto"/>
              <w:rPr>
                <w:rFonts w:cs="Times New Roman"/>
              </w:rPr>
            </w:pPr>
            <w:r w:rsidRPr="00592DD4">
              <w:rPr>
                <w:rFonts w:cs="Times New Roman"/>
              </w:rPr>
              <w:t xml:space="preserve">Tab. č. 9   </w:t>
            </w:r>
          </w:p>
        </w:tc>
        <w:tc>
          <w:tcPr>
            <w:tcW w:w="8080" w:type="dxa"/>
            <w:vAlign w:val="center"/>
          </w:tcPr>
          <w:p w14:paraId="79800FF0" w14:textId="77777777" w:rsidR="001F4D7C" w:rsidRPr="00592DD4" w:rsidRDefault="001F4D7C" w:rsidP="001F4D7C">
            <w:pPr>
              <w:spacing w:after="0" w:line="240" w:lineRule="auto"/>
              <w:rPr>
                <w:rFonts w:cs="Times New Roman"/>
              </w:rPr>
            </w:pPr>
            <w:r w:rsidRPr="00592DD4">
              <w:rPr>
                <w:rFonts w:cs="Times New Roman"/>
              </w:rPr>
              <w:t>Kapitálové výdavky za rok 2020</w:t>
            </w:r>
          </w:p>
        </w:tc>
      </w:tr>
      <w:tr w:rsidR="001F4D7C" w:rsidRPr="001F4D7C" w14:paraId="51E56324" w14:textId="77777777" w:rsidTr="0070573A">
        <w:trPr>
          <w:jc w:val="center"/>
        </w:trPr>
        <w:tc>
          <w:tcPr>
            <w:tcW w:w="1169" w:type="dxa"/>
            <w:vAlign w:val="center"/>
          </w:tcPr>
          <w:p w14:paraId="60F21E4D" w14:textId="7D6AA98F" w:rsidR="001F4D7C" w:rsidRPr="00592DD4" w:rsidRDefault="001F4D7C" w:rsidP="001F4D7C">
            <w:pPr>
              <w:spacing w:after="0" w:line="240" w:lineRule="auto"/>
              <w:rPr>
                <w:rFonts w:cs="Times New Roman"/>
              </w:rPr>
            </w:pPr>
            <w:r w:rsidRPr="00592DD4">
              <w:rPr>
                <w:rFonts w:cs="Times New Roman"/>
              </w:rPr>
              <w:t xml:space="preserve">Tab. č. 10   </w:t>
            </w:r>
          </w:p>
        </w:tc>
        <w:tc>
          <w:tcPr>
            <w:tcW w:w="8080" w:type="dxa"/>
            <w:vAlign w:val="center"/>
          </w:tcPr>
          <w:p w14:paraId="4381494A" w14:textId="77777777" w:rsidR="001F4D7C" w:rsidRPr="00592DD4" w:rsidRDefault="001F4D7C" w:rsidP="001F4D7C">
            <w:pPr>
              <w:spacing w:after="0" w:line="240" w:lineRule="auto"/>
              <w:rPr>
                <w:rFonts w:cs="Times New Roman"/>
              </w:rPr>
            </w:pPr>
            <w:r w:rsidRPr="00592DD4">
              <w:rPr>
                <w:rFonts w:cs="Times New Roman"/>
              </w:rPr>
              <w:t>Finančné operácie na samostatných účtoch štátnych rozpočtových organizácií za rok 2020</w:t>
            </w:r>
          </w:p>
        </w:tc>
      </w:tr>
      <w:tr w:rsidR="001F4D7C" w:rsidRPr="001F4D7C" w14:paraId="352E5DEE" w14:textId="77777777" w:rsidTr="0070573A">
        <w:trPr>
          <w:trHeight w:val="242"/>
          <w:jc w:val="center"/>
        </w:trPr>
        <w:tc>
          <w:tcPr>
            <w:tcW w:w="1169" w:type="dxa"/>
            <w:vAlign w:val="center"/>
          </w:tcPr>
          <w:p w14:paraId="68192BF3" w14:textId="1A07A9E4" w:rsidR="001F4D7C" w:rsidRPr="00592DD4" w:rsidRDefault="00592DD4" w:rsidP="001F4D7C">
            <w:pPr>
              <w:spacing w:after="0" w:line="240" w:lineRule="auto"/>
              <w:rPr>
                <w:rFonts w:cs="Times New Roman"/>
              </w:rPr>
            </w:pPr>
            <w:r w:rsidRPr="00592DD4">
              <w:rPr>
                <w:rFonts w:cs="Times New Roman"/>
              </w:rPr>
              <w:t>Tab. č.</w:t>
            </w:r>
            <w:r w:rsidR="001F4D7C" w:rsidRPr="00592DD4">
              <w:rPr>
                <w:rFonts w:cs="Times New Roman"/>
              </w:rPr>
              <w:t xml:space="preserve"> 11  </w:t>
            </w:r>
          </w:p>
        </w:tc>
        <w:tc>
          <w:tcPr>
            <w:tcW w:w="8080" w:type="dxa"/>
            <w:vAlign w:val="center"/>
          </w:tcPr>
          <w:p w14:paraId="28B7FB3F" w14:textId="77777777" w:rsidR="001F4D7C" w:rsidRPr="00592DD4" w:rsidRDefault="001F4D7C" w:rsidP="001F4D7C">
            <w:pPr>
              <w:spacing w:after="0" w:line="240" w:lineRule="auto"/>
              <w:rPr>
                <w:rFonts w:cs="Times New Roman"/>
              </w:rPr>
            </w:pPr>
            <w:r w:rsidRPr="00592DD4">
              <w:rPr>
                <w:rFonts w:cs="Times New Roman"/>
              </w:rPr>
              <w:t>Výdavky štátneho rozpočtu podľa funkčnej klasifikácie za rok 2020</w:t>
            </w:r>
          </w:p>
        </w:tc>
      </w:tr>
      <w:tr w:rsidR="001F4D7C" w:rsidRPr="001F4D7C" w14:paraId="73E4B101" w14:textId="77777777" w:rsidTr="0070573A">
        <w:trPr>
          <w:trHeight w:val="242"/>
          <w:jc w:val="center"/>
        </w:trPr>
        <w:tc>
          <w:tcPr>
            <w:tcW w:w="1169" w:type="dxa"/>
            <w:vAlign w:val="center"/>
          </w:tcPr>
          <w:p w14:paraId="4ED63639" w14:textId="201DCA87" w:rsidR="001F4D7C" w:rsidRPr="00592DD4" w:rsidRDefault="00592DD4" w:rsidP="001F4D7C">
            <w:pPr>
              <w:spacing w:after="0" w:line="240" w:lineRule="auto"/>
              <w:rPr>
                <w:rFonts w:cs="Times New Roman"/>
              </w:rPr>
            </w:pPr>
            <w:r w:rsidRPr="00592DD4">
              <w:rPr>
                <w:rFonts w:cs="Times New Roman"/>
              </w:rPr>
              <w:t>Tab. č.</w:t>
            </w:r>
            <w:r w:rsidR="001F4D7C" w:rsidRPr="00592DD4">
              <w:rPr>
                <w:rFonts w:cs="Times New Roman"/>
              </w:rPr>
              <w:t xml:space="preserve"> 12</w:t>
            </w:r>
          </w:p>
        </w:tc>
        <w:tc>
          <w:tcPr>
            <w:tcW w:w="8080" w:type="dxa"/>
            <w:vAlign w:val="center"/>
          </w:tcPr>
          <w:p w14:paraId="0AEAFC7B" w14:textId="77777777" w:rsidR="001F4D7C" w:rsidRPr="00592DD4" w:rsidRDefault="001F4D7C" w:rsidP="001F4D7C">
            <w:pPr>
              <w:spacing w:after="0" w:line="240" w:lineRule="auto"/>
              <w:rPr>
                <w:rFonts w:cs="Times New Roman"/>
              </w:rPr>
            </w:pPr>
            <w:r w:rsidRPr="00592DD4">
              <w:rPr>
                <w:rFonts w:cs="Times New Roman"/>
                <w:bCs/>
                <w:lang w:eastAsia="sk-SK"/>
              </w:rPr>
              <w:t xml:space="preserve">Výdavky štátneho rozpočtu podľa kapitol ŠR a zdrojov v roku </w:t>
            </w:r>
            <w:r w:rsidRPr="00592DD4">
              <w:rPr>
                <w:rFonts w:cs="Times New Roman"/>
              </w:rPr>
              <w:t>2020</w:t>
            </w:r>
          </w:p>
        </w:tc>
      </w:tr>
      <w:tr w:rsidR="001F4D7C" w:rsidRPr="001F4D7C" w14:paraId="36D3921B" w14:textId="77777777" w:rsidTr="0070573A">
        <w:trPr>
          <w:trHeight w:val="242"/>
          <w:jc w:val="center"/>
        </w:trPr>
        <w:tc>
          <w:tcPr>
            <w:tcW w:w="1169" w:type="dxa"/>
            <w:vAlign w:val="center"/>
          </w:tcPr>
          <w:p w14:paraId="276767A7" w14:textId="44B192D5" w:rsidR="001F4D7C" w:rsidRPr="00592DD4" w:rsidRDefault="00592DD4" w:rsidP="001F4D7C">
            <w:pPr>
              <w:spacing w:after="0" w:line="240" w:lineRule="auto"/>
              <w:rPr>
                <w:rFonts w:cs="Times New Roman"/>
              </w:rPr>
            </w:pPr>
            <w:r w:rsidRPr="00592DD4">
              <w:rPr>
                <w:rFonts w:cs="Times New Roman"/>
              </w:rPr>
              <w:t>Tab. č.</w:t>
            </w:r>
            <w:r w:rsidR="001F4D7C" w:rsidRPr="00592DD4">
              <w:rPr>
                <w:rFonts w:cs="Times New Roman"/>
              </w:rPr>
              <w:t xml:space="preserve"> 13  </w:t>
            </w:r>
          </w:p>
        </w:tc>
        <w:tc>
          <w:tcPr>
            <w:tcW w:w="8080" w:type="dxa"/>
            <w:vAlign w:val="center"/>
          </w:tcPr>
          <w:p w14:paraId="450047E9" w14:textId="77777777" w:rsidR="001F4D7C" w:rsidRPr="00592DD4" w:rsidRDefault="001F4D7C" w:rsidP="001F4D7C">
            <w:pPr>
              <w:spacing w:after="0" w:line="240" w:lineRule="auto"/>
              <w:rPr>
                <w:rFonts w:cs="Times New Roman"/>
              </w:rPr>
            </w:pPr>
            <w:r w:rsidRPr="00592DD4">
              <w:rPr>
                <w:rFonts w:cs="Times New Roman"/>
              </w:rPr>
              <w:t>Výdavky štátneho rozpočtu na vedu a techniku podľa kapitol ŠR za rok 2020</w:t>
            </w:r>
          </w:p>
        </w:tc>
      </w:tr>
      <w:tr w:rsidR="001F4D7C" w:rsidRPr="001F4D7C" w14:paraId="370AE01F" w14:textId="77777777" w:rsidTr="0070573A">
        <w:trPr>
          <w:trHeight w:val="242"/>
          <w:jc w:val="center"/>
        </w:trPr>
        <w:tc>
          <w:tcPr>
            <w:tcW w:w="1169" w:type="dxa"/>
            <w:vAlign w:val="center"/>
          </w:tcPr>
          <w:p w14:paraId="6D98F531" w14:textId="17D1D1BD" w:rsidR="001F4D7C" w:rsidRPr="00592DD4" w:rsidRDefault="00592DD4" w:rsidP="001F4D7C">
            <w:pPr>
              <w:spacing w:after="0" w:line="240" w:lineRule="auto"/>
              <w:rPr>
                <w:rFonts w:cs="Times New Roman"/>
              </w:rPr>
            </w:pPr>
            <w:r w:rsidRPr="00592DD4">
              <w:rPr>
                <w:rFonts w:cs="Times New Roman"/>
              </w:rPr>
              <w:t>Tab. č.</w:t>
            </w:r>
            <w:r w:rsidR="001F4D7C" w:rsidRPr="00592DD4">
              <w:rPr>
                <w:rFonts w:cs="Times New Roman"/>
              </w:rPr>
              <w:t xml:space="preserve"> 14</w:t>
            </w:r>
          </w:p>
        </w:tc>
        <w:tc>
          <w:tcPr>
            <w:tcW w:w="8080" w:type="dxa"/>
            <w:vAlign w:val="center"/>
          </w:tcPr>
          <w:p w14:paraId="20033B69" w14:textId="77777777" w:rsidR="001F4D7C" w:rsidRPr="00592DD4" w:rsidRDefault="001F4D7C" w:rsidP="001F4D7C">
            <w:pPr>
              <w:spacing w:after="0" w:line="240" w:lineRule="auto"/>
              <w:rPr>
                <w:rFonts w:cs="Times New Roman"/>
              </w:rPr>
            </w:pPr>
            <w:r w:rsidRPr="00592DD4">
              <w:rPr>
                <w:rFonts w:cs="Times New Roman"/>
              </w:rPr>
              <w:t>Výdavky štátneho rozpočtu na vedu a techniku podľa funkčnej klasifikácie za rok 2020</w:t>
            </w:r>
          </w:p>
        </w:tc>
      </w:tr>
      <w:tr w:rsidR="001F4D7C" w:rsidRPr="001F4D7C" w14:paraId="1A5310C3" w14:textId="77777777" w:rsidTr="0070573A">
        <w:trPr>
          <w:jc w:val="center"/>
        </w:trPr>
        <w:tc>
          <w:tcPr>
            <w:tcW w:w="1169" w:type="dxa"/>
            <w:vAlign w:val="center"/>
          </w:tcPr>
          <w:p w14:paraId="3744C8D9" w14:textId="1DAD2BF0" w:rsidR="001F4D7C" w:rsidRPr="00592DD4" w:rsidRDefault="00592DD4" w:rsidP="001F4D7C">
            <w:pPr>
              <w:spacing w:after="0" w:line="240" w:lineRule="auto"/>
              <w:rPr>
                <w:rFonts w:cs="Times New Roman"/>
              </w:rPr>
            </w:pPr>
            <w:r w:rsidRPr="00592DD4">
              <w:rPr>
                <w:rFonts w:cs="Times New Roman"/>
              </w:rPr>
              <w:t>Tab. č.</w:t>
            </w:r>
            <w:r w:rsidR="001F4D7C" w:rsidRPr="00592DD4">
              <w:rPr>
                <w:rFonts w:cs="Times New Roman"/>
              </w:rPr>
              <w:t xml:space="preserve"> 15</w:t>
            </w:r>
          </w:p>
        </w:tc>
        <w:tc>
          <w:tcPr>
            <w:tcW w:w="8080" w:type="dxa"/>
            <w:vAlign w:val="center"/>
          </w:tcPr>
          <w:p w14:paraId="64DA0086" w14:textId="77777777" w:rsidR="001F4D7C" w:rsidRPr="00592DD4" w:rsidRDefault="001F4D7C" w:rsidP="001F4D7C">
            <w:pPr>
              <w:spacing w:after="0" w:line="240" w:lineRule="auto"/>
              <w:rPr>
                <w:rFonts w:cs="Times New Roman"/>
              </w:rPr>
            </w:pPr>
            <w:r w:rsidRPr="00592DD4">
              <w:rPr>
                <w:rFonts w:cs="Times New Roman"/>
              </w:rPr>
              <w:t>Prehľad výdavkov štátneho rozpočtu na realizáciu programov za rok 2020</w:t>
            </w:r>
          </w:p>
        </w:tc>
      </w:tr>
      <w:tr w:rsidR="001F4D7C" w:rsidRPr="001F4D7C" w14:paraId="5AFDF903" w14:textId="77777777" w:rsidTr="0070573A">
        <w:trPr>
          <w:jc w:val="center"/>
        </w:trPr>
        <w:tc>
          <w:tcPr>
            <w:tcW w:w="1169" w:type="dxa"/>
          </w:tcPr>
          <w:p w14:paraId="7FB6DAE2" w14:textId="6F2A9769" w:rsidR="001F4D7C" w:rsidRPr="00592DD4" w:rsidRDefault="00592DD4" w:rsidP="001F4D7C">
            <w:pPr>
              <w:spacing w:after="0" w:line="240" w:lineRule="auto"/>
              <w:rPr>
                <w:rFonts w:cs="Times New Roman"/>
              </w:rPr>
            </w:pPr>
            <w:r w:rsidRPr="00592DD4">
              <w:rPr>
                <w:rFonts w:cs="Times New Roman"/>
              </w:rPr>
              <w:t>Tab. č.</w:t>
            </w:r>
            <w:r w:rsidR="001F4D7C" w:rsidRPr="00592DD4">
              <w:rPr>
                <w:rFonts w:cs="Times New Roman"/>
              </w:rPr>
              <w:t xml:space="preserve"> 16</w:t>
            </w:r>
          </w:p>
        </w:tc>
        <w:tc>
          <w:tcPr>
            <w:tcW w:w="8080" w:type="dxa"/>
            <w:vAlign w:val="center"/>
          </w:tcPr>
          <w:p w14:paraId="24F80C56" w14:textId="799FAC65" w:rsidR="001F4D7C" w:rsidRPr="00592DD4" w:rsidRDefault="001F4D7C" w:rsidP="001F4D7C">
            <w:pPr>
              <w:spacing w:after="0" w:line="240" w:lineRule="auto"/>
              <w:rPr>
                <w:rFonts w:cs="Times New Roman"/>
              </w:rPr>
            </w:pPr>
            <w:r w:rsidRPr="00592DD4">
              <w:rPr>
                <w:rFonts w:cs="Times New Roman"/>
              </w:rPr>
              <w:t>Prehľad príjmov a výdavkov z rozpočtu Európskej únie zaradených do príjmov a výdavkov štátneho rozpočtu podľa kapitol ŠR</w:t>
            </w:r>
          </w:p>
        </w:tc>
      </w:tr>
      <w:tr w:rsidR="001F4D7C" w:rsidRPr="001F4D7C" w14:paraId="45750A3A" w14:textId="77777777" w:rsidTr="0070573A">
        <w:trPr>
          <w:jc w:val="center"/>
        </w:trPr>
        <w:tc>
          <w:tcPr>
            <w:tcW w:w="1169" w:type="dxa"/>
          </w:tcPr>
          <w:p w14:paraId="5C46C3A7" w14:textId="1A27910C" w:rsidR="001F4D7C" w:rsidRPr="00592DD4" w:rsidRDefault="00592DD4" w:rsidP="001F4D7C">
            <w:pPr>
              <w:spacing w:after="0" w:line="240" w:lineRule="auto"/>
              <w:rPr>
                <w:rFonts w:cs="Times New Roman"/>
              </w:rPr>
            </w:pPr>
            <w:r w:rsidRPr="00592DD4">
              <w:rPr>
                <w:rFonts w:cs="Times New Roman"/>
              </w:rPr>
              <w:t>Tab. č.</w:t>
            </w:r>
            <w:r w:rsidR="001F4D7C" w:rsidRPr="00592DD4">
              <w:rPr>
                <w:rFonts w:cs="Times New Roman"/>
              </w:rPr>
              <w:t xml:space="preserve"> 17</w:t>
            </w:r>
          </w:p>
        </w:tc>
        <w:tc>
          <w:tcPr>
            <w:tcW w:w="8080" w:type="dxa"/>
            <w:vAlign w:val="center"/>
          </w:tcPr>
          <w:p w14:paraId="21CCB629" w14:textId="0D7F7599" w:rsidR="001F4D7C" w:rsidRPr="00592DD4" w:rsidRDefault="001F4D7C" w:rsidP="00AC0510">
            <w:pPr>
              <w:spacing w:after="0" w:line="240" w:lineRule="auto"/>
              <w:rPr>
                <w:rFonts w:cs="Times New Roman"/>
              </w:rPr>
            </w:pPr>
            <w:r w:rsidRPr="00592DD4">
              <w:rPr>
                <w:rFonts w:cs="Times New Roman"/>
                <w:bCs/>
                <w:lang w:eastAsia="sk-SK"/>
              </w:rPr>
              <w:t xml:space="preserve">Prostriedky </w:t>
            </w:r>
            <w:r w:rsidR="00AC0510">
              <w:rPr>
                <w:rFonts w:cs="Times New Roman"/>
                <w:bCs/>
                <w:lang w:eastAsia="sk-SK"/>
              </w:rPr>
              <w:t>ŠR</w:t>
            </w:r>
            <w:r w:rsidRPr="00592DD4">
              <w:rPr>
                <w:rFonts w:cs="Times New Roman"/>
                <w:bCs/>
                <w:lang w:eastAsia="sk-SK"/>
              </w:rPr>
              <w:t xml:space="preserve"> na financovanie spoločných programov </w:t>
            </w:r>
            <w:r w:rsidR="00AC0510">
              <w:rPr>
                <w:rFonts w:cs="Times New Roman"/>
                <w:bCs/>
                <w:lang w:eastAsia="sk-SK"/>
              </w:rPr>
              <w:t>SR</w:t>
            </w:r>
            <w:r w:rsidRPr="00592DD4">
              <w:rPr>
                <w:rFonts w:cs="Times New Roman"/>
                <w:bCs/>
                <w:lang w:eastAsia="sk-SK"/>
              </w:rPr>
              <w:t xml:space="preserve"> a EÚ podľa kapitol ŠR</w:t>
            </w:r>
          </w:p>
        </w:tc>
      </w:tr>
      <w:tr w:rsidR="001F4D7C" w:rsidRPr="001F4D7C" w14:paraId="003C4931" w14:textId="77777777" w:rsidTr="0070573A">
        <w:trPr>
          <w:jc w:val="center"/>
        </w:trPr>
        <w:tc>
          <w:tcPr>
            <w:tcW w:w="1169" w:type="dxa"/>
            <w:vAlign w:val="center"/>
          </w:tcPr>
          <w:p w14:paraId="361629EA" w14:textId="08D84C56" w:rsidR="001F4D7C" w:rsidRPr="00592DD4" w:rsidRDefault="00592DD4" w:rsidP="001F4D7C">
            <w:pPr>
              <w:tabs>
                <w:tab w:val="left" w:pos="1310"/>
              </w:tabs>
              <w:spacing w:after="0" w:line="240" w:lineRule="auto"/>
              <w:ind w:right="34"/>
              <w:rPr>
                <w:rFonts w:cs="Times New Roman"/>
              </w:rPr>
            </w:pPr>
            <w:r w:rsidRPr="00592DD4">
              <w:rPr>
                <w:rFonts w:cs="Times New Roman"/>
              </w:rPr>
              <w:t>Tab. č.</w:t>
            </w:r>
            <w:r w:rsidR="001F4D7C" w:rsidRPr="00592DD4">
              <w:rPr>
                <w:rFonts w:cs="Times New Roman"/>
              </w:rPr>
              <w:t xml:space="preserve"> 18</w:t>
            </w:r>
          </w:p>
        </w:tc>
        <w:tc>
          <w:tcPr>
            <w:tcW w:w="8080" w:type="dxa"/>
            <w:vAlign w:val="center"/>
          </w:tcPr>
          <w:p w14:paraId="0B52BD7E" w14:textId="77777777" w:rsidR="001F4D7C" w:rsidRPr="00592DD4" w:rsidRDefault="001F4D7C" w:rsidP="001F4D7C">
            <w:pPr>
              <w:spacing w:after="0" w:line="240" w:lineRule="auto"/>
              <w:rPr>
                <w:rFonts w:cs="Times New Roman"/>
              </w:rPr>
            </w:pPr>
            <w:r w:rsidRPr="00592DD4">
              <w:rPr>
                <w:rFonts w:cs="Times New Roman"/>
              </w:rPr>
              <w:t>Prehľad vzťahu jednotlivých kapitol ŠR k štátnemu rozpočtu za rok 2020</w:t>
            </w:r>
          </w:p>
        </w:tc>
      </w:tr>
      <w:tr w:rsidR="001F4D7C" w:rsidRPr="001F4D7C" w14:paraId="18423ED8" w14:textId="77777777" w:rsidTr="0070573A">
        <w:trPr>
          <w:jc w:val="center"/>
        </w:trPr>
        <w:tc>
          <w:tcPr>
            <w:tcW w:w="1169" w:type="dxa"/>
            <w:vAlign w:val="center"/>
          </w:tcPr>
          <w:p w14:paraId="23D09C0B" w14:textId="131DEBBF" w:rsidR="001F4D7C" w:rsidRPr="00592DD4" w:rsidRDefault="00592DD4" w:rsidP="001F4D7C">
            <w:pPr>
              <w:spacing w:after="0" w:line="240" w:lineRule="auto"/>
              <w:rPr>
                <w:rFonts w:cs="Times New Roman"/>
              </w:rPr>
            </w:pPr>
            <w:r w:rsidRPr="00592DD4">
              <w:rPr>
                <w:rFonts w:cs="Times New Roman"/>
              </w:rPr>
              <w:t>Tab. č.</w:t>
            </w:r>
            <w:r w:rsidR="001F4D7C" w:rsidRPr="00592DD4">
              <w:rPr>
                <w:rFonts w:cs="Times New Roman"/>
              </w:rPr>
              <w:t xml:space="preserve"> 19</w:t>
            </w:r>
          </w:p>
        </w:tc>
        <w:tc>
          <w:tcPr>
            <w:tcW w:w="8080" w:type="dxa"/>
            <w:vAlign w:val="center"/>
          </w:tcPr>
          <w:p w14:paraId="14FF112A" w14:textId="77777777" w:rsidR="001F4D7C" w:rsidRPr="00592DD4" w:rsidRDefault="001F4D7C" w:rsidP="001F4D7C">
            <w:pPr>
              <w:spacing w:after="0" w:line="240" w:lineRule="auto"/>
              <w:rPr>
                <w:rFonts w:cs="Times New Roman"/>
              </w:rPr>
            </w:pPr>
            <w:r w:rsidRPr="00592DD4">
              <w:rPr>
                <w:rFonts w:cs="Times New Roman"/>
              </w:rPr>
              <w:t>Vývoj príjmov a výdavkov štátneho rozpočtu v rokoch 2020 a 2019</w:t>
            </w:r>
          </w:p>
        </w:tc>
      </w:tr>
      <w:tr w:rsidR="001F4D7C" w:rsidRPr="001F4D7C" w14:paraId="269AD9FB" w14:textId="77777777" w:rsidTr="0070573A">
        <w:trPr>
          <w:jc w:val="center"/>
        </w:trPr>
        <w:tc>
          <w:tcPr>
            <w:tcW w:w="1169" w:type="dxa"/>
            <w:vAlign w:val="center"/>
          </w:tcPr>
          <w:p w14:paraId="40719BFE" w14:textId="0AE02B5F" w:rsidR="001F4D7C" w:rsidRPr="00592DD4" w:rsidRDefault="00592DD4" w:rsidP="001F4D7C">
            <w:pPr>
              <w:spacing w:after="0" w:line="240" w:lineRule="auto"/>
              <w:rPr>
                <w:rFonts w:cs="Times New Roman"/>
              </w:rPr>
            </w:pPr>
            <w:r w:rsidRPr="00592DD4">
              <w:rPr>
                <w:rFonts w:cs="Times New Roman"/>
              </w:rPr>
              <w:t>Tab. č.</w:t>
            </w:r>
            <w:r w:rsidR="001F4D7C" w:rsidRPr="00592DD4">
              <w:rPr>
                <w:rFonts w:cs="Times New Roman"/>
              </w:rPr>
              <w:t xml:space="preserve"> 20   </w:t>
            </w:r>
          </w:p>
        </w:tc>
        <w:tc>
          <w:tcPr>
            <w:tcW w:w="8080" w:type="dxa"/>
            <w:vAlign w:val="center"/>
          </w:tcPr>
          <w:p w14:paraId="617A299A" w14:textId="3A85CC15" w:rsidR="001F4D7C" w:rsidRPr="00592DD4" w:rsidRDefault="001F4D7C" w:rsidP="001F4D7C">
            <w:pPr>
              <w:spacing w:after="0" w:line="240" w:lineRule="auto"/>
              <w:rPr>
                <w:rFonts w:cs="Times New Roman"/>
              </w:rPr>
            </w:pPr>
            <w:r w:rsidRPr="00592DD4">
              <w:rPr>
                <w:rFonts w:cs="Times New Roman"/>
              </w:rPr>
              <w:t>Záväzné limity dotácií zo ŠR obciam za rok 2020</w:t>
            </w:r>
          </w:p>
        </w:tc>
      </w:tr>
      <w:tr w:rsidR="001F4D7C" w:rsidRPr="001F4D7C" w14:paraId="702974FD" w14:textId="77777777" w:rsidTr="0070573A">
        <w:trPr>
          <w:trHeight w:val="242"/>
          <w:jc w:val="center"/>
        </w:trPr>
        <w:tc>
          <w:tcPr>
            <w:tcW w:w="1169" w:type="dxa"/>
            <w:vAlign w:val="center"/>
          </w:tcPr>
          <w:p w14:paraId="1DA92E47" w14:textId="1469B83D" w:rsidR="001F4D7C" w:rsidRPr="00592DD4" w:rsidRDefault="00592DD4" w:rsidP="001F4D7C">
            <w:pPr>
              <w:spacing w:after="0" w:line="240" w:lineRule="auto"/>
              <w:rPr>
                <w:rFonts w:cs="Times New Roman"/>
              </w:rPr>
            </w:pPr>
            <w:r w:rsidRPr="00592DD4">
              <w:rPr>
                <w:rFonts w:cs="Times New Roman"/>
              </w:rPr>
              <w:t>Tab. č.</w:t>
            </w:r>
            <w:r w:rsidR="001F4D7C" w:rsidRPr="00592DD4">
              <w:rPr>
                <w:rFonts w:cs="Times New Roman"/>
              </w:rPr>
              <w:t xml:space="preserve"> 21   </w:t>
            </w:r>
          </w:p>
        </w:tc>
        <w:tc>
          <w:tcPr>
            <w:tcW w:w="8080" w:type="dxa"/>
            <w:vAlign w:val="center"/>
          </w:tcPr>
          <w:p w14:paraId="7E612731" w14:textId="59194C02" w:rsidR="001F4D7C" w:rsidRPr="00592DD4" w:rsidRDefault="001F4D7C" w:rsidP="001F4D7C">
            <w:pPr>
              <w:spacing w:after="0" w:line="240" w:lineRule="auto"/>
              <w:rPr>
                <w:rFonts w:cs="Times New Roman"/>
              </w:rPr>
            </w:pPr>
            <w:r w:rsidRPr="00592DD4">
              <w:rPr>
                <w:rFonts w:cs="Times New Roman"/>
              </w:rPr>
              <w:t>Záväzné limity dotácií zo ŠR vyšším územným celkom za rok 2020</w:t>
            </w:r>
          </w:p>
        </w:tc>
      </w:tr>
      <w:tr w:rsidR="001F4D7C" w:rsidRPr="001F4D7C" w14:paraId="126CDC94" w14:textId="77777777" w:rsidTr="0070573A">
        <w:trPr>
          <w:jc w:val="center"/>
        </w:trPr>
        <w:tc>
          <w:tcPr>
            <w:tcW w:w="1169" w:type="dxa"/>
            <w:vAlign w:val="center"/>
          </w:tcPr>
          <w:p w14:paraId="017A0739" w14:textId="0B76164A" w:rsidR="001F4D7C" w:rsidRPr="00592DD4" w:rsidRDefault="00592DD4" w:rsidP="001F4D7C">
            <w:pPr>
              <w:spacing w:after="0" w:line="240" w:lineRule="auto"/>
              <w:rPr>
                <w:rFonts w:cs="Times New Roman"/>
              </w:rPr>
            </w:pPr>
            <w:r w:rsidRPr="00592DD4">
              <w:rPr>
                <w:rFonts w:cs="Times New Roman"/>
              </w:rPr>
              <w:t>Tab. č.</w:t>
            </w:r>
            <w:r w:rsidR="001F4D7C" w:rsidRPr="00592DD4">
              <w:rPr>
                <w:rFonts w:cs="Times New Roman"/>
              </w:rPr>
              <w:t xml:space="preserve"> 22</w:t>
            </w:r>
          </w:p>
        </w:tc>
        <w:tc>
          <w:tcPr>
            <w:tcW w:w="8080" w:type="dxa"/>
            <w:vAlign w:val="center"/>
          </w:tcPr>
          <w:p w14:paraId="4173CC2E" w14:textId="53ED7E76" w:rsidR="001F4D7C" w:rsidRPr="00592DD4" w:rsidRDefault="001F4D7C" w:rsidP="001F4D7C">
            <w:pPr>
              <w:spacing w:after="0" w:line="240" w:lineRule="auto"/>
              <w:rPr>
                <w:rFonts w:cs="Times New Roman"/>
              </w:rPr>
            </w:pPr>
            <w:r w:rsidRPr="00592DD4">
              <w:rPr>
                <w:rFonts w:cs="Times New Roman"/>
              </w:rPr>
              <w:t>Prehľad o plnení limitu počtu zamestnancov, miezd, platov, služobných príjmov a ostatných osobných vyrovnaní v kapitolách ŠR za rok 2020</w:t>
            </w:r>
          </w:p>
        </w:tc>
      </w:tr>
      <w:tr w:rsidR="001F4D7C" w:rsidRPr="001F4D7C" w14:paraId="3C64672D" w14:textId="77777777" w:rsidTr="0070573A">
        <w:trPr>
          <w:jc w:val="center"/>
        </w:trPr>
        <w:tc>
          <w:tcPr>
            <w:tcW w:w="1169" w:type="dxa"/>
            <w:vAlign w:val="center"/>
          </w:tcPr>
          <w:p w14:paraId="7556CCDD" w14:textId="109F5AE5" w:rsidR="001F4D7C" w:rsidRPr="00592DD4" w:rsidRDefault="00592DD4" w:rsidP="001F4D7C">
            <w:pPr>
              <w:spacing w:after="0" w:line="240" w:lineRule="auto"/>
              <w:rPr>
                <w:rFonts w:cs="Times New Roman"/>
              </w:rPr>
            </w:pPr>
            <w:r w:rsidRPr="00592DD4">
              <w:rPr>
                <w:rFonts w:cs="Times New Roman"/>
              </w:rPr>
              <w:t>Tab. č.</w:t>
            </w:r>
            <w:r w:rsidR="001F4D7C" w:rsidRPr="00592DD4">
              <w:rPr>
                <w:rFonts w:cs="Times New Roman"/>
              </w:rPr>
              <w:t xml:space="preserve"> 23</w:t>
            </w:r>
          </w:p>
        </w:tc>
        <w:tc>
          <w:tcPr>
            <w:tcW w:w="8080" w:type="dxa"/>
            <w:vAlign w:val="center"/>
          </w:tcPr>
          <w:p w14:paraId="1DFE35D8" w14:textId="77777777" w:rsidR="001F4D7C" w:rsidRPr="00592DD4" w:rsidRDefault="001F4D7C" w:rsidP="001F4D7C">
            <w:pPr>
              <w:spacing w:after="0" w:line="240" w:lineRule="auto"/>
              <w:rPr>
                <w:rFonts w:cs="Times New Roman"/>
              </w:rPr>
            </w:pPr>
            <w:r w:rsidRPr="00592DD4">
              <w:rPr>
                <w:rFonts w:cs="Times New Roman"/>
              </w:rPr>
              <w:t>Prehľad o čerpaní miezd, platov, služobných príjmov a ostatných osobných vyrovnaní v kapitolách ŠR za rok 2020</w:t>
            </w:r>
          </w:p>
        </w:tc>
      </w:tr>
      <w:tr w:rsidR="001F4D7C" w:rsidRPr="001F4D7C" w14:paraId="14E28127" w14:textId="77777777" w:rsidTr="0070573A">
        <w:trPr>
          <w:jc w:val="center"/>
        </w:trPr>
        <w:tc>
          <w:tcPr>
            <w:tcW w:w="1169" w:type="dxa"/>
            <w:vAlign w:val="center"/>
          </w:tcPr>
          <w:p w14:paraId="72D6FCAA" w14:textId="4CF86016" w:rsidR="001F4D7C" w:rsidRPr="00592DD4" w:rsidRDefault="00592DD4" w:rsidP="001F4D7C">
            <w:pPr>
              <w:spacing w:after="0" w:line="240" w:lineRule="auto"/>
              <w:rPr>
                <w:rFonts w:cs="Times New Roman"/>
              </w:rPr>
            </w:pPr>
            <w:r w:rsidRPr="00592DD4">
              <w:rPr>
                <w:rFonts w:cs="Times New Roman"/>
              </w:rPr>
              <w:t>Tab. č.</w:t>
            </w:r>
            <w:r w:rsidR="001F4D7C" w:rsidRPr="00592DD4">
              <w:rPr>
                <w:rFonts w:cs="Times New Roman"/>
              </w:rPr>
              <w:t xml:space="preserve"> 24</w:t>
            </w:r>
          </w:p>
        </w:tc>
        <w:tc>
          <w:tcPr>
            <w:tcW w:w="8080" w:type="dxa"/>
            <w:vAlign w:val="center"/>
          </w:tcPr>
          <w:p w14:paraId="3CA8055C" w14:textId="3D9CE5D6" w:rsidR="001F4D7C" w:rsidRPr="00592DD4" w:rsidRDefault="001F4D7C" w:rsidP="001F4D7C">
            <w:pPr>
              <w:spacing w:after="0" w:line="240" w:lineRule="auto"/>
              <w:rPr>
                <w:rFonts w:cs="Times New Roman"/>
              </w:rPr>
            </w:pPr>
            <w:r w:rsidRPr="00592DD4">
              <w:rPr>
                <w:rFonts w:cs="Times New Roman"/>
              </w:rPr>
              <w:t>Systemizácia colníkov v štátnej službe za rok 2020</w:t>
            </w:r>
          </w:p>
        </w:tc>
      </w:tr>
      <w:tr w:rsidR="001F4D7C" w:rsidRPr="001F4D7C" w14:paraId="57ECBBC9" w14:textId="77777777" w:rsidTr="0070573A">
        <w:trPr>
          <w:jc w:val="center"/>
        </w:trPr>
        <w:tc>
          <w:tcPr>
            <w:tcW w:w="1169" w:type="dxa"/>
            <w:vAlign w:val="center"/>
          </w:tcPr>
          <w:p w14:paraId="508169C4" w14:textId="466DEB64" w:rsidR="001F4D7C" w:rsidRPr="00592DD4" w:rsidRDefault="00592DD4" w:rsidP="001F4D7C">
            <w:pPr>
              <w:spacing w:after="0" w:line="240" w:lineRule="auto"/>
              <w:rPr>
                <w:rFonts w:cs="Times New Roman"/>
              </w:rPr>
            </w:pPr>
            <w:r w:rsidRPr="00592DD4">
              <w:rPr>
                <w:rFonts w:cs="Times New Roman"/>
              </w:rPr>
              <w:t>Tab. č.</w:t>
            </w:r>
            <w:r w:rsidR="001F4D7C" w:rsidRPr="00592DD4">
              <w:rPr>
                <w:rFonts w:cs="Times New Roman"/>
              </w:rPr>
              <w:t xml:space="preserve"> 25</w:t>
            </w:r>
          </w:p>
        </w:tc>
        <w:tc>
          <w:tcPr>
            <w:tcW w:w="8080" w:type="dxa"/>
            <w:vAlign w:val="center"/>
          </w:tcPr>
          <w:p w14:paraId="0FC371AD" w14:textId="353B55F1" w:rsidR="001F4D7C" w:rsidRPr="00592DD4" w:rsidRDefault="001F4D7C" w:rsidP="001F4D7C">
            <w:pPr>
              <w:spacing w:after="0" w:line="240" w:lineRule="auto"/>
              <w:rPr>
                <w:rFonts w:cs="Times New Roman"/>
              </w:rPr>
            </w:pPr>
            <w:r w:rsidRPr="00592DD4">
              <w:rPr>
                <w:rFonts w:cs="Times New Roman"/>
                <w:snapToGrid w:val="0"/>
                <w:color w:val="000000"/>
              </w:rPr>
              <w:t>Systemizácia príslušníkov Hasičského záchranného zboru a príslušníkov Horskej záchrannej služby v štátnej službe za rok 2020</w:t>
            </w:r>
          </w:p>
        </w:tc>
      </w:tr>
      <w:tr w:rsidR="001F4D7C" w:rsidRPr="001F4D7C" w14:paraId="3126ED5B" w14:textId="77777777" w:rsidTr="0070573A">
        <w:trPr>
          <w:jc w:val="center"/>
        </w:trPr>
        <w:tc>
          <w:tcPr>
            <w:tcW w:w="1169" w:type="dxa"/>
            <w:vAlign w:val="center"/>
          </w:tcPr>
          <w:p w14:paraId="2FECE1DE" w14:textId="5EEB76D7" w:rsidR="001F4D7C" w:rsidRPr="00592DD4" w:rsidRDefault="00592DD4" w:rsidP="001F4D7C">
            <w:pPr>
              <w:spacing w:after="0" w:line="240" w:lineRule="auto"/>
              <w:rPr>
                <w:rFonts w:cs="Times New Roman"/>
              </w:rPr>
            </w:pPr>
            <w:r w:rsidRPr="00592DD4">
              <w:rPr>
                <w:rFonts w:cs="Times New Roman"/>
              </w:rPr>
              <w:t>Tab. č.</w:t>
            </w:r>
            <w:r w:rsidR="001F4D7C" w:rsidRPr="00592DD4">
              <w:rPr>
                <w:rFonts w:cs="Times New Roman"/>
              </w:rPr>
              <w:t xml:space="preserve"> 26</w:t>
            </w:r>
          </w:p>
        </w:tc>
        <w:tc>
          <w:tcPr>
            <w:tcW w:w="8080" w:type="dxa"/>
            <w:vAlign w:val="center"/>
          </w:tcPr>
          <w:p w14:paraId="2DA1BEF1" w14:textId="41992C06" w:rsidR="001F4D7C" w:rsidRPr="00592DD4" w:rsidRDefault="001F4D7C" w:rsidP="001F4D7C">
            <w:pPr>
              <w:spacing w:after="0" w:line="240" w:lineRule="auto"/>
              <w:rPr>
                <w:rFonts w:cs="Times New Roman"/>
              </w:rPr>
            </w:pPr>
            <w:r w:rsidRPr="00592DD4">
              <w:rPr>
                <w:rFonts w:cs="Times New Roman"/>
              </w:rPr>
              <w:t>Systemizácia policajtov v štátnej službe za rok 2020</w:t>
            </w:r>
          </w:p>
        </w:tc>
      </w:tr>
      <w:tr w:rsidR="001F4D7C" w:rsidRPr="001F4D7C" w14:paraId="0987432A" w14:textId="77777777" w:rsidTr="0070573A">
        <w:trPr>
          <w:jc w:val="center"/>
        </w:trPr>
        <w:tc>
          <w:tcPr>
            <w:tcW w:w="1169" w:type="dxa"/>
            <w:vAlign w:val="center"/>
          </w:tcPr>
          <w:p w14:paraId="3D6C92AD" w14:textId="16C58989" w:rsidR="001F4D7C" w:rsidRPr="00592DD4" w:rsidRDefault="00592DD4" w:rsidP="001F4D7C">
            <w:pPr>
              <w:spacing w:after="0" w:line="240" w:lineRule="auto"/>
              <w:rPr>
                <w:rFonts w:cs="Times New Roman"/>
              </w:rPr>
            </w:pPr>
            <w:r w:rsidRPr="00592DD4">
              <w:rPr>
                <w:rFonts w:cs="Times New Roman"/>
              </w:rPr>
              <w:t>Tab. č.</w:t>
            </w:r>
            <w:r w:rsidR="001F4D7C" w:rsidRPr="00592DD4">
              <w:rPr>
                <w:rFonts w:cs="Times New Roman"/>
              </w:rPr>
              <w:t xml:space="preserve"> 27</w:t>
            </w:r>
          </w:p>
        </w:tc>
        <w:tc>
          <w:tcPr>
            <w:tcW w:w="8080" w:type="dxa"/>
            <w:vAlign w:val="center"/>
          </w:tcPr>
          <w:p w14:paraId="0943CFCB" w14:textId="61D379F0" w:rsidR="001F4D7C" w:rsidRPr="00592DD4" w:rsidRDefault="001F4D7C" w:rsidP="001F4D7C">
            <w:pPr>
              <w:spacing w:after="0" w:line="240" w:lineRule="auto"/>
              <w:rPr>
                <w:rFonts w:cs="Times New Roman"/>
              </w:rPr>
            </w:pPr>
            <w:r w:rsidRPr="00592DD4">
              <w:rPr>
                <w:rFonts w:cs="Times New Roman"/>
              </w:rPr>
              <w:t>Systemizácia profesionálnych vojakov v štátnej službe za rok 2020</w:t>
            </w:r>
          </w:p>
        </w:tc>
      </w:tr>
      <w:tr w:rsidR="001F4D7C" w:rsidRPr="001F4D7C" w14:paraId="181E65F6" w14:textId="77777777" w:rsidTr="0070573A">
        <w:trPr>
          <w:jc w:val="center"/>
        </w:trPr>
        <w:tc>
          <w:tcPr>
            <w:tcW w:w="1169" w:type="dxa"/>
            <w:vAlign w:val="center"/>
          </w:tcPr>
          <w:p w14:paraId="25286060" w14:textId="524AEC84" w:rsidR="001F4D7C" w:rsidRPr="00592DD4" w:rsidRDefault="00592DD4" w:rsidP="001F4D7C">
            <w:pPr>
              <w:spacing w:after="0" w:line="240" w:lineRule="auto"/>
              <w:rPr>
                <w:rFonts w:cs="Times New Roman"/>
              </w:rPr>
            </w:pPr>
            <w:r w:rsidRPr="00592DD4">
              <w:rPr>
                <w:rFonts w:cs="Times New Roman"/>
              </w:rPr>
              <w:t>Tab. č.</w:t>
            </w:r>
            <w:r w:rsidR="001F4D7C" w:rsidRPr="00592DD4">
              <w:rPr>
                <w:rFonts w:cs="Times New Roman"/>
              </w:rPr>
              <w:t xml:space="preserve"> 28</w:t>
            </w:r>
          </w:p>
        </w:tc>
        <w:tc>
          <w:tcPr>
            <w:tcW w:w="8080" w:type="dxa"/>
            <w:vAlign w:val="center"/>
          </w:tcPr>
          <w:p w14:paraId="19060C9B" w14:textId="77777777" w:rsidR="001F4D7C" w:rsidRPr="00592DD4" w:rsidRDefault="001F4D7C" w:rsidP="001F4D7C">
            <w:pPr>
              <w:spacing w:after="0" w:line="240" w:lineRule="auto"/>
              <w:rPr>
                <w:rFonts w:cs="Times New Roman"/>
              </w:rPr>
            </w:pPr>
            <w:r w:rsidRPr="00592DD4">
              <w:rPr>
                <w:rFonts w:cs="Times New Roman"/>
              </w:rPr>
              <w:t>Príjmy štátnych príspevkových organizácií podľa kategórií a kapitol ŠR za rok 2020</w:t>
            </w:r>
          </w:p>
        </w:tc>
      </w:tr>
      <w:tr w:rsidR="001F4D7C" w:rsidRPr="001F4D7C" w14:paraId="0D2A80C5" w14:textId="77777777" w:rsidTr="0070573A">
        <w:trPr>
          <w:jc w:val="center"/>
        </w:trPr>
        <w:tc>
          <w:tcPr>
            <w:tcW w:w="1169" w:type="dxa"/>
            <w:vAlign w:val="center"/>
          </w:tcPr>
          <w:p w14:paraId="613A4510" w14:textId="50795538" w:rsidR="001F4D7C" w:rsidRPr="00592DD4" w:rsidRDefault="00592DD4" w:rsidP="001F4D7C">
            <w:pPr>
              <w:spacing w:after="0" w:line="240" w:lineRule="auto"/>
              <w:rPr>
                <w:rFonts w:cs="Times New Roman"/>
              </w:rPr>
            </w:pPr>
            <w:r w:rsidRPr="00592DD4">
              <w:rPr>
                <w:rFonts w:cs="Times New Roman"/>
              </w:rPr>
              <w:t>Tab. č.</w:t>
            </w:r>
            <w:r w:rsidR="001F4D7C" w:rsidRPr="00592DD4">
              <w:rPr>
                <w:rFonts w:cs="Times New Roman"/>
              </w:rPr>
              <w:t xml:space="preserve"> 29</w:t>
            </w:r>
          </w:p>
        </w:tc>
        <w:tc>
          <w:tcPr>
            <w:tcW w:w="8080" w:type="dxa"/>
            <w:vAlign w:val="center"/>
          </w:tcPr>
          <w:p w14:paraId="13786795" w14:textId="77777777" w:rsidR="001F4D7C" w:rsidRPr="00592DD4" w:rsidRDefault="001F4D7C" w:rsidP="001F4D7C">
            <w:pPr>
              <w:spacing w:after="0" w:line="240" w:lineRule="auto"/>
              <w:rPr>
                <w:rFonts w:cs="Times New Roman"/>
              </w:rPr>
            </w:pPr>
            <w:r w:rsidRPr="00592DD4">
              <w:rPr>
                <w:rFonts w:cs="Times New Roman"/>
              </w:rPr>
              <w:t>Výdavky štátnych príspevkových organizácií podľa kategórií a kapitol ŠR za rok 2020</w:t>
            </w:r>
          </w:p>
        </w:tc>
      </w:tr>
      <w:tr w:rsidR="001F4D7C" w:rsidRPr="001F4D7C" w14:paraId="6AA2C6F3" w14:textId="77777777" w:rsidTr="0070573A">
        <w:trPr>
          <w:jc w:val="center"/>
        </w:trPr>
        <w:tc>
          <w:tcPr>
            <w:tcW w:w="1169" w:type="dxa"/>
            <w:vAlign w:val="center"/>
          </w:tcPr>
          <w:p w14:paraId="329ABD8A" w14:textId="454C5388" w:rsidR="001F4D7C" w:rsidRPr="00592DD4" w:rsidRDefault="00592DD4" w:rsidP="001F4D7C">
            <w:pPr>
              <w:spacing w:after="0" w:line="240" w:lineRule="auto"/>
              <w:rPr>
                <w:rFonts w:cs="Times New Roman"/>
              </w:rPr>
            </w:pPr>
            <w:r w:rsidRPr="00592DD4">
              <w:rPr>
                <w:rFonts w:cs="Times New Roman"/>
              </w:rPr>
              <w:t>Tab. č.</w:t>
            </w:r>
            <w:r w:rsidR="001F4D7C" w:rsidRPr="00592DD4">
              <w:rPr>
                <w:rFonts w:cs="Times New Roman"/>
              </w:rPr>
              <w:t xml:space="preserve"> 30</w:t>
            </w:r>
          </w:p>
        </w:tc>
        <w:tc>
          <w:tcPr>
            <w:tcW w:w="8080" w:type="dxa"/>
            <w:vAlign w:val="center"/>
          </w:tcPr>
          <w:p w14:paraId="756624E8" w14:textId="77777777" w:rsidR="001F4D7C" w:rsidRPr="00592DD4" w:rsidRDefault="001F4D7C" w:rsidP="001F4D7C">
            <w:pPr>
              <w:spacing w:after="0" w:line="240" w:lineRule="auto"/>
              <w:rPr>
                <w:rFonts w:cs="Times New Roman"/>
              </w:rPr>
            </w:pPr>
            <w:r w:rsidRPr="00592DD4">
              <w:rPr>
                <w:rFonts w:cs="Times New Roman"/>
              </w:rPr>
              <w:t>Výdavky štátnych príspevkových organizácií podľa funkčnej klasifikácie za rok 2020</w:t>
            </w:r>
          </w:p>
        </w:tc>
      </w:tr>
      <w:tr w:rsidR="001F4D7C" w:rsidRPr="001F4D7C" w14:paraId="4D357078" w14:textId="77777777" w:rsidTr="0070573A">
        <w:trPr>
          <w:jc w:val="center"/>
        </w:trPr>
        <w:tc>
          <w:tcPr>
            <w:tcW w:w="1169" w:type="dxa"/>
            <w:vAlign w:val="center"/>
          </w:tcPr>
          <w:p w14:paraId="01B73D0F" w14:textId="168EA07F" w:rsidR="001F4D7C" w:rsidRPr="00592DD4" w:rsidRDefault="00592DD4" w:rsidP="001F4D7C">
            <w:pPr>
              <w:spacing w:after="0" w:line="240" w:lineRule="auto"/>
              <w:rPr>
                <w:rFonts w:cs="Times New Roman"/>
              </w:rPr>
            </w:pPr>
            <w:r w:rsidRPr="00592DD4">
              <w:rPr>
                <w:rFonts w:cs="Times New Roman"/>
              </w:rPr>
              <w:t>Tab. č.</w:t>
            </w:r>
            <w:r w:rsidR="001F4D7C" w:rsidRPr="00592DD4">
              <w:rPr>
                <w:rFonts w:cs="Times New Roman"/>
              </w:rPr>
              <w:t xml:space="preserve"> 31</w:t>
            </w:r>
          </w:p>
        </w:tc>
        <w:tc>
          <w:tcPr>
            <w:tcW w:w="8080" w:type="dxa"/>
            <w:vAlign w:val="center"/>
          </w:tcPr>
          <w:p w14:paraId="6DAE27B0" w14:textId="77777777" w:rsidR="001F4D7C" w:rsidRPr="00592DD4" w:rsidRDefault="001F4D7C" w:rsidP="001F4D7C">
            <w:pPr>
              <w:spacing w:after="0" w:line="240" w:lineRule="auto"/>
              <w:rPr>
                <w:rFonts w:cs="Times New Roman"/>
              </w:rPr>
            </w:pPr>
            <w:r w:rsidRPr="00592DD4">
              <w:rPr>
                <w:rFonts w:cs="Times New Roman"/>
              </w:rPr>
              <w:t>Finančné operácie štátnych príspevkových organizácií za rok 2020</w:t>
            </w:r>
          </w:p>
        </w:tc>
      </w:tr>
    </w:tbl>
    <w:p w14:paraId="61FF2C44" w14:textId="77777777" w:rsidR="005F5B88" w:rsidRPr="005F5B88" w:rsidRDefault="005F5B88" w:rsidP="005F5B88"/>
    <w:p w14:paraId="155213CF" w14:textId="77777777" w:rsidR="005F5B88" w:rsidRDefault="005F5B88" w:rsidP="005F5B88"/>
    <w:p w14:paraId="08CE9D48" w14:textId="77777777" w:rsidR="00881BDB" w:rsidRDefault="00881BDB" w:rsidP="005F5B88"/>
    <w:p w14:paraId="797485A8" w14:textId="77777777" w:rsidR="00881BDB" w:rsidRDefault="00881BDB" w:rsidP="005F5B88"/>
    <w:p w14:paraId="06386835" w14:textId="77777777" w:rsidR="00881BDB" w:rsidRDefault="00881BDB" w:rsidP="005F5B88"/>
    <w:p w14:paraId="3D027B91" w14:textId="77777777" w:rsidR="00881BDB" w:rsidRDefault="00881BDB" w:rsidP="005F5B88"/>
    <w:p w14:paraId="234B3A00" w14:textId="77777777" w:rsidR="00881BDB" w:rsidRDefault="00881BDB" w:rsidP="005F5B88"/>
    <w:p w14:paraId="17FCE10D" w14:textId="77777777" w:rsidR="00881BDB" w:rsidRDefault="00881BDB" w:rsidP="005F5B88"/>
    <w:p w14:paraId="5B527B66" w14:textId="77777777" w:rsidR="00881BDB" w:rsidRDefault="00881BDB" w:rsidP="005F5B88"/>
    <w:sectPr w:rsidR="00881BDB" w:rsidSect="001E345C">
      <w:footerReference w:type="even" r:id="rId13"/>
      <w:footerReference w:type="default" r:id="rId14"/>
      <w:pgSz w:w="11906" w:h="16838"/>
      <w:pgMar w:top="1418" w:right="849" w:bottom="1418" w:left="1276"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BF74B" w14:textId="77777777" w:rsidR="00CE31C1" w:rsidRDefault="00CE31C1" w:rsidP="00881BDB">
      <w:pPr>
        <w:spacing w:after="0" w:line="240" w:lineRule="auto"/>
      </w:pPr>
      <w:r>
        <w:separator/>
      </w:r>
    </w:p>
  </w:endnote>
  <w:endnote w:type="continuationSeparator" w:id="0">
    <w:p w14:paraId="75FE65A6" w14:textId="77777777" w:rsidR="00CE31C1" w:rsidRDefault="00CE31C1" w:rsidP="00881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Dutch801 SWC">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116811"/>
      <w:docPartObj>
        <w:docPartGallery w:val="Page Numbers (Bottom of Page)"/>
        <w:docPartUnique/>
      </w:docPartObj>
    </w:sdtPr>
    <w:sdtEndPr>
      <w:rPr>
        <w:sz w:val="20"/>
        <w:szCs w:val="20"/>
      </w:rPr>
    </w:sdtEndPr>
    <w:sdtContent>
      <w:p w14:paraId="40CDF45F" w14:textId="6B9660A8" w:rsidR="00CE31C1" w:rsidRPr="00CA3D7D" w:rsidRDefault="00CE31C1">
        <w:pPr>
          <w:pStyle w:val="Pta"/>
          <w:jc w:val="center"/>
          <w:rPr>
            <w:sz w:val="20"/>
            <w:szCs w:val="20"/>
          </w:rPr>
        </w:pPr>
        <w:r w:rsidRPr="00CA3D7D">
          <w:rPr>
            <w:sz w:val="20"/>
            <w:szCs w:val="20"/>
          </w:rPr>
          <w:fldChar w:fldCharType="begin"/>
        </w:r>
        <w:r w:rsidRPr="00CA3D7D">
          <w:rPr>
            <w:sz w:val="20"/>
            <w:szCs w:val="20"/>
          </w:rPr>
          <w:instrText>PAGE   \* MERGEFORMAT</w:instrText>
        </w:r>
        <w:r w:rsidRPr="00CA3D7D">
          <w:rPr>
            <w:sz w:val="20"/>
            <w:szCs w:val="20"/>
          </w:rPr>
          <w:fldChar w:fldCharType="separate"/>
        </w:r>
        <w:r w:rsidR="00EF18BD">
          <w:rPr>
            <w:noProof/>
            <w:sz w:val="20"/>
            <w:szCs w:val="20"/>
          </w:rPr>
          <w:t>2</w:t>
        </w:r>
        <w:r w:rsidRPr="00CA3D7D">
          <w:rPr>
            <w:sz w:val="20"/>
            <w:szCs w:val="20"/>
          </w:rPr>
          <w:fldChar w:fldCharType="end"/>
        </w:r>
      </w:p>
    </w:sdtContent>
  </w:sdt>
  <w:p w14:paraId="598E35E0" w14:textId="77777777" w:rsidR="00CE31C1" w:rsidRDefault="00CE31C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208128"/>
      <w:docPartObj>
        <w:docPartGallery w:val="Page Numbers (Bottom of Page)"/>
        <w:docPartUnique/>
      </w:docPartObj>
    </w:sdtPr>
    <w:sdtEndPr>
      <w:rPr>
        <w:sz w:val="20"/>
        <w:szCs w:val="20"/>
      </w:rPr>
    </w:sdtEndPr>
    <w:sdtContent>
      <w:p w14:paraId="23270C04" w14:textId="2DA7BCB8" w:rsidR="00CE31C1" w:rsidRPr="00CA3D7D" w:rsidRDefault="00CE31C1">
        <w:pPr>
          <w:pStyle w:val="Pta"/>
          <w:jc w:val="center"/>
          <w:rPr>
            <w:sz w:val="20"/>
            <w:szCs w:val="20"/>
          </w:rPr>
        </w:pPr>
        <w:r w:rsidRPr="00CA3D7D">
          <w:rPr>
            <w:sz w:val="20"/>
            <w:szCs w:val="20"/>
          </w:rPr>
          <w:fldChar w:fldCharType="begin"/>
        </w:r>
        <w:r w:rsidRPr="00CA3D7D">
          <w:rPr>
            <w:sz w:val="20"/>
            <w:szCs w:val="20"/>
          </w:rPr>
          <w:instrText>PAGE   \* MERGEFORMAT</w:instrText>
        </w:r>
        <w:r w:rsidRPr="00CA3D7D">
          <w:rPr>
            <w:sz w:val="20"/>
            <w:szCs w:val="20"/>
          </w:rPr>
          <w:fldChar w:fldCharType="separate"/>
        </w:r>
        <w:r w:rsidR="00EF18BD">
          <w:rPr>
            <w:noProof/>
            <w:sz w:val="20"/>
            <w:szCs w:val="20"/>
          </w:rPr>
          <w:t>1</w:t>
        </w:r>
        <w:r w:rsidRPr="00CA3D7D">
          <w:rPr>
            <w:sz w:val="20"/>
            <w:szCs w:val="20"/>
          </w:rPr>
          <w:fldChar w:fldCharType="end"/>
        </w:r>
      </w:p>
    </w:sdtContent>
  </w:sdt>
  <w:p w14:paraId="2A479206" w14:textId="77777777" w:rsidR="00CE31C1" w:rsidRDefault="00CE31C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C2341" w14:textId="77777777" w:rsidR="00CE31C1" w:rsidRDefault="00CE31C1" w:rsidP="00881BDB">
      <w:pPr>
        <w:spacing w:after="0" w:line="240" w:lineRule="auto"/>
      </w:pPr>
      <w:r>
        <w:separator/>
      </w:r>
    </w:p>
  </w:footnote>
  <w:footnote w:type="continuationSeparator" w:id="0">
    <w:p w14:paraId="7D9CFAB2" w14:textId="77777777" w:rsidR="00CE31C1" w:rsidRDefault="00CE31C1" w:rsidP="00881BDB">
      <w:pPr>
        <w:spacing w:after="0" w:line="240" w:lineRule="auto"/>
      </w:pPr>
      <w:r>
        <w:continuationSeparator/>
      </w:r>
    </w:p>
  </w:footnote>
  <w:footnote w:id="1">
    <w:p w14:paraId="24446905" w14:textId="1D958D29" w:rsidR="007A7F4C" w:rsidRDefault="007A7F4C">
      <w:pPr>
        <w:pStyle w:val="Textpoznmkypodiarou"/>
      </w:pPr>
      <w:r>
        <w:rPr>
          <w:rStyle w:val="Odkaznapoznmkupodiarou"/>
        </w:rPr>
        <w:footnoteRef/>
      </w:r>
      <w:r>
        <w:t xml:space="preserve"> </w:t>
      </w:r>
      <w:hyperlink r:id="rId1" w:history="1">
        <w:r w:rsidRPr="00FD1F2A">
          <w:rPr>
            <w:rStyle w:val="Hypertextovprepojenie"/>
          </w:rPr>
          <w:t>https://ec.europa.eu/eurostat/news/euro-indicators</w:t>
        </w:r>
      </w:hyperlink>
      <w:r>
        <w:t xml:space="preserve"> </w:t>
      </w:r>
    </w:p>
  </w:footnote>
  <w:footnote w:id="2">
    <w:p w14:paraId="01654A78" w14:textId="77777777" w:rsidR="00CE31C1" w:rsidRPr="00FA3029" w:rsidRDefault="00CE31C1" w:rsidP="00790612">
      <w:pPr>
        <w:pStyle w:val="Textpoznmkypodiarou"/>
        <w:rPr>
          <w:rFonts w:cs="Times New Roman"/>
          <w:sz w:val="16"/>
          <w:szCs w:val="16"/>
        </w:rPr>
      </w:pPr>
      <w:r w:rsidRPr="00FA3029">
        <w:rPr>
          <w:rStyle w:val="Odkaznapoznmkupodiarou"/>
          <w:rFonts w:cs="Times New Roman"/>
          <w:sz w:val="16"/>
          <w:szCs w:val="16"/>
        </w:rPr>
        <w:footnoteRef/>
      </w:r>
      <w:r w:rsidRPr="00FA3029">
        <w:rPr>
          <w:rFonts w:cs="Times New Roman"/>
          <w:sz w:val="16"/>
          <w:szCs w:val="16"/>
        </w:rPr>
        <w:t xml:space="preserve"> Harmonizovaný index spotrebiteľských cien. </w:t>
      </w:r>
    </w:p>
  </w:footnote>
  <w:footnote w:id="3">
    <w:p w14:paraId="2BCDC9DA" w14:textId="3B9FBA21" w:rsidR="00CE31C1" w:rsidRPr="00842F2E" w:rsidRDefault="00CE31C1" w:rsidP="00CB3C45">
      <w:pPr>
        <w:spacing w:after="0" w:line="240" w:lineRule="auto"/>
        <w:rPr>
          <w:rFonts w:cs="Times New Roman"/>
          <w:sz w:val="16"/>
          <w:szCs w:val="16"/>
        </w:rPr>
      </w:pPr>
      <w:r w:rsidRPr="00842F2E">
        <w:rPr>
          <w:rStyle w:val="Odkaznapoznmkupodiarou"/>
          <w:sz w:val="16"/>
          <w:szCs w:val="16"/>
        </w:rPr>
        <w:footnoteRef/>
      </w:r>
      <w:r>
        <w:rPr>
          <w:rFonts w:cs="Times New Roman"/>
          <w:color w:val="000000"/>
          <w:sz w:val="16"/>
          <w:szCs w:val="16"/>
        </w:rPr>
        <w:t xml:space="preserve"> </w:t>
      </w:r>
      <w:proofErr w:type="spellStart"/>
      <w:r w:rsidRPr="00842F2E">
        <w:rPr>
          <w:rFonts w:cs="Times New Roman"/>
          <w:color w:val="000000"/>
          <w:sz w:val="16"/>
          <w:szCs w:val="16"/>
        </w:rPr>
        <w:t>Universal</w:t>
      </w:r>
      <w:proofErr w:type="spellEnd"/>
      <w:r w:rsidRPr="00842F2E">
        <w:rPr>
          <w:rFonts w:cs="Times New Roman"/>
          <w:color w:val="000000"/>
          <w:sz w:val="16"/>
          <w:szCs w:val="16"/>
        </w:rPr>
        <w:t xml:space="preserve"> Mobile </w:t>
      </w:r>
      <w:proofErr w:type="spellStart"/>
      <w:r w:rsidRPr="00842F2E">
        <w:rPr>
          <w:rFonts w:cs="Times New Roman"/>
          <w:color w:val="000000"/>
          <w:sz w:val="16"/>
          <w:szCs w:val="16"/>
        </w:rPr>
        <w:t>Telecommunications</w:t>
      </w:r>
      <w:proofErr w:type="spellEnd"/>
      <w:r w:rsidRPr="00842F2E">
        <w:rPr>
          <w:rFonts w:cs="Times New Roman"/>
          <w:color w:val="000000"/>
          <w:sz w:val="16"/>
          <w:szCs w:val="16"/>
        </w:rPr>
        <w:t xml:space="preserve"> </w:t>
      </w:r>
      <w:proofErr w:type="spellStart"/>
      <w:r w:rsidRPr="00842F2E">
        <w:rPr>
          <w:rFonts w:cs="Times New Roman"/>
          <w:color w:val="000000"/>
          <w:sz w:val="16"/>
          <w:szCs w:val="16"/>
        </w:rPr>
        <w:t>System</w:t>
      </w:r>
      <w:proofErr w:type="spellEnd"/>
      <w:r w:rsidRPr="00842F2E">
        <w:rPr>
          <w:rFonts w:cs="Times New Roman"/>
          <w:color w:val="000000"/>
          <w:sz w:val="16"/>
          <w:szCs w:val="16"/>
        </w:rPr>
        <w:t xml:space="preserve"> - UMTS licencie sú vopred určené na presne vymedzenú dobu, príjem z poskytnutia („predaja“) alebo predĺženia platnosti licencie bude preto v súlade s pravidlami ESA 2010 zaznamenávaný ako dôchodok z majetku </w:t>
      </w:r>
      <w:r w:rsidRPr="00842F2E">
        <w:rPr>
          <w:rFonts w:cs="Times New Roman"/>
          <w:sz w:val="16"/>
          <w:szCs w:val="16"/>
        </w:rPr>
        <w:t>a príjem bude rovnomerne rozložený do celého obdobia platnosti licencie. Verejná správa bude vykazovať ako príjem alikvotnú časť z celkovej hodnoty predanej resp. predĺženej licencie. Ročný príjem sa vyčísli ako podiel celkovej hodnoty predanej alebo poskytnutej licencie a počtu rokov platnosti licencie.</w:t>
      </w:r>
    </w:p>
    <w:p w14:paraId="10C56EB0" w14:textId="77777777" w:rsidR="00CE31C1" w:rsidRDefault="00CE31C1" w:rsidP="00CB3C45">
      <w:pPr>
        <w:pStyle w:val="Textpoznmkypodiarou"/>
      </w:pPr>
    </w:p>
  </w:footnote>
  <w:footnote w:id="4">
    <w:p w14:paraId="01341C26" w14:textId="77777777" w:rsidR="00CE31C1" w:rsidRDefault="00CE31C1" w:rsidP="00CB3C45">
      <w:pPr>
        <w:pStyle w:val="Textpoznmkypodiarou"/>
      </w:pPr>
      <w:r>
        <w:rPr>
          <w:rStyle w:val="Odkaznapoznmkupodiarou"/>
        </w:rPr>
        <w:footnoteRef/>
      </w:r>
      <w:r>
        <w:t xml:space="preserve"> </w:t>
      </w:r>
      <w:r w:rsidRPr="008E78B3">
        <w:rPr>
          <w:sz w:val="16"/>
          <w:szCs w:val="16"/>
        </w:rPr>
        <w:t>Zákon č. 217/2020 Z. z. zo 14. júla 2020, ktorým sa mení a dopĺňa zákon č. 468/2019 Z. z. o štátnom rozpočte na rok 2020</w:t>
      </w:r>
    </w:p>
  </w:footnote>
  <w:footnote w:id="5">
    <w:p w14:paraId="472898D9" w14:textId="77777777" w:rsidR="00CE31C1" w:rsidRPr="00F8692C" w:rsidRDefault="00CE31C1" w:rsidP="00CB3C45">
      <w:pPr>
        <w:pStyle w:val="Default0"/>
        <w:rPr>
          <w:rStyle w:val="Siln"/>
          <w:rFonts w:ascii="Times New Roman" w:hAnsi="Times New Roman" w:cs="Times New Roman"/>
          <w:b w:val="0"/>
          <w:color w:val="333333"/>
          <w:sz w:val="16"/>
          <w:szCs w:val="16"/>
        </w:rPr>
      </w:pPr>
      <w:r w:rsidRPr="00F8692C">
        <w:rPr>
          <w:rStyle w:val="Odkaznapoznmkupodiarou"/>
          <w:rFonts w:ascii="Times New Roman" w:hAnsi="Times New Roman" w:cs="Times New Roman"/>
          <w:b/>
          <w:sz w:val="16"/>
          <w:szCs w:val="16"/>
        </w:rPr>
        <w:footnoteRef/>
      </w:r>
      <w:r w:rsidRPr="00F8692C">
        <w:rPr>
          <w:rFonts w:ascii="Times New Roman" w:hAnsi="Times New Roman" w:cs="Times New Roman"/>
          <w:b/>
          <w:sz w:val="16"/>
          <w:szCs w:val="16"/>
        </w:rPr>
        <w:t xml:space="preserve"> </w:t>
      </w:r>
      <w:r w:rsidRPr="00F8692C">
        <w:rPr>
          <w:rStyle w:val="Siln"/>
          <w:rFonts w:ascii="Times New Roman" w:hAnsi="Times New Roman" w:cs="Times New Roman"/>
          <w:b w:val="0"/>
          <w:color w:val="333333"/>
          <w:sz w:val="16"/>
          <w:szCs w:val="16"/>
        </w:rPr>
        <w:t>Nariadenie Európskeho parlamentu a rady (EÚ) č. 549/2013 z 21. mája 2013 o európskom systéme národných a regionálnych účtov v Európskej únii, Kapitola 14 – Nepriamo merané služby finančného sprostredkovania (FISIM).</w:t>
      </w:r>
    </w:p>
  </w:footnote>
  <w:footnote w:id="6">
    <w:p w14:paraId="7B7C9BC4" w14:textId="77777777" w:rsidR="00CE31C1" w:rsidRPr="00701B52" w:rsidRDefault="00CE31C1" w:rsidP="00CB3C45">
      <w:pPr>
        <w:pStyle w:val="Textpoznmkypodiarou"/>
        <w:rPr>
          <w:b/>
          <w:sz w:val="16"/>
          <w:szCs w:val="16"/>
        </w:rPr>
      </w:pPr>
      <w:r w:rsidRPr="00701B52">
        <w:rPr>
          <w:rStyle w:val="Odkaznapoznmkupodiarou"/>
          <w:sz w:val="16"/>
          <w:szCs w:val="16"/>
        </w:rPr>
        <w:footnoteRef/>
      </w:r>
      <w:r w:rsidRPr="00701B52">
        <w:rPr>
          <w:sz w:val="16"/>
          <w:szCs w:val="16"/>
        </w:rPr>
        <w:t xml:space="preserve"> </w:t>
      </w:r>
      <w:r w:rsidRPr="00701B52">
        <w:rPr>
          <w:rStyle w:val="Siln"/>
          <w:rFonts w:cs="Helvetica"/>
          <w:b w:val="0"/>
          <w:color w:val="333333"/>
          <w:sz w:val="16"/>
          <w:szCs w:val="16"/>
        </w:rPr>
        <w:t>Nariadenie Rady (ES) č. 479/2009 z 25. mája 2009 o uplatňovaní Protokolu o postupe pri nadmernom schodku.</w:t>
      </w:r>
    </w:p>
  </w:footnote>
  <w:footnote w:id="7">
    <w:p w14:paraId="4501180E" w14:textId="77777777" w:rsidR="00CE31C1" w:rsidRPr="00701B52" w:rsidRDefault="00CE31C1" w:rsidP="00CB3C45">
      <w:pPr>
        <w:pStyle w:val="Textpoznmkypodiarou"/>
        <w:rPr>
          <w:sz w:val="16"/>
          <w:szCs w:val="16"/>
        </w:rPr>
      </w:pPr>
      <w:r w:rsidRPr="00701B52">
        <w:rPr>
          <w:rStyle w:val="Odkaznapoznmkupodiarou"/>
          <w:sz w:val="16"/>
          <w:szCs w:val="16"/>
        </w:rPr>
        <w:footnoteRef/>
      </w:r>
      <w:r w:rsidRPr="00701B52">
        <w:rPr>
          <w:sz w:val="16"/>
          <w:szCs w:val="16"/>
        </w:rPr>
        <w:t xml:space="preserve"> Uznesením č. 500/2019; </w:t>
      </w:r>
      <w:hyperlink r:id="rId2" w:history="1">
        <w:r w:rsidRPr="00701B52">
          <w:rPr>
            <w:rStyle w:val="Hypertextovprepojenie"/>
            <w:sz w:val="16"/>
            <w:szCs w:val="16"/>
          </w:rPr>
          <w:t>https://rokovania.gov.sk/RVL/Material/24253/</w:t>
        </w:r>
      </w:hyperlink>
      <w:r w:rsidRPr="00701B52">
        <w:rPr>
          <w:sz w:val="16"/>
          <w:szCs w:val="16"/>
        </w:rPr>
        <w:t>1</w:t>
      </w:r>
    </w:p>
  </w:footnote>
  <w:footnote w:id="8">
    <w:p w14:paraId="5604AB4C" w14:textId="77777777" w:rsidR="00CE31C1" w:rsidRPr="00701B52" w:rsidRDefault="00CE31C1" w:rsidP="00CB3C45">
      <w:pPr>
        <w:pStyle w:val="Textpoznmkypodiarou"/>
        <w:jc w:val="left"/>
        <w:rPr>
          <w:sz w:val="16"/>
          <w:szCs w:val="16"/>
        </w:rPr>
      </w:pPr>
      <w:r w:rsidRPr="00701B52">
        <w:rPr>
          <w:rStyle w:val="Odkaznapoznmkupodiarou"/>
          <w:sz w:val="16"/>
          <w:szCs w:val="16"/>
        </w:rPr>
        <w:footnoteRef/>
      </w:r>
      <w:r w:rsidRPr="00701B52">
        <w:rPr>
          <w:sz w:val="16"/>
          <w:szCs w:val="16"/>
        </w:rPr>
        <w:t xml:space="preserve"> Uznesením č. 2270/2019; https://www.nrsr.sk/web/Default.aspx?sid=zakony/cpt&amp;ZakZborID=13&amp;CisObdobia=7&amp;ID=1600</w:t>
      </w:r>
    </w:p>
  </w:footnote>
  <w:footnote w:id="9">
    <w:p w14:paraId="0C2C7720" w14:textId="77777777" w:rsidR="00CE31C1" w:rsidRPr="00D8744D" w:rsidRDefault="00CE31C1" w:rsidP="00CB3C45">
      <w:pPr>
        <w:spacing w:after="0" w:line="240" w:lineRule="auto"/>
        <w:rPr>
          <w:sz w:val="18"/>
          <w:szCs w:val="18"/>
        </w:rPr>
      </w:pPr>
      <w:r w:rsidRPr="00D8744D">
        <w:rPr>
          <w:rStyle w:val="Odkaznapoznmkupodiarou"/>
          <w:sz w:val="18"/>
          <w:szCs w:val="18"/>
        </w:rPr>
        <w:footnoteRef/>
      </w:r>
      <w:r w:rsidRPr="00D8744D">
        <w:rPr>
          <w:sz w:val="18"/>
          <w:szCs w:val="18"/>
        </w:rPr>
        <w:t xml:space="preserve"> </w:t>
      </w:r>
      <w:r w:rsidRPr="009F1299">
        <w:rPr>
          <w:sz w:val="16"/>
          <w:szCs w:val="16"/>
        </w:rPr>
        <w:t>Investičné dôchodky patriace držiteľom poistiek zodpovedajú celkovým prvotným dôchodkom z investícií poistno-technických rezerv. Ide o rezervy, v prípade ktorých poisťovacia korporácia uznáva príslušné záväzky voči držiteľom poistiek. Výnosy z investovania vlastných zdrojov poisťovní sa nepokladajú za záväzky voči držiteľom poistiek a preto sú z celkovej hodnoty výnosov vylučované.</w:t>
      </w:r>
    </w:p>
    <w:p w14:paraId="20E2CB69" w14:textId="77777777" w:rsidR="00CE31C1" w:rsidRDefault="00CE31C1" w:rsidP="00CB3C45">
      <w:pPr>
        <w:pStyle w:val="Textpoznmkypodiarou"/>
      </w:pPr>
    </w:p>
  </w:footnote>
  <w:footnote w:id="10">
    <w:p w14:paraId="37A24B3E" w14:textId="77777777" w:rsidR="00CE31C1" w:rsidRPr="0092241A" w:rsidRDefault="00CE31C1" w:rsidP="00CB3C45">
      <w:pPr>
        <w:pStyle w:val="Textpoznmkypodiarou"/>
        <w:rPr>
          <w:sz w:val="16"/>
          <w:szCs w:val="16"/>
          <w:highlight w:val="yellow"/>
        </w:rPr>
      </w:pPr>
      <w:r w:rsidRPr="00FD14EF">
        <w:rPr>
          <w:rStyle w:val="Odkaznapoznmkupodiarou"/>
          <w:rFonts w:eastAsiaTheme="majorEastAsia"/>
          <w:sz w:val="18"/>
          <w:szCs w:val="18"/>
        </w:rPr>
        <w:footnoteRef/>
      </w:r>
      <w:r w:rsidRPr="00FD14EF">
        <w:rPr>
          <w:sz w:val="18"/>
          <w:szCs w:val="18"/>
        </w:rPr>
        <w:t xml:space="preserve"> </w:t>
      </w:r>
      <w:r w:rsidRPr="0092241A">
        <w:rPr>
          <w:sz w:val="16"/>
          <w:szCs w:val="16"/>
        </w:rPr>
        <w:t>Výnos DPFO z podnikania za rok 2020 je len odhad, pretože daňové priznania za rok 2020 sa podávajú v roku 2021 a skutočný výnos dane bude známy až na začiatku roka 2022.</w:t>
      </w:r>
    </w:p>
  </w:footnote>
  <w:footnote w:id="11">
    <w:p w14:paraId="682D6A07" w14:textId="77777777" w:rsidR="00CE31C1" w:rsidRPr="0092241A" w:rsidRDefault="00CE31C1" w:rsidP="00CB3C45">
      <w:pPr>
        <w:pStyle w:val="Textpoznmkypodiarou"/>
        <w:rPr>
          <w:color w:val="FF0000"/>
          <w:sz w:val="16"/>
          <w:szCs w:val="16"/>
          <w:highlight w:val="yellow"/>
        </w:rPr>
      </w:pPr>
      <w:r w:rsidRPr="0092241A">
        <w:rPr>
          <w:rStyle w:val="Odkaznapoznmkupodiarou"/>
          <w:rFonts w:eastAsiaTheme="majorEastAsia"/>
          <w:sz w:val="16"/>
          <w:szCs w:val="16"/>
        </w:rPr>
        <w:footnoteRef/>
      </w:r>
      <w:r w:rsidRPr="0092241A">
        <w:rPr>
          <w:sz w:val="16"/>
          <w:szCs w:val="16"/>
        </w:rPr>
        <w:t xml:space="preserve"> Výnos DPPO za rok 2020 je len odhad, pretože daňové priznania za rok 2020 sa podávajú v roku 2021 a skutočný výnos dane bude známy až na začiatku roka 2022.</w:t>
      </w:r>
    </w:p>
  </w:footnote>
  <w:footnote w:id="12">
    <w:p w14:paraId="31498CF3" w14:textId="2E4234A1" w:rsidR="00CE31C1" w:rsidRPr="006C54E8" w:rsidRDefault="00CE31C1" w:rsidP="00CB3C45">
      <w:pPr>
        <w:pStyle w:val="Textpoznmkypodiarou"/>
        <w:rPr>
          <w:color w:val="FF0000"/>
          <w:highlight w:val="yellow"/>
        </w:rPr>
      </w:pPr>
      <w:r w:rsidRPr="0092241A">
        <w:rPr>
          <w:rStyle w:val="Odkaznapoznmkupodiarou"/>
          <w:rFonts w:eastAsiaTheme="majorEastAsia"/>
          <w:sz w:val="16"/>
          <w:szCs w:val="16"/>
        </w:rPr>
        <w:footnoteRef/>
      </w:r>
      <w:r w:rsidRPr="0092241A">
        <w:rPr>
          <w:sz w:val="16"/>
          <w:szCs w:val="16"/>
        </w:rPr>
        <w:t xml:space="preserve"> Výnos DPH za rok 2020 je potrebné považovať za predbežný odhad. Skutočnosť bude známa v apríli 202</w:t>
      </w:r>
      <w:r w:rsidR="00981A90">
        <w:rPr>
          <w:sz w:val="16"/>
          <w:szCs w:val="16"/>
        </w:rPr>
        <w:t>1</w:t>
      </w:r>
      <w:r w:rsidRPr="0092241A">
        <w:rPr>
          <w:sz w:val="16"/>
          <w:szCs w:val="16"/>
        </w:rPr>
        <w:t>.</w:t>
      </w:r>
    </w:p>
  </w:footnote>
  <w:footnote w:id="13">
    <w:p w14:paraId="6DB10A29" w14:textId="77777777" w:rsidR="00CE31C1" w:rsidRPr="0092241A" w:rsidRDefault="00CE31C1" w:rsidP="00CB3C45">
      <w:pPr>
        <w:pStyle w:val="Textpoznmkypodiarou"/>
        <w:rPr>
          <w:color w:val="FF0000"/>
          <w:sz w:val="16"/>
          <w:szCs w:val="16"/>
        </w:rPr>
      </w:pPr>
      <w:r w:rsidRPr="0092241A">
        <w:rPr>
          <w:rStyle w:val="Odkaznapoznmkupodiarou"/>
          <w:rFonts w:eastAsiaTheme="majorEastAsia"/>
          <w:sz w:val="16"/>
          <w:szCs w:val="16"/>
        </w:rPr>
        <w:footnoteRef/>
      </w:r>
      <w:r w:rsidRPr="0092241A">
        <w:rPr>
          <w:sz w:val="16"/>
          <w:szCs w:val="16"/>
        </w:rPr>
        <w:t xml:space="preserve"> Výnos osobitného odvodu z regulovaných odvetví za rok 2020 je odhad, pretože daňové priznania za rok 2020 sa podávajú v roku 2021 a skutočný výnos dane bude známy až na začiatku roka 2022.</w:t>
      </w:r>
    </w:p>
  </w:footnote>
  <w:footnote w:id="14">
    <w:p w14:paraId="3BDFB677" w14:textId="77777777" w:rsidR="00CE31C1" w:rsidRPr="00995C6D" w:rsidRDefault="00CE31C1" w:rsidP="00CB3C45">
      <w:pPr>
        <w:pStyle w:val="Textpoznmkypodiarou"/>
        <w:rPr>
          <w:sz w:val="18"/>
          <w:szCs w:val="18"/>
        </w:rPr>
      </w:pPr>
      <w:r w:rsidRPr="0092241A">
        <w:rPr>
          <w:rStyle w:val="Odkaznapoznmkupodiarou"/>
          <w:sz w:val="16"/>
          <w:szCs w:val="16"/>
        </w:rPr>
        <w:footnoteRef/>
      </w:r>
      <w:r w:rsidRPr="0092241A">
        <w:rPr>
          <w:sz w:val="16"/>
          <w:szCs w:val="16"/>
        </w:rPr>
        <w:t xml:space="preserve"> Obdobne ako v rozpočte na príslušný rok, hospodárenie jednotlivých zložiek verejnej správy sa prezentuje nekonsolidované a príjmy a výdavky celej verejnej správy na konsolidovanej báze.</w:t>
      </w:r>
    </w:p>
  </w:footnote>
  <w:footnote w:id="15">
    <w:p w14:paraId="1067B88B" w14:textId="77777777" w:rsidR="00CE31C1" w:rsidRPr="004A5951" w:rsidRDefault="00CE31C1" w:rsidP="00CB3C45">
      <w:pPr>
        <w:pStyle w:val="Textpoznmkypodiarou"/>
        <w:rPr>
          <w:sz w:val="16"/>
          <w:szCs w:val="16"/>
        </w:rPr>
      </w:pPr>
      <w:r w:rsidRPr="004A5951">
        <w:rPr>
          <w:rStyle w:val="Odkaznapoznmkupodiarou"/>
          <w:sz w:val="16"/>
          <w:szCs w:val="16"/>
        </w:rPr>
        <w:footnoteRef/>
      </w:r>
      <w:r w:rsidRPr="004A5951">
        <w:rPr>
          <w:sz w:val="16"/>
          <w:szCs w:val="16"/>
        </w:rPr>
        <w:t xml:space="preserve"> Superdividendy sú dividendy, ktoré sú vysoké z pohľadu poslednej (nedávnej) výšky úrovne dividend a ziskov. Superdividendy rozdeľujú čisté bohatstvo podniku, keď znižujú vlastné zdroje podniku. Kým dividendy prináležia bežnému zisku, ktorý pochádza zo štandardných hlavných činností podniku, superdividendy prináležia iným (mimoriadnym) výnosom. Na určenie výšky </w:t>
      </w:r>
      <w:proofErr w:type="spellStart"/>
      <w:r w:rsidRPr="004A5951">
        <w:rPr>
          <w:sz w:val="16"/>
          <w:szCs w:val="16"/>
        </w:rPr>
        <w:t>superdividend</w:t>
      </w:r>
      <w:proofErr w:type="spellEnd"/>
      <w:r w:rsidRPr="004A5951">
        <w:rPr>
          <w:sz w:val="16"/>
          <w:szCs w:val="16"/>
        </w:rPr>
        <w:t xml:space="preserve"> sa používa tzv. </w:t>
      </w:r>
      <w:proofErr w:type="spellStart"/>
      <w:r w:rsidRPr="004A5951">
        <w:rPr>
          <w:sz w:val="16"/>
          <w:szCs w:val="16"/>
        </w:rPr>
        <w:t>superdividendový</w:t>
      </w:r>
      <w:proofErr w:type="spellEnd"/>
      <w:r w:rsidRPr="004A5951">
        <w:rPr>
          <w:sz w:val="16"/>
          <w:szCs w:val="16"/>
        </w:rPr>
        <w:t xml:space="preserve"> test.</w:t>
      </w:r>
    </w:p>
  </w:footnote>
  <w:footnote w:id="16">
    <w:p w14:paraId="46FB824F" w14:textId="77777777" w:rsidR="00CE31C1" w:rsidRPr="005A2425" w:rsidRDefault="00CE31C1" w:rsidP="0067071E">
      <w:pPr>
        <w:pStyle w:val="Textpoznmkypodiarou"/>
        <w:rPr>
          <w:sz w:val="16"/>
          <w:szCs w:val="16"/>
        </w:rPr>
      </w:pPr>
      <w:r w:rsidRPr="005A2425">
        <w:rPr>
          <w:rStyle w:val="Odkaznapoznmkupodiarou"/>
          <w:sz w:val="16"/>
          <w:szCs w:val="16"/>
        </w:rPr>
        <w:footnoteRef/>
      </w:r>
      <w:r w:rsidRPr="005A2425">
        <w:rPr>
          <w:sz w:val="16"/>
          <w:szCs w:val="16"/>
        </w:rPr>
        <w:t xml:space="preserve"> Systémová korekcia vzniká v dôsledku opakujúceho sa nedostatku zisteného v rámci viacerých projektov, je dôsledkom závažného nedostatku účinného fungovania systémov riadenia a kontroly, a to vrátane nestanovenia vhodných postupov.</w:t>
      </w:r>
    </w:p>
  </w:footnote>
  <w:footnote w:id="17">
    <w:p w14:paraId="39C2E119" w14:textId="77777777" w:rsidR="00CE31C1" w:rsidRDefault="00CE31C1" w:rsidP="0067071E">
      <w:pPr>
        <w:pStyle w:val="Textpoznmkypodiarou"/>
      </w:pPr>
      <w:r w:rsidRPr="005A2425">
        <w:rPr>
          <w:rStyle w:val="Odkaznapoznmkupodiarou"/>
          <w:sz w:val="16"/>
          <w:szCs w:val="16"/>
        </w:rPr>
        <w:footnoteRef/>
      </w:r>
      <w:r w:rsidRPr="005A2425">
        <w:rPr>
          <w:sz w:val="16"/>
          <w:szCs w:val="16"/>
        </w:rPr>
        <w:t xml:space="preserve"> Individuálna nezrovnalosť je zistený nedostatok (jednorazová chyba), ktorý sa viaže k jednej operácii, resp. k jednému projektu a je nezávislý od iných chýb alebo nedostatkov v systéme riadenia a kontroly.</w:t>
      </w:r>
    </w:p>
  </w:footnote>
  <w:footnote w:id="18">
    <w:p w14:paraId="35186D8C" w14:textId="77777777" w:rsidR="00CE31C1" w:rsidRDefault="00CE31C1" w:rsidP="0065403D">
      <w:pPr>
        <w:spacing w:after="0" w:line="240" w:lineRule="auto"/>
      </w:pPr>
      <w:r w:rsidRPr="006949F5">
        <w:rPr>
          <w:rStyle w:val="Odkaznapoznmkupodiarou"/>
          <w:sz w:val="16"/>
          <w:szCs w:val="16"/>
        </w:rPr>
        <w:footnoteRef/>
      </w:r>
      <w:r w:rsidRPr="006949F5">
        <w:rPr>
          <w:sz w:val="16"/>
          <w:szCs w:val="16"/>
        </w:rPr>
        <w:t xml:space="preserve"> </w:t>
      </w:r>
      <w:r w:rsidRPr="006949F5">
        <w:rPr>
          <w:rFonts w:cs="Times New Roman"/>
          <w:sz w:val="16"/>
          <w:szCs w:val="16"/>
        </w:rPr>
        <w:t>Uznesenie</w:t>
      </w:r>
      <w:r w:rsidRPr="00994F35">
        <w:rPr>
          <w:rFonts w:cs="Times New Roman"/>
          <w:sz w:val="16"/>
          <w:szCs w:val="16"/>
        </w:rPr>
        <w:t xml:space="preserve"> vlády SR č.629/2019 z 18. decembra 2019; </w:t>
      </w:r>
      <w:hyperlink r:id="rId3" w:history="1">
        <w:r w:rsidRPr="00994F35">
          <w:rPr>
            <w:rStyle w:val="Hypertextovprepojenie"/>
            <w:rFonts w:cs="Times New Roman"/>
            <w:sz w:val="16"/>
            <w:szCs w:val="16"/>
          </w:rPr>
          <w:t>https://rokovania.gov.sk/RVL/Material/24418/1</w:t>
        </w:r>
      </w:hyperlink>
    </w:p>
  </w:footnote>
  <w:footnote w:id="19">
    <w:p w14:paraId="2D1CD432" w14:textId="77777777" w:rsidR="00CE31C1" w:rsidRPr="00C74E82" w:rsidRDefault="00CE31C1" w:rsidP="00CB3C45">
      <w:pPr>
        <w:pStyle w:val="Textpoznmkypodiarou"/>
        <w:rPr>
          <w:sz w:val="16"/>
          <w:szCs w:val="16"/>
        </w:rPr>
      </w:pPr>
      <w:r w:rsidRPr="00E53B12">
        <w:rPr>
          <w:rStyle w:val="Odkaznapoznmkupodiarou"/>
          <w:sz w:val="16"/>
          <w:szCs w:val="16"/>
        </w:rPr>
        <w:footnoteRef/>
      </w:r>
      <w:r w:rsidRPr="00E53B12">
        <w:rPr>
          <w:sz w:val="16"/>
          <w:szCs w:val="16"/>
        </w:rPr>
        <w:t xml:space="preserve"> </w:t>
      </w:r>
      <w:r w:rsidRPr="00FD5169">
        <w:rPr>
          <w:sz w:val="16"/>
          <w:szCs w:val="16"/>
        </w:rPr>
        <w:t>Vláda SR schválila „Koncepciu oddlženia zdravotníckych zariadení,“ na svojom rokovaní 13. septembra 2017 uznesením č. 425/2017.</w:t>
      </w:r>
    </w:p>
  </w:footnote>
  <w:footnote w:id="20">
    <w:p w14:paraId="460554E3" w14:textId="6253CCB6" w:rsidR="00CE31C1" w:rsidRPr="00412EB1" w:rsidRDefault="00CE31C1" w:rsidP="00CB3C45">
      <w:pPr>
        <w:pStyle w:val="Textpoznmkypodiarou"/>
        <w:rPr>
          <w:sz w:val="16"/>
          <w:szCs w:val="16"/>
        </w:rPr>
      </w:pPr>
      <w:r w:rsidRPr="00852C6B">
        <w:rPr>
          <w:rStyle w:val="Odkaznapoznmkupodiarou"/>
          <w:sz w:val="16"/>
          <w:szCs w:val="16"/>
        </w:rPr>
        <w:footnoteRef/>
      </w:r>
      <w:r w:rsidRPr="00852C6B">
        <w:rPr>
          <w:sz w:val="16"/>
          <w:szCs w:val="16"/>
        </w:rPr>
        <w:t xml:space="preserve"> </w:t>
      </w:r>
      <w:r w:rsidRPr="00C74E82">
        <w:rPr>
          <w:rFonts w:cs="Times New Roman"/>
          <w:sz w:val="16"/>
          <w:szCs w:val="16"/>
        </w:rPr>
        <w:t xml:space="preserve">Starobný dôchodok vypláca Sociálna poisťovňa vopred v pravidelných mesačných termínoch v zmysle zákona č. 461/2003 Z. z. </w:t>
      </w:r>
      <w:r>
        <w:rPr>
          <w:rFonts w:cs="Times New Roman"/>
          <w:sz w:val="16"/>
          <w:szCs w:val="16"/>
        </w:rPr>
        <w:t xml:space="preserve">o Sociálnom poistení </w:t>
      </w:r>
      <w:r w:rsidRPr="00C74E82">
        <w:rPr>
          <w:rFonts w:cs="Times New Roman"/>
          <w:sz w:val="16"/>
          <w:szCs w:val="16"/>
        </w:rPr>
        <w:t>v znení neskorších predpisov.</w:t>
      </w:r>
      <w:r>
        <w:rPr>
          <w:rFonts w:cs="Times New Roman"/>
          <w:sz w:val="16"/>
          <w:szCs w:val="16"/>
        </w:rPr>
        <w:t xml:space="preserve"> V tomto prípade vplyv časovo posunutého výdavku sa týka dôchodkových</w:t>
      </w:r>
      <w:r w:rsidRPr="00C204BE">
        <w:rPr>
          <w:rFonts w:cs="Times New Roman"/>
          <w:sz w:val="16"/>
          <w:szCs w:val="16"/>
        </w:rPr>
        <w:t xml:space="preserve"> </w:t>
      </w:r>
      <w:r>
        <w:rPr>
          <w:rFonts w:cs="Times New Roman"/>
          <w:sz w:val="16"/>
          <w:szCs w:val="16"/>
        </w:rPr>
        <w:t>dávok</w:t>
      </w:r>
      <w:r w:rsidRPr="00C204BE">
        <w:rPr>
          <w:rFonts w:cs="Times New Roman"/>
          <w:sz w:val="16"/>
          <w:szCs w:val="16"/>
        </w:rPr>
        <w:t xml:space="preserve">, ktoré Sociálna </w:t>
      </w:r>
      <w:r w:rsidRPr="00412EB1">
        <w:rPr>
          <w:rFonts w:cs="Times New Roman"/>
          <w:sz w:val="16"/>
          <w:szCs w:val="16"/>
        </w:rPr>
        <w:t>poisťovňa vypláca v decembri bežného roka, na ktoré vznikol nárok v mesiaci január nasledujúceho roka (t. j. výplatný termín pripadá na sviatok resp. víkend).</w:t>
      </w:r>
      <w:r w:rsidRPr="00412EB1">
        <w:rPr>
          <w:sz w:val="16"/>
          <w:szCs w:val="16"/>
        </w:rPr>
        <w:t>V súlade s metodikou ESA 2010 sa dôchodkové dávky časovo rozlišujú do obdobia, s ktorým vecne súvisia.</w:t>
      </w:r>
    </w:p>
  </w:footnote>
  <w:footnote w:id="21">
    <w:p w14:paraId="55965052" w14:textId="5FBAF0C8" w:rsidR="00CE31C1" w:rsidRDefault="00CE31C1" w:rsidP="00CB3C45">
      <w:pPr>
        <w:pStyle w:val="Textpoznmkypodiarou"/>
      </w:pPr>
      <w:r w:rsidRPr="00412EB1">
        <w:rPr>
          <w:rStyle w:val="Odkaznapoznmkupodiarou"/>
          <w:sz w:val="16"/>
          <w:szCs w:val="16"/>
        </w:rPr>
        <w:footnoteRef/>
      </w:r>
      <w:r w:rsidRPr="00412EB1">
        <w:t xml:space="preserve"> </w:t>
      </w:r>
      <w:r w:rsidRPr="00412EB1">
        <w:rPr>
          <w:sz w:val="16"/>
          <w:szCs w:val="16"/>
        </w:rPr>
        <w:t>Bližšie je uvedený popis „Vo výnose sociálnych a zdravotných odvodov“ na str.14.</w:t>
      </w:r>
    </w:p>
  </w:footnote>
  <w:footnote w:id="22">
    <w:p w14:paraId="66416EB8" w14:textId="77777777" w:rsidR="00CE31C1" w:rsidRDefault="00CE31C1" w:rsidP="00270836">
      <w:pPr>
        <w:pStyle w:val="Textpoznmkypodiarou"/>
      </w:pPr>
      <w:r>
        <w:rPr>
          <w:rStyle w:val="Odkaznapoznmkupodiarou"/>
        </w:rPr>
        <w:footnoteRef/>
      </w:r>
      <w:r>
        <w:t xml:space="preserve"> </w:t>
      </w:r>
      <w:r w:rsidRPr="00270836">
        <w:rPr>
          <w:sz w:val="16"/>
          <w:szCs w:val="16"/>
        </w:rPr>
        <w:t>Okrem týchto vzťahov sa pri výpočte maastrichtského dlhu v rámci zložky ,,štátny dlh“ abstrahuje od záväzkov Ministerstva financií SR voči Štátnej pokladnici z tzv. refinančného systému (12 502 051 tis. eur) a od záväzkov z vkladov subjektov verejnej správy v Štátnej pokladnici (7 066 671 tis. eur).</w:t>
      </w:r>
    </w:p>
  </w:footnote>
  <w:footnote w:id="23">
    <w:p w14:paraId="04240D4F" w14:textId="77777777" w:rsidR="00CE31C1" w:rsidRPr="00D85AC4" w:rsidRDefault="00CE31C1" w:rsidP="00CB3C45">
      <w:pPr>
        <w:pStyle w:val="Textpoznmkypodiarou"/>
        <w:rPr>
          <w:sz w:val="18"/>
          <w:szCs w:val="18"/>
        </w:rPr>
      </w:pPr>
      <w:r>
        <w:rPr>
          <w:rStyle w:val="Odkaznapoznmkupodiarou"/>
        </w:rPr>
        <w:footnoteRef/>
      </w:r>
      <w:r>
        <w:t xml:space="preserve"> </w:t>
      </w:r>
      <w:r w:rsidRPr="00B26834">
        <w:rPr>
          <w:sz w:val="16"/>
          <w:szCs w:val="16"/>
        </w:rPr>
        <w:t xml:space="preserve">Štátny dlh za rok 2019 bol revidovaný z dôvodu </w:t>
      </w:r>
      <w:proofErr w:type="spellStart"/>
      <w:r w:rsidRPr="00B26834">
        <w:rPr>
          <w:sz w:val="16"/>
          <w:szCs w:val="16"/>
        </w:rPr>
        <w:t>reklasifikovania</w:t>
      </w:r>
      <w:proofErr w:type="spellEnd"/>
      <w:r w:rsidRPr="00B26834">
        <w:rPr>
          <w:sz w:val="16"/>
          <w:szCs w:val="16"/>
        </w:rPr>
        <w:t xml:space="preserve"> spoločností National </w:t>
      </w:r>
      <w:proofErr w:type="spellStart"/>
      <w:r w:rsidRPr="00B26834">
        <w:rPr>
          <w:sz w:val="16"/>
          <w:szCs w:val="16"/>
        </w:rPr>
        <w:t>Development</w:t>
      </w:r>
      <w:proofErr w:type="spellEnd"/>
      <w:r w:rsidRPr="00B26834">
        <w:rPr>
          <w:sz w:val="16"/>
          <w:szCs w:val="16"/>
        </w:rPr>
        <w:t xml:space="preserve"> </w:t>
      </w:r>
      <w:proofErr w:type="spellStart"/>
      <w:r w:rsidRPr="00B26834">
        <w:rPr>
          <w:sz w:val="16"/>
          <w:szCs w:val="16"/>
        </w:rPr>
        <w:t>Fund</w:t>
      </w:r>
      <w:proofErr w:type="spellEnd"/>
      <w:r w:rsidRPr="00B26834">
        <w:rPr>
          <w:sz w:val="16"/>
          <w:szCs w:val="16"/>
        </w:rPr>
        <w:t xml:space="preserve"> I, a. s., National </w:t>
      </w:r>
      <w:proofErr w:type="spellStart"/>
      <w:r w:rsidRPr="00B26834">
        <w:rPr>
          <w:sz w:val="16"/>
          <w:szCs w:val="16"/>
        </w:rPr>
        <w:t>Development</w:t>
      </w:r>
      <w:proofErr w:type="spellEnd"/>
      <w:r w:rsidRPr="00B26834">
        <w:rPr>
          <w:sz w:val="16"/>
          <w:szCs w:val="16"/>
        </w:rPr>
        <w:t xml:space="preserve"> </w:t>
      </w:r>
      <w:proofErr w:type="spellStart"/>
      <w:r w:rsidRPr="00B26834">
        <w:rPr>
          <w:sz w:val="16"/>
          <w:szCs w:val="16"/>
        </w:rPr>
        <w:t>Fund</w:t>
      </w:r>
      <w:proofErr w:type="spellEnd"/>
      <w:r w:rsidRPr="00B26834">
        <w:rPr>
          <w:sz w:val="16"/>
          <w:szCs w:val="16"/>
        </w:rPr>
        <w:t xml:space="preserve"> II, s. r. o. a Slovak </w:t>
      </w:r>
      <w:proofErr w:type="spellStart"/>
      <w:r w:rsidRPr="00B26834">
        <w:rPr>
          <w:sz w:val="16"/>
          <w:szCs w:val="16"/>
        </w:rPr>
        <w:t>Investment</w:t>
      </w:r>
      <w:proofErr w:type="spellEnd"/>
      <w:r w:rsidRPr="00B26834">
        <w:rPr>
          <w:sz w:val="16"/>
          <w:szCs w:val="16"/>
        </w:rPr>
        <w:t xml:space="preserve"> Holding, a. s. do sektora verejnej správy vzhľadom na to, že uvedené spoločnosti majú vklady v Štátnej pokladnici ako dobrovoľní klienti. K ďalšej revízii prišlo z dôvodu spätnej </w:t>
      </w:r>
      <w:proofErr w:type="spellStart"/>
      <w:r w:rsidRPr="00B26834">
        <w:rPr>
          <w:sz w:val="16"/>
          <w:szCs w:val="16"/>
        </w:rPr>
        <w:t>imputácie</w:t>
      </w:r>
      <w:proofErr w:type="spellEnd"/>
      <w:r w:rsidRPr="00B26834">
        <w:rPr>
          <w:sz w:val="16"/>
          <w:szCs w:val="16"/>
        </w:rPr>
        <w:t xml:space="preserve"> tzv. zelenej energie do</w:t>
      </w:r>
      <w:r>
        <w:rPr>
          <w:sz w:val="16"/>
          <w:szCs w:val="16"/>
        </w:rPr>
        <w:t> </w:t>
      </w:r>
      <w:r w:rsidRPr="00B26834">
        <w:rPr>
          <w:sz w:val="16"/>
          <w:szCs w:val="16"/>
        </w:rPr>
        <w:t>štátneho dlhu.</w:t>
      </w:r>
    </w:p>
  </w:footnote>
  <w:footnote w:id="24">
    <w:p w14:paraId="1FB7B95E" w14:textId="77777777" w:rsidR="00CE31C1" w:rsidRPr="003D5EE2" w:rsidRDefault="00CE31C1" w:rsidP="00CB3C45">
      <w:pPr>
        <w:pStyle w:val="Textpoznmkypodiarou"/>
        <w:rPr>
          <w:sz w:val="16"/>
          <w:szCs w:val="16"/>
        </w:rPr>
      </w:pPr>
      <w:r w:rsidRPr="003D5EE2">
        <w:rPr>
          <w:rStyle w:val="Odkaznapoznmkupodiarou"/>
          <w:sz w:val="16"/>
          <w:szCs w:val="16"/>
        </w:rPr>
        <w:footnoteRef/>
      </w:r>
      <w:r w:rsidRPr="003D5EE2">
        <w:rPr>
          <w:sz w:val="16"/>
          <w:szCs w:val="16"/>
        </w:rPr>
        <w:t xml:space="preserve"> NFV poskytnutá na základe žiadosti, maximálne do výpadku dane z príjmov fyzických osôb v roku 2020 podľa prognózy MFSR, účelové použitie na výkon samosprávnych pôsobností atď. Ďalšie informácie sú dostupné na webe MFSR:</w:t>
      </w:r>
    </w:p>
    <w:p w14:paraId="664F03A4" w14:textId="77777777" w:rsidR="00CE31C1" w:rsidRDefault="00EF18BD" w:rsidP="00CB3C45">
      <w:pPr>
        <w:pStyle w:val="Textpoznmkypodiarou"/>
      </w:pPr>
      <w:hyperlink r:id="rId4" w:history="1">
        <w:r w:rsidR="00CE31C1" w:rsidRPr="000E4006">
          <w:rPr>
            <w:rStyle w:val="Hypertextovprepojenie"/>
            <w:sz w:val="16"/>
            <w:szCs w:val="16"/>
          </w:rPr>
          <w:t>https://www.mfsr.sk/sk/verejnost/pomoc-samospravam/</w:t>
        </w:r>
      </w:hyperlink>
      <w:r w:rsidR="00CE31C1">
        <w:rPr>
          <w:sz w:val="16"/>
          <w:szCs w:val="16"/>
        </w:rPr>
        <w:t xml:space="preserve"> a</w:t>
      </w:r>
      <w:r w:rsidR="00CE31C1" w:rsidRPr="003D5EE2">
        <w:rPr>
          <w:sz w:val="16"/>
          <w:szCs w:val="16"/>
        </w:rPr>
        <w:t xml:space="preserve"> </w:t>
      </w:r>
      <w:hyperlink r:id="rId5" w:history="1">
        <w:r w:rsidR="00CE31C1" w:rsidRPr="003D5EE2">
          <w:rPr>
            <w:rStyle w:val="Hypertextovprepojenie"/>
            <w:sz w:val="16"/>
            <w:szCs w:val="16"/>
          </w:rPr>
          <w:t>https://www.mfsr.sk/sk/media/tlacove-spravy/finalny-zoznam-miest-obci-ktorym-sme-schvalili-pomoc.html</w:t>
        </w:r>
      </w:hyperlink>
      <w:r w:rsidR="00CE31C1">
        <w:t xml:space="preserve"> </w:t>
      </w:r>
    </w:p>
  </w:footnote>
  <w:footnote w:id="25">
    <w:p w14:paraId="004BA923" w14:textId="77777777" w:rsidR="00CE31C1" w:rsidRPr="003D5EE2" w:rsidRDefault="00CE31C1" w:rsidP="00CB3C45">
      <w:pPr>
        <w:pStyle w:val="Textpoznmkypodiarou"/>
        <w:rPr>
          <w:sz w:val="16"/>
          <w:szCs w:val="16"/>
        </w:rPr>
      </w:pPr>
      <w:r>
        <w:rPr>
          <w:rStyle w:val="Odkaznapoznmkupodiarou"/>
        </w:rPr>
        <w:footnoteRef/>
      </w:r>
      <w:r>
        <w:t xml:space="preserve"> </w:t>
      </w:r>
      <w:r w:rsidRPr="003D5EE2">
        <w:rPr>
          <w:sz w:val="16"/>
          <w:szCs w:val="16"/>
        </w:rPr>
        <w:t>NFV poskytnutá na základe žiadosti, maximálne do výpadku dane z príjmov fyzických osôb v roku 2020 podľa prognózy MFSR, účelové použitie na výkon samosprávnych pôsobností atď. Ďalšie informácie sú dostupné na webe MFSR:</w:t>
      </w:r>
    </w:p>
    <w:p w14:paraId="71A44F2C" w14:textId="77777777" w:rsidR="00CE31C1" w:rsidRDefault="00EF18BD" w:rsidP="00CB3C45">
      <w:pPr>
        <w:pStyle w:val="Textpoznmkypodiarou"/>
      </w:pPr>
      <w:hyperlink r:id="rId6" w:history="1">
        <w:r w:rsidR="00CE31C1" w:rsidRPr="000E4006">
          <w:rPr>
            <w:rStyle w:val="Hypertextovprepojenie"/>
            <w:sz w:val="16"/>
            <w:szCs w:val="16"/>
          </w:rPr>
          <w:t>https://www.mfsr.sk/sk/verejnost/pomoc-samospravam/</w:t>
        </w:r>
      </w:hyperlink>
      <w:r w:rsidR="00CE31C1">
        <w:rPr>
          <w:sz w:val="16"/>
          <w:szCs w:val="16"/>
        </w:rPr>
        <w:t xml:space="preserve"> a</w:t>
      </w:r>
      <w:r w:rsidR="00CE31C1" w:rsidRPr="003D5EE2">
        <w:rPr>
          <w:sz w:val="16"/>
          <w:szCs w:val="16"/>
        </w:rPr>
        <w:t xml:space="preserve"> </w:t>
      </w:r>
      <w:hyperlink r:id="rId7" w:history="1">
        <w:r w:rsidR="00CE31C1" w:rsidRPr="003D5EE2">
          <w:rPr>
            <w:rStyle w:val="Hypertextovprepojenie"/>
            <w:sz w:val="16"/>
            <w:szCs w:val="16"/>
          </w:rPr>
          <w:t>https://www.mfsr.sk/sk/media/tlacove-spravy/finalny-zoznam-miest-obci-ktorym-sme-schvalili-pomoc.html</w:t>
        </w:r>
      </w:hyperlink>
    </w:p>
  </w:footnote>
  <w:footnote w:id="26">
    <w:p w14:paraId="477E3250" w14:textId="77777777" w:rsidR="00CE31C1" w:rsidRPr="00FD4138" w:rsidRDefault="00CE31C1" w:rsidP="00CB3C45">
      <w:pPr>
        <w:pStyle w:val="Textpoznmkypodiarou"/>
        <w:rPr>
          <w:sz w:val="16"/>
          <w:szCs w:val="16"/>
        </w:rPr>
      </w:pPr>
      <w:r w:rsidRPr="00FD4138">
        <w:rPr>
          <w:rStyle w:val="Odkaznapoznmkupodiarou"/>
          <w:sz w:val="16"/>
          <w:szCs w:val="16"/>
        </w:rPr>
        <w:footnoteRef/>
      </w:r>
      <w:r w:rsidRPr="00FD4138">
        <w:rPr>
          <w:sz w:val="16"/>
          <w:szCs w:val="16"/>
        </w:rPr>
        <w:t xml:space="preserve"> EUROFIMA je nadnárodná spoločnosť so sídlom vo Švajčiarsku, Bazileji. Bola založená na základe medzinárodnej zmluvy podpísanej 25 európskymi štátmi. Vznikla v roku 1956 na dobu fungovania 50 rokov. V roku 1984 valné zhromaždenie rozhodlo o pokračovaní vo fungovaní spoločnosti na ďalších 50 rokov, do roku 2056. Cieľom je poskytovať finančné zdroje pre členov EUROFIMI ako aj iné železničné spoločnosti za účelom modernizácia a obnovy železničného vybavenia (vozne, rušne). Železničná spoločnosť Slovensko, a.s. drží v spoločnosti 0,50% podiel.  </w:t>
      </w:r>
    </w:p>
  </w:footnote>
  <w:footnote w:id="27">
    <w:p w14:paraId="4F5CFB82" w14:textId="77777777" w:rsidR="00CE31C1" w:rsidRDefault="00CE31C1" w:rsidP="00CB3C45">
      <w:pPr>
        <w:pStyle w:val="Textpoznmkypodiarou"/>
      </w:pPr>
      <w:r>
        <w:rPr>
          <w:rStyle w:val="Odkaznapoznmkupodiarou"/>
        </w:rPr>
        <w:footnoteRef/>
      </w:r>
      <w:r>
        <w:t xml:space="preserve"> Podľa § 47k zákona č. 375/2015 Z. z. o zrušení Fondu národného majetku SR a o zmene a doplnení niektorých predpisov</w:t>
      </w:r>
    </w:p>
  </w:footnote>
  <w:footnote w:id="28">
    <w:p w14:paraId="62994ADC" w14:textId="076AE4B8" w:rsidR="00CE31C1" w:rsidRPr="00FA3029" w:rsidRDefault="00CE31C1">
      <w:pPr>
        <w:pStyle w:val="Textpoznmkypodiarou"/>
        <w:rPr>
          <w:sz w:val="16"/>
          <w:szCs w:val="16"/>
        </w:rPr>
      </w:pPr>
      <w:r w:rsidRPr="00FA3029">
        <w:rPr>
          <w:rStyle w:val="Odkaznapoznmkupodiarou"/>
          <w:sz w:val="16"/>
          <w:szCs w:val="16"/>
        </w:rPr>
        <w:footnoteRef/>
      </w:r>
      <w:r w:rsidRPr="00FA3029">
        <w:rPr>
          <w:sz w:val="16"/>
          <w:szCs w:val="16"/>
        </w:rPr>
        <w:t xml:space="preserve"> </w:t>
      </w:r>
      <w:r w:rsidRPr="00FA3029">
        <w:rPr>
          <w:rFonts w:cs="Times New Roman"/>
          <w:sz w:val="16"/>
          <w:szCs w:val="16"/>
        </w:rPr>
        <w:t>Podľa zákona č. 468/2019 Z. z. o štátnom rozpočte na rok 2020 v znení zákona č. 217/2020 Z. z.</w:t>
      </w:r>
    </w:p>
  </w:footnote>
  <w:footnote w:id="29">
    <w:p w14:paraId="22DB75AF" w14:textId="24DE43F0" w:rsidR="00CE31C1" w:rsidRDefault="00CE31C1">
      <w:pPr>
        <w:pStyle w:val="Textpoznmkypodiarou"/>
      </w:pPr>
      <w:r>
        <w:rPr>
          <w:rStyle w:val="Odkaznapoznmkupodiarou"/>
        </w:rPr>
        <w:footnoteRef/>
      </w:r>
      <w:r>
        <w:t xml:space="preserve"> </w:t>
      </w:r>
      <w:r w:rsidRPr="0049359B">
        <w:rPr>
          <w:sz w:val="16"/>
          <w:szCs w:val="16"/>
        </w:rPr>
        <w:t>Ostatné osobné vyrovnania</w:t>
      </w:r>
    </w:p>
  </w:footnote>
  <w:footnote w:id="30">
    <w:p w14:paraId="27E7FFD3" w14:textId="2C1C04B3" w:rsidR="00CE31C1" w:rsidRPr="00FA3029" w:rsidRDefault="00CE31C1" w:rsidP="004967E3">
      <w:pPr>
        <w:pStyle w:val="Textpoznmkypodiarou"/>
        <w:rPr>
          <w:sz w:val="16"/>
          <w:szCs w:val="16"/>
        </w:rPr>
      </w:pPr>
      <w:r w:rsidRPr="00FA3029">
        <w:rPr>
          <w:rStyle w:val="Odkaznapoznmkupodiarou"/>
          <w:sz w:val="16"/>
          <w:szCs w:val="16"/>
        </w:rPr>
        <w:footnoteRef/>
      </w:r>
      <w:r w:rsidRPr="00FA3029">
        <w:rPr>
          <w:sz w:val="16"/>
          <w:szCs w:val="16"/>
        </w:rPr>
        <w:t xml:space="preserve"> Vo FIN výkazoch príjmov a výdavkov štátneho rozpočtu je zaznamenaný výnos dane z príjmov fyzických osôb (DPFO) v štátnom rozpočte vo výške -26 069 tis. eur a výnos zo sankcií 20 007 tis. eur. Výnos DPFO bez sankcií je znížený o prevod dane územným samosprávam, ktorý už zahŕňa sankcie. A z toho dôvodu je výnos z DPFO na účte štátneho rozpočtu vo FIN výkaze podhodnotený, a to o 3 072 tis. eur a sankcie sú o uvedenú sumu zároveň nadhodnotené. V tabuľke sú preto uvedené upravené výnosy DPFO a sankcií, pričom na celkové príjmy táto úprava vplyv nemá.</w:t>
      </w:r>
    </w:p>
  </w:footnote>
  <w:footnote w:id="31">
    <w:p w14:paraId="5F5150A6" w14:textId="73513507" w:rsidR="00CE31C1" w:rsidRPr="00FA3029" w:rsidRDefault="00CE31C1" w:rsidP="00AD00C9">
      <w:pPr>
        <w:pStyle w:val="Textpoznmkypodiarou"/>
        <w:rPr>
          <w:sz w:val="16"/>
          <w:szCs w:val="16"/>
        </w:rPr>
      </w:pPr>
      <w:r w:rsidRPr="00FA3029">
        <w:rPr>
          <w:rStyle w:val="Odkaznapoznmkupodiarou"/>
          <w:sz w:val="16"/>
          <w:szCs w:val="16"/>
        </w:rPr>
        <w:footnoteRef/>
      </w:r>
      <w:r w:rsidRPr="00FA3029">
        <w:rPr>
          <w:sz w:val="16"/>
          <w:szCs w:val="16"/>
        </w:rPr>
        <w:t xml:space="preserve"> </w:t>
      </w:r>
      <w:hyperlink r:id="rId8" w:history="1">
        <w:r w:rsidRPr="00FA3029">
          <w:rPr>
            <w:rStyle w:val="Hypertextovprepojenie"/>
            <w:sz w:val="16"/>
            <w:szCs w:val="16"/>
          </w:rPr>
          <w:t>https://www.mfsr.sk/sk/financie/institut-financnej-politiky/ekonomicke-statistiky/asignacia-dane/</w:t>
        </w:r>
      </w:hyperlink>
      <w:r w:rsidRPr="00FA3029">
        <w:rPr>
          <w:sz w:val="16"/>
          <w:szCs w:val="16"/>
        </w:rPr>
        <w:t xml:space="preserve"> </w:t>
      </w:r>
    </w:p>
    <w:p w14:paraId="4D8FD7A1" w14:textId="77777777" w:rsidR="00CE31C1" w:rsidRPr="00FA3029" w:rsidRDefault="00EF18BD" w:rsidP="00AD00C9">
      <w:pPr>
        <w:pStyle w:val="Textpoznmkypodiarou"/>
        <w:rPr>
          <w:sz w:val="16"/>
          <w:szCs w:val="16"/>
        </w:rPr>
      </w:pPr>
      <w:hyperlink r:id="rId9" w:history="1">
        <w:r w:rsidR="00CE31C1" w:rsidRPr="00FA3029">
          <w:rPr>
            <w:rStyle w:val="Hypertextovprepojenie"/>
            <w:sz w:val="16"/>
            <w:szCs w:val="16"/>
          </w:rPr>
          <w:t>https://www.mfsr.sk/sk/media/tlacove-spravy/slovensko-ma-lepsi-transparentnejsi-model-asignacie.html</w:t>
        </w:r>
      </w:hyperlink>
      <w:r w:rsidR="00CE31C1" w:rsidRPr="00FA3029">
        <w:rPr>
          <w:sz w:val="16"/>
          <w:szCs w:val="16"/>
        </w:rPr>
        <w:t xml:space="preserve"> </w:t>
      </w:r>
    </w:p>
  </w:footnote>
  <w:footnote w:id="32">
    <w:p w14:paraId="5654ECBF" w14:textId="4D8E9A4A" w:rsidR="00CE31C1" w:rsidRPr="00FA3029" w:rsidRDefault="00CE31C1" w:rsidP="00FA3029">
      <w:pPr>
        <w:spacing w:after="0" w:line="240" w:lineRule="auto"/>
        <w:rPr>
          <w:rFonts w:eastAsia="Times New Roman" w:cs="Times New Roman"/>
          <w:color w:val="000000" w:themeColor="text1"/>
          <w:sz w:val="16"/>
          <w:szCs w:val="16"/>
          <w:lang w:eastAsia="sk-SK"/>
        </w:rPr>
      </w:pPr>
      <w:r w:rsidRPr="00FA3029">
        <w:rPr>
          <w:rFonts w:eastAsia="Times New Roman" w:cs="Times New Roman"/>
          <w:color w:val="000000" w:themeColor="text1"/>
          <w:sz w:val="16"/>
          <w:szCs w:val="16"/>
          <w:lang w:eastAsia="sk-SK"/>
        </w:rPr>
        <w:footnoteRef/>
      </w:r>
      <w:r w:rsidRPr="00FA3029">
        <w:rPr>
          <w:rFonts w:eastAsia="Times New Roman" w:cs="Times New Roman"/>
          <w:color w:val="000000" w:themeColor="text1"/>
          <w:sz w:val="16"/>
          <w:szCs w:val="16"/>
          <w:lang w:eastAsia="sk-SK"/>
        </w:rPr>
        <w:t xml:space="preserve"> Prostriedky za štrukturálne operácie zahŕňajú fondy – Európsky fond regionálneho rozvoja (vrátane programov európskej územnej spolupráce pre ktoré je Ministerstvo financií SR certifikačným orgánom - </w:t>
      </w:r>
      <w:proofErr w:type="spellStart"/>
      <w:r w:rsidRPr="00FA3029">
        <w:rPr>
          <w:rFonts w:eastAsia="Times New Roman" w:cs="Times New Roman"/>
          <w:color w:val="000000" w:themeColor="text1"/>
          <w:sz w:val="16"/>
          <w:szCs w:val="16"/>
          <w:lang w:eastAsia="sk-SK"/>
        </w:rPr>
        <w:t>Interreg</w:t>
      </w:r>
      <w:proofErr w:type="spellEnd"/>
      <w:r w:rsidRPr="00FA3029">
        <w:rPr>
          <w:rFonts w:eastAsia="Times New Roman" w:cs="Times New Roman"/>
          <w:color w:val="000000" w:themeColor="text1"/>
          <w:sz w:val="16"/>
          <w:szCs w:val="16"/>
          <w:lang w:eastAsia="sk-SK"/>
        </w:rPr>
        <w:t xml:space="preserve"> V-A SK-AT 2014-2020, </w:t>
      </w:r>
      <w:proofErr w:type="spellStart"/>
      <w:r w:rsidRPr="00FA3029">
        <w:rPr>
          <w:rFonts w:eastAsia="Times New Roman" w:cs="Times New Roman"/>
          <w:color w:val="000000" w:themeColor="text1"/>
          <w:sz w:val="16"/>
          <w:szCs w:val="16"/>
          <w:lang w:eastAsia="sk-SK"/>
        </w:rPr>
        <w:t>Interreg</w:t>
      </w:r>
      <w:proofErr w:type="spellEnd"/>
      <w:r w:rsidRPr="00FA3029">
        <w:rPr>
          <w:rFonts w:eastAsia="Times New Roman" w:cs="Times New Roman"/>
          <w:color w:val="000000" w:themeColor="text1"/>
          <w:sz w:val="16"/>
          <w:szCs w:val="16"/>
          <w:lang w:eastAsia="sk-SK"/>
        </w:rPr>
        <w:t xml:space="preserve"> V-A SK-CZ 2014-2020), Európsky sociálny fond, Iniciatíva na podporu zamestnanosti mladých ľudí, Kohézny fond, Európsky námorný a rybársky fond a Fond európskej pomoci pre najodkázanejšie osoby.</w:t>
      </w:r>
    </w:p>
    <w:p w14:paraId="130B36A7" w14:textId="77777777" w:rsidR="00CE31C1" w:rsidRPr="00C13FCC" w:rsidRDefault="00CE31C1" w:rsidP="00870A07">
      <w:pPr>
        <w:pStyle w:val="Textpoznmkypodiarou"/>
        <w:rPr>
          <w:rFonts w:eastAsia="Times New Roman" w:cs="Times New Roman"/>
          <w:color w:val="000000" w:themeColor="text1"/>
          <w:sz w:val="16"/>
          <w:szCs w:val="16"/>
          <w:lang w:eastAsia="sk-SK"/>
        </w:rPr>
      </w:pPr>
    </w:p>
  </w:footnote>
  <w:footnote w:id="33">
    <w:p w14:paraId="4F98FB2D" w14:textId="77777777" w:rsidR="00CE31C1" w:rsidRPr="00FA3029" w:rsidRDefault="00CE31C1" w:rsidP="00D95EE9">
      <w:pPr>
        <w:pStyle w:val="Textpoznmkypodiarou"/>
        <w:rPr>
          <w:sz w:val="16"/>
          <w:szCs w:val="16"/>
        </w:rPr>
      </w:pPr>
      <w:r>
        <w:rPr>
          <w:rStyle w:val="Odkaznapoznmkupodiarou"/>
        </w:rPr>
        <w:footnoteRef/>
      </w:r>
      <w:r>
        <w:t xml:space="preserve"> </w:t>
      </w:r>
      <w:r w:rsidRPr="00FA3029">
        <w:rPr>
          <w:rFonts w:eastAsia="Times New Roman" w:cs="Times New Roman"/>
          <w:color w:val="000000" w:themeColor="text1"/>
          <w:sz w:val="16"/>
          <w:szCs w:val="16"/>
          <w:lang w:eastAsia="sk-SK"/>
        </w:rPr>
        <w:t xml:space="preserve">Zostatok nenaplnených rozpočtovaných príjmov EÚ v rámci EFRR v celkovej sume 194 306 tis. eur bol základe Dohody o prechode práv a povinností, uzavretej v súlade so zákonom č. 134/2020 Z. z., ktorým sa mení a dopĺňa zákon č. 575/2001 Z. z. o organizácii činnosti vlády a organizácii ústrednej štátnej správy v znení neskorších predpisov a ktorým sa menia a dopĺňajú niektoré zákony a v súlade s uznesením vlády Slovenskej republiky č. 355 zo dňa 4. júna 2020 (ďalej len „Dohoda“) zo dňa 30.09.2020 medzi rozpočtovými kapitolami MPRV SR a MIRRI SR rozpočtovým opatrením Ministerstva financií SR č. 63 </w:t>
      </w:r>
      <w:proofErr w:type="spellStart"/>
      <w:r w:rsidRPr="00FA3029">
        <w:rPr>
          <w:rFonts w:eastAsia="Times New Roman" w:cs="Times New Roman"/>
          <w:color w:val="000000" w:themeColor="text1"/>
          <w:sz w:val="16"/>
          <w:szCs w:val="16"/>
          <w:lang w:eastAsia="sk-SK"/>
        </w:rPr>
        <w:t>oddelimitovaný</w:t>
      </w:r>
      <w:proofErr w:type="spellEnd"/>
      <w:r w:rsidRPr="00FA3029">
        <w:rPr>
          <w:rFonts w:eastAsia="Times New Roman" w:cs="Times New Roman"/>
          <w:color w:val="000000" w:themeColor="text1"/>
          <w:sz w:val="16"/>
          <w:szCs w:val="16"/>
          <w:lang w:eastAsia="sk-SK"/>
        </w:rPr>
        <w:t xml:space="preserve"> v prospech Ministerstva investícií, regionálneho rozvoja a informatizácie SR.</w:t>
      </w:r>
    </w:p>
    <w:p w14:paraId="7538B545" w14:textId="5BBF9F85" w:rsidR="00CE31C1" w:rsidRDefault="00CE31C1">
      <w:pPr>
        <w:pStyle w:val="Textpoznmkypodiarou"/>
      </w:pPr>
    </w:p>
  </w:footnote>
  <w:footnote w:id="34">
    <w:p w14:paraId="303D0C03" w14:textId="77777777" w:rsidR="00CE31C1" w:rsidRPr="00FA3029" w:rsidRDefault="00CE31C1" w:rsidP="00867564">
      <w:pPr>
        <w:pStyle w:val="Textpoznmkypodiarou"/>
        <w:rPr>
          <w:sz w:val="16"/>
          <w:szCs w:val="16"/>
        </w:rPr>
      </w:pPr>
      <w:r w:rsidRPr="00FA3029">
        <w:rPr>
          <w:rStyle w:val="Odkaznapoznmkupodiarou"/>
          <w:sz w:val="16"/>
          <w:szCs w:val="16"/>
        </w:rPr>
        <w:footnoteRef/>
      </w:r>
      <w:r w:rsidRPr="00FA3029">
        <w:rPr>
          <w:sz w:val="16"/>
          <w:szCs w:val="16"/>
        </w:rPr>
        <w:t xml:space="preserve"> Od roku 2012 je saldo príjmových a výdavkových transakcií vzťahujúcich sa k finančným operáciám ARDAL presunuté do výdavkovej rozpočtovej položky transfer rozpočtovej organizácii.</w:t>
      </w:r>
    </w:p>
  </w:footnote>
  <w:footnote w:id="35">
    <w:p w14:paraId="3102991F" w14:textId="49D4D3BE" w:rsidR="00CE31C1" w:rsidRPr="00FA3029" w:rsidRDefault="00CE31C1" w:rsidP="00867564">
      <w:pPr>
        <w:spacing w:after="0" w:line="240" w:lineRule="auto"/>
        <w:rPr>
          <w:rFonts w:cs="Times New Roman"/>
          <w:sz w:val="16"/>
          <w:szCs w:val="16"/>
        </w:rPr>
      </w:pPr>
      <w:r w:rsidRPr="00FA3029">
        <w:rPr>
          <w:rStyle w:val="Odkaznapoznmkupodiarou"/>
          <w:rFonts w:cs="Times New Roman"/>
          <w:sz w:val="16"/>
          <w:szCs w:val="16"/>
        </w:rPr>
        <w:footnoteRef/>
      </w:r>
      <w:r w:rsidRPr="00FA3029">
        <w:rPr>
          <w:rFonts w:cs="Times New Roman"/>
          <w:sz w:val="16"/>
          <w:szCs w:val="16"/>
        </w:rPr>
        <w:t xml:space="preserve"> </w:t>
      </w:r>
      <w:r w:rsidRPr="00FA3029">
        <w:rPr>
          <w:rFonts w:cs="Times New Roman"/>
          <w:color w:val="000000"/>
          <w:sz w:val="16"/>
          <w:szCs w:val="16"/>
          <w:lang w:eastAsia="sk-SK"/>
        </w:rPr>
        <w:t>Napríklad podľa zákona č. 580/2004 Z. z. o zdravotnom poistení v znení neskorších predpisov, zákona č. 461/2003 Z. z. o sociálnom poistení v znení neskorších predpisov.</w:t>
      </w:r>
    </w:p>
    <w:p w14:paraId="4BB8FF6C" w14:textId="77777777" w:rsidR="00CE31C1" w:rsidRDefault="00CE31C1" w:rsidP="00867564">
      <w:pPr>
        <w:pStyle w:val="Textpoznmkypodiarou"/>
      </w:pPr>
    </w:p>
  </w:footnote>
  <w:footnote w:id="36">
    <w:p w14:paraId="5740C3D4" w14:textId="4EBE5F29" w:rsidR="00CE31C1" w:rsidRPr="00FA3029" w:rsidRDefault="00CE31C1">
      <w:pPr>
        <w:pStyle w:val="Textpoznmkypodiarou"/>
        <w:rPr>
          <w:sz w:val="16"/>
          <w:szCs w:val="16"/>
        </w:rPr>
      </w:pPr>
      <w:r w:rsidRPr="00FA3029">
        <w:rPr>
          <w:rStyle w:val="Odkaznapoznmkupodiarou"/>
          <w:sz w:val="16"/>
          <w:szCs w:val="16"/>
        </w:rPr>
        <w:footnoteRef/>
      </w:r>
      <w:r w:rsidRPr="00FA3029">
        <w:rPr>
          <w:sz w:val="16"/>
          <w:szCs w:val="16"/>
        </w:rPr>
        <w:t xml:space="preserve"> Niektoré informácie o výdavkoch Ministerstva obrany nie je možné prezentovať z dôvodu ich povahy. </w:t>
      </w:r>
    </w:p>
  </w:footnote>
  <w:footnote w:id="37">
    <w:p w14:paraId="4059E6C0" w14:textId="4398BB2A" w:rsidR="00CE31C1" w:rsidRPr="00FA3029" w:rsidRDefault="00CE31C1">
      <w:pPr>
        <w:pStyle w:val="Textpoznmkypodiarou"/>
        <w:rPr>
          <w:sz w:val="16"/>
          <w:szCs w:val="16"/>
        </w:rPr>
      </w:pPr>
      <w:r w:rsidRPr="00FA3029">
        <w:rPr>
          <w:rStyle w:val="Odkaznapoznmkupodiarou"/>
          <w:sz w:val="16"/>
          <w:szCs w:val="16"/>
        </w:rPr>
        <w:footnoteRef/>
      </w:r>
      <w:r w:rsidRPr="00FA3029">
        <w:rPr>
          <w:sz w:val="16"/>
          <w:szCs w:val="16"/>
        </w:rPr>
        <w:t xml:space="preserve"> Na Slovensku prvýkrát v histórii došlo k zmene spôsobu sčítania a namiesto tradičného sčítania sa uskutočnilo integrované sčítanie, ktoré je z hľadiska použitých metód kombinovaným sčítaním. Je založené na kombinácii údajov z administratívnych zdrojov údajov (databázy, ktoré spravujú ministerstvá alebo ostatné orgány štátnej správy) a údajov získaných od obyvateľov. Je moderným plne elektronickým sčítaním a jediným štatistickým zisťovaním, ktorého obsah, rozsah a spôsob vykonania v SR ustanovuje osobitný zákon (zákon 223/20919 Z. z. o sčítaní obyvateľov, domov a bytov v roku 2021 a o zmene a doplnení niektorých zákonov.</w:t>
      </w:r>
    </w:p>
  </w:footnote>
  <w:footnote w:id="38">
    <w:p w14:paraId="5B809837" w14:textId="6310F8B2" w:rsidR="00CE31C1" w:rsidRPr="00FA3029" w:rsidRDefault="00CE31C1" w:rsidP="004F51B5">
      <w:pPr>
        <w:pStyle w:val="Textpoznmkypodiarou"/>
        <w:jc w:val="left"/>
        <w:rPr>
          <w:sz w:val="16"/>
          <w:szCs w:val="16"/>
        </w:rPr>
      </w:pPr>
      <w:r w:rsidRPr="00FA3029">
        <w:rPr>
          <w:rStyle w:val="Odkaznapoznmkupodiarou"/>
          <w:sz w:val="16"/>
          <w:szCs w:val="16"/>
        </w:rPr>
        <w:footnoteRef/>
      </w:r>
      <w:r w:rsidRPr="00FA3029">
        <w:rPr>
          <w:sz w:val="16"/>
          <w:szCs w:val="16"/>
        </w:rPr>
        <w:t xml:space="preserve"> </w:t>
      </w:r>
      <w:r w:rsidRPr="00FA3029">
        <w:rPr>
          <w:rFonts w:cs="Times New Roman"/>
          <w:bCs/>
          <w:sz w:val="16"/>
          <w:szCs w:val="16"/>
          <w:shd w:val="clear" w:color="auto" w:fill="FFFFFF"/>
        </w:rPr>
        <w:t>Predmetom projektu je dobudovanie elektronickej (širokopásmovej) komunikačnej siete ŽSR s použitím zariadení pre viacnásobné využitie existujúcich optických vláken</w:t>
      </w:r>
      <w:r w:rsidRPr="00FA3029">
        <w:rPr>
          <w:rFonts w:ascii="Arial" w:hAnsi="Arial" w:cs="Arial"/>
          <w:bCs/>
          <w:sz w:val="16"/>
          <w:szCs w:val="16"/>
          <w:shd w:val="clear" w:color="auto" w:fill="FFFFFF"/>
        </w:rPr>
        <w:t xml:space="preserve">. </w:t>
      </w:r>
      <w:r w:rsidRPr="00FA3029">
        <w:rPr>
          <w:rFonts w:cs="Times New Roman"/>
          <w:bCs/>
          <w:sz w:val="16"/>
          <w:szCs w:val="16"/>
          <w:shd w:val="clear" w:color="auto" w:fill="FFFFFF"/>
        </w:rPr>
        <w:t>Uvedený projekt technologický nadväzuje na zrealizovaný projekt „Modernizácia komunikačných zariadení na sieti TEN-T (</w:t>
      </w:r>
      <w:proofErr w:type="spellStart"/>
      <w:r w:rsidRPr="00FA3029">
        <w:rPr>
          <w:rFonts w:cs="Times New Roman"/>
          <w:bCs/>
          <w:sz w:val="16"/>
          <w:szCs w:val="16"/>
          <w:shd w:val="clear" w:color="auto" w:fill="FFFFFF"/>
        </w:rPr>
        <w:t>telematika</w:t>
      </w:r>
      <w:proofErr w:type="spellEnd"/>
      <w:r w:rsidRPr="00FA3029">
        <w:rPr>
          <w:rFonts w:cs="Times New Roman"/>
          <w:bCs/>
          <w:sz w:val="16"/>
          <w:szCs w:val="16"/>
          <w:shd w:val="clear" w:color="auto" w:fill="FFFFFF"/>
        </w:rPr>
        <w:t>)“, ktorý bol financovaný z Operačného programu Doprava 2007 – 2013 (</w:t>
      </w:r>
      <w:hyperlink r:id="rId10" w:history="1">
        <w:r w:rsidRPr="00FA3029">
          <w:rPr>
            <w:rStyle w:val="Hypertextovprepojenie"/>
            <w:rFonts w:cs="Times New Roman"/>
            <w:bCs/>
            <w:sz w:val="16"/>
            <w:szCs w:val="16"/>
            <w:shd w:val="clear" w:color="auto" w:fill="FFFFFF"/>
          </w:rPr>
          <w:t>https://www.opii.gov.sk/opiiapp.php/Projekty/show?id=1864</w:t>
        </w:r>
      </w:hyperlink>
      <w:r w:rsidRPr="00FA3029">
        <w:rPr>
          <w:rFonts w:cs="Times New Roman"/>
          <w:bCs/>
          <w:sz w:val="16"/>
          <w:szCs w:val="16"/>
          <w:shd w:val="clear" w:color="auto" w:fill="FFFFFF"/>
        </w:rPr>
        <w:t xml:space="preserve">) </w:t>
      </w:r>
    </w:p>
  </w:footnote>
  <w:footnote w:id="39">
    <w:p w14:paraId="5D697EBF" w14:textId="77777777" w:rsidR="00CE31C1" w:rsidRPr="00FA3029" w:rsidRDefault="00CE31C1" w:rsidP="00151F12">
      <w:pPr>
        <w:pStyle w:val="Textpoznmkypodiarou"/>
        <w:rPr>
          <w:sz w:val="16"/>
          <w:szCs w:val="16"/>
        </w:rPr>
      </w:pPr>
      <w:r w:rsidRPr="00FA3029">
        <w:rPr>
          <w:rStyle w:val="Odkaznapoznmkupodiarou"/>
          <w:sz w:val="16"/>
          <w:szCs w:val="16"/>
        </w:rPr>
        <w:footnoteRef/>
      </w:r>
      <w:r w:rsidRPr="00FA3029">
        <w:rPr>
          <w:sz w:val="16"/>
          <w:szCs w:val="16"/>
        </w:rPr>
        <w:t xml:space="preserve"> Výnos </w:t>
      </w:r>
      <w:r w:rsidRPr="00FA3029">
        <w:rPr>
          <w:rFonts w:cs="Times New Roman"/>
          <w:color w:val="000000" w:themeColor="text1"/>
          <w:sz w:val="16"/>
          <w:szCs w:val="16"/>
        </w:rPr>
        <w:t>z 9. decembra 2005 č. 26825/2005 – 441 o poskytovaní dotácií v pôsobnosti Ministerstva financií Slovenskej republiky</w:t>
      </w:r>
    </w:p>
  </w:footnote>
  <w:footnote w:id="40">
    <w:p w14:paraId="6F5580EA" w14:textId="77777777" w:rsidR="00CE31C1" w:rsidRPr="00FA3029" w:rsidRDefault="00CE31C1" w:rsidP="006E204D">
      <w:pPr>
        <w:pStyle w:val="Textpoznmkypodiarou"/>
        <w:rPr>
          <w:sz w:val="16"/>
          <w:szCs w:val="16"/>
        </w:rPr>
      </w:pPr>
      <w:r w:rsidRPr="00FA3029">
        <w:rPr>
          <w:rStyle w:val="Odkaznapoznmkupodiarou"/>
          <w:sz w:val="16"/>
          <w:szCs w:val="16"/>
        </w:rPr>
        <w:footnoteRef/>
      </w:r>
      <w:r w:rsidRPr="00FA3029">
        <w:rPr>
          <w:sz w:val="16"/>
          <w:szCs w:val="16"/>
        </w:rPr>
        <w:t xml:space="preserve"> Štátne finančné pasíva, ktorými sú najmä záväzky z vydaných štátnych dlhopisov a pokladničných poukážok, záväzky z prijatých vládnych úverov sú bližšie hodnotené v Súhrnnej účtovnej závierke, keďže ide o stavovú veličinu. Výdavkové finančné operácie na splátky istín a rozpočtové výdavky na úhradu úrokov z týchto záväzkov sú predmetom hotovostného plnenie štátneho rozpočtu opisovaného v tomto Štátnom záverečnom účte. </w:t>
      </w:r>
    </w:p>
  </w:footnote>
  <w:footnote w:id="41">
    <w:p w14:paraId="3E3F95C8" w14:textId="118967B4" w:rsidR="00CE31C1" w:rsidRDefault="00CE31C1" w:rsidP="006E204D">
      <w:pPr>
        <w:pStyle w:val="Textpoznmkypodiarou"/>
      </w:pPr>
      <w:r w:rsidRPr="00FA3029">
        <w:rPr>
          <w:rStyle w:val="Odkaznapoznmkupodiarou"/>
          <w:rFonts w:eastAsiaTheme="majorEastAsia"/>
          <w:sz w:val="16"/>
          <w:szCs w:val="16"/>
        </w:rPr>
        <w:footnoteRef/>
      </w:r>
      <w:r w:rsidRPr="00FA3029">
        <w:rPr>
          <w:sz w:val="16"/>
          <w:szCs w:val="16"/>
        </w:rPr>
        <w:t xml:space="preserve"> § 13 zákona č. 523/2004 Z. z. o rozpočtových pravidlách verejnej správy a o zmene a doplnení niektorých zákonov v </w:t>
      </w:r>
      <w:proofErr w:type="spellStart"/>
      <w:r w:rsidRPr="00FA3029">
        <w:rPr>
          <w:sz w:val="16"/>
          <w:szCs w:val="16"/>
        </w:rPr>
        <w:t>z.n.p</w:t>
      </w:r>
      <w:proofErr w:type="spellEnd"/>
      <w:r w:rsidRPr="00FA3029">
        <w:rPr>
          <w:sz w:val="16"/>
          <w:szCs w:val="16"/>
        </w:rPr>
        <w:t>.</w:t>
      </w:r>
    </w:p>
  </w:footnote>
  <w:footnote w:id="42">
    <w:p w14:paraId="2861EE67" w14:textId="77777777" w:rsidR="00CE31C1" w:rsidRPr="00FA3029" w:rsidRDefault="00CE31C1" w:rsidP="006E204D">
      <w:pPr>
        <w:pStyle w:val="Textpoznmkypodiarou"/>
        <w:rPr>
          <w:sz w:val="16"/>
          <w:szCs w:val="16"/>
        </w:rPr>
      </w:pPr>
      <w:r w:rsidRPr="00FA3029">
        <w:rPr>
          <w:rStyle w:val="Odkaznapoznmkupodiarou"/>
          <w:rFonts w:eastAsiaTheme="majorEastAsia"/>
          <w:sz w:val="16"/>
          <w:szCs w:val="16"/>
        </w:rPr>
        <w:footnoteRef/>
      </w:r>
      <w:r w:rsidRPr="00FA3029">
        <w:rPr>
          <w:sz w:val="16"/>
          <w:szCs w:val="16"/>
        </w:rPr>
        <w:t xml:space="preserve"> Zákon č. 384/2011 Z. z. o osobitnom odvode vybraných finančných inštitúcií a o doplnení niektorých zákonov v </w:t>
      </w:r>
      <w:proofErr w:type="spellStart"/>
      <w:r w:rsidRPr="00FA3029">
        <w:rPr>
          <w:sz w:val="16"/>
          <w:szCs w:val="16"/>
        </w:rPr>
        <w:t>z.n.p</w:t>
      </w:r>
      <w:proofErr w:type="spellEnd"/>
      <w:r w:rsidRPr="00FA3029">
        <w:rPr>
          <w:sz w:val="16"/>
          <w:szCs w:val="16"/>
        </w:rPr>
        <w:t>.</w:t>
      </w:r>
    </w:p>
  </w:footnote>
  <w:footnote w:id="43">
    <w:p w14:paraId="5003A99A" w14:textId="77777777" w:rsidR="00CE31C1" w:rsidRPr="00FA3029" w:rsidRDefault="00CE31C1" w:rsidP="006E204D">
      <w:pPr>
        <w:pStyle w:val="Textpoznmkypodiarou"/>
        <w:rPr>
          <w:sz w:val="16"/>
          <w:szCs w:val="16"/>
        </w:rPr>
      </w:pPr>
      <w:r w:rsidRPr="00FA3029">
        <w:rPr>
          <w:rStyle w:val="Odkaznapoznmkupodiarou"/>
          <w:rFonts w:eastAsiaTheme="majorEastAsia"/>
          <w:sz w:val="16"/>
          <w:szCs w:val="16"/>
        </w:rPr>
        <w:footnoteRef/>
      </w:r>
      <w:r w:rsidRPr="00FA3029">
        <w:rPr>
          <w:sz w:val="16"/>
          <w:szCs w:val="16"/>
        </w:rPr>
        <w:t xml:space="preserve"> Zákon č. 235/2012 Z. z. o osobitnom odvode z podnikania v regulovaných odvetviach a o zmene a doplnení niektorých zákonov v </w:t>
      </w:r>
      <w:proofErr w:type="spellStart"/>
      <w:r w:rsidRPr="00FA3029">
        <w:rPr>
          <w:sz w:val="16"/>
          <w:szCs w:val="16"/>
        </w:rPr>
        <w:t>z.n.p</w:t>
      </w:r>
      <w:proofErr w:type="spellEnd"/>
      <w:r w:rsidRPr="00FA3029">
        <w:rPr>
          <w:sz w:val="16"/>
          <w:szCs w:val="16"/>
        </w:rPr>
        <w:t>.</w:t>
      </w:r>
    </w:p>
  </w:footnote>
  <w:footnote w:id="44">
    <w:p w14:paraId="378E5E06" w14:textId="77777777" w:rsidR="00CE31C1" w:rsidRDefault="00CE31C1" w:rsidP="006E204D">
      <w:pPr>
        <w:pStyle w:val="Textpoznmkypodiarou"/>
      </w:pPr>
      <w:r w:rsidRPr="00FA3029">
        <w:rPr>
          <w:rStyle w:val="Odkaznapoznmkupodiarou"/>
          <w:sz w:val="16"/>
          <w:szCs w:val="16"/>
        </w:rPr>
        <w:footnoteRef/>
      </w:r>
      <w:r w:rsidRPr="00FA3029">
        <w:rPr>
          <w:sz w:val="16"/>
          <w:szCs w:val="16"/>
        </w:rPr>
        <w:t xml:space="preserve"> Novela zákona č. 463/2019 Z. z. o osobitnom odvode vybraných finančných inštitúcií a o doplnení niektorých zákonov v znení neskorších predpisov. V roku 2020 bol prijatý zákon č. 353/2020 Z. z. o zrušení osobitného odvodu vybraných finančných inštitúcií a o niektorých opatreniach súvisiacich s jeho zrušením a doplnení zákona č. 67/2020 Z. z. o niektorých mimoriadnych opatreniach vo finančnej oblasti v súvislosti so šírením nebezpečnej nákazlivej ľudskej choroby COVID-19 v znení neskorších predpisov.</w:t>
      </w:r>
    </w:p>
  </w:footnote>
  <w:footnote w:id="45">
    <w:p w14:paraId="6BB9E74A" w14:textId="77777777" w:rsidR="00CE31C1" w:rsidRPr="00FA3029" w:rsidRDefault="00CE31C1" w:rsidP="006E204D">
      <w:pPr>
        <w:pStyle w:val="Textpoznmkypodiarou"/>
        <w:rPr>
          <w:sz w:val="16"/>
          <w:szCs w:val="16"/>
        </w:rPr>
      </w:pPr>
      <w:r w:rsidRPr="00FA3029">
        <w:rPr>
          <w:rStyle w:val="Odkaznapoznmkupodiarou"/>
          <w:sz w:val="16"/>
          <w:szCs w:val="16"/>
        </w:rPr>
        <w:footnoteRef/>
      </w:r>
      <w:r w:rsidRPr="00FA3029">
        <w:rPr>
          <w:sz w:val="16"/>
          <w:szCs w:val="16"/>
        </w:rPr>
        <w:t xml:space="preserve"> </w:t>
      </w:r>
      <w:hyperlink r:id="rId11" w:history="1">
        <w:r w:rsidRPr="00FA3029">
          <w:rPr>
            <w:rStyle w:val="Hypertextovprepojenie"/>
            <w:sz w:val="16"/>
            <w:szCs w:val="16"/>
          </w:rPr>
          <w:t>Uznesenie vlády č. 444/2020, materiál č. UV-14646/2020</w:t>
        </w:r>
      </w:hyperlink>
    </w:p>
  </w:footnote>
  <w:footnote w:id="46">
    <w:p w14:paraId="55EAFD4A" w14:textId="77777777" w:rsidR="00CE31C1" w:rsidRDefault="00CE31C1" w:rsidP="006E204D">
      <w:pPr>
        <w:pStyle w:val="Textpoznmkypodiarou"/>
      </w:pPr>
      <w:r w:rsidRPr="00FA3029">
        <w:rPr>
          <w:rStyle w:val="Odkaznapoznmkupodiarou"/>
          <w:sz w:val="16"/>
          <w:szCs w:val="16"/>
        </w:rPr>
        <w:footnoteRef/>
      </w:r>
      <w:r w:rsidRPr="00FA3029">
        <w:rPr>
          <w:sz w:val="16"/>
          <w:szCs w:val="16"/>
        </w:rPr>
        <w:t xml:space="preserve"> </w:t>
      </w:r>
      <w:hyperlink r:id="rId12" w:history="1">
        <w:r w:rsidRPr="00FA3029">
          <w:rPr>
            <w:rStyle w:val="Hypertextovprepojenie"/>
            <w:sz w:val="16"/>
            <w:szCs w:val="16"/>
          </w:rPr>
          <w:t>Uznesenie vlády č. 548/2011, materiál č. UV-27184/2011</w:t>
        </w:r>
      </w:hyperlink>
      <w:r>
        <w:t xml:space="preserve"> </w:t>
      </w:r>
    </w:p>
  </w:footnote>
  <w:footnote w:id="47">
    <w:p w14:paraId="3303E004" w14:textId="5FB0F288" w:rsidR="00CE31C1" w:rsidRPr="00FA3029" w:rsidRDefault="00CE31C1" w:rsidP="006E204D">
      <w:pPr>
        <w:pStyle w:val="Textpoznmkypodiarou"/>
        <w:rPr>
          <w:sz w:val="16"/>
          <w:szCs w:val="16"/>
        </w:rPr>
      </w:pPr>
      <w:r w:rsidRPr="00FA3029">
        <w:rPr>
          <w:rStyle w:val="Odkaznapoznmkupodiarou"/>
          <w:sz w:val="16"/>
          <w:szCs w:val="16"/>
        </w:rPr>
        <w:footnoteRef/>
      </w:r>
      <w:r w:rsidRPr="00FA3029">
        <w:rPr>
          <w:sz w:val="16"/>
          <w:szCs w:val="16"/>
        </w:rPr>
        <w:t xml:space="preserve"> Banskobystrickému samosprávnemu kraju 25 000 tis. eur, Košickému samosprávnemu kraju 20 000 tis. eur, Trnavskému samosprávnemu kraju 15 000 tis. eur, Žilinskému samosprávnemu kraju 8 800 tis. eur</w:t>
      </w:r>
    </w:p>
  </w:footnote>
  <w:footnote w:id="48">
    <w:p w14:paraId="36B5D504" w14:textId="77777777" w:rsidR="00CE31C1" w:rsidRDefault="00CE31C1" w:rsidP="006E204D">
      <w:pPr>
        <w:pStyle w:val="Textpoznmkypodiarou"/>
      </w:pPr>
      <w:r w:rsidRPr="00FA3029">
        <w:rPr>
          <w:rStyle w:val="Odkaznapoznmkupodiarou"/>
          <w:sz w:val="16"/>
          <w:szCs w:val="16"/>
        </w:rPr>
        <w:footnoteRef/>
      </w:r>
      <w:r w:rsidRPr="00FA3029">
        <w:rPr>
          <w:sz w:val="16"/>
          <w:szCs w:val="16"/>
        </w:rPr>
        <w:t xml:space="preserve"> Od vzniku ESM bolo použitých 793 350 tis. eur na kapitálovú účasť SR v tomto mechanizme, z toho v roku 2020 uvedených 134 150 tis. eur.</w:t>
      </w:r>
    </w:p>
  </w:footnote>
  <w:footnote w:id="49">
    <w:p w14:paraId="41AC157E" w14:textId="77777777" w:rsidR="00CE31C1" w:rsidRPr="00D715AF" w:rsidRDefault="00CE31C1" w:rsidP="00111CC0">
      <w:pPr>
        <w:pStyle w:val="Textpoznmkypodiarou"/>
        <w:rPr>
          <w:sz w:val="16"/>
          <w:szCs w:val="16"/>
        </w:rPr>
      </w:pPr>
      <w:r w:rsidRPr="00D715AF">
        <w:rPr>
          <w:rStyle w:val="Odkaznapoznmkupodiarou"/>
          <w:sz w:val="16"/>
          <w:szCs w:val="16"/>
        </w:rPr>
        <w:footnoteRef/>
      </w:r>
      <w:r w:rsidRPr="00D715AF">
        <w:rPr>
          <w:sz w:val="16"/>
          <w:szCs w:val="16"/>
        </w:rPr>
        <w:t xml:space="preserve"> Na základe uznesenie vlády SR č. 257/2020 zo dňa 28.04.2020 - </w:t>
      </w:r>
      <w:r w:rsidRPr="00D715AF">
        <w:rPr>
          <w:rFonts w:eastAsia="Calibri"/>
          <w:bCs/>
          <w:iCs/>
          <w:sz w:val="16"/>
          <w:szCs w:val="16"/>
        </w:rPr>
        <w:t>Návrh opatrení financovaných z operačných programov európskych štrukturálnych a investičných fondov na boj s pandémiou COVID-19 a odstraňovanie a zmiernenie jej dôsledkov.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0D97"/>
    <w:multiLevelType w:val="hybridMultilevel"/>
    <w:tmpl w:val="C06EB592"/>
    <w:lvl w:ilvl="0" w:tplc="602CF9E8">
      <w:start w:val="1"/>
      <w:numFmt w:val="decimal"/>
      <w:lvlText w:val="%1)"/>
      <w:lvlJc w:val="left"/>
      <w:pPr>
        <w:ind w:left="720" w:hanging="360"/>
      </w:pPr>
      <w:rPr>
        <w:rFonts w:hint="default"/>
        <w:sz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5F35EC"/>
    <w:multiLevelType w:val="hybridMultilevel"/>
    <w:tmpl w:val="B5AAD8B6"/>
    <w:lvl w:ilvl="0" w:tplc="0700F738">
      <w:start w:val="13"/>
      <w:numFmt w:val="bullet"/>
      <w:lvlText w:val="-"/>
      <w:lvlJc w:val="left"/>
      <w:pPr>
        <w:ind w:left="502"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05EB31DC"/>
    <w:multiLevelType w:val="hybridMultilevel"/>
    <w:tmpl w:val="FA6EE19E"/>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 w15:restartNumberingAfterBreak="0">
    <w:nsid w:val="09AF1F64"/>
    <w:multiLevelType w:val="hybridMultilevel"/>
    <w:tmpl w:val="5DC6EE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19818AC"/>
    <w:multiLevelType w:val="hybridMultilevel"/>
    <w:tmpl w:val="882A478E"/>
    <w:lvl w:ilvl="0" w:tplc="0700F738">
      <w:start w:val="13"/>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80251A"/>
    <w:multiLevelType w:val="hybridMultilevel"/>
    <w:tmpl w:val="0F74550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926049F"/>
    <w:multiLevelType w:val="hybridMultilevel"/>
    <w:tmpl w:val="B7D037FA"/>
    <w:lvl w:ilvl="0" w:tplc="041B0005">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ACC3F95"/>
    <w:multiLevelType w:val="hybridMultilevel"/>
    <w:tmpl w:val="0C1CD950"/>
    <w:lvl w:ilvl="0" w:tplc="7486CED2">
      <w:start w:val="1"/>
      <w:numFmt w:val="decimal"/>
      <w:lvlText w:val="%1)"/>
      <w:lvlJc w:val="left"/>
      <w:pPr>
        <w:ind w:left="720" w:hanging="360"/>
      </w:pPr>
      <w:rPr>
        <w:rFonts w:hint="default"/>
        <w:sz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CAC3A1E"/>
    <w:multiLevelType w:val="multilevel"/>
    <w:tmpl w:val="D8FAB112"/>
    <w:lvl w:ilvl="0">
      <w:start w:val="1"/>
      <w:numFmt w:val="decimal"/>
      <w:pStyle w:val="Nadpis1"/>
      <w:lvlText w:val="%1"/>
      <w:lvlJc w:val="left"/>
      <w:pPr>
        <w:ind w:left="3977" w:hanging="432"/>
      </w:pPr>
    </w:lvl>
    <w:lvl w:ilvl="1">
      <w:start w:val="1"/>
      <w:numFmt w:val="decimal"/>
      <w:pStyle w:val="Nadpis2"/>
      <w:lvlText w:val="%1.%2"/>
      <w:lvlJc w:val="left"/>
      <w:pPr>
        <w:ind w:left="576" w:hanging="576"/>
      </w:pPr>
    </w:lvl>
    <w:lvl w:ilvl="2">
      <w:start w:val="1"/>
      <w:numFmt w:val="decimal"/>
      <w:pStyle w:val="Nadpis3"/>
      <w:lvlText w:val="%1.%2.%3"/>
      <w:lvlJc w:val="left"/>
      <w:pPr>
        <w:ind w:left="2562"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1D811F48"/>
    <w:multiLevelType w:val="hybridMultilevel"/>
    <w:tmpl w:val="AA98145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2E0DCC"/>
    <w:multiLevelType w:val="hybridMultilevel"/>
    <w:tmpl w:val="17A2E6B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12D6907"/>
    <w:multiLevelType w:val="hybridMultilevel"/>
    <w:tmpl w:val="E4B6CE32"/>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27176939"/>
    <w:multiLevelType w:val="hybridMultilevel"/>
    <w:tmpl w:val="F81850D2"/>
    <w:lvl w:ilvl="0" w:tplc="0700F738">
      <w:start w:val="13"/>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C4D3DE8"/>
    <w:multiLevelType w:val="multilevel"/>
    <w:tmpl w:val="6C58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7D608E"/>
    <w:multiLevelType w:val="hybridMultilevel"/>
    <w:tmpl w:val="D06C4588"/>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32DA0A5E"/>
    <w:multiLevelType w:val="hybridMultilevel"/>
    <w:tmpl w:val="BAE0A02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38513FC9"/>
    <w:multiLevelType w:val="hybridMultilevel"/>
    <w:tmpl w:val="863E5E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3A7436C6"/>
    <w:multiLevelType w:val="hybridMultilevel"/>
    <w:tmpl w:val="349CC3E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E1E4BBE"/>
    <w:multiLevelType w:val="hybridMultilevel"/>
    <w:tmpl w:val="21CE4998"/>
    <w:lvl w:ilvl="0" w:tplc="FFFFFFFF">
      <w:start w:val="1"/>
      <w:numFmt w:val="bullet"/>
      <w:lvlText w:val=""/>
      <w:lvlJc w:val="left"/>
      <w:pPr>
        <w:ind w:left="1287" w:hanging="360"/>
      </w:pPr>
      <w:rPr>
        <w:rFonts w:ascii="Symbol" w:hAnsi="Symbol" w:hint="default"/>
      </w:rPr>
    </w:lvl>
    <w:lvl w:ilvl="1" w:tplc="041B0005">
      <w:start w:val="1"/>
      <w:numFmt w:val="bullet"/>
      <w:lvlText w:val=""/>
      <w:lvlJc w:val="left"/>
      <w:pPr>
        <w:ind w:left="1353" w:hanging="360"/>
      </w:pPr>
      <w:rPr>
        <w:rFonts w:ascii="Wingdings" w:hAnsi="Wingdings" w:hint="default"/>
      </w:rPr>
    </w:lvl>
    <w:lvl w:ilvl="2" w:tplc="041B0005">
      <w:start w:val="1"/>
      <w:numFmt w:val="bullet"/>
      <w:lvlText w:val=""/>
      <w:lvlJc w:val="left"/>
      <w:pPr>
        <w:ind w:left="2727" w:hanging="360"/>
      </w:pPr>
      <w:rPr>
        <w:rFonts w:ascii="Wingdings" w:hAnsi="Wingdings" w:hint="default"/>
      </w:rPr>
    </w:lvl>
    <w:lvl w:ilvl="3" w:tplc="AB0C57A0">
      <w:start w:val="12"/>
      <w:numFmt w:val="bullet"/>
      <w:lvlText w:val="-"/>
      <w:lvlJc w:val="left"/>
      <w:pPr>
        <w:ind w:left="3447" w:hanging="360"/>
      </w:pPr>
      <w:rPr>
        <w:rFonts w:ascii="Times New Roman" w:eastAsia="Times New Roman" w:hAnsi="Times New Roman" w:hint="default"/>
      </w:rPr>
    </w:lvl>
    <w:lvl w:ilvl="4" w:tplc="041B0003" w:tentative="1">
      <w:start w:val="1"/>
      <w:numFmt w:val="bullet"/>
      <w:lvlText w:val="o"/>
      <w:lvlJc w:val="left"/>
      <w:pPr>
        <w:ind w:left="4167" w:hanging="360"/>
      </w:pPr>
      <w:rPr>
        <w:rFonts w:ascii="Courier New" w:hAnsi="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9" w15:restartNumberingAfterBreak="0">
    <w:nsid w:val="3EA46160"/>
    <w:multiLevelType w:val="hybridMultilevel"/>
    <w:tmpl w:val="A894B8EC"/>
    <w:lvl w:ilvl="0" w:tplc="A36E3E12">
      <w:start w:val="3"/>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231167E"/>
    <w:multiLevelType w:val="hybridMultilevel"/>
    <w:tmpl w:val="12523884"/>
    <w:lvl w:ilvl="0" w:tplc="1AE66FC4">
      <w:numFmt w:val="bullet"/>
      <w:lvlText w:val="-"/>
      <w:lvlJc w:val="left"/>
      <w:pPr>
        <w:ind w:left="720" w:hanging="360"/>
      </w:pPr>
      <w:rPr>
        <w:rFonts w:ascii="Times New Roman" w:eastAsia="Times New Roman" w:hAnsi="Times New Roman" w:cs="Times New Roman"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50D53AAB"/>
    <w:multiLevelType w:val="hybridMultilevel"/>
    <w:tmpl w:val="D34A5F4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2" w15:restartNumberingAfterBreak="0">
    <w:nsid w:val="51277F1C"/>
    <w:multiLevelType w:val="hybridMultilevel"/>
    <w:tmpl w:val="C5E44DD8"/>
    <w:lvl w:ilvl="0" w:tplc="8DEC2BFC">
      <w:start w:val="883"/>
      <w:numFmt w:val="bullet"/>
      <w:lvlText w:val="-"/>
      <w:lvlJc w:val="left"/>
      <w:pPr>
        <w:ind w:left="760" w:hanging="360"/>
      </w:pPr>
      <w:rPr>
        <w:rFonts w:ascii="Arial Narrow" w:eastAsia="Times New Roman" w:hAnsi="Arial Narrow" w:cs="Times New Roman" w:hint="default"/>
      </w:rPr>
    </w:lvl>
    <w:lvl w:ilvl="1" w:tplc="041B0003" w:tentative="1">
      <w:start w:val="1"/>
      <w:numFmt w:val="bullet"/>
      <w:lvlText w:val="o"/>
      <w:lvlJc w:val="left"/>
      <w:pPr>
        <w:ind w:left="1480" w:hanging="360"/>
      </w:pPr>
      <w:rPr>
        <w:rFonts w:ascii="Courier New" w:hAnsi="Courier New" w:cs="Courier New" w:hint="default"/>
      </w:rPr>
    </w:lvl>
    <w:lvl w:ilvl="2" w:tplc="041B0005" w:tentative="1">
      <w:start w:val="1"/>
      <w:numFmt w:val="bullet"/>
      <w:lvlText w:val=""/>
      <w:lvlJc w:val="left"/>
      <w:pPr>
        <w:ind w:left="2200" w:hanging="360"/>
      </w:pPr>
      <w:rPr>
        <w:rFonts w:ascii="Wingdings" w:hAnsi="Wingdings" w:hint="default"/>
      </w:rPr>
    </w:lvl>
    <w:lvl w:ilvl="3" w:tplc="041B0001" w:tentative="1">
      <w:start w:val="1"/>
      <w:numFmt w:val="bullet"/>
      <w:lvlText w:val=""/>
      <w:lvlJc w:val="left"/>
      <w:pPr>
        <w:ind w:left="2920" w:hanging="360"/>
      </w:pPr>
      <w:rPr>
        <w:rFonts w:ascii="Symbol" w:hAnsi="Symbol" w:hint="default"/>
      </w:rPr>
    </w:lvl>
    <w:lvl w:ilvl="4" w:tplc="041B0003" w:tentative="1">
      <w:start w:val="1"/>
      <w:numFmt w:val="bullet"/>
      <w:lvlText w:val="o"/>
      <w:lvlJc w:val="left"/>
      <w:pPr>
        <w:ind w:left="3640" w:hanging="360"/>
      </w:pPr>
      <w:rPr>
        <w:rFonts w:ascii="Courier New" w:hAnsi="Courier New" w:cs="Courier New" w:hint="default"/>
      </w:rPr>
    </w:lvl>
    <w:lvl w:ilvl="5" w:tplc="041B0005" w:tentative="1">
      <w:start w:val="1"/>
      <w:numFmt w:val="bullet"/>
      <w:lvlText w:val=""/>
      <w:lvlJc w:val="left"/>
      <w:pPr>
        <w:ind w:left="4360" w:hanging="360"/>
      </w:pPr>
      <w:rPr>
        <w:rFonts w:ascii="Wingdings" w:hAnsi="Wingdings" w:hint="default"/>
      </w:rPr>
    </w:lvl>
    <w:lvl w:ilvl="6" w:tplc="041B0001" w:tentative="1">
      <w:start w:val="1"/>
      <w:numFmt w:val="bullet"/>
      <w:lvlText w:val=""/>
      <w:lvlJc w:val="left"/>
      <w:pPr>
        <w:ind w:left="5080" w:hanging="360"/>
      </w:pPr>
      <w:rPr>
        <w:rFonts w:ascii="Symbol" w:hAnsi="Symbol" w:hint="default"/>
      </w:rPr>
    </w:lvl>
    <w:lvl w:ilvl="7" w:tplc="041B0003" w:tentative="1">
      <w:start w:val="1"/>
      <w:numFmt w:val="bullet"/>
      <w:lvlText w:val="o"/>
      <w:lvlJc w:val="left"/>
      <w:pPr>
        <w:ind w:left="5800" w:hanging="360"/>
      </w:pPr>
      <w:rPr>
        <w:rFonts w:ascii="Courier New" w:hAnsi="Courier New" w:cs="Courier New" w:hint="default"/>
      </w:rPr>
    </w:lvl>
    <w:lvl w:ilvl="8" w:tplc="041B0005" w:tentative="1">
      <w:start w:val="1"/>
      <w:numFmt w:val="bullet"/>
      <w:lvlText w:val=""/>
      <w:lvlJc w:val="left"/>
      <w:pPr>
        <w:ind w:left="6520" w:hanging="360"/>
      </w:pPr>
      <w:rPr>
        <w:rFonts w:ascii="Wingdings" w:hAnsi="Wingdings" w:hint="default"/>
      </w:rPr>
    </w:lvl>
  </w:abstractNum>
  <w:abstractNum w:abstractNumId="23" w15:restartNumberingAfterBreak="0">
    <w:nsid w:val="53D42E79"/>
    <w:multiLevelType w:val="hybridMultilevel"/>
    <w:tmpl w:val="0DF82906"/>
    <w:lvl w:ilvl="0" w:tplc="E9EA3ADA">
      <w:start w:val="5"/>
      <w:numFmt w:val="bullet"/>
      <w:lvlText w:val="-"/>
      <w:lvlJc w:val="left"/>
      <w:pPr>
        <w:ind w:left="1068" w:hanging="360"/>
      </w:pPr>
      <w:rPr>
        <w:rFonts w:ascii="Calibri" w:eastAsia="Calibri" w:hAnsi="Calibri"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24" w15:restartNumberingAfterBreak="0">
    <w:nsid w:val="565826BB"/>
    <w:multiLevelType w:val="hybridMultilevel"/>
    <w:tmpl w:val="E3FE22E6"/>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5" w15:restartNumberingAfterBreak="0">
    <w:nsid w:val="5A6927AD"/>
    <w:multiLevelType w:val="hybridMultilevel"/>
    <w:tmpl w:val="BA7A67F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D280FDC"/>
    <w:multiLevelType w:val="hybridMultilevel"/>
    <w:tmpl w:val="5C06B272"/>
    <w:lvl w:ilvl="0" w:tplc="0700F738">
      <w:start w:val="13"/>
      <w:numFmt w:val="bullet"/>
      <w:lvlText w:val="-"/>
      <w:lvlJc w:val="left"/>
      <w:pPr>
        <w:ind w:left="1428" w:hanging="360"/>
      </w:pPr>
      <w:rPr>
        <w:rFonts w:ascii="Calibri" w:eastAsia="Calibri" w:hAnsi="Calibri"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7" w15:restartNumberingAfterBreak="0">
    <w:nsid w:val="5E041085"/>
    <w:multiLevelType w:val="multilevel"/>
    <w:tmpl w:val="227C4886"/>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FC55E4A"/>
    <w:multiLevelType w:val="hybridMultilevel"/>
    <w:tmpl w:val="B28C50EC"/>
    <w:lvl w:ilvl="0" w:tplc="11FAF0F0">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9" w15:restartNumberingAfterBreak="0">
    <w:nsid w:val="63296CFC"/>
    <w:multiLevelType w:val="multilevel"/>
    <w:tmpl w:val="9C68BA8A"/>
    <w:lvl w:ilvl="0">
      <w:start w:val="1"/>
      <w:numFmt w:val="decimal"/>
      <w:lvlText w:val="%1"/>
      <w:lvlJc w:val="left"/>
      <w:pPr>
        <w:ind w:left="8087"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950" w:hanging="720"/>
      </w:pPr>
      <w:rPr>
        <w:rFonts w:cs="Times New Roman"/>
      </w:rPr>
    </w:lvl>
    <w:lvl w:ilvl="3">
      <w:start w:val="1"/>
      <w:numFmt w:val="decimal"/>
      <w:lvlText w:val="%1.%2.%3.%4"/>
      <w:lvlJc w:val="left"/>
      <w:pPr>
        <w:ind w:left="9510"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0" w15:restartNumberingAfterBreak="0">
    <w:nsid w:val="664D5586"/>
    <w:multiLevelType w:val="hybridMultilevel"/>
    <w:tmpl w:val="A154BC5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A365A7E"/>
    <w:multiLevelType w:val="multilevel"/>
    <w:tmpl w:val="D16497FC"/>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2" w15:restartNumberingAfterBreak="0">
    <w:nsid w:val="6BFA1DF4"/>
    <w:multiLevelType w:val="hybridMultilevel"/>
    <w:tmpl w:val="C0FAE32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CB6461F"/>
    <w:multiLevelType w:val="hybridMultilevel"/>
    <w:tmpl w:val="0402317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E22678B"/>
    <w:multiLevelType w:val="hybridMultilevel"/>
    <w:tmpl w:val="39D2BF1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E45B1F"/>
    <w:multiLevelType w:val="hybridMultilevel"/>
    <w:tmpl w:val="9ECC9694"/>
    <w:lvl w:ilvl="0" w:tplc="C5B8B85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679511E"/>
    <w:multiLevelType w:val="hybridMultilevel"/>
    <w:tmpl w:val="23F61EEC"/>
    <w:lvl w:ilvl="0" w:tplc="24E6EF4E">
      <w:start w:val="80"/>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7" w15:restartNumberingAfterBreak="0">
    <w:nsid w:val="785775C6"/>
    <w:multiLevelType w:val="hybridMultilevel"/>
    <w:tmpl w:val="D8F82C0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AC23C6C"/>
    <w:multiLevelType w:val="hybridMultilevel"/>
    <w:tmpl w:val="4D9E1BF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7D433C2A"/>
    <w:multiLevelType w:val="hybridMultilevel"/>
    <w:tmpl w:val="AEC8A67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27"/>
  </w:num>
  <w:num w:numId="5">
    <w:abstractNumId w:val="34"/>
  </w:num>
  <w:num w:numId="6">
    <w:abstractNumId w:val="19"/>
  </w:num>
  <w:num w:numId="7">
    <w:abstractNumId w:val="4"/>
  </w:num>
  <w:num w:numId="8">
    <w:abstractNumId w:val="12"/>
  </w:num>
  <w:num w:numId="9">
    <w:abstractNumId w:val="26"/>
  </w:num>
  <w:num w:numId="10">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3"/>
  </w:num>
  <w:num w:numId="13">
    <w:abstractNumId w:val="28"/>
  </w:num>
  <w:num w:numId="14">
    <w:abstractNumId w:val="24"/>
  </w:num>
  <w:num w:numId="15">
    <w:abstractNumId w:val="18"/>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3"/>
  </w:num>
  <w:num w:numId="20">
    <w:abstractNumId w:val="36"/>
  </w:num>
  <w:num w:numId="21">
    <w:abstractNumId w:val="9"/>
  </w:num>
  <w:num w:numId="22">
    <w:abstractNumId w:val="37"/>
  </w:num>
  <w:num w:numId="23">
    <w:abstractNumId w:val="22"/>
  </w:num>
  <w:num w:numId="24">
    <w:abstractNumId w:val="33"/>
  </w:num>
  <w:num w:numId="25">
    <w:abstractNumId w:val="17"/>
  </w:num>
  <w:num w:numId="26">
    <w:abstractNumId w:val="30"/>
  </w:num>
  <w:num w:numId="27">
    <w:abstractNumId w:val="5"/>
  </w:num>
  <w:num w:numId="28">
    <w:abstractNumId w:val="11"/>
  </w:num>
  <w:num w:numId="29">
    <w:abstractNumId w:val="8"/>
  </w:num>
  <w:num w:numId="30">
    <w:abstractNumId w:val="7"/>
  </w:num>
  <w:num w:numId="31">
    <w:abstractNumId w:val="0"/>
  </w:num>
  <w:num w:numId="32">
    <w:abstractNumId w:val="32"/>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1"/>
  </w:num>
  <w:num w:numId="36">
    <w:abstractNumId w:val="8"/>
    <w:lvlOverride w:ilvl="0">
      <w:startOverride w:val="3"/>
    </w:lvlOverride>
    <w:lvlOverride w:ilvl="1">
      <w:startOverride w:val="2"/>
    </w:lvlOverride>
    <w:lvlOverride w:ilvl="2">
      <w:startOverride w:val="5"/>
    </w:lvlOverride>
  </w:num>
  <w:num w:numId="37">
    <w:abstractNumId w:val="20"/>
  </w:num>
  <w:num w:numId="38">
    <w:abstractNumId w:val="2"/>
  </w:num>
  <w:num w:numId="39">
    <w:abstractNumId w:val="39"/>
  </w:num>
  <w:num w:numId="40">
    <w:abstractNumId w:val="25"/>
  </w:num>
  <w:num w:numId="41">
    <w:abstractNumId w:val="10"/>
  </w:num>
  <w:num w:numId="42">
    <w:abstractNumId w:val="13"/>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hideGrammaticalErrors/>
  <w:proofState w:spelling="clean"/>
  <w:defaultTabStop w:val="510"/>
  <w:hyphenationZone w:val="425"/>
  <w:evenAndOddHeaders/>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B4"/>
    <w:rsid w:val="000009AA"/>
    <w:rsid w:val="00002B52"/>
    <w:rsid w:val="00002C07"/>
    <w:rsid w:val="00003185"/>
    <w:rsid w:val="00004436"/>
    <w:rsid w:val="0000559C"/>
    <w:rsid w:val="00005FDB"/>
    <w:rsid w:val="00006FC6"/>
    <w:rsid w:val="00007C06"/>
    <w:rsid w:val="000106B9"/>
    <w:rsid w:val="00010C37"/>
    <w:rsid w:val="00011ABC"/>
    <w:rsid w:val="0001332C"/>
    <w:rsid w:val="00014F97"/>
    <w:rsid w:val="000156A6"/>
    <w:rsid w:val="000160CA"/>
    <w:rsid w:val="000172A6"/>
    <w:rsid w:val="000203FA"/>
    <w:rsid w:val="00020746"/>
    <w:rsid w:val="00021DF5"/>
    <w:rsid w:val="00021EB3"/>
    <w:rsid w:val="00022082"/>
    <w:rsid w:val="0002242F"/>
    <w:rsid w:val="000227C0"/>
    <w:rsid w:val="000235AD"/>
    <w:rsid w:val="0002384D"/>
    <w:rsid w:val="000247A8"/>
    <w:rsid w:val="00024990"/>
    <w:rsid w:val="00024D82"/>
    <w:rsid w:val="000265AB"/>
    <w:rsid w:val="00026608"/>
    <w:rsid w:val="00027919"/>
    <w:rsid w:val="00030868"/>
    <w:rsid w:val="000313E4"/>
    <w:rsid w:val="000316FB"/>
    <w:rsid w:val="000337EE"/>
    <w:rsid w:val="000347AD"/>
    <w:rsid w:val="0003538A"/>
    <w:rsid w:val="00035949"/>
    <w:rsid w:val="0003620E"/>
    <w:rsid w:val="000379CA"/>
    <w:rsid w:val="00040457"/>
    <w:rsid w:val="0004106B"/>
    <w:rsid w:val="00042458"/>
    <w:rsid w:val="0004373C"/>
    <w:rsid w:val="00044F35"/>
    <w:rsid w:val="00045828"/>
    <w:rsid w:val="0004591C"/>
    <w:rsid w:val="00045BE3"/>
    <w:rsid w:val="00046082"/>
    <w:rsid w:val="0004633C"/>
    <w:rsid w:val="00046382"/>
    <w:rsid w:val="00047A6B"/>
    <w:rsid w:val="00047D17"/>
    <w:rsid w:val="00047F86"/>
    <w:rsid w:val="00050148"/>
    <w:rsid w:val="000503CE"/>
    <w:rsid w:val="00051013"/>
    <w:rsid w:val="00051DD2"/>
    <w:rsid w:val="0005259F"/>
    <w:rsid w:val="000535E8"/>
    <w:rsid w:val="00053BA4"/>
    <w:rsid w:val="00053C7A"/>
    <w:rsid w:val="00054518"/>
    <w:rsid w:val="000550BC"/>
    <w:rsid w:val="00056CD8"/>
    <w:rsid w:val="00057121"/>
    <w:rsid w:val="00057E5C"/>
    <w:rsid w:val="0006055A"/>
    <w:rsid w:val="00062135"/>
    <w:rsid w:val="000633AA"/>
    <w:rsid w:val="00063B08"/>
    <w:rsid w:val="00063F2E"/>
    <w:rsid w:val="00064795"/>
    <w:rsid w:val="00064D2C"/>
    <w:rsid w:val="00065E4A"/>
    <w:rsid w:val="00066627"/>
    <w:rsid w:val="00070082"/>
    <w:rsid w:val="000702C3"/>
    <w:rsid w:val="0007053F"/>
    <w:rsid w:val="000705FB"/>
    <w:rsid w:val="00070A80"/>
    <w:rsid w:val="00071652"/>
    <w:rsid w:val="0007167C"/>
    <w:rsid w:val="00071D40"/>
    <w:rsid w:val="00072BE7"/>
    <w:rsid w:val="0007321A"/>
    <w:rsid w:val="000736E0"/>
    <w:rsid w:val="00073B7D"/>
    <w:rsid w:val="00073BD6"/>
    <w:rsid w:val="00074436"/>
    <w:rsid w:val="000746D4"/>
    <w:rsid w:val="000747B5"/>
    <w:rsid w:val="000747E2"/>
    <w:rsid w:val="000748F9"/>
    <w:rsid w:val="000754AC"/>
    <w:rsid w:val="00076C23"/>
    <w:rsid w:val="000779E1"/>
    <w:rsid w:val="00077D54"/>
    <w:rsid w:val="00077E5D"/>
    <w:rsid w:val="000801AF"/>
    <w:rsid w:val="000812C5"/>
    <w:rsid w:val="000821CD"/>
    <w:rsid w:val="000821EE"/>
    <w:rsid w:val="0008303C"/>
    <w:rsid w:val="00083F62"/>
    <w:rsid w:val="00084D1A"/>
    <w:rsid w:val="0008539A"/>
    <w:rsid w:val="0008566D"/>
    <w:rsid w:val="000858FD"/>
    <w:rsid w:val="000866C2"/>
    <w:rsid w:val="0008687F"/>
    <w:rsid w:val="00087077"/>
    <w:rsid w:val="000870CD"/>
    <w:rsid w:val="000909A0"/>
    <w:rsid w:val="00090D49"/>
    <w:rsid w:val="000911E5"/>
    <w:rsid w:val="00091942"/>
    <w:rsid w:val="000920F8"/>
    <w:rsid w:val="0009362B"/>
    <w:rsid w:val="00093D4B"/>
    <w:rsid w:val="00094327"/>
    <w:rsid w:val="00094785"/>
    <w:rsid w:val="000956A5"/>
    <w:rsid w:val="000961B7"/>
    <w:rsid w:val="00096A96"/>
    <w:rsid w:val="00097736"/>
    <w:rsid w:val="00097D1A"/>
    <w:rsid w:val="00097F73"/>
    <w:rsid w:val="000A08FC"/>
    <w:rsid w:val="000A2B3E"/>
    <w:rsid w:val="000A2B5E"/>
    <w:rsid w:val="000A2CD1"/>
    <w:rsid w:val="000A37A5"/>
    <w:rsid w:val="000A3929"/>
    <w:rsid w:val="000A3C84"/>
    <w:rsid w:val="000A3E55"/>
    <w:rsid w:val="000A3EDD"/>
    <w:rsid w:val="000A3FA3"/>
    <w:rsid w:val="000A43B3"/>
    <w:rsid w:val="000A4AFB"/>
    <w:rsid w:val="000A5247"/>
    <w:rsid w:val="000A6683"/>
    <w:rsid w:val="000A69B1"/>
    <w:rsid w:val="000B07EE"/>
    <w:rsid w:val="000B11F9"/>
    <w:rsid w:val="000B224E"/>
    <w:rsid w:val="000B2434"/>
    <w:rsid w:val="000B3FA7"/>
    <w:rsid w:val="000B476C"/>
    <w:rsid w:val="000B4A89"/>
    <w:rsid w:val="000B5651"/>
    <w:rsid w:val="000B61F4"/>
    <w:rsid w:val="000B6FD6"/>
    <w:rsid w:val="000B75C0"/>
    <w:rsid w:val="000B7718"/>
    <w:rsid w:val="000B78C4"/>
    <w:rsid w:val="000B790D"/>
    <w:rsid w:val="000C03E3"/>
    <w:rsid w:val="000C0B4D"/>
    <w:rsid w:val="000C19A7"/>
    <w:rsid w:val="000C2381"/>
    <w:rsid w:val="000C2605"/>
    <w:rsid w:val="000C2D17"/>
    <w:rsid w:val="000C4CC0"/>
    <w:rsid w:val="000C4F76"/>
    <w:rsid w:val="000C5B4E"/>
    <w:rsid w:val="000C6109"/>
    <w:rsid w:val="000C6F8E"/>
    <w:rsid w:val="000C71F6"/>
    <w:rsid w:val="000C74CA"/>
    <w:rsid w:val="000C7E91"/>
    <w:rsid w:val="000D0294"/>
    <w:rsid w:val="000D0C1A"/>
    <w:rsid w:val="000D0C9C"/>
    <w:rsid w:val="000D1669"/>
    <w:rsid w:val="000D18AA"/>
    <w:rsid w:val="000D1FAF"/>
    <w:rsid w:val="000D1FBA"/>
    <w:rsid w:val="000D2302"/>
    <w:rsid w:val="000D3F48"/>
    <w:rsid w:val="000D42C0"/>
    <w:rsid w:val="000D4942"/>
    <w:rsid w:val="000D5C00"/>
    <w:rsid w:val="000D5CED"/>
    <w:rsid w:val="000D5D8D"/>
    <w:rsid w:val="000D6114"/>
    <w:rsid w:val="000D731D"/>
    <w:rsid w:val="000E0B50"/>
    <w:rsid w:val="000E0E99"/>
    <w:rsid w:val="000E1594"/>
    <w:rsid w:val="000E18B3"/>
    <w:rsid w:val="000E2643"/>
    <w:rsid w:val="000E4EE1"/>
    <w:rsid w:val="000E67F6"/>
    <w:rsid w:val="000E6900"/>
    <w:rsid w:val="000F02FD"/>
    <w:rsid w:val="000F07B6"/>
    <w:rsid w:val="000F0D26"/>
    <w:rsid w:val="000F157D"/>
    <w:rsid w:val="000F21D2"/>
    <w:rsid w:val="000F375D"/>
    <w:rsid w:val="000F3834"/>
    <w:rsid w:val="000F4980"/>
    <w:rsid w:val="000F4E7E"/>
    <w:rsid w:val="000F5B64"/>
    <w:rsid w:val="000F6518"/>
    <w:rsid w:val="000F72B5"/>
    <w:rsid w:val="000F7410"/>
    <w:rsid w:val="000F751F"/>
    <w:rsid w:val="000F7527"/>
    <w:rsid w:val="000F7646"/>
    <w:rsid w:val="000F7DD7"/>
    <w:rsid w:val="0010031C"/>
    <w:rsid w:val="0010106D"/>
    <w:rsid w:val="001027C7"/>
    <w:rsid w:val="00102BBA"/>
    <w:rsid w:val="001033F9"/>
    <w:rsid w:val="001048BE"/>
    <w:rsid w:val="00104953"/>
    <w:rsid w:val="001049B6"/>
    <w:rsid w:val="00104B0B"/>
    <w:rsid w:val="0010515D"/>
    <w:rsid w:val="001051D8"/>
    <w:rsid w:val="0010567A"/>
    <w:rsid w:val="00105B67"/>
    <w:rsid w:val="00105BF8"/>
    <w:rsid w:val="00110CA4"/>
    <w:rsid w:val="0011109D"/>
    <w:rsid w:val="00111CC0"/>
    <w:rsid w:val="00111D91"/>
    <w:rsid w:val="00111E27"/>
    <w:rsid w:val="00112134"/>
    <w:rsid w:val="00112357"/>
    <w:rsid w:val="00112E7C"/>
    <w:rsid w:val="00112ECB"/>
    <w:rsid w:val="00114152"/>
    <w:rsid w:val="00114612"/>
    <w:rsid w:val="00114A29"/>
    <w:rsid w:val="001153B0"/>
    <w:rsid w:val="0011636A"/>
    <w:rsid w:val="00116BCD"/>
    <w:rsid w:val="00116EA0"/>
    <w:rsid w:val="001179AC"/>
    <w:rsid w:val="001200B1"/>
    <w:rsid w:val="0012020C"/>
    <w:rsid w:val="001205FE"/>
    <w:rsid w:val="00120749"/>
    <w:rsid w:val="0012087C"/>
    <w:rsid w:val="00122D00"/>
    <w:rsid w:val="00122D65"/>
    <w:rsid w:val="0012566C"/>
    <w:rsid w:val="0012574B"/>
    <w:rsid w:val="00125DC5"/>
    <w:rsid w:val="001273F0"/>
    <w:rsid w:val="00127C08"/>
    <w:rsid w:val="00127DA4"/>
    <w:rsid w:val="0013027B"/>
    <w:rsid w:val="00130426"/>
    <w:rsid w:val="001311E9"/>
    <w:rsid w:val="00131246"/>
    <w:rsid w:val="00133B51"/>
    <w:rsid w:val="00135126"/>
    <w:rsid w:val="001359C3"/>
    <w:rsid w:val="00135AFC"/>
    <w:rsid w:val="00135D9E"/>
    <w:rsid w:val="00136895"/>
    <w:rsid w:val="00136C54"/>
    <w:rsid w:val="001376BA"/>
    <w:rsid w:val="001402E1"/>
    <w:rsid w:val="00140B5A"/>
    <w:rsid w:val="00141083"/>
    <w:rsid w:val="00141A5D"/>
    <w:rsid w:val="001432A2"/>
    <w:rsid w:val="001436B3"/>
    <w:rsid w:val="00143C91"/>
    <w:rsid w:val="00143CA3"/>
    <w:rsid w:val="00144775"/>
    <w:rsid w:val="00146229"/>
    <w:rsid w:val="00150B92"/>
    <w:rsid w:val="00150F61"/>
    <w:rsid w:val="0015169B"/>
    <w:rsid w:val="00151971"/>
    <w:rsid w:val="00151F12"/>
    <w:rsid w:val="00153857"/>
    <w:rsid w:val="001547BC"/>
    <w:rsid w:val="00154AB2"/>
    <w:rsid w:val="0015633C"/>
    <w:rsid w:val="00156FC4"/>
    <w:rsid w:val="00161134"/>
    <w:rsid w:val="00161914"/>
    <w:rsid w:val="0016220A"/>
    <w:rsid w:val="00162608"/>
    <w:rsid w:val="00162CED"/>
    <w:rsid w:val="00164FE8"/>
    <w:rsid w:val="00165021"/>
    <w:rsid w:val="0016515E"/>
    <w:rsid w:val="00165360"/>
    <w:rsid w:val="00165E7D"/>
    <w:rsid w:val="00165F88"/>
    <w:rsid w:val="001665F3"/>
    <w:rsid w:val="00166B38"/>
    <w:rsid w:val="00167C7A"/>
    <w:rsid w:val="001706CF"/>
    <w:rsid w:val="0017186F"/>
    <w:rsid w:val="00171ABF"/>
    <w:rsid w:val="001726E9"/>
    <w:rsid w:val="00172AA1"/>
    <w:rsid w:val="0017407C"/>
    <w:rsid w:val="001742D7"/>
    <w:rsid w:val="001747AE"/>
    <w:rsid w:val="00174B01"/>
    <w:rsid w:val="001757A1"/>
    <w:rsid w:val="00176102"/>
    <w:rsid w:val="00176C4A"/>
    <w:rsid w:val="00177948"/>
    <w:rsid w:val="001802D9"/>
    <w:rsid w:val="001811C6"/>
    <w:rsid w:val="00181EAF"/>
    <w:rsid w:val="00184143"/>
    <w:rsid w:val="00184BAC"/>
    <w:rsid w:val="00184D2D"/>
    <w:rsid w:val="00185548"/>
    <w:rsid w:val="001859BD"/>
    <w:rsid w:val="00186138"/>
    <w:rsid w:val="00186A4D"/>
    <w:rsid w:val="00187814"/>
    <w:rsid w:val="00187F9D"/>
    <w:rsid w:val="001903EC"/>
    <w:rsid w:val="001908BA"/>
    <w:rsid w:val="0019171E"/>
    <w:rsid w:val="00191E3C"/>
    <w:rsid w:val="00192236"/>
    <w:rsid w:val="00192270"/>
    <w:rsid w:val="00192B3E"/>
    <w:rsid w:val="001931A3"/>
    <w:rsid w:val="00193358"/>
    <w:rsid w:val="00194FA4"/>
    <w:rsid w:val="00195857"/>
    <w:rsid w:val="00195AB8"/>
    <w:rsid w:val="00195FE3"/>
    <w:rsid w:val="0019620A"/>
    <w:rsid w:val="00197430"/>
    <w:rsid w:val="0019788F"/>
    <w:rsid w:val="001A0195"/>
    <w:rsid w:val="001A0EE8"/>
    <w:rsid w:val="001A14AF"/>
    <w:rsid w:val="001A1586"/>
    <w:rsid w:val="001A1993"/>
    <w:rsid w:val="001A1F07"/>
    <w:rsid w:val="001A2E80"/>
    <w:rsid w:val="001A333C"/>
    <w:rsid w:val="001A38B4"/>
    <w:rsid w:val="001A4B6D"/>
    <w:rsid w:val="001A55BE"/>
    <w:rsid w:val="001A56BA"/>
    <w:rsid w:val="001A5BBF"/>
    <w:rsid w:val="001A66EA"/>
    <w:rsid w:val="001A797B"/>
    <w:rsid w:val="001B072E"/>
    <w:rsid w:val="001B1225"/>
    <w:rsid w:val="001B148C"/>
    <w:rsid w:val="001B1630"/>
    <w:rsid w:val="001B1B8E"/>
    <w:rsid w:val="001B1FCB"/>
    <w:rsid w:val="001B29DD"/>
    <w:rsid w:val="001B2D89"/>
    <w:rsid w:val="001B34E6"/>
    <w:rsid w:val="001B382F"/>
    <w:rsid w:val="001B38AF"/>
    <w:rsid w:val="001B399E"/>
    <w:rsid w:val="001B4083"/>
    <w:rsid w:val="001B774D"/>
    <w:rsid w:val="001B7A1A"/>
    <w:rsid w:val="001C0A69"/>
    <w:rsid w:val="001C0BCD"/>
    <w:rsid w:val="001C119A"/>
    <w:rsid w:val="001C159F"/>
    <w:rsid w:val="001C2606"/>
    <w:rsid w:val="001C2A0B"/>
    <w:rsid w:val="001C2E29"/>
    <w:rsid w:val="001C3737"/>
    <w:rsid w:val="001C37AC"/>
    <w:rsid w:val="001C3AA5"/>
    <w:rsid w:val="001C47F8"/>
    <w:rsid w:val="001C4CA7"/>
    <w:rsid w:val="001C4DF1"/>
    <w:rsid w:val="001C4E82"/>
    <w:rsid w:val="001C531B"/>
    <w:rsid w:val="001C6F9E"/>
    <w:rsid w:val="001C798E"/>
    <w:rsid w:val="001D0B23"/>
    <w:rsid w:val="001D0D92"/>
    <w:rsid w:val="001D2108"/>
    <w:rsid w:val="001D31B8"/>
    <w:rsid w:val="001D580F"/>
    <w:rsid w:val="001D59C7"/>
    <w:rsid w:val="001D5F54"/>
    <w:rsid w:val="001D79DF"/>
    <w:rsid w:val="001E0C46"/>
    <w:rsid w:val="001E195E"/>
    <w:rsid w:val="001E1E5F"/>
    <w:rsid w:val="001E2155"/>
    <w:rsid w:val="001E345C"/>
    <w:rsid w:val="001E493B"/>
    <w:rsid w:val="001E5172"/>
    <w:rsid w:val="001E7237"/>
    <w:rsid w:val="001E76AC"/>
    <w:rsid w:val="001E7D83"/>
    <w:rsid w:val="001F0570"/>
    <w:rsid w:val="001F121E"/>
    <w:rsid w:val="001F131C"/>
    <w:rsid w:val="001F20A6"/>
    <w:rsid w:val="001F21CC"/>
    <w:rsid w:val="001F2757"/>
    <w:rsid w:val="001F4330"/>
    <w:rsid w:val="001F469D"/>
    <w:rsid w:val="001F4CEA"/>
    <w:rsid w:val="001F4D7C"/>
    <w:rsid w:val="001F55C8"/>
    <w:rsid w:val="001F588C"/>
    <w:rsid w:val="001F6F5A"/>
    <w:rsid w:val="001F723D"/>
    <w:rsid w:val="001F7763"/>
    <w:rsid w:val="001F7AF8"/>
    <w:rsid w:val="00200966"/>
    <w:rsid w:val="00201CFC"/>
    <w:rsid w:val="00202B2E"/>
    <w:rsid w:val="002031C9"/>
    <w:rsid w:val="00203665"/>
    <w:rsid w:val="00203AA3"/>
    <w:rsid w:val="002046BA"/>
    <w:rsid w:val="00204F56"/>
    <w:rsid w:val="002059E7"/>
    <w:rsid w:val="00205FD1"/>
    <w:rsid w:val="00207550"/>
    <w:rsid w:val="00207768"/>
    <w:rsid w:val="00207875"/>
    <w:rsid w:val="00210671"/>
    <w:rsid w:val="00210FD1"/>
    <w:rsid w:val="00211789"/>
    <w:rsid w:val="00211BE4"/>
    <w:rsid w:val="00213151"/>
    <w:rsid w:val="0021355F"/>
    <w:rsid w:val="0021385B"/>
    <w:rsid w:val="00214802"/>
    <w:rsid w:val="002152E9"/>
    <w:rsid w:val="00215466"/>
    <w:rsid w:val="002166EB"/>
    <w:rsid w:val="002168AC"/>
    <w:rsid w:val="00216D4C"/>
    <w:rsid w:val="00220F9B"/>
    <w:rsid w:val="00223D6E"/>
    <w:rsid w:val="00223DE6"/>
    <w:rsid w:val="002253FA"/>
    <w:rsid w:val="002272DE"/>
    <w:rsid w:val="0022797E"/>
    <w:rsid w:val="00230EC4"/>
    <w:rsid w:val="00230FD6"/>
    <w:rsid w:val="0023176D"/>
    <w:rsid w:val="00231D4D"/>
    <w:rsid w:val="002321A0"/>
    <w:rsid w:val="00233CD5"/>
    <w:rsid w:val="002347A1"/>
    <w:rsid w:val="0023509E"/>
    <w:rsid w:val="0023537F"/>
    <w:rsid w:val="002358F0"/>
    <w:rsid w:val="00235FDB"/>
    <w:rsid w:val="002363AD"/>
    <w:rsid w:val="00237058"/>
    <w:rsid w:val="002379D7"/>
    <w:rsid w:val="002405B6"/>
    <w:rsid w:val="0024131C"/>
    <w:rsid w:val="00241ED1"/>
    <w:rsid w:val="00242BE6"/>
    <w:rsid w:val="0024394A"/>
    <w:rsid w:val="00244138"/>
    <w:rsid w:val="00246CF3"/>
    <w:rsid w:val="00246E8A"/>
    <w:rsid w:val="00250BFC"/>
    <w:rsid w:val="00251DF4"/>
    <w:rsid w:val="002536EA"/>
    <w:rsid w:val="00253925"/>
    <w:rsid w:val="00254F4F"/>
    <w:rsid w:val="002604CC"/>
    <w:rsid w:val="00260B27"/>
    <w:rsid w:val="00263348"/>
    <w:rsid w:val="00266F0E"/>
    <w:rsid w:val="00270836"/>
    <w:rsid w:val="00271111"/>
    <w:rsid w:val="00272FD4"/>
    <w:rsid w:val="0027346F"/>
    <w:rsid w:val="002734DC"/>
    <w:rsid w:val="002739FA"/>
    <w:rsid w:val="0027509D"/>
    <w:rsid w:val="00275367"/>
    <w:rsid w:val="00275CDA"/>
    <w:rsid w:val="00276DC3"/>
    <w:rsid w:val="00276E75"/>
    <w:rsid w:val="00280521"/>
    <w:rsid w:val="00280735"/>
    <w:rsid w:val="00281281"/>
    <w:rsid w:val="0028379F"/>
    <w:rsid w:val="00284EB4"/>
    <w:rsid w:val="00285018"/>
    <w:rsid w:val="00285695"/>
    <w:rsid w:val="00285C26"/>
    <w:rsid w:val="00285FC4"/>
    <w:rsid w:val="00286D65"/>
    <w:rsid w:val="002874DF"/>
    <w:rsid w:val="002900DE"/>
    <w:rsid w:val="00290B39"/>
    <w:rsid w:val="002910FA"/>
    <w:rsid w:val="00291B8E"/>
    <w:rsid w:val="00291BCA"/>
    <w:rsid w:val="002923BD"/>
    <w:rsid w:val="00292A98"/>
    <w:rsid w:val="0029368D"/>
    <w:rsid w:val="00294E64"/>
    <w:rsid w:val="00294F97"/>
    <w:rsid w:val="00295A10"/>
    <w:rsid w:val="00296228"/>
    <w:rsid w:val="0029681C"/>
    <w:rsid w:val="002A0DA6"/>
    <w:rsid w:val="002A21EC"/>
    <w:rsid w:val="002A2A77"/>
    <w:rsid w:val="002A2EAF"/>
    <w:rsid w:val="002A3869"/>
    <w:rsid w:val="002A3E52"/>
    <w:rsid w:val="002A4114"/>
    <w:rsid w:val="002A452D"/>
    <w:rsid w:val="002A4A8A"/>
    <w:rsid w:val="002A4D0B"/>
    <w:rsid w:val="002A4F8F"/>
    <w:rsid w:val="002A5B11"/>
    <w:rsid w:val="002A7B86"/>
    <w:rsid w:val="002A7F5E"/>
    <w:rsid w:val="002B058C"/>
    <w:rsid w:val="002B100E"/>
    <w:rsid w:val="002B1164"/>
    <w:rsid w:val="002B1F0F"/>
    <w:rsid w:val="002B2B4E"/>
    <w:rsid w:val="002B427F"/>
    <w:rsid w:val="002B49D7"/>
    <w:rsid w:val="002B4CA3"/>
    <w:rsid w:val="002B4F8D"/>
    <w:rsid w:val="002B6078"/>
    <w:rsid w:val="002B68D0"/>
    <w:rsid w:val="002B6E3F"/>
    <w:rsid w:val="002C09C6"/>
    <w:rsid w:val="002C0D06"/>
    <w:rsid w:val="002C37B2"/>
    <w:rsid w:val="002C51C0"/>
    <w:rsid w:val="002C534E"/>
    <w:rsid w:val="002C5374"/>
    <w:rsid w:val="002C610D"/>
    <w:rsid w:val="002C6D0B"/>
    <w:rsid w:val="002C705A"/>
    <w:rsid w:val="002C758A"/>
    <w:rsid w:val="002D0CEA"/>
    <w:rsid w:val="002D0D67"/>
    <w:rsid w:val="002D224F"/>
    <w:rsid w:val="002D2470"/>
    <w:rsid w:val="002D374A"/>
    <w:rsid w:val="002D4ED5"/>
    <w:rsid w:val="002D67BA"/>
    <w:rsid w:val="002D6BA3"/>
    <w:rsid w:val="002D7346"/>
    <w:rsid w:val="002E0DFC"/>
    <w:rsid w:val="002E0E9B"/>
    <w:rsid w:val="002E1517"/>
    <w:rsid w:val="002E1BC0"/>
    <w:rsid w:val="002E2A66"/>
    <w:rsid w:val="002E30AA"/>
    <w:rsid w:val="002E30D8"/>
    <w:rsid w:val="002E36BC"/>
    <w:rsid w:val="002E395C"/>
    <w:rsid w:val="002E52D0"/>
    <w:rsid w:val="002E53AE"/>
    <w:rsid w:val="002E53BB"/>
    <w:rsid w:val="002E591A"/>
    <w:rsid w:val="002E5BB3"/>
    <w:rsid w:val="002E5CAD"/>
    <w:rsid w:val="002E6471"/>
    <w:rsid w:val="002E733A"/>
    <w:rsid w:val="002E7C17"/>
    <w:rsid w:val="002F16EC"/>
    <w:rsid w:val="002F202C"/>
    <w:rsid w:val="002F2778"/>
    <w:rsid w:val="002F2F6E"/>
    <w:rsid w:val="002F4E72"/>
    <w:rsid w:val="002F511E"/>
    <w:rsid w:val="002F5855"/>
    <w:rsid w:val="002F62F8"/>
    <w:rsid w:val="00300B7E"/>
    <w:rsid w:val="0030124F"/>
    <w:rsid w:val="00301993"/>
    <w:rsid w:val="00301E73"/>
    <w:rsid w:val="003027F4"/>
    <w:rsid w:val="00303AB6"/>
    <w:rsid w:val="00304439"/>
    <w:rsid w:val="003044C3"/>
    <w:rsid w:val="003056F8"/>
    <w:rsid w:val="003059F5"/>
    <w:rsid w:val="00305F01"/>
    <w:rsid w:val="00305F9B"/>
    <w:rsid w:val="00306A2A"/>
    <w:rsid w:val="00307207"/>
    <w:rsid w:val="00307928"/>
    <w:rsid w:val="00307A8E"/>
    <w:rsid w:val="00307CE1"/>
    <w:rsid w:val="0031192A"/>
    <w:rsid w:val="0031292B"/>
    <w:rsid w:val="0031296D"/>
    <w:rsid w:val="00312C1B"/>
    <w:rsid w:val="00312CA1"/>
    <w:rsid w:val="00313284"/>
    <w:rsid w:val="00313879"/>
    <w:rsid w:val="00313A05"/>
    <w:rsid w:val="00315928"/>
    <w:rsid w:val="00317D5C"/>
    <w:rsid w:val="003203CF"/>
    <w:rsid w:val="0032061A"/>
    <w:rsid w:val="0032150D"/>
    <w:rsid w:val="003259FA"/>
    <w:rsid w:val="003260AC"/>
    <w:rsid w:val="003262F1"/>
    <w:rsid w:val="00326435"/>
    <w:rsid w:val="00326B2A"/>
    <w:rsid w:val="00326E42"/>
    <w:rsid w:val="0032707C"/>
    <w:rsid w:val="0032743B"/>
    <w:rsid w:val="00327600"/>
    <w:rsid w:val="00331568"/>
    <w:rsid w:val="00335449"/>
    <w:rsid w:val="003354F2"/>
    <w:rsid w:val="0033628E"/>
    <w:rsid w:val="0033680F"/>
    <w:rsid w:val="00336B7F"/>
    <w:rsid w:val="00337847"/>
    <w:rsid w:val="00340046"/>
    <w:rsid w:val="0034124E"/>
    <w:rsid w:val="003421E9"/>
    <w:rsid w:val="00344297"/>
    <w:rsid w:val="0034481B"/>
    <w:rsid w:val="003459D0"/>
    <w:rsid w:val="00345AD8"/>
    <w:rsid w:val="00346A92"/>
    <w:rsid w:val="00347085"/>
    <w:rsid w:val="0034738C"/>
    <w:rsid w:val="003506AF"/>
    <w:rsid w:val="00350745"/>
    <w:rsid w:val="0035143E"/>
    <w:rsid w:val="00351659"/>
    <w:rsid w:val="0035297E"/>
    <w:rsid w:val="00352FE0"/>
    <w:rsid w:val="00353072"/>
    <w:rsid w:val="00353F0C"/>
    <w:rsid w:val="00354633"/>
    <w:rsid w:val="00354C9D"/>
    <w:rsid w:val="003555C9"/>
    <w:rsid w:val="003559E4"/>
    <w:rsid w:val="003566E5"/>
    <w:rsid w:val="00361085"/>
    <w:rsid w:val="00362185"/>
    <w:rsid w:val="003632AE"/>
    <w:rsid w:val="0036331A"/>
    <w:rsid w:val="003633EA"/>
    <w:rsid w:val="003635C6"/>
    <w:rsid w:val="00363F60"/>
    <w:rsid w:val="003641D1"/>
    <w:rsid w:val="003655FE"/>
    <w:rsid w:val="00365D11"/>
    <w:rsid w:val="0036644E"/>
    <w:rsid w:val="0036650F"/>
    <w:rsid w:val="0036697B"/>
    <w:rsid w:val="00370208"/>
    <w:rsid w:val="00370401"/>
    <w:rsid w:val="0037056C"/>
    <w:rsid w:val="00370CC4"/>
    <w:rsid w:val="00371115"/>
    <w:rsid w:val="003720FA"/>
    <w:rsid w:val="003721C9"/>
    <w:rsid w:val="00372C28"/>
    <w:rsid w:val="00373A75"/>
    <w:rsid w:val="0037415F"/>
    <w:rsid w:val="003741D3"/>
    <w:rsid w:val="003754BC"/>
    <w:rsid w:val="00377378"/>
    <w:rsid w:val="00377F60"/>
    <w:rsid w:val="003801EF"/>
    <w:rsid w:val="00380877"/>
    <w:rsid w:val="00381469"/>
    <w:rsid w:val="00381820"/>
    <w:rsid w:val="00381A82"/>
    <w:rsid w:val="0038330D"/>
    <w:rsid w:val="00383F10"/>
    <w:rsid w:val="003853C7"/>
    <w:rsid w:val="003855B7"/>
    <w:rsid w:val="003857BB"/>
    <w:rsid w:val="003859C1"/>
    <w:rsid w:val="00385DE7"/>
    <w:rsid w:val="00386824"/>
    <w:rsid w:val="00387B36"/>
    <w:rsid w:val="00387BCC"/>
    <w:rsid w:val="00390238"/>
    <w:rsid w:val="0039249B"/>
    <w:rsid w:val="00396442"/>
    <w:rsid w:val="00397392"/>
    <w:rsid w:val="00397B80"/>
    <w:rsid w:val="003A0393"/>
    <w:rsid w:val="003A03FC"/>
    <w:rsid w:val="003A0432"/>
    <w:rsid w:val="003A0A95"/>
    <w:rsid w:val="003A1173"/>
    <w:rsid w:val="003A16A8"/>
    <w:rsid w:val="003A21ED"/>
    <w:rsid w:val="003A2A5E"/>
    <w:rsid w:val="003A2EBD"/>
    <w:rsid w:val="003A3BAB"/>
    <w:rsid w:val="003A4D09"/>
    <w:rsid w:val="003A5900"/>
    <w:rsid w:val="003A599A"/>
    <w:rsid w:val="003A61EF"/>
    <w:rsid w:val="003A648A"/>
    <w:rsid w:val="003A6566"/>
    <w:rsid w:val="003A6C49"/>
    <w:rsid w:val="003A70DE"/>
    <w:rsid w:val="003A70DF"/>
    <w:rsid w:val="003B076C"/>
    <w:rsid w:val="003B15E8"/>
    <w:rsid w:val="003B1754"/>
    <w:rsid w:val="003B1965"/>
    <w:rsid w:val="003B307E"/>
    <w:rsid w:val="003B3FA1"/>
    <w:rsid w:val="003B450C"/>
    <w:rsid w:val="003B4DC9"/>
    <w:rsid w:val="003B57EC"/>
    <w:rsid w:val="003B6649"/>
    <w:rsid w:val="003B68F5"/>
    <w:rsid w:val="003B7DEF"/>
    <w:rsid w:val="003C22B1"/>
    <w:rsid w:val="003C2C8A"/>
    <w:rsid w:val="003C3ABB"/>
    <w:rsid w:val="003C3B9B"/>
    <w:rsid w:val="003C3EA4"/>
    <w:rsid w:val="003C400C"/>
    <w:rsid w:val="003C440C"/>
    <w:rsid w:val="003C45AF"/>
    <w:rsid w:val="003C5315"/>
    <w:rsid w:val="003C541C"/>
    <w:rsid w:val="003C5ADA"/>
    <w:rsid w:val="003C5D1E"/>
    <w:rsid w:val="003C77D5"/>
    <w:rsid w:val="003D27B0"/>
    <w:rsid w:val="003D2CB8"/>
    <w:rsid w:val="003D35D5"/>
    <w:rsid w:val="003D4172"/>
    <w:rsid w:val="003D5851"/>
    <w:rsid w:val="003D591D"/>
    <w:rsid w:val="003D5A59"/>
    <w:rsid w:val="003E01D2"/>
    <w:rsid w:val="003E10EA"/>
    <w:rsid w:val="003E1502"/>
    <w:rsid w:val="003E19FA"/>
    <w:rsid w:val="003E1F41"/>
    <w:rsid w:val="003E1F86"/>
    <w:rsid w:val="003E2409"/>
    <w:rsid w:val="003E2C66"/>
    <w:rsid w:val="003E32F3"/>
    <w:rsid w:val="003E3E21"/>
    <w:rsid w:val="003E3E82"/>
    <w:rsid w:val="003E428F"/>
    <w:rsid w:val="003E4840"/>
    <w:rsid w:val="003E5627"/>
    <w:rsid w:val="003E5812"/>
    <w:rsid w:val="003E594E"/>
    <w:rsid w:val="003E5ACD"/>
    <w:rsid w:val="003E5DF8"/>
    <w:rsid w:val="003E6AA8"/>
    <w:rsid w:val="003E6C13"/>
    <w:rsid w:val="003E7903"/>
    <w:rsid w:val="003F0535"/>
    <w:rsid w:val="003F0DD9"/>
    <w:rsid w:val="003F0E10"/>
    <w:rsid w:val="003F12C5"/>
    <w:rsid w:val="003F16BB"/>
    <w:rsid w:val="003F1DE2"/>
    <w:rsid w:val="003F1E84"/>
    <w:rsid w:val="003F25F2"/>
    <w:rsid w:val="003F3165"/>
    <w:rsid w:val="003F3205"/>
    <w:rsid w:val="003F3567"/>
    <w:rsid w:val="003F468D"/>
    <w:rsid w:val="003F4E07"/>
    <w:rsid w:val="003F5846"/>
    <w:rsid w:val="003F5C26"/>
    <w:rsid w:val="003F5C9A"/>
    <w:rsid w:val="003F605E"/>
    <w:rsid w:val="003F64BA"/>
    <w:rsid w:val="003F6FD3"/>
    <w:rsid w:val="00400055"/>
    <w:rsid w:val="004004A4"/>
    <w:rsid w:val="00400A6C"/>
    <w:rsid w:val="00401151"/>
    <w:rsid w:val="00402275"/>
    <w:rsid w:val="00402471"/>
    <w:rsid w:val="00403199"/>
    <w:rsid w:val="00403301"/>
    <w:rsid w:val="0040343C"/>
    <w:rsid w:val="00403B2D"/>
    <w:rsid w:val="004044D7"/>
    <w:rsid w:val="00406DDB"/>
    <w:rsid w:val="00406EBD"/>
    <w:rsid w:val="0040746C"/>
    <w:rsid w:val="0040791D"/>
    <w:rsid w:val="0041115C"/>
    <w:rsid w:val="00411EBB"/>
    <w:rsid w:val="00411F2A"/>
    <w:rsid w:val="004121C1"/>
    <w:rsid w:val="00412666"/>
    <w:rsid w:val="00412EB1"/>
    <w:rsid w:val="00414CFB"/>
    <w:rsid w:val="00415038"/>
    <w:rsid w:val="00415451"/>
    <w:rsid w:val="00415605"/>
    <w:rsid w:val="00415AB8"/>
    <w:rsid w:val="00416834"/>
    <w:rsid w:val="004168DE"/>
    <w:rsid w:val="00416AA7"/>
    <w:rsid w:val="0041776E"/>
    <w:rsid w:val="004179BC"/>
    <w:rsid w:val="0042118D"/>
    <w:rsid w:val="004212F3"/>
    <w:rsid w:val="00421837"/>
    <w:rsid w:val="004218B4"/>
    <w:rsid w:val="00422C0A"/>
    <w:rsid w:val="00423379"/>
    <w:rsid w:val="00423874"/>
    <w:rsid w:val="00423FCA"/>
    <w:rsid w:val="004240C3"/>
    <w:rsid w:val="00424B19"/>
    <w:rsid w:val="0042635A"/>
    <w:rsid w:val="004265B0"/>
    <w:rsid w:val="00426B17"/>
    <w:rsid w:val="00427D0F"/>
    <w:rsid w:val="00430A99"/>
    <w:rsid w:val="0043153C"/>
    <w:rsid w:val="00431549"/>
    <w:rsid w:val="00432C31"/>
    <w:rsid w:val="00432E24"/>
    <w:rsid w:val="0043380F"/>
    <w:rsid w:val="0043399E"/>
    <w:rsid w:val="00433CB1"/>
    <w:rsid w:val="004344F0"/>
    <w:rsid w:val="004354AF"/>
    <w:rsid w:val="0043572E"/>
    <w:rsid w:val="00436E70"/>
    <w:rsid w:val="00436F7E"/>
    <w:rsid w:val="00437773"/>
    <w:rsid w:val="00437B91"/>
    <w:rsid w:val="00437F0A"/>
    <w:rsid w:val="004428D1"/>
    <w:rsid w:val="004437B3"/>
    <w:rsid w:val="00443DF7"/>
    <w:rsid w:val="004441F8"/>
    <w:rsid w:val="00444209"/>
    <w:rsid w:val="00444436"/>
    <w:rsid w:val="004466D9"/>
    <w:rsid w:val="00446775"/>
    <w:rsid w:val="00446D0C"/>
    <w:rsid w:val="0044781D"/>
    <w:rsid w:val="004505D4"/>
    <w:rsid w:val="00450ECA"/>
    <w:rsid w:val="0045297A"/>
    <w:rsid w:val="00453217"/>
    <w:rsid w:val="0045434A"/>
    <w:rsid w:val="004546C1"/>
    <w:rsid w:val="00455BDF"/>
    <w:rsid w:val="004567F7"/>
    <w:rsid w:val="00456B40"/>
    <w:rsid w:val="00460216"/>
    <w:rsid w:val="0046030A"/>
    <w:rsid w:val="004603BE"/>
    <w:rsid w:val="004604CA"/>
    <w:rsid w:val="00460AE0"/>
    <w:rsid w:val="00460FC4"/>
    <w:rsid w:val="0046114C"/>
    <w:rsid w:val="00462067"/>
    <w:rsid w:val="00462703"/>
    <w:rsid w:val="00462D1E"/>
    <w:rsid w:val="00463C67"/>
    <w:rsid w:val="00465D8E"/>
    <w:rsid w:val="004668B8"/>
    <w:rsid w:val="0047038C"/>
    <w:rsid w:val="004706F8"/>
    <w:rsid w:val="00470D91"/>
    <w:rsid w:val="00471D81"/>
    <w:rsid w:val="00471D97"/>
    <w:rsid w:val="00471EDD"/>
    <w:rsid w:val="004728A5"/>
    <w:rsid w:val="00473490"/>
    <w:rsid w:val="00473662"/>
    <w:rsid w:val="0047458C"/>
    <w:rsid w:val="004758FB"/>
    <w:rsid w:val="004759D4"/>
    <w:rsid w:val="00476126"/>
    <w:rsid w:val="0047684A"/>
    <w:rsid w:val="0048038C"/>
    <w:rsid w:val="004805E9"/>
    <w:rsid w:val="00480A4B"/>
    <w:rsid w:val="00480B55"/>
    <w:rsid w:val="00481AFA"/>
    <w:rsid w:val="00483B69"/>
    <w:rsid w:val="00483BC9"/>
    <w:rsid w:val="0048413F"/>
    <w:rsid w:val="00484192"/>
    <w:rsid w:val="00484382"/>
    <w:rsid w:val="0048578C"/>
    <w:rsid w:val="004901E5"/>
    <w:rsid w:val="00492F18"/>
    <w:rsid w:val="0049359B"/>
    <w:rsid w:val="00494227"/>
    <w:rsid w:val="00494FAB"/>
    <w:rsid w:val="004967E3"/>
    <w:rsid w:val="00497587"/>
    <w:rsid w:val="00497930"/>
    <w:rsid w:val="00497A3C"/>
    <w:rsid w:val="00497D9E"/>
    <w:rsid w:val="004A0D87"/>
    <w:rsid w:val="004A1839"/>
    <w:rsid w:val="004A24CE"/>
    <w:rsid w:val="004A29BC"/>
    <w:rsid w:val="004A3C53"/>
    <w:rsid w:val="004A47FF"/>
    <w:rsid w:val="004A5585"/>
    <w:rsid w:val="004A5951"/>
    <w:rsid w:val="004A71C4"/>
    <w:rsid w:val="004A7EE5"/>
    <w:rsid w:val="004B0C23"/>
    <w:rsid w:val="004B0FC9"/>
    <w:rsid w:val="004B12FB"/>
    <w:rsid w:val="004B21D2"/>
    <w:rsid w:val="004B2662"/>
    <w:rsid w:val="004B2AB6"/>
    <w:rsid w:val="004B49B1"/>
    <w:rsid w:val="004B4F61"/>
    <w:rsid w:val="004B56F7"/>
    <w:rsid w:val="004B5D5E"/>
    <w:rsid w:val="004B6124"/>
    <w:rsid w:val="004B6995"/>
    <w:rsid w:val="004B7FC9"/>
    <w:rsid w:val="004C03DD"/>
    <w:rsid w:val="004C05A3"/>
    <w:rsid w:val="004C05E1"/>
    <w:rsid w:val="004C15B6"/>
    <w:rsid w:val="004C1B2A"/>
    <w:rsid w:val="004C247B"/>
    <w:rsid w:val="004C2D7E"/>
    <w:rsid w:val="004C3436"/>
    <w:rsid w:val="004C36D8"/>
    <w:rsid w:val="004C3989"/>
    <w:rsid w:val="004C4DE0"/>
    <w:rsid w:val="004C5923"/>
    <w:rsid w:val="004C796B"/>
    <w:rsid w:val="004D00A1"/>
    <w:rsid w:val="004D24AB"/>
    <w:rsid w:val="004D2DE1"/>
    <w:rsid w:val="004D37B5"/>
    <w:rsid w:val="004D3FB1"/>
    <w:rsid w:val="004D4D11"/>
    <w:rsid w:val="004D5FE3"/>
    <w:rsid w:val="004D66A6"/>
    <w:rsid w:val="004D6EE7"/>
    <w:rsid w:val="004D7008"/>
    <w:rsid w:val="004D751D"/>
    <w:rsid w:val="004D7C1A"/>
    <w:rsid w:val="004E0C1A"/>
    <w:rsid w:val="004E0FD1"/>
    <w:rsid w:val="004E1DB3"/>
    <w:rsid w:val="004E1DED"/>
    <w:rsid w:val="004E38F6"/>
    <w:rsid w:val="004E3B7F"/>
    <w:rsid w:val="004E3D66"/>
    <w:rsid w:val="004E64D3"/>
    <w:rsid w:val="004E6F37"/>
    <w:rsid w:val="004E78B7"/>
    <w:rsid w:val="004F0026"/>
    <w:rsid w:val="004F1EFC"/>
    <w:rsid w:val="004F23A6"/>
    <w:rsid w:val="004F3825"/>
    <w:rsid w:val="004F3BEB"/>
    <w:rsid w:val="004F3CBA"/>
    <w:rsid w:val="004F51B5"/>
    <w:rsid w:val="004F52DB"/>
    <w:rsid w:val="004F6392"/>
    <w:rsid w:val="004F6C3B"/>
    <w:rsid w:val="004F6EA0"/>
    <w:rsid w:val="004F7095"/>
    <w:rsid w:val="004F7FA9"/>
    <w:rsid w:val="0050153F"/>
    <w:rsid w:val="00501E92"/>
    <w:rsid w:val="00502FDD"/>
    <w:rsid w:val="005036E3"/>
    <w:rsid w:val="0050402E"/>
    <w:rsid w:val="0050652C"/>
    <w:rsid w:val="00510AEE"/>
    <w:rsid w:val="00510AF9"/>
    <w:rsid w:val="00512257"/>
    <w:rsid w:val="005128F7"/>
    <w:rsid w:val="00512C7A"/>
    <w:rsid w:val="005133ED"/>
    <w:rsid w:val="005133F0"/>
    <w:rsid w:val="00513A78"/>
    <w:rsid w:val="00513B89"/>
    <w:rsid w:val="0051484D"/>
    <w:rsid w:val="00514FC6"/>
    <w:rsid w:val="005159A9"/>
    <w:rsid w:val="00516BF4"/>
    <w:rsid w:val="005209F3"/>
    <w:rsid w:val="00520A6F"/>
    <w:rsid w:val="0052153F"/>
    <w:rsid w:val="00524DFB"/>
    <w:rsid w:val="005259F5"/>
    <w:rsid w:val="00525BB6"/>
    <w:rsid w:val="00530112"/>
    <w:rsid w:val="005301DF"/>
    <w:rsid w:val="00531E10"/>
    <w:rsid w:val="00532A8E"/>
    <w:rsid w:val="00533A68"/>
    <w:rsid w:val="005347D5"/>
    <w:rsid w:val="00534CE2"/>
    <w:rsid w:val="005355F5"/>
    <w:rsid w:val="0053563F"/>
    <w:rsid w:val="00536B4C"/>
    <w:rsid w:val="00536C98"/>
    <w:rsid w:val="00537521"/>
    <w:rsid w:val="005376D3"/>
    <w:rsid w:val="00537EC3"/>
    <w:rsid w:val="0054276F"/>
    <w:rsid w:val="00542A45"/>
    <w:rsid w:val="00543339"/>
    <w:rsid w:val="005433B4"/>
    <w:rsid w:val="00543627"/>
    <w:rsid w:val="005437C2"/>
    <w:rsid w:val="00543E28"/>
    <w:rsid w:val="00544916"/>
    <w:rsid w:val="00544A74"/>
    <w:rsid w:val="005469A6"/>
    <w:rsid w:val="00547A79"/>
    <w:rsid w:val="00550176"/>
    <w:rsid w:val="00550504"/>
    <w:rsid w:val="00550549"/>
    <w:rsid w:val="00550751"/>
    <w:rsid w:val="00550BF4"/>
    <w:rsid w:val="00551D9A"/>
    <w:rsid w:val="0055280A"/>
    <w:rsid w:val="0055396F"/>
    <w:rsid w:val="00553F33"/>
    <w:rsid w:val="00554654"/>
    <w:rsid w:val="0055698B"/>
    <w:rsid w:val="005575CD"/>
    <w:rsid w:val="00557A9B"/>
    <w:rsid w:val="00561113"/>
    <w:rsid w:val="005613CD"/>
    <w:rsid w:val="005614B1"/>
    <w:rsid w:val="00562DF6"/>
    <w:rsid w:val="00563683"/>
    <w:rsid w:val="00563B26"/>
    <w:rsid w:val="00563E40"/>
    <w:rsid w:val="00564010"/>
    <w:rsid w:val="005641E0"/>
    <w:rsid w:val="00564260"/>
    <w:rsid w:val="005645AB"/>
    <w:rsid w:val="00565590"/>
    <w:rsid w:val="00566D5A"/>
    <w:rsid w:val="00566F24"/>
    <w:rsid w:val="00567FAC"/>
    <w:rsid w:val="005717A4"/>
    <w:rsid w:val="00571BA7"/>
    <w:rsid w:val="00572A64"/>
    <w:rsid w:val="00572F67"/>
    <w:rsid w:val="005763CE"/>
    <w:rsid w:val="00577050"/>
    <w:rsid w:val="00577A5E"/>
    <w:rsid w:val="00577EB1"/>
    <w:rsid w:val="0058017A"/>
    <w:rsid w:val="0058106B"/>
    <w:rsid w:val="005812D5"/>
    <w:rsid w:val="00581791"/>
    <w:rsid w:val="0058288E"/>
    <w:rsid w:val="00583E05"/>
    <w:rsid w:val="00584FC8"/>
    <w:rsid w:val="00585AAF"/>
    <w:rsid w:val="00585DEF"/>
    <w:rsid w:val="005861B1"/>
    <w:rsid w:val="0059070B"/>
    <w:rsid w:val="00590F0E"/>
    <w:rsid w:val="00591A3A"/>
    <w:rsid w:val="00592635"/>
    <w:rsid w:val="00592C72"/>
    <w:rsid w:val="00592DD4"/>
    <w:rsid w:val="005943F0"/>
    <w:rsid w:val="00597493"/>
    <w:rsid w:val="005A029E"/>
    <w:rsid w:val="005A14B8"/>
    <w:rsid w:val="005A17A9"/>
    <w:rsid w:val="005A24A6"/>
    <w:rsid w:val="005A2F64"/>
    <w:rsid w:val="005A42CE"/>
    <w:rsid w:val="005A4506"/>
    <w:rsid w:val="005A48EE"/>
    <w:rsid w:val="005A4D7A"/>
    <w:rsid w:val="005A4F98"/>
    <w:rsid w:val="005A6812"/>
    <w:rsid w:val="005A7D71"/>
    <w:rsid w:val="005A7E6E"/>
    <w:rsid w:val="005B135C"/>
    <w:rsid w:val="005B14E9"/>
    <w:rsid w:val="005B185B"/>
    <w:rsid w:val="005B1A70"/>
    <w:rsid w:val="005B1EDC"/>
    <w:rsid w:val="005B22E6"/>
    <w:rsid w:val="005B4281"/>
    <w:rsid w:val="005B47EF"/>
    <w:rsid w:val="005B6D17"/>
    <w:rsid w:val="005B7877"/>
    <w:rsid w:val="005C01E4"/>
    <w:rsid w:val="005C1277"/>
    <w:rsid w:val="005C1D11"/>
    <w:rsid w:val="005C251B"/>
    <w:rsid w:val="005C4AEB"/>
    <w:rsid w:val="005C4E71"/>
    <w:rsid w:val="005C65B3"/>
    <w:rsid w:val="005C6EFC"/>
    <w:rsid w:val="005D1899"/>
    <w:rsid w:val="005D392B"/>
    <w:rsid w:val="005D4B04"/>
    <w:rsid w:val="005D4E21"/>
    <w:rsid w:val="005D545B"/>
    <w:rsid w:val="005D5A2D"/>
    <w:rsid w:val="005D72CA"/>
    <w:rsid w:val="005D7A85"/>
    <w:rsid w:val="005E01D1"/>
    <w:rsid w:val="005E0D3F"/>
    <w:rsid w:val="005E0EE9"/>
    <w:rsid w:val="005E1134"/>
    <w:rsid w:val="005E3558"/>
    <w:rsid w:val="005E427F"/>
    <w:rsid w:val="005E484B"/>
    <w:rsid w:val="005E557B"/>
    <w:rsid w:val="005F1B11"/>
    <w:rsid w:val="005F211B"/>
    <w:rsid w:val="005F4C16"/>
    <w:rsid w:val="005F4CCE"/>
    <w:rsid w:val="005F4E83"/>
    <w:rsid w:val="005F5391"/>
    <w:rsid w:val="005F5A53"/>
    <w:rsid w:val="005F5B88"/>
    <w:rsid w:val="005F6042"/>
    <w:rsid w:val="005F60D7"/>
    <w:rsid w:val="005F6E5F"/>
    <w:rsid w:val="005F7A33"/>
    <w:rsid w:val="006002CE"/>
    <w:rsid w:val="0060044C"/>
    <w:rsid w:val="00602738"/>
    <w:rsid w:val="00602BB9"/>
    <w:rsid w:val="00603353"/>
    <w:rsid w:val="00603CF3"/>
    <w:rsid w:val="00604735"/>
    <w:rsid w:val="00604E69"/>
    <w:rsid w:val="00604EDD"/>
    <w:rsid w:val="00605987"/>
    <w:rsid w:val="00605DD4"/>
    <w:rsid w:val="0060602C"/>
    <w:rsid w:val="00606726"/>
    <w:rsid w:val="00606E0F"/>
    <w:rsid w:val="006070B3"/>
    <w:rsid w:val="0060719A"/>
    <w:rsid w:val="006071C9"/>
    <w:rsid w:val="00607CED"/>
    <w:rsid w:val="0061035B"/>
    <w:rsid w:val="00610C61"/>
    <w:rsid w:val="0061183B"/>
    <w:rsid w:val="00612131"/>
    <w:rsid w:val="00613E7F"/>
    <w:rsid w:val="00614307"/>
    <w:rsid w:val="00614751"/>
    <w:rsid w:val="00614F69"/>
    <w:rsid w:val="006150D1"/>
    <w:rsid w:val="00615D66"/>
    <w:rsid w:val="0061694F"/>
    <w:rsid w:val="00616D55"/>
    <w:rsid w:val="00617B38"/>
    <w:rsid w:val="00620255"/>
    <w:rsid w:val="00621823"/>
    <w:rsid w:val="0062185B"/>
    <w:rsid w:val="0062297D"/>
    <w:rsid w:val="00622F2E"/>
    <w:rsid w:val="00623E6E"/>
    <w:rsid w:val="00624389"/>
    <w:rsid w:val="00624A0B"/>
    <w:rsid w:val="0062515C"/>
    <w:rsid w:val="00626B5B"/>
    <w:rsid w:val="00626E4F"/>
    <w:rsid w:val="0062736B"/>
    <w:rsid w:val="00630581"/>
    <w:rsid w:val="00631B26"/>
    <w:rsid w:val="00631F1A"/>
    <w:rsid w:val="00631F33"/>
    <w:rsid w:val="006327EF"/>
    <w:rsid w:val="00632F5D"/>
    <w:rsid w:val="006332AD"/>
    <w:rsid w:val="006335E0"/>
    <w:rsid w:val="0063411B"/>
    <w:rsid w:val="006349F7"/>
    <w:rsid w:val="0063503B"/>
    <w:rsid w:val="00635B62"/>
    <w:rsid w:val="00635CBE"/>
    <w:rsid w:val="00635DB0"/>
    <w:rsid w:val="00635F10"/>
    <w:rsid w:val="00636E18"/>
    <w:rsid w:val="00640A02"/>
    <w:rsid w:val="0064229B"/>
    <w:rsid w:val="0064267F"/>
    <w:rsid w:val="00642A8F"/>
    <w:rsid w:val="00643048"/>
    <w:rsid w:val="00643D58"/>
    <w:rsid w:val="00644E56"/>
    <w:rsid w:val="00645CAE"/>
    <w:rsid w:val="00645D80"/>
    <w:rsid w:val="00645E8D"/>
    <w:rsid w:val="00645F04"/>
    <w:rsid w:val="00646061"/>
    <w:rsid w:val="00647F68"/>
    <w:rsid w:val="00650014"/>
    <w:rsid w:val="00650043"/>
    <w:rsid w:val="0065101E"/>
    <w:rsid w:val="006516C3"/>
    <w:rsid w:val="00651A6C"/>
    <w:rsid w:val="00651E56"/>
    <w:rsid w:val="0065403D"/>
    <w:rsid w:val="00654EBD"/>
    <w:rsid w:val="006552A0"/>
    <w:rsid w:val="00657D4F"/>
    <w:rsid w:val="00660773"/>
    <w:rsid w:val="00661127"/>
    <w:rsid w:val="006614E6"/>
    <w:rsid w:val="0066223C"/>
    <w:rsid w:val="00662B40"/>
    <w:rsid w:val="00663576"/>
    <w:rsid w:val="006639E0"/>
    <w:rsid w:val="00664B74"/>
    <w:rsid w:val="00665894"/>
    <w:rsid w:val="00665CC5"/>
    <w:rsid w:val="00666F4D"/>
    <w:rsid w:val="00667419"/>
    <w:rsid w:val="00670486"/>
    <w:rsid w:val="006704DE"/>
    <w:rsid w:val="0067071E"/>
    <w:rsid w:val="00671A62"/>
    <w:rsid w:val="00671F51"/>
    <w:rsid w:val="0067254A"/>
    <w:rsid w:val="006733E7"/>
    <w:rsid w:val="00673E40"/>
    <w:rsid w:val="00673FB2"/>
    <w:rsid w:val="006744E3"/>
    <w:rsid w:val="006746AB"/>
    <w:rsid w:val="00675BBD"/>
    <w:rsid w:val="00675C6B"/>
    <w:rsid w:val="0067699D"/>
    <w:rsid w:val="00676CEF"/>
    <w:rsid w:val="006777E3"/>
    <w:rsid w:val="00677A44"/>
    <w:rsid w:val="00677C03"/>
    <w:rsid w:val="00680064"/>
    <w:rsid w:val="006809DA"/>
    <w:rsid w:val="00680A79"/>
    <w:rsid w:val="00681CB9"/>
    <w:rsid w:val="00681D17"/>
    <w:rsid w:val="00681EE0"/>
    <w:rsid w:val="00681FC0"/>
    <w:rsid w:val="006822D1"/>
    <w:rsid w:val="00682BB9"/>
    <w:rsid w:val="00682E40"/>
    <w:rsid w:val="00683A61"/>
    <w:rsid w:val="00684916"/>
    <w:rsid w:val="0068494F"/>
    <w:rsid w:val="0068671B"/>
    <w:rsid w:val="00690B9D"/>
    <w:rsid w:val="00690EF0"/>
    <w:rsid w:val="006913C3"/>
    <w:rsid w:val="006913FB"/>
    <w:rsid w:val="006927F4"/>
    <w:rsid w:val="006933D7"/>
    <w:rsid w:val="006936FF"/>
    <w:rsid w:val="00694130"/>
    <w:rsid w:val="006943E3"/>
    <w:rsid w:val="00694471"/>
    <w:rsid w:val="006949F5"/>
    <w:rsid w:val="00695D7C"/>
    <w:rsid w:val="006967E9"/>
    <w:rsid w:val="006968EA"/>
    <w:rsid w:val="00697006"/>
    <w:rsid w:val="006A0CAD"/>
    <w:rsid w:val="006A1EE3"/>
    <w:rsid w:val="006A3891"/>
    <w:rsid w:val="006A4053"/>
    <w:rsid w:val="006A45BA"/>
    <w:rsid w:val="006A54A5"/>
    <w:rsid w:val="006A570E"/>
    <w:rsid w:val="006A58D2"/>
    <w:rsid w:val="006A729A"/>
    <w:rsid w:val="006A75AB"/>
    <w:rsid w:val="006B037D"/>
    <w:rsid w:val="006B10B9"/>
    <w:rsid w:val="006B2361"/>
    <w:rsid w:val="006B23F4"/>
    <w:rsid w:val="006B2E4F"/>
    <w:rsid w:val="006B3187"/>
    <w:rsid w:val="006B3718"/>
    <w:rsid w:val="006B3D51"/>
    <w:rsid w:val="006B48C3"/>
    <w:rsid w:val="006B4C8A"/>
    <w:rsid w:val="006B54FE"/>
    <w:rsid w:val="006B617A"/>
    <w:rsid w:val="006B625E"/>
    <w:rsid w:val="006B783D"/>
    <w:rsid w:val="006C0026"/>
    <w:rsid w:val="006C0351"/>
    <w:rsid w:val="006C0ED5"/>
    <w:rsid w:val="006C12DA"/>
    <w:rsid w:val="006C2586"/>
    <w:rsid w:val="006C3825"/>
    <w:rsid w:val="006C39C7"/>
    <w:rsid w:val="006C4401"/>
    <w:rsid w:val="006C496C"/>
    <w:rsid w:val="006C7170"/>
    <w:rsid w:val="006C76D4"/>
    <w:rsid w:val="006C7EB3"/>
    <w:rsid w:val="006D12D2"/>
    <w:rsid w:val="006D1BCA"/>
    <w:rsid w:val="006D1CF4"/>
    <w:rsid w:val="006D2114"/>
    <w:rsid w:val="006D253B"/>
    <w:rsid w:val="006D31E7"/>
    <w:rsid w:val="006D3318"/>
    <w:rsid w:val="006D3331"/>
    <w:rsid w:val="006D3AAD"/>
    <w:rsid w:val="006D4677"/>
    <w:rsid w:val="006D499E"/>
    <w:rsid w:val="006D59A7"/>
    <w:rsid w:val="006D5C28"/>
    <w:rsid w:val="006D66ED"/>
    <w:rsid w:val="006D6BBF"/>
    <w:rsid w:val="006D748A"/>
    <w:rsid w:val="006E095B"/>
    <w:rsid w:val="006E0B6D"/>
    <w:rsid w:val="006E1848"/>
    <w:rsid w:val="006E204D"/>
    <w:rsid w:val="006E2A38"/>
    <w:rsid w:val="006E2AB3"/>
    <w:rsid w:val="006E2D31"/>
    <w:rsid w:val="006E4112"/>
    <w:rsid w:val="006E4692"/>
    <w:rsid w:val="006E5382"/>
    <w:rsid w:val="006E5635"/>
    <w:rsid w:val="006E6317"/>
    <w:rsid w:val="006E653F"/>
    <w:rsid w:val="006E6879"/>
    <w:rsid w:val="006E69E5"/>
    <w:rsid w:val="006E6CD9"/>
    <w:rsid w:val="006E6F7D"/>
    <w:rsid w:val="006E7698"/>
    <w:rsid w:val="006E7C24"/>
    <w:rsid w:val="006E7E3B"/>
    <w:rsid w:val="006F14F4"/>
    <w:rsid w:val="006F1B72"/>
    <w:rsid w:val="006F231B"/>
    <w:rsid w:val="006F44BE"/>
    <w:rsid w:val="006F4F54"/>
    <w:rsid w:val="006F6649"/>
    <w:rsid w:val="006F6DE5"/>
    <w:rsid w:val="00700207"/>
    <w:rsid w:val="00700DE0"/>
    <w:rsid w:val="007019D5"/>
    <w:rsid w:val="00701AC0"/>
    <w:rsid w:val="00701B52"/>
    <w:rsid w:val="00702083"/>
    <w:rsid w:val="00702DCE"/>
    <w:rsid w:val="00702DF7"/>
    <w:rsid w:val="00703C11"/>
    <w:rsid w:val="00703CF8"/>
    <w:rsid w:val="00703D42"/>
    <w:rsid w:val="0070481D"/>
    <w:rsid w:val="00704E6C"/>
    <w:rsid w:val="00705013"/>
    <w:rsid w:val="007050A5"/>
    <w:rsid w:val="0070573A"/>
    <w:rsid w:val="007059D3"/>
    <w:rsid w:val="00705B33"/>
    <w:rsid w:val="00705E16"/>
    <w:rsid w:val="00706725"/>
    <w:rsid w:val="00706A90"/>
    <w:rsid w:val="007071ED"/>
    <w:rsid w:val="00707343"/>
    <w:rsid w:val="007104C7"/>
    <w:rsid w:val="00710E4C"/>
    <w:rsid w:val="00711530"/>
    <w:rsid w:val="00711A8C"/>
    <w:rsid w:val="00711B8C"/>
    <w:rsid w:val="0071244C"/>
    <w:rsid w:val="00712803"/>
    <w:rsid w:val="00712D17"/>
    <w:rsid w:val="0071379D"/>
    <w:rsid w:val="00714545"/>
    <w:rsid w:val="007146C6"/>
    <w:rsid w:val="00715186"/>
    <w:rsid w:val="00716F38"/>
    <w:rsid w:val="0072044C"/>
    <w:rsid w:val="0072189B"/>
    <w:rsid w:val="00722558"/>
    <w:rsid w:val="007228CC"/>
    <w:rsid w:val="00723C0C"/>
    <w:rsid w:val="00723D77"/>
    <w:rsid w:val="0072489E"/>
    <w:rsid w:val="007248F0"/>
    <w:rsid w:val="0072513C"/>
    <w:rsid w:val="00725AC6"/>
    <w:rsid w:val="00725FC2"/>
    <w:rsid w:val="00727D27"/>
    <w:rsid w:val="007340D7"/>
    <w:rsid w:val="0073476F"/>
    <w:rsid w:val="007367AB"/>
    <w:rsid w:val="007367CC"/>
    <w:rsid w:val="00736CEA"/>
    <w:rsid w:val="00737156"/>
    <w:rsid w:val="00737580"/>
    <w:rsid w:val="007403E9"/>
    <w:rsid w:val="00740C74"/>
    <w:rsid w:val="00741CF5"/>
    <w:rsid w:val="00743099"/>
    <w:rsid w:val="007436E5"/>
    <w:rsid w:val="00747939"/>
    <w:rsid w:val="007504F3"/>
    <w:rsid w:val="00750B9E"/>
    <w:rsid w:val="007521F4"/>
    <w:rsid w:val="0075264E"/>
    <w:rsid w:val="00752862"/>
    <w:rsid w:val="00752D9F"/>
    <w:rsid w:val="00752EB6"/>
    <w:rsid w:val="00753DB7"/>
    <w:rsid w:val="00754596"/>
    <w:rsid w:val="007548F2"/>
    <w:rsid w:val="00755E65"/>
    <w:rsid w:val="00755F94"/>
    <w:rsid w:val="0075634A"/>
    <w:rsid w:val="0075657F"/>
    <w:rsid w:val="00756AF4"/>
    <w:rsid w:val="00757547"/>
    <w:rsid w:val="00760283"/>
    <w:rsid w:val="00762324"/>
    <w:rsid w:val="007639FE"/>
    <w:rsid w:val="00764998"/>
    <w:rsid w:val="00765190"/>
    <w:rsid w:val="00766879"/>
    <w:rsid w:val="00767F2D"/>
    <w:rsid w:val="00770D06"/>
    <w:rsid w:val="007710DA"/>
    <w:rsid w:val="0077221F"/>
    <w:rsid w:val="007724D7"/>
    <w:rsid w:val="00772677"/>
    <w:rsid w:val="007733FC"/>
    <w:rsid w:val="0077470F"/>
    <w:rsid w:val="00775596"/>
    <w:rsid w:val="00775872"/>
    <w:rsid w:val="007764E9"/>
    <w:rsid w:val="00776CB9"/>
    <w:rsid w:val="00777BF6"/>
    <w:rsid w:val="00780083"/>
    <w:rsid w:val="0078040B"/>
    <w:rsid w:val="00780543"/>
    <w:rsid w:val="007807BC"/>
    <w:rsid w:val="0078085C"/>
    <w:rsid w:val="00780CA6"/>
    <w:rsid w:val="00781025"/>
    <w:rsid w:val="00781447"/>
    <w:rsid w:val="00782989"/>
    <w:rsid w:val="007850DA"/>
    <w:rsid w:val="007871F0"/>
    <w:rsid w:val="00787919"/>
    <w:rsid w:val="0079025D"/>
    <w:rsid w:val="00790612"/>
    <w:rsid w:val="00791849"/>
    <w:rsid w:val="007918CD"/>
    <w:rsid w:val="00791BB7"/>
    <w:rsid w:val="00791BC9"/>
    <w:rsid w:val="00791C06"/>
    <w:rsid w:val="00791FCC"/>
    <w:rsid w:val="0079276B"/>
    <w:rsid w:val="00792BAC"/>
    <w:rsid w:val="00792DC3"/>
    <w:rsid w:val="00793D48"/>
    <w:rsid w:val="00794339"/>
    <w:rsid w:val="007945E8"/>
    <w:rsid w:val="007946CB"/>
    <w:rsid w:val="0079471B"/>
    <w:rsid w:val="00795AAA"/>
    <w:rsid w:val="00795CF7"/>
    <w:rsid w:val="00795E45"/>
    <w:rsid w:val="00796085"/>
    <w:rsid w:val="00796B6C"/>
    <w:rsid w:val="007977C9"/>
    <w:rsid w:val="007A0434"/>
    <w:rsid w:val="007A083F"/>
    <w:rsid w:val="007A1405"/>
    <w:rsid w:val="007A2DF8"/>
    <w:rsid w:val="007A3048"/>
    <w:rsid w:val="007A426F"/>
    <w:rsid w:val="007A5A77"/>
    <w:rsid w:val="007A5DB1"/>
    <w:rsid w:val="007A6812"/>
    <w:rsid w:val="007A6ECE"/>
    <w:rsid w:val="007A7401"/>
    <w:rsid w:val="007A7713"/>
    <w:rsid w:val="007A778D"/>
    <w:rsid w:val="007A7F4C"/>
    <w:rsid w:val="007B03D6"/>
    <w:rsid w:val="007B047B"/>
    <w:rsid w:val="007B1D9C"/>
    <w:rsid w:val="007B273C"/>
    <w:rsid w:val="007B2C2E"/>
    <w:rsid w:val="007B3789"/>
    <w:rsid w:val="007B38F3"/>
    <w:rsid w:val="007B3F20"/>
    <w:rsid w:val="007B440D"/>
    <w:rsid w:val="007B49CB"/>
    <w:rsid w:val="007B7135"/>
    <w:rsid w:val="007B76A2"/>
    <w:rsid w:val="007B7F5E"/>
    <w:rsid w:val="007C0760"/>
    <w:rsid w:val="007C0A7A"/>
    <w:rsid w:val="007C1B5E"/>
    <w:rsid w:val="007C36E8"/>
    <w:rsid w:val="007C3FD6"/>
    <w:rsid w:val="007C4622"/>
    <w:rsid w:val="007C54A2"/>
    <w:rsid w:val="007C5651"/>
    <w:rsid w:val="007C56F9"/>
    <w:rsid w:val="007C5767"/>
    <w:rsid w:val="007C6B3E"/>
    <w:rsid w:val="007C7FB5"/>
    <w:rsid w:val="007D0832"/>
    <w:rsid w:val="007D12A6"/>
    <w:rsid w:val="007D17DD"/>
    <w:rsid w:val="007D1D53"/>
    <w:rsid w:val="007D5989"/>
    <w:rsid w:val="007D65C4"/>
    <w:rsid w:val="007D6731"/>
    <w:rsid w:val="007D769F"/>
    <w:rsid w:val="007D7833"/>
    <w:rsid w:val="007D7EF7"/>
    <w:rsid w:val="007E0108"/>
    <w:rsid w:val="007E1679"/>
    <w:rsid w:val="007E199A"/>
    <w:rsid w:val="007E22C9"/>
    <w:rsid w:val="007E3653"/>
    <w:rsid w:val="007E48CF"/>
    <w:rsid w:val="007E4B29"/>
    <w:rsid w:val="007E4E10"/>
    <w:rsid w:val="007E5EA0"/>
    <w:rsid w:val="007E64DC"/>
    <w:rsid w:val="007E662D"/>
    <w:rsid w:val="007E7471"/>
    <w:rsid w:val="007F069B"/>
    <w:rsid w:val="007F0880"/>
    <w:rsid w:val="007F093C"/>
    <w:rsid w:val="007F0D38"/>
    <w:rsid w:val="007F1ABE"/>
    <w:rsid w:val="007F2028"/>
    <w:rsid w:val="007F42B1"/>
    <w:rsid w:val="007F4B05"/>
    <w:rsid w:val="007F4FB0"/>
    <w:rsid w:val="007F664D"/>
    <w:rsid w:val="007F699F"/>
    <w:rsid w:val="007F6FCC"/>
    <w:rsid w:val="007F70E9"/>
    <w:rsid w:val="007F723B"/>
    <w:rsid w:val="007F7853"/>
    <w:rsid w:val="007F7C21"/>
    <w:rsid w:val="0080073E"/>
    <w:rsid w:val="008013A0"/>
    <w:rsid w:val="00801FE5"/>
    <w:rsid w:val="00804119"/>
    <w:rsid w:val="008056FF"/>
    <w:rsid w:val="00806114"/>
    <w:rsid w:val="0080699E"/>
    <w:rsid w:val="00810578"/>
    <w:rsid w:val="00811A31"/>
    <w:rsid w:val="0081225F"/>
    <w:rsid w:val="0081302C"/>
    <w:rsid w:val="008143CC"/>
    <w:rsid w:val="0081444E"/>
    <w:rsid w:val="00814529"/>
    <w:rsid w:val="00814B7F"/>
    <w:rsid w:val="00816F72"/>
    <w:rsid w:val="008172DD"/>
    <w:rsid w:val="008203D5"/>
    <w:rsid w:val="0082069F"/>
    <w:rsid w:val="008216E2"/>
    <w:rsid w:val="00821E10"/>
    <w:rsid w:val="00822ACE"/>
    <w:rsid w:val="00823135"/>
    <w:rsid w:val="00824768"/>
    <w:rsid w:val="00824C04"/>
    <w:rsid w:val="00825080"/>
    <w:rsid w:val="00825348"/>
    <w:rsid w:val="008254BE"/>
    <w:rsid w:val="00825D98"/>
    <w:rsid w:val="00826C39"/>
    <w:rsid w:val="00827D73"/>
    <w:rsid w:val="00830255"/>
    <w:rsid w:val="008317E9"/>
    <w:rsid w:val="008317F7"/>
    <w:rsid w:val="00831D1A"/>
    <w:rsid w:val="00832EA1"/>
    <w:rsid w:val="00833763"/>
    <w:rsid w:val="0083391C"/>
    <w:rsid w:val="00833971"/>
    <w:rsid w:val="00834371"/>
    <w:rsid w:val="008346C0"/>
    <w:rsid w:val="00834E51"/>
    <w:rsid w:val="008407FD"/>
    <w:rsid w:val="00842366"/>
    <w:rsid w:val="008429C7"/>
    <w:rsid w:val="00842F2E"/>
    <w:rsid w:val="0084300E"/>
    <w:rsid w:val="008430C6"/>
    <w:rsid w:val="008430D3"/>
    <w:rsid w:val="008438A5"/>
    <w:rsid w:val="00843E2C"/>
    <w:rsid w:val="00846579"/>
    <w:rsid w:val="008472BD"/>
    <w:rsid w:val="008479E9"/>
    <w:rsid w:val="00847B6D"/>
    <w:rsid w:val="00847E13"/>
    <w:rsid w:val="00850506"/>
    <w:rsid w:val="00850A2C"/>
    <w:rsid w:val="00850E03"/>
    <w:rsid w:val="00850FFD"/>
    <w:rsid w:val="00851405"/>
    <w:rsid w:val="00851B15"/>
    <w:rsid w:val="00851F7C"/>
    <w:rsid w:val="0085227A"/>
    <w:rsid w:val="00852815"/>
    <w:rsid w:val="00852DC6"/>
    <w:rsid w:val="008535D7"/>
    <w:rsid w:val="00854B34"/>
    <w:rsid w:val="008557A1"/>
    <w:rsid w:val="00860048"/>
    <w:rsid w:val="00860168"/>
    <w:rsid w:val="008602B0"/>
    <w:rsid w:val="0086070E"/>
    <w:rsid w:val="00860D3E"/>
    <w:rsid w:val="00861AB8"/>
    <w:rsid w:val="00862982"/>
    <w:rsid w:val="00863D3D"/>
    <w:rsid w:val="00864E24"/>
    <w:rsid w:val="00865E34"/>
    <w:rsid w:val="008662A3"/>
    <w:rsid w:val="0086660B"/>
    <w:rsid w:val="00866701"/>
    <w:rsid w:val="00867564"/>
    <w:rsid w:val="00867CCC"/>
    <w:rsid w:val="00870046"/>
    <w:rsid w:val="0087029A"/>
    <w:rsid w:val="00870500"/>
    <w:rsid w:val="00870A07"/>
    <w:rsid w:val="00870B05"/>
    <w:rsid w:val="0087122F"/>
    <w:rsid w:val="008720AB"/>
    <w:rsid w:val="00872D79"/>
    <w:rsid w:val="00872F0C"/>
    <w:rsid w:val="0087380D"/>
    <w:rsid w:val="00873ED9"/>
    <w:rsid w:val="00873FAD"/>
    <w:rsid w:val="0087468A"/>
    <w:rsid w:val="00874CB5"/>
    <w:rsid w:val="008757D1"/>
    <w:rsid w:val="00875F2B"/>
    <w:rsid w:val="008769E0"/>
    <w:rsid w:val="0087703A"/>
    <w:rsid w:val="008771F8"/>
    <w:rsid w:val="008772BC"/>
    <w:rsid w:val="0088066E"/>
    <w:rsid w:val="00880E72"/>
    <w:rsid w:val="00880F52"/>
    <w:rsid w:val="00881642"/>
    <w:rsid w:val="00881BBC"/>
    <w:rsid w:val="00881BDB"/>
    <w:rsid w:val="00882FA3"/>
    <w:rsid w:val="00883866"/>
    <w:rsid w:val="00883D61"/>
    <w:rsid w:val="0088441B"/>
    <w:rsid w:val="00886B41"/>
    <w:rsid w:val="00887302"/>
    <w:rsid w:val="0088737D"/>
    <w:rsid w:val="008875FD"/>
    <w:rsid w:val="00887DCB"/>
    <w:rsid w:val="008901EE"/>
    <w:rsid w:val="00890D13"/>
    <w:rsid w:val="00890D7C"/>
    <w:rsid w:val="00892C68"/>
    <w:rsid w:val="00892FC5"/>
    <w:rsid w:val="00893D44"/>
    <w:rsid w:val="008945E6"/>
    <w:rsid w:val="00895A93"/>
    <w:rsid w:val="0089687F"/>
    <w:rsid w:val="008978E7"/>
    <w:rsid w:val="00897E25"/>
    <w:rsid w:val="008A0537"/>
    <w:rsid w:val="008A1376"/>
    <w:rsid w:val="008A22A4"/>
    <w:rsid w:val="008A29D7"/>
    <w:rsid w:val="008A585A"/>
    <w:rsid w:val="008A5D2A"/>
    <w:rsid w:val="008A5DD4"/>
    <w:rsid w:val="008A62B6"/>
    <w:rsid w:val="008A6314"/>
    <w:rsid w:val="008A6D8F"/>
    <w:rsid w:val="008B0541"/>
    <w:rsid w:val="008B1B98"/>
    <w:rsid w:val="008B1F81"/>
    <w:rsid w:val="008B1FB2"/>
    <w:rsid w:val="008B234A"/>
    <w:rsid w:val="008B237B"/>
    <w:rsid w:val="008B2D48"/>
    <w:rsid w:val="008B3F75"/>
    <w:rsid w:val="008B7190"/>
    <w:rsid w:val="008B7993"/>
    <w:rsid w:val="008B7B85"/>
    <w:rsid w:val="008B7F70"/>
    <w:rsid w:val="008C040F"/>
    <w:rsid w:val="008C0B60"/>
    <w:rsid w:val="008C105D"/>
    <w:rsid w:val="008C14DE"/>
    <w:rsid w:val="008C2638"/>
    <w:rsid w:val="008C454A"/>
    <w:rsid w:val="008C4679"/>
    <w:rsid w:val="008C525A"/>
    <w:rsid w:val="008C55DF"/>
    <w:rsid w:val="008C5966"/>
    <w:rsid w:val="008C70AA"/>
    <w:rsid w:val="008C75DA"/>
    <w:rsid w:val="008D0228"/>
    <w:rsid w:val="008D18AA"/>
    <w:rsid w:val="008D1BAA"/>
    <w:rsid w:val="008D1FFD"/>
    <w:rsid w:val="008D2A70"/>
    <w:rsid w:val="008D2EB0"/>
    <w:rsid w:val="008D3444"/>
    <w:rsid w:val="008D3F21"/>
    <w:rsid w:val="008D4660"/>
    <w:rsid w:val="008D4732"/>
    <w:rsid w:val="008D4C2B"/>
    <w:rsid w:val="008D5C33"/>
    <w:rsid w:val="008D5E90"/>
    <w:rsid w:val="008D5E94"/>
    <w:rsid w:val="008D7367"/>
    <w:rsid w:val="008D75E2"/>
    <w:rsid w:val="008D79D4"/>
    <w:rsid w:val="008E083F"/>
    <w:rsid w:val="008E0DFD"/>
    <w:rsid w:val="008E0EF3"/>
    <w:rsid w:val="008E169C"/>
    <w:rsid w:val="008E196E"/>
    <w:rsid w:val="008E1F10"/>
    <w:rsid w:val="008E202B"/>
    <w:rsid w:val="008E2137"/>
    <w:rsid w:val="008E272D"/>
    <w:rsid w:val="008E27C6"/>
    <w:rsid w:val="008E2E44"/>
    <w:rsid w:val="008E3B15"/>
    <w:rsid w:val="008E4025"/>
    <w:rsid w:val="008E439E"/>
    <w:rsid w:val="008E457F"/>
    <w:rsid w:val="008E6066"/>
    <w:rsid w:val="008E6BBC"/>
    <w:rsid w:val="008E6BE7"/>
    <w:rsid w:val="008E6D5E"/>
    <w:rsid w:val="008E7992"/>
    <w:rsid w:val="008E7D36"/>
    <w:rsid w:val="008E7DDA"/>
    <w:rsid w:val="008F02EC"/>
    <w:rsid w:val="008F0C64"/>
    <w:rsid w:val="008F219F"/>
    <w:rsid w:val="008F23E5"/>
    <w:rsid w:val="008F3B5D"/>
    <w:rsid w:val="008F513A"/>
    <w:rsid w:val="008F6C40"/>
    <w:rsid w:val="008F75C2"/>
    <w:rsid w:val="00900249"/>
    <w:rsid w:val="00901E7F"/>
    <w:rsid w:val="00904A6C"/>
    <w:rsid w:val="009051A6"/>
    <w:rsid w:val="009059AF"/>
    <w:rsid w:val="00906D79"/>
    <w:rsid w:val="009104D1"/>
    <w:rsid w:val="00910E61"/>
    <w:rsid w:val="009115E6"/>
    <w:rsid w:val="00911698"/>
    <w:rsid w:val="009117B0"/>
    <w:rsid w:val="00911EB7"/>
    <w:rsid w:val="00911F47"/>
    <w:rsid w:val="00911FBE"/>
    <w:rsid w:val="00912E50"/>
    <w:rsid w:val="00914618"/>
    <w:rsid w:val="0091494E"/>
    <w:rsid w:val="00916D7C"/>
    <w:rsid w:val="00917CC2"/>
    <w:rsid w:val="00920F21"/>
    <w:rsid w:val="00921942"/>
    <w:rsid w:val="0092254B"/>
    <w:rsid w:val="00922C86"/>
    <w:rsid w:val="0092407C"/>
    <w:rsid w:val="009243E9"/>
    <w:rsid w:val="0092442E"/>
    <w:rsid w:val="00924465"/>
    <w:rsid w:val="0092508E"/>
    <w:rsid w:val="009256E8"/>
    <w:rsid w:val="00925C91"/>
    <w:rsid w:val="0092655D"/>
    <w:rsid w:val="0093129E"/>
    <w:rsid w:val="00931F7D"/>
    <w:rsid w:val="00931FAA"/>
    <w:rsid w:val="009320F1"/>
    <w:rsid w:val="00932C82"/>
    <w:rsid w:val="00933769"/>
    <w:rsid w:val="00933B07"/>
    <w:rsid w:val="00934430"/>
    <w:rsid w:val="00934EB1"/>
    <w:rsid w:val="00935B24"/>
    <w:rsid w:val="00935CD2"/>
    <w:rsid w:val="00936A96"/>
    <w:rsid w:val="00940C6B"/>
    <w:rsid w:val="00940FA4"/>
    <w:rsid w:val="0094273F"/>
    <w:rsid w:val="00942955"/>
    <w:rsid w:val="00943A84"/>
    <w:rsid w:val="00943D69"/>
    <w:rsid w:val="00944014"/>
    <w:rsid w:val="00944382"/>
    <w:rsid w:val="00945827"/>
    <w:rsid w:val="00945D72"/>
    <w:rsid w:val="00952306"/>
    <w:rsid w:val="00954115"/>
    <w:rsid w:val="00954EA5"/>
    <w:rsid w:val="00955229"/>
    <w:rsid w:val="009557B9"/>
    <w:rsid w:val="00955C2F"/>
    <w:rsid w:val="00956BDB"/>
    <w:rsid w:val="00956C56"/>
    <w:rsid w:val="00956FEF"/>
    <w:rsid w:val="0095754A"/>
    <w:rsid w:val="00957B2D"/>
    <w:rsid w:val="00957C24"/>
    <w:rsid w:val="00960A87"/>
    <w:rsid w:val="00961CC4"/>
    <w:rsid w:val="009635A8"/>
    <w:rsid w:val="00963754"/>
    <w:rsid w:val="0096376B"/>
    <w:rsid w:val="00963E0F"/>
    <w:rsid w:val="009641BC"/>
    <w:rsid w:val="00966462"/>
    <w:rsid w:val="00967BF4"/>
    <w:rsid w:val="00967E14"/>
    <w:rsid w:val="00970AB4"/>
    <w:rsid w:val="00970AF9"/>
    <w:rsid w:val="00971AC3"/>
    <w:rsid w:val="00971BE2"/>
    <w:rsid w:val="00971C63"/>
    <w:rsid w:val="00971CC6"/>
    <w:rsid w:val="00972545"/>
    <w:rsid w:val="00975959"/>
    <w:rsid w:val="00975B99"/>
    <w:rsid w:val="00976AAC"/>
    <w:rsid w:val="00981019"/>
    <w:rsid w:val="00981A90"/>
    <w:rsid w:val="0098453F"/>
    <w:rsid w:val="00984575"/>
    <w:rsid w:val="00984A30"/>
    <w:rsid w:val="0098515B"/>
    <w:rsid w:val="009851E0"/>
    <w:rsid w:val="009873C3"/>
    <w:rsid w:val="009904D9"/>
    <w:rsid w:val="00991D99"/>
    <w:rsid w:val="0099295D"/>
    <w:rsid w:val="00992FF2"/>
    <w:rsid w:val="00994F35"/>
    <w:rsid w:val="00995C6D"/>
    <w:rsid w:val="009960C4"/>
    <w:rsid w:val="00996C44"/>
    <w:rsid w:val="00996D2F"/>
    <w:rsid w:val="009973C7"/>
    <w:rsid w:val="009A0CAF"/>
    <w:rsid w:val="009A1540"/>
    <w:rsid w:val="009A3806"/>
    <w:rsid w:val="009A3A58"/>
    <w:rsid w:val="009A4D30"/>
    <w:rsid w:val="009A5723"/>
    <w:rsid w:val="009A5E72"/>
    <w:rsid w:val="009A78D3"/>
    <w:rsid w:val="009A7EAC"/>
    <w:rsid w:val="009B05B3"/>
    <w:rsid w:val="009B0F0B"/>
    <w:rsid w:val="009B2C0E"/>
    <w:rsid w:val="009B2EC0"/>
    <w:rsid w:val="009B48B5"/>
    <w:rsid w:val="009B5822"/>
    <w:rsid w:val="009B6D33"/>
    <w:rsid w:val="009C0447"/>
    <w:rsid w:val="009C0D1E"/>
    <w:rsid w:val="009C2CF5"/>
    <w:rsid w:val="009C351B"/>
    <w:rsid w:val="009C3D39"/>
    <w:rsid w:val="009C424C"/>
    <w:rsid w:val="009C63C5"/>
    <w:rsid w:val="009C67C9"/>
    <w:rsid w:val="009C6BF0"/>
    <w:rsid w:val="009C703E"/>
    <w:rsid w:val="009C79A9"/>
    <w:rsid w:val="009D046C"/>
    <w:rsid w:val="009D0E19"/>
    <w:rsid w:val="009D462F"/>
    <w:rsid w:val="009D48BA"/>
    <w:rsid w:val="009D5B22"/>
    <w:rsid w:val="009D79F5"/>
    <w:rsid w:val="009E1846"/>
    <w:rsid w:val="009E2E54"/>
    <w:rsid w:val="009E3910"/>
    <w:rsid w:val="009E3EEF"/>
    <w:rsid w:val="009E404B"/>
    <w:rsid w:val="009E4C72"/>
    <w:rsid w:val="009E6B93"/>
    <w:rsid w:val="009E7884"/>
    <w:rsid w:val="009F0E95"/>
    <w:rsid w:val="009F1299"/>
    <w:rsid w:val="009F186B"/>
    <w:rsid w:val="009F1C9B"/>
    <w:rsid w:val="009F25E6"/>
    <w:rsid w:val="009F4CD0"/>
    <w:rsid w:val="009F566E"/>
    <w:rsid w:val="009F7FF6"/>
    <w:rsid w:val="00A001B6"/>
    <w:rsid w:val="00A00FDD"/>
    <w:rsid w:val="00A02135"/>
    <w:rsid w:val="00A02569"/>
    <w:rsid w:val="00A04B0C"/>
    <w:rsid w:val="00A06265"/>
    <w:rsid w:val="00A0658E"/>
    <w:rsid w:val="00A1063B"/>
    <w:rsid w:val="00A10B2A"/>
    <w:rsid w:val="00A11A80"/>
    <w:rsid w:val="00A11D21"/>
    <w:rsid w:val="00A11D93"/>
    <w:rsid w:val="00A13DC4"/>
    <w:rsid w:val="00A13E42"/>
    <w:rsid w:val="00A13FDC"/>
    <w:rsid w:val="00A15EC2"/>
    <w:rsid w:val="00A162C1"/>
    <w:rsid w:val="00A1636E"/>
    <w:rsid w:val="00A1647A"/>
    <w:rsid w:val="00A164E5"/>
    <w:rsid w:val="00A17C2A"/>
    <w:rsid w:val="00A208E5"/>
    <w:rsid w:val="00A21294"/>
    <w:rsid w:val="00A22275"/>
    <w:rsid w:val="00A22355"/>
    <w:rsid w:val="00A2318B"/>
    <w:rsid w:val="00A236F5"/>
    <w:rsid w:val="00A2490F"/>
    <w:rsid w:val="00A252D7"/>
    <w:rsid w:val="00A263D7"/>
    <w:rsid w:val="00A265D6"/>
    <w:rsid w:val="00A2662C"/>
    <w:rsid w:val="00A268F0"/>
    <w:rsid w:val="00A303F6"/>
    <w:rsid w:val="00A30E61"/>
    <w:rsid w:val="00A30F13"/>
    <w:rsid w:val="00A313BD"/>
    <w:rsid w:val="00A31782"/>
    <w:rsid w:val="00A328FB"/>
    <w:rsid w:val="00A32910"/>
    <w:rsid w:val="00A34256"/>
    <w:rsid w:val="00A34259"/>
    <w:rsid w:val="00A34E1A"/>
    <w:rsid w:val="00A357E5"/>
    <w:rsid w:val="00A35B5E"/>
    <w:rsid w:val="00A36542"/>
    <w:rsid w:val="00A3774E"/>
    <w:rsid w:val="00A428FA"/>
    <w:rsid w:val="00A42AD5"/>
    <w:rsid w:val="00A43638"/>
    <w:rsid w:val="00A43BEA"/>
    <w:rsid w:val="00A4418A"/>
    <w:rsid w:val="00A44746"/>
    <w:rsid w:val="00A447A8"/>
    <w:rsid w:val="00A454C4"/>
    <w:rsid w:val="00A45C24"/>
    <w:rsid w:val="00A47930"/>
    <w:rsid w:val="00A50103"/>
    <w:rsid w:val="00A50582"/>
    <w:rsid w:val="00A50A25"/>
    <w:rsid w:val="00A55088"/>
    <w:rsid w:val="00A55096"/>
    <w:rsid w:val="00A555B3"/>
    <w:rsid w:val="00A56E80"/>
    <w:rsid w:val="00A57EE4"/>
    <w:rsid w:val="00A61343"/>
    <w:rsid w:val="00A62355"/>
    <w:rsid w:val="00A62E0F"/>
    <w:rsid w:val="00A64224"/>
    <w:rsid w:val="00A656BB"/>
    <w:rsid w:val="00A65AF1"/>
    <w:rsid w:val="00A669DB"/>
    <w:rsid w:val="00A67914"/>
    <w:rsid w:val="00A71FEE"/>
    <w:rsid w:val="00A7238A"/>
    <w:rsid w:val="00A73023"/>
    <w:rsid w:val="00A7421E"/>
    <w:rsid w:val="00A74FD5"/>
    <w:rsid w:val="00A75AFE"/>
    <w:rsid w:val="00A77698"/>
    <w:rsid w:val="00A77A4A"/>
    <w:rsid w:val="00A77F29"/>
    <w:rsid w:val="00A80AAF"/>
    <w:rsid w:val="00A8128C"/>
    <w:rsid w:val="00A81A8E"/>
    <w:rsid w:val="00A83DC7"/>
    <w:rsid w:val="00A83FD8"/>
    <w:rsid w:val="00A83FEC"/>
    <w:rsid w:val="00A8438E"/>
    <w:rsid w:val="00A84A20"/>
    <w:rsid w:val="00A869E6"/>
    <w:rsid w:val="00A87036"/>
    <w:rsid w:val="00A872F0"/>
    <w:rsid w:val="00A878F4"/>
    <w:rsid w:val="00A87E55"/>
    <w:rsid w:val="00A87F55"/>
    <w:rsid w:val="00A90367"/>
    <w:rsid w:val="00A903E4"/>
    <w:rsid w:val="00A91356"/>
    <w:rsid w:val="00A91B3E"/>
    <w:rsid w:val="00A920EA"/>
    <w:rsid w:val="00A92E0A"/>
    <w:rsid w:val="00A92EDA"/>
    <w:rsid w:val="00A93C97"/>
    <w:rsid w:val="00A970E1"/>
    <w:rsid w:val="00AA08D4"/>
    <w:rsid w:val="00AA0B6D"/>
    <w:rsid w:val="00AA0DBC"/>
    <w:rsid w:val="00AA0E56"/>
    <w:rsid w:val="00AA0ED4"/>
    <w:rsid w:val="00AA1189"/>
    <w:rsid w:val="00AA1AA2"/>
    <w:rsid w:val="00AA1EB9"/>
    <w:rsid w:val="00AA2486"/>
    <w:rsid w:val="00AA3241"/>
    <w:rsid w:val="00AA32B4"/>
    <w:rsid w:val="00AA43DB"/>
    <w:rsid w:val="00AA476E"/>
    <w:rsid w:val="00AA4DCF"/>
    <w:rsid w:val="00AA5B6D"/>
    <w:rsid w:val="00AA6832"/>
    <w:rsid w:val="00AA6E49"/>
    <w:rsid w:val="00AA7E19"/>
    <w:rsid w:val="00AB035A"/>
    <w:rsid w:val="00AB0898"/>
    <w:rsid w:val="00AB0C4A"/>
    <w:rsid w:val="00AB0EFE"/>
    <w:rsid w:val="00AB10A9"/>
    <w:rsid w:val="00AB1731"/>
    <w:rsid w:val="00AB176E"/>
    <w:rsid w:val="00AB21D9"/>
    <w:rsid w:val="00AB2491"/>
    <w:rsid w:val="00AB2D5B"/>
    <w:rsid w:val="00AB2F9D"/>
    <w:rsid w:val="00AB3F63"/>
    <w:rsid w:val="00AB41C5"/>
    <w:rsid w:val="00AB488C"/>
    <w:rsid w:val="00AB7C7E"/>
    <w:rsid w:val="00AC0510"/>
    <w:rsid w:val="00AC174C"/>
    <w:rsid w:val="00AC293D"/>
    <w:rsid w:val="00AC465E"/>
    <w:rsid w:val="00AC7DD3"/>
    <w:rsid w:val="00AD00C9"/>
    <w:rsid w:val="00AD09B5"/>
    <w:rsid w:val="00AD09F0"/>
    <w:rsid w:val="00AD18A4"/>
    <w:rsid w:val="00AD2C5F"/>
    <w:rsid w:val="00AD4A64"/>
    <w:rsid w:val="00AD5035"/>
    <w:rsid w:val="00AD6CF6"/>
    <w:rsid w:val="00AD75B8"/>
    <w:rsid w:val="00AD7B6E"/>
    <w:rsid w:val="00AE0294"/>
    <w:rsid w:val="00AE02C9"/>
    <w:rsid w:val="00AE1F8C"/>
    <w:rsid w:val="00AE2893"/>
    <w:rsid w:val="00AE3137"/>
    <w:rsid w:val="00AE34EE"/>
    <w:rsid w:val="00AE3D2B"/>
    <w:rsid w:val="00AE4A27"/>
    <w:rsid w:val="00AE5247"/>
    <w:rsid w:val="00AE6122"/>
    <w:rsid w:val="00AF065B"/>
    <w:rsid w:val="00AF181B"/>
    <w:rsid w:val="00AF3FEB"/>
    <w:rsid w:val="00AF4BE6"/>
    <w:rsid w:val="00AF4D15"/>
    <w:rsid w:val="00AF53F9"/>
    <w:rsid w:val="00AF5529"/>
    <w:rsid w:val="00AF58B9"/>
    <w:rsid w:val="00AF58F9"/>
    <w:rsid w:val="00AF598C"/>
    <w:rsid w:val="00AF5C05"/>
    <w:rsid w:val="00AF6706"/>
    <w:rsid w:val="00AF67C8"/>
    <w:rsid w:val="00AF6DFE"/>
    <w:rsid w:val="00AF7377"/>
    <w:rsid w:val="00AF7C97"/>
    <w:rsid w:val="00AF7DF0"/>
    <w:rsid w:val="00AF7F63"/>
    <w:rsid w:val="00B00B95"/>
    <w:rsid w:val="00B00EE0"/>
    <w:rsid w:val="00B012D6"/>
    <w:rsid w:val="00B02097"/>
    <w:rsid w:val="00B0344E"/>
    <w:rsid w:val="00B0398F"/>
    <w:rsid w:val="00B0429F"/>
    <w:rsid w:val="00B050BC"/>
    <w:rsid w:val="00B0596A"/>
    <w:rsid w:val="00B05F80"/>
    <w:rsid w:val="00B06430"/>
    <w:rsid w:val="00B07C92"/>
    <w:rsid w:val="00B10BCC"/>
    <w:rsid w:val="00B119A9"/>
    <w:rsid w:val="00B127F1"/>
    <w:rsid w:val="00B1398A"/>
    <w:rsid w:val="00B13BEC"/>
    <w:rsid w:val="00B1440A"/>
    <w:rsid w:val="00B1662E"/>
    <w:rsid w:val="00B170DE"/>
    <w:rsid w:val="00B1749D"/>
    <w:rsid w:val="00B17F0D"/>
    <w:rsid w:val="00B2103D"/>
    <w:rsid w:val="00B21EE1"/>
    <w:rsid w:val="00B21FF0"/>
    <w:rsid w:val="00B2244B"/>
    <w:rsid w:val="00B23C47"/>
    <w:rsid w:val="00B25023"/>
    <w:rsid w:val="00B25831"/>
    <w:rsid w:val="00B25DF7"/>
    <w:rsid w:val="00B2708A"/>
    <w:rsid w:val="00B27986"/>
    <w:rsid w:val="00B27B57"/>
    <w:rsid w:val="00B31223"/>
    <w:rsid w:val="00B313B6"/>
    <w:rsid w:val="00B319C9"/>
    <w:rsid w:val="00B330A9"/>
    <w:rsid w:val="00B3489C"/>
    <w:rsid w:val="00B36DAC"/>
    <w:rsid w:val="00B36E22"/>
    <w:rsid w:val="00B36EB3"/>
    <w:rsid w:val="00B3763F"/>
    <w:rsid w:val="00B37F43"/>
    <w:rsid w:val="00B40C1B"/>
    <w:rsid w:val="00B42742"/>
    <w:rsid w:val="00B42968"/>
    <w:rsid w:val="00B44585"/>
    <w:rsid w:val="00B44B76"/>
    <w:rsid w:val="00B465D8"/>
    <w:rsid w:val="00B50B4C"/>
    <w:rsid w:val="00B518A1"/>
    <w:rsid w:val="00B52E1B"/>
    <w:rsid w:val="00B53FFF"/>
    <w:rsid w:val="00B56006"/>
    <w:rsid w:val="00B5689D"/>
    <w:rsid w:val="00B56A72"/>
    <w:rsid w:val="00B56DEB"/>
    <w:rsid w:val="00B573FA"/>
    <w:rsid w:val="00B60B60"/>
    <w:rsid w:val="00B60E36"/>
    <w:rsid w:val="00B61ADD"/>
    <w:rsid w:val="00B61C4B"/>
    <w:rsid w:val="00B622D1"/>
    <w:rsid w:val="00B62DB5"/>
    <w:rsid w:val="00B63021"/>
    <w:rsid w:val="00B63B26"/>
    <w:rsid w:val="00B65E87"/>
    <w:rsid w:val="00B70436"/>
    <w:rsid w:val="00B71526"/>
    <w:rsid w:val="00B71F88"/>
    <w:rsid w:val="00B72C90"/>
    <w:rsid w:val="00B73402"/>
    <w:rsid w:val="00B73898"/>
    <w:rsid w:val="00B7729C"/>
    <w:rsid w:val="00B77625"/>
    <w:rsid w:val="00B7767F"/>
    <w:rsid w:val="00B77A90"/>
    <w:rsid w:val="00B77CDE"/>
    <w:rsid w:val="00B77CE8"/>
    <w:rsid w:val="00B8022D"/>
    <w:rsid w:val="00B81041"/>
    <w:rsid w:val="00B8145B"/>
    <w:rsid w:val="00B81485"/>
    <w:rsid w:val="00B81657"/>
    <w:rsid w:val="00B81AD7"/>
    <w:rsid w:val="00B8297D"/>
    <w:rsid w:val="00B831FA"/>
    <w:rsid w:val="00B84957"/>
    <w:rsid w:val="00B85910"/>
    <w:rsid w:val="00B86748"/>
    <w:rsid w:val="00B86AD5"/>
    <w:rsid w:val="00B871AC"/>
    <w:rsid w:val="00B871F3"/>
    <w:rsid w:val="00B874DC"/>
    <w:rsid w:val="00B900B3"/>
    <w:rsid w:val="00B9052A"/>
    <w:rsid w:val="00B905B3"/>
    <w:rsid w:val="00B90B86"/>
    <w:rsid w:val="00B910B0"/>
    <w:rsid w:val="00B911F8"/>
    <w:rsid w:val="00B912F9"/>
    <w:rsid w:val="00B9138A"/>
    <w:rsid w:val="00B91C5C"/>
    <w:rsid w:val="00B91D78"/>
    <w:rsid w:val="00B920B4"/>
    <w:rsid w:val="00B92F77"/>
    <w:rsid w:val="00B92FF9"/>
    <w:rsid w:val="00B933CE"/>
    <w:rsid w:val="00B938AC"/>
    <w:rsid w:val="00B93A5F"/>
    <w:rsid w:val="00B94D28"/>
    <w:rsid w:val="00B950A2"/>
    <w:rsid w:val="00B9572C"/>
    <w:rsid w:val="00B96228"/>
    <w:rsid w:val="00B972D0"/>
    <w:rsid w:val="00BA0ED1"/>
    <w:rsid w:val="00BA12C0"/>
    <w:rsid w:val="00BA1795"/>
    <w:rsid w:val="00BA3301"/>
    <w:rsid w:val="00BA38E1"/>
    <w:rsid w:val="00BA5125"/>
    <w:rsid w:val="00BA7D90"/>
    <w:rsid w:val="00BB0860"/>
    <w:rsid w:val="00BB09F8"/>
    <w:rsid w:val="00BB180C"/>
    <w:rsid w:val="00BB1B8F"/>
    <w:rsid w:val="00BB1D4F"/>
    <w:rsid w:val="00BB234F"/>
    <w:rsid w:val="00BB23C3"/>
    <w:rsid w:val="00BB26F9"/>
    <w:rsid w:val="00BB2AB4"/>
    <w:rsid w:val="00BB3555"/>
    <w:rsid w:val="00BB3915"/>
    <w:rsid w:val="00BB3BED"/>
    <w:rsid w:val="00BB4267"/>
    <w:rsid w:val="00BB4B5E"/>
    <w:rsid w:val="00BB4DD7"/>
    <w:rsid w:val="00BB4F23"/>
    <w:rsid w:val="00BB5166"/>
    <w:rsid w:val="00BB6048"/>
    <w:rsid w:val="00BB6208"/>
    <w:rsid w:val="00BB6715"/>
    <w:rsid w:val="00BB72CA"/>
    <w:rsid w:val="00BB7E4F"/>
    <w:rsid w:val="00BC2708"/>
    <w:rsid w:val="00BC3049"/>
    <w:rsid w:val="00BC36DF"/>
    <w:rsid w:val="00BC3B84"/>
    <w:rsid w:val="00BC4157"/>
    <w:rsid w:val="00BC45B8"/>
    <w:rsid w:val="00BC626F"/>
    <w:rsid w:val="00BC71DB"/>
    <w:rsid w:val="00BC7851"/>
    <w:rsid w:val="00BC7993"/>
    <w:rsid w:val="00BD0032"/>
    <w:rsid w:val="00BD02D9"/>
    <w:rsid w:val="00BD240E"/>
    <w:rsid w:val="00BD29FE"/>
    <w:rsid w:val="00BD413B"/>
    <w:rsid w:val="00BD79E7"/>
    <w:rsid w:val="00BE095B"/>
    <w:rsid w:val="00BE0E94"/>
    <w:rsid w:val="00BE0F79"/>
    <w:rsid w:val="00BE191B"/>
    <w:rsid w:val="00BE272D"/>
    <w:rsid w:val="00BE4C33"/>
    <w:rsid w:val="00BE5055"/>
    <w:rsid w:val="00BE56E0"/>
    <w:rsid w:val="00BE618B"/>
    <w:rsid w:val="00BE63AE"/>
    <w:rsid w:val="00BE65B1"/>
    <w:rsid w:val="00BE71E6"/>
    <w:rsid w:val="00BF0355"/>
    <w:rsid w:val="00BF0EB7"/>
    <w:rsid w:val="00BF1387"/>
    <w:rsid w:val="00BF1990"/>
    <w:rsid w:val="00BF2E37"/>
    <w:rsid w:val="00BF4866"/>
    <w:rsid w:val="00BF4B27"/>
    <w:rsid w:val="00BF5D19"/>
    <w:rsid w:val="00BF620D"/>
    <w:rsid w:val="00BF67ED"/>
    <w:rsid w:val="00BF6FCF"/>
    <w:rsid w:val="00BF744F"/>
    <w:rsid w:val="00BF7976"/>
    <w:rsid w:val="00C00478"/>
    <w:rsid w:val="00C006CB"/>
    <w:rsid w:val="00C009A2"/>
    <w:rsid w:val="00C00D3A"/>
    <w:rsid w:val="00C00E65"/>
    <w:rsid w:val="00C0149A"/>
    <w:rsid w:val="00C0162E"/>
    <w:rsid w:val="00C01921"/>
    <w:rsid w:val="00C01F52"/>
    <w:rsid w:val="00C024B4"/>
    <w:rsid w:val="00C0259E"/>
    <w:rsid w:val="00C05148"/>
    <w:rsid w:val="00C0771E"/>
    <w:rsid w:val="00C11AC8"/>
    <w:rsid w:val="00C120AF"/>
    <w:rsid w:val="00C12647"/>
    <w:rsid w:val="00C14555"/>
    <w:rsid w:val="00C148B1"/>
    <w:rsid w:val="00C15DD8"/>
    <w:rsid w:val="00C16766"/>
    <w:rsid w:val="00C1685C"/>
    <w:rsid w:val="00C173C5"/>
    <w:rsid w:val="00C22128"/>
    <w:rsid w:val="00C22C0E"/>
    <w:rsid w:val="00C22C38"/>
    <w:rsid w:val="00C2345E"/>
    <w:rsid w:val="00C23982"/>
    <w:rsid w:val="00C23BDA"/>
    <w:rsid w:val="00C24120"/>
    <w:rsid w:val="00C2434C"/>
    <w:rsid w:val="00C24665"/>
    <w:rsid w:val="00C24825"/>
    <w:rsid w:val="00C253F8"/>
    <w:rsid w:val="00C254DF"/>
    <w:rsid w:val="00C26A07"/>
    <w:rsid w:val="00C26DDF"/>
    <w:rsid w:val="00C27205"/>
    <w:rsid w:val="00C304A4"/>
    <w:rsid w:val="00C31056"/>
    <w:rsid w:val="00C31F3B"/>
    <w:rsid w:val="00C32052"/>
    <w:rsid w:val="00C32417"/>
    <w:rsid w:val="00C33790"/>
    <w:rsid w:val="00C34351"/>
    <w:rsid w:val="00C34E95"/>
    <w:rsid w:val="00C350CE"/>
    <w:rsid w:val="00C36507"/>
    <w:rsid w:val="00C370DF"/>
    <w:rsid w:val="00C37509"/>
    <w:rsid w:val="00C37597"/>
    <w:rsid w:val="00C37707"/>
    <w:rsid w:val="00C37B3A"/>
    <w:rsid w:val="00C40E08"/>
    <w:rsid w:val="00C414C0"/>
    <w:rsid w:val="00C41BC9"/>
    <w:rsid w:val="00C41F61"/>
    <w:rsid w:val="00C420F3"/>
    <w:rsid w:val="00C427F9"/>
    <w:rsid w:val="00C428DA"/>
    <w:rsid w:val="00C42FE9"/>
    <w:rsid w:val="00C43EFB"/>
    <w:rsid w:val="00C464CF"/>
    <w:rsid w:val="00C46D89"/>
    <w:rsid w:val="00C4733A"/>
    <w:rsid w:val="00C50050"/>
    <w:rsid w:val="00C5091D"/>
    <w:rsid w:val="00C509D3"/>
    <w:rsid w:val="00C50A41"/>
    <w:rsid w:val="00C51AE3"/>
    <w:rsid w:val="00C53138"/>
    <w:rsid w:val="00C53668"/>
    <w:rsid w:val="00C53E67"/>
    <w:rsid w:val="00C54C4D"/>
    <w:rsid w:val="00C56599"/>
    <w:rsid w:val="00C565F3"/>
    <w:rsid w:val="00C566E3"/>
    <w:rsid w:val="00C56741"/>
    <w:rsid w:val="00C568F0"/>
    <w:rsid w:val="00C57293"/>
    <w:rsid w:val="00C574C1"/>
    <w:rsid w:val="00C57FB2"/>
    <w:rsid w:val="00C604BE"/>
    <w:rsid w:val="00C60C49"/>
    <w:rsid w:val="00C6204D"/>
    <w:rsid w:val="00C620FF"/>
    <w:rsid w:val="00C62E98"/>
    <w:rsid w:val="00C62EDE"/>
    <w:rsid w:val="00C64D79"/>
    <w:rsid w:val="00C651BD"/>
    <w:rsid w:val="00C65E25"/>
    <w:rsid w:val="00C663FA"/>
    <w:rsid w:val="00C704A7"/>
    <w:rsid w:val="00C70D4E"/>
    <w:rsid w:val="00C71EBE"/>
    <w:rsid w:val="00C72B71"/>
    <w:rsid w:val="00C7303B"/>
    <w:rsid w:val="00C7327F"/>
    <w:rsid w:val="00C74456"/>
    <w:rsid w:val="00C7509B"/>
    <w:rsid w:val="00C75512"/>
    <w:rsid w:val="00C75B27"/>
    <w:rsid w:val="00C767BF"/>
    <w:rsid w:val="00C7747E"/>
    <w:rsid w:val="00C80446"/>
    <w:rsid w:val="00C8173C"/>
    <w:rsid w:val="00C83274"/>
    <w:rsid w:val="00C840B4"/>
    <w:rsid w:val="00C84627"/>
    <w:rsid w:val="00C85020"/>
    <w:rsid w:val="00C85F06"/>
    <w:rsid w:val="00C86013"/>
    <w:rsid w:val="00C87100"/>
    <w:rsid w:val="00C91667"/>
    <w:rsid w:val="00C922BD"/>
    <w:rsid w:val="00C923B7"/>
    <w:rsid w:val="00C92682"/>
    <w:rsid w:val="00C935CE"/>
    <w:rsid w:val="00C9381A"/>
    <w:rsid w:val="00C94046"/>
    <w:rsid w:val="00C94250"/>
    <w:rsid w:val="00C945B5"/>
    <w:rsid w:val="00C945BC"/>
    <w:rsid w:val="00C94D88"/>
    <w:rsid w:val="00C96910"/>
    <w:rsid w:val="00C97AF7"/>
    <w:rsid w:val="00CA0323"/>
    <w:rsid w:val="00CA0809"/>
    <w:rsid w:val="00CA0835"/>
    <w:rsid w:val="00CA106E"/>
    <w:rsid w:val="00CA1B5D"/>
    <w:rsid w:val="00CA279A"/>
    <w:rsid w:val="00CA27C6"/>
    <w:rsid w:val="00CA2D13"/>
    <w:rsid w:val="00CA3ABE"/>
    <w:rsid w:val="00CA3D7D"/>
    <w:rsid w:val="00CA4B91"/>
    <w:rsid w:val="00CA4BE5"/>
    <w:rsid w:val="00CA5851"/>
    <w:rsid w:val="00CA5E2F"/>
    <w:rsid w:val="00CA77E8"/>
    <w:rsid w:val="00CA7B8B"/>
    <w:rsid w:val="00CA7DCB"/>
    <w:rsid w:val="00CB3C45"/>
    <w:rsid w:val="00CB43A9"/>
    <w:rsid w:val="00CB4AD6"/>
    <w:rsid w:val="00CB6968"/>
    <w:rsid w:val="00CB7BF2"/>
    <w:rsid w:val="00CC0072"/>
    <w:rsid w:val="00CC1476"/>
    <w:rsid w:val="00CC1964"/>
    <w:rsid w:val="00CC1E89"/>
    <w:rsid w:val="00CC1F8B"/>
    <w:rsid w:val="00CC2AE1"/>
    <w:rsid w:val="00CC3205"/>
    <w:rsid w:val="00CC444F"/>
    <w:rsid w:val="00CC554F"/>
    <w:rsid w:val="00CC5633"/>
    <w:rsid w:val="00CC5ED2"/>
    <w:rsid w:val="00CC62B4"/>
    <w:rsid w:val="00CC6374"/>
    <w:rsid w:val="00CC6645"/>
    <w:rsid w:val="00CC6D25"/>
    <w:rsid w:val="00CD077D"/>
    <w:rsid w:val="00CD07BA"/>
    <w:rsid w:val="00CD134F"/>
    <w:rsid w:val="00CD1433"/>
    <w:rsid w:val="00CD1E8D"/>
    <w:rsid w:val="00CD260F"/>
    <w:rsid w:val="00CD4148"/>
    <w:rsid w:val="00CD42EC"/>
    <w:rsid w:val="00CD5FC1"/>
    <w:rsid w:val="00CE1795"/>
    <w:rsid w:val="00CE18D3"/>
    <w:rsid w:val="00CE1E98"/>
    <w:rsid w:val="00CE31C1"/>
    <w:rsid w:val="00CE4290"/>
    <w:rsid w:val="00CE446E"/>
    <w:rsid w:val="00CE4ED5"/>
    <w:rsid w:val="00CE5F98"/>
    <w:rsid w:val="00CE6178"/>
    <w:rsid w:val="00CE623C"/>
    <w:rsid w:val="00CE6BD5"/>
    <w:rsid w:val="00CE6D28"/>
    <w:rsid w:val="00CE73C2"/>
    <w:rsid w:val="00CE7CC6"/>
    <w:rsid w:val="00CF0B68"/>
    <w:rsid w:val="00CF2884"/>
    <w:rsid w:val="00CF37CE"/>
    <w:rsid w:val="00CF419B"/>
    <w:rsid w:val="00CF4AE9"/>
    <w:rsid w:val="00CF5584"/>
    <w:rsid w:val="00CF5BE2"/>
    <w:rsid w:val="00CF64DA"/>
    <w:rsid w:val="00CF6502"/>
    <w:rsid w:val="00CF709A"/>
    <w:rsid w:val="00D0015E"/>
    <w:rsid w:val="00D003A5"/>
    <w:rsid w:val="00D0091C"/>
    <w:rsid w:val="00D00F1A"/>
    <w:rsid w:val="00D04835"/>
    <w:rsid w:val="00D04C2C"/>
    <w:rsid w:val="00D05093"/>
    <w:rsid w:val="00D059F9"/>
    <w:rsid w:val="00D075A6"/>
    <w:rsid w:val="00D07B24"/>
    <w:rsid w:val="00D07E14"/>
    <w:rsid w:val="00D1154D"/>
    <w:rsid w:val="00D11F55"/>
    <w:rsid w:val="00D12013"/>
    <w:rsid w:val="00D120D9"/>
    <w:rsid w:val="00D127B8"/>
    <w:rsid w:val="00D12ECB"/>
    <w:rsid w:val="00D130FA"/>
    <w:rsid w:val="00D13819"/>
    <w:rsid w:val="00D13A4A"/>
    <w:rsid w:val="00D166E3"/>
    <w:rsid w:val="00D16A60"/>
    <w:rsid w:val="00D1782A"/>
    <w:rsid w:val="00D2014E"/>
    <w:rsid w:val="00D20476"/>
    <w:rsid w:val="00D21587"/>
    <w:rsid w:val="00D2172A"/>
    <w:rsid w:val="00D2263A"/>
    <w:rsid w:val="00D2271A"/>
    <w:rsid w:val="00D24024"/>
    <w:rsid w:val="00D253A4"/>
    <w:rsid w:val="00D25FEA"/>
    <w:rsid w:val="00D261D6"/>
    <w:rsid w:val="00D263E3"/>
    <w:rsid w:val="00D265F5"/>
    <w:rsid w:val="00D26F54"/>
    <w:rsid w:val="00D314BB"/>
    <w:rsid w:val="00D317C8"/>
    <w:rsid w:val="00D31B91"/>
    <w:rsid w:val="00D322F5"/>
    <w:rsid w:val="00D335CA"/>
    <w:rsid w:val="00D34BA8"/>
    <w:rsid w:val="00D351AB"/>
    <w:rsid w:val="00D351E1"/>
    <w:rsid w:val="00D35BBE"/>
    <w:rsid w:val="00D36579"/>
    <w:rsid w:val="00D36F61"/>
    <w:rsid w:val="00D37962"/>
    <w:rsid w:val="00D40CDE"/>
    <w:rsid w:val="00D41AD0"/>
    <w:rsid w:val="00D41B32"/>
    <w:rsid w:val="00D42F2A"/>
    <w:rsid w:val="00D43B14"/>
    <w:rsid w:val="00D45A9A"/>
    <w:rsid w:val="00D4620A"/>
    <w:rsid w:val="00D46E50"/>
    <w:rsid w:val="00D46EC6"/>
    <w:rsid w:val="00D5121D"/>
    <w:rsid w:val="00D5241C"/>
    <w:rsid w:val="00D52C62"/>
    <w:rsid w:val="00D52F29"/>
    <w:rsid w:val="00D54F91"/>
    <w:rsid w:val="00D56D11"/>
    <w:rsid w:val="00D570C8"/>
    <w:rsid w:val="00D572CA"/>
    <w:rsid w:val="00D575C2"/>
    <w:rsid w:val="00D57D15"/>
    <w:rsid w:val="00D57FF9"/>
    <w:rsid w:val="00D612F7"/>
    <w:rsid w:val="00D61F13"/>
    <w:rsid w:val="00D627BA"/>
    <w:rsid w:val="00D63BA2"/>
    <w:rsid w:val="00D643CE"/>
    <w:rsid w:val="00D6565A"/>
    <w:rsid w:val="00D65994"/>
    <w:rsid w:val="00D65C1F"/>
    <w:rsid w:val="00D6622C"/>
    <w:rsid w:val="00D676D0"/>
    <w:rsid w:val="00D679B5"/>
    <w:rsid w:val="00D70C96"/>
    <w:rsid w:val="00D715AF"/>
    <w:rsid w:val="00D719DE"/>
    <w:rsid w:val="00D71C66"/>
    <w:rsid w:val="00D7452C"/>
    <w:rsid w:val="00D74893"/>
    <w:rsid w:val="00D74A23"/>
    <w:rsid w:val="00D761CB"/>
    <w:rsid w:val="00D76A78"/>
    <w:rsid w:val="00D779A1"/>
    <w:rsid w:val="00D8124D"/>
    <w:rsid w:val="00D8132F"/>
    <w:rsid w:val="00D81A11"/>
    <w:rsid w:val="00D82CA8"/>
    <w:rsid w:val="00D82E5B"/>
    <w:rsid w:val="00D842DA"/>
    <w:rsid w:val="00D84794"/>
    <w:rsid w:val="00D84981"/>
    <w:rsid w:val="00D8751E"/>
    <w:rsid w:val="00D90A90"/>
    <w:rsid w:val="00D9182B"/>
    <w:rsid w:val="00D922C9"/>
    <w:rsid w:val="00D92F90"/>
    <w:rsid w:val="00D9317C"/>
    <w:rsid w:val="00D935EF"/>
    <w:rsid w:val="00D9398A"/>
    <w:rsid w:val="00D93C66"/>
    <w:rsid w:val="00D93D55"/>
    <w:rsid w:val="00D9466F"/>
    <w:rsid w:val="00D953FE"/>
    <w:rsid w:val="00D95EE9"/>
    <w:rsid w:val="00DA251F"/>
    <w:rsid w:val="00DA25FA"/>
    <w:rsid w:val="00DA28BE"/>
    <w:rsid w:val="00DA2A65"/>
    <w:rsid w:val="00DA562D"/>
    <w:rsid w:val="00DA6082"/>
    <w:rsid w:val="00DA6790"/>
    <w:rsid w:val="00DA7E33"/>
    <w:rsid w:val="00DA7EA3"/>
    <w:rsid w:val="00DB005E"/>
    <w:rsid w:val="00DB08A8"/>
    <w:rsid w:val="00DB08D4"/>
    <w:rsid w:val="00DB2343"/>
    <w:rsid w:val="00DB2BA0"/>
    <w:rsid w:val="00DB3511"/>
    <w:rsid w:val="00DB4BD3"/>
    <w:rsid w:val="00DB4D6A"/>
    <w:rsid w:val="00DB5113"/>
    <w:rsid w:val="00DB5223"/>
    <w:rsid w:val="00DB5323"/>
    <w:rsid w:val="00DB6376"/>
    <w:rsid w:val="00DB674E"/>
    <w:rsid w:val="00DB7048"/>
    <w:rsid w:val="00DB720E"/>
    <w:rsid w:val="00DC03E6"/>
    <w:rsid w:val="00DC0589"/>
    <w:rsid w:val="00DC1969"/>
    <w:rsid w:val="00DC1A1A"/>
    <w:rsid w:val="00DC21D4"/>
    <w:rsid w:val="00DC2482"/>
    <w:rsid w:val="00DC2846"/>
    <w:rsid w:val="00DC2F84"/>
    <w:rsid w:val="00DC3CAA"/>
    <w:rsid w:val="00DC3EBD"/>
    <w:rsid w:val="00DC45D0"/>
    <w:rsid w:val="00DC4760"/>
    <w:rsid w:val="00DC4EEE"/>
    <w:rsid w:val="00DC4FC8"/>
    <w:rsid w:val="00DC5529"/>
    <w:rsid w:val="00DC5EDB"/>
    <w:rsid w:val="00DC663C"/>
    <w:rsid w:val="00DC6D03"/>
    <w:rsid w:val="00DC79F8"/>
    <w:rsid w:val="00DC7CDE"/>
    <w:rsid w:val="00DD0108"/>
    <w:rsid w:val="00DD088F"/>
    <w:rsid w:val="00DD0CBF"/>
    <w:rsid w:val="00DD13A1"/>
    <w:rsid w:val="00DD15A3"/>
    <w:rsid w:val="00DD21F8"/>
    <w:rsid w:val="00DD2218"/>
    <w:rsid w:val="00DD3074"/>
    <w:rsid w:val="00DD32E3"/>
    <w:rsid w:val="00DD36B6"/>
    <w:rsid w:val="00DD400F"/>
    <w:rsid w:val="00DD5D4A"/>
    <w:rsid w:val="00DD7034"/>
    <w:rsid w:val="00DD7A66"/>
    <w:rsid w:val="00DE0207"/>
    <w:rsid w:val="00DE0719"/>
    <w:rsid w:val="00DE14CE"/>
    <w:rsid w:val="00DE17D3"/>
    <w:rsid w:val="00DE1DF0"/>
    <w:rsid w:val="00DE203D"/>
    <w:rsid w:val="00DE260D"/>
    <w:rsid w:val="00DE2A01"/>
    <w:rsid w:val="00DE31EF"/>
    <w:rsid w:val="00DE34E3"/>
    <w:rsid w:val="00DE4B01"/>
    <w:rsid w:val="00DE4F24"/>
    <w:rsid w:val="00DE6802"/>
    <w:rsid w:val="00DE765D"/>
    <w:rsid w:val="00DF1AD2"/>
    <w:rsid w:val="00DF249B"/>
    <w:rsid w:val="00DF2AC9"/>
    <w:rsid w:val="00DF2C01"/>
    <w:rsid w:val="00DF2CA6"/>
    <w:rsid w:val="00DF30C6"/>
    <w:rsid w:val="00DF3219"/>
    <w:rsid w:val="00DF3416"/>
    <w:rsid w:val="00DF3562"/>
    <w:rsid w:val="00DF3FAB"/>
    <w:rsid w:val="00DF406F"/>
    <w:rsid w:val="00DF52A4"/>
    <w:rsid w:val="00DF58B0"/>
    <w:rsid w:val="00DF5AE8"/>
    <w:rsid w:val="00DF61A8"/>
    <w:rsid w:val="00DF6828"/>
    <w:rsid w:val="00DF7798"/>
    <w:rsid w:val="00DF7916"/>
    <w:rsid w:val="00DF7D6D"/>
    <w:rsid w:val="00E00F3E"/>
    <w:rsid w:val="00E01630"/>
    <w:rsid w:val="00E01755"/>
    <w:rsid w:val="00E01859"/>
    <w:rsid w:val="00E01F1C"/>
    <w:rsid w:val="00E0303F"/>
    <w:rsid w:val="00E042D6"/>
    <w:rsid w:val="00E0490B"/>
    <w:rsid w:val="00E049D5"/>
    <w:rsid w:val="00E05268"/>
    <w:rsid w:val="00E05FE9"/>
    <w:rsid w:val="00E06401"/>
    <w:rsid w:val="00E104B3"/>
    <w:rsid w:val="00E1218F"/>
    <w:rsid w:val="00E122F8"/>
    <w:rsid w:val="00E12309"/>
    <w:rsid w:val="00E12EA6"/>
    <w:rsid w:val="00E15228"/>
    <w:rsid w:val="00E1552F"/>
    <w:rsid w:val="00E16EAF"/>
    <w:rsid w:val="00E176A1"/>
    <w:rsid w:val="00E1796E"/>
    <w:rsid w:val="00E20480"/>
    <w:rsid w:val="00E21498"/>
    <w:rsid w:val="00E22584"/>
    <w:rsid w:val="00E226B4"/>
    <w:rsid w:val="00E23024"/>
    <w:rsid w:val="00E235A0"/>
    <w:rsid w:val="00E23B5F"/>
    <w:rsid w:val="00E23F29"/>
    <w:rsid w:val="00E245DD"/>
    <w:rsid w:val="00E25157"/>
    <w:rsid w:val="00E25337"/>
    <w:rsid w:val="00E25D99"/>
    <w:rsid w:val="00E25DA3"/>
    <w:rsid w:val="00E2630C"/>
    <w:rsid w:val="00E30577"/>
    <w:rsid w:val="00E317C3"/>
    <w:rsid w:val="00E33214"/>
    <w:rsid w:val="00E33868"/>
    <w:rsid w:val="00E35D7C"/>
    <w:rsid w:val="00E35F80"/>
    <w:rsid w:val="00E3655B"/>
    <w:rsid w:val="00E36730"/>
    <w:rsid w:val="00E369C8"/>
    <w:rsid w:val="00E401DD"/>
    <w:rsid w:val="00E4065A"/>
    <w:rsid w:val="00E4097C"/>
    <w:rsid w:val="00E41BA4"/>
    <w:rsid w:val="00E41CEC"/>
    <w:rsid w:val="00E42893"/>
    <w:rsid w:val="00E4372C"/>
    <w:rsid w:val="00E43BB2"/>
    <w:rsid w:val="00E43D52"/>
    <w:rsid w:val="00E443FB"/>
    <w:rsid w:val="00E44943"/>
    <w:rsid w:val="00E44C5B"/>
    <w:rsid w:val="00E46A5C"/>
    <w:rsid w:val="00E47978"/>
    <w:rsid w:val="00E47D38"/>
    <w:rsid w:val="00E5051B"/>
    <w:rsid w:val="00E5093C"/>
    <w:rsid w:val="00E50B32"/>
    <w:rsid w:val="00E53B12"/>
    <w:rsid w:val="00E54925"/>
    <w:rsid w:val="00E55D38"/>
    <w:rsid w:val="00E57BA8"/>
    <w:rsid w:val="00E62410"/>
    <w:rsid w:val="00E627BB"/>
    <w:rsid w:val="00E62ABF"/>
    <w:rsid w:val="00E6344C"/>
    <w:rsid w:val="00E63664"/>
    <w:rsid w:val="00E640BC"/>
    <w:rsid w:val="00E64EDC"/>
    <w:rsid w:val="00E653E5"/>
    <w:rsid w:val="00E656B0"/>
    <w:rsid w:val="00E65CED"/>
    <w:rsid w:val="00E65D14"/>
    <w:rsid w:val="00E66ADE"/>
    <w:rsid w:val="00E66FB4"/>
    <w:rsid w:val="00E67726"/>
    <w:rsid w:val="00E7041D"/>
    <w:rsid w:val="00E71234"/>
    <w:rsid w:val="00E71DEF"/>
    <w:rsid w:val="00E71F3B"/>
    <w:rsid w:val="00E71F7C"/>
    <w:rsid w:val="00E71F8F"/>
    <w:rsid w:val="00E727EF"/>
    <w:rsid w:val="00E72F8B"/>
    <w:rsid w:val="00E73114"/>
    <w:rsid w:val="00E73897"/>
    <w:rsid w:val="00E73DA2"/>
    <w:rsid w:val="00E7453B"/>
    <w:rsid w:val="00E7456D"/>
    <w:rsid w:val="00E7627F"/>
    <w:rsid w:val="00E7738F"/>
    <w:rsid w:val="00E77B31"/>
    <w:rsid w:val="00E80718"/>
    <w:rsid w:val="00E828EB"/>
    <w:rsid w:val="00E829EA"/>
    <w:rsid w:val="00E8327D"/>
    <w:rsid w:val="00E832E2"/>
    <w:rsid w:val="00E8464F"/>
    <w:rsid w:val="00E8481D"/>
    <w:rsid w:val="00E85BE7"/>
    <w:rsid w:val="00E85D3F"/>
    <w:rsid w:val="00E85E31"/>
    <w:rsid w:val="00E8651C"/>
    <w:rsid w:val="00E86559"/>
    <w:rsid w:val="00E8699D"/>
    <w:rsid w:val="00E86CF0"/>
    <w:rsid w:val="00E87117"/>
    <w:rsid w:val="00E87CB0"/>
    <w:rsid w:val="00E905A0"/>
    <w:rsid w:val="00E90A4D"/>
    <w:rsid w:val="00E90F1F"/>
    <w:rsid w:val="00E91994"/>
    <w:rsid w:val="00E91A24"/>
    <w:rsid w:val="00E91EE6"/>
    <w:rsid w:val="00E92051"/>
    <w:rsid w:val="00E929F6"/>
    <w:rsid w:val="00E9399B"/>
    <w:rsid w:val="00E939EA"/>
    <w:rsid w:val="00E94054"/>
    <w:rsid w:val="00E9456D"/>
    <w:rsid w:val="00E94F0E"/>
    <w:rsid w:val="00E95469"/>
    <w:rsid w:val="00E96173"/>
    <w:rsid w:val="00E96286"/>
    <w:rsid w:val="00E963CB"/>
    <w:rsid w:val="00E9647D"/>
    <w:rsid w:val="00E96903"/>
    <w:rsid w:val="00E97642"/>
    <w:rsid w:val="00E97BE7"/>
    <w:rsid w:val="00EA0787"/>
    <w:rsid w:val="00EA08EF"/>
    <w:rsid w:val="00EA177A"/>
    <w:rsid w:val="00EA2261"/>
    <w:rsid w:val="00EA25DE"/>
    <w:rsid w:val="00EA2CD5"/>
    <w:rsid w:val="00EA3540"/>
    <w:rsid w:val="00EA4C6C"/>
    <w:rsid w:val="00EA4EC2"/>
    <w:rsid w:val="00EA55FF"/>
    <w:rsid w:val="00EA5675"/>
    <w:rsid w:val="00EA5901"/>
    <w:rsid w:val="00EA6F16"/>
    <w:rsid w:val="00EA75EF"/>
    <w:rsid w:val="00EB4DCD"/>
    <w:rsid w:val="00EB6D86"/>
    <w:rsid w:val="00EC13E4"/>
    <w:rsid w:val="00EC15C6"/>
    <w:rsid w:val="00EC1909"/>
    <w:rsid w:val="00EC2583"/>
    <w:rsid w:val="00EC2B04"/>
    <w:rsid w:val="00EC3088"/>
    <w:rsid w:val="00EC358D"/>
    <w:rsid w:val="00EC45AA"/>
    <w:rsid w:val="00EC4841"/>
    <w:rsid w:val="00EC623B"/>
    <w:rsid w:val="00EC63CB"/>
    <w:rsid w:val="00EC7566"/>
    <w:rsid w:val="00ED0E78"/>
    <w:rsid w:val="00ED0F55"/>
    <w:rsid w:val="00ED10AA"/>
    <w:rsid w:val="00ED135D"/>
    <w:rsid w:val="00ED1E29"/>
    <w:rsid w:val="00ED2943"/>
    <w:rsid w:val="00ED35DC"/>
    <w:rsid w:val="00ED4D98"/>
    <w:rsid w:val="00ED5FB3"/>
    <w:rsid w:val="00ED7A6E"/>
    <w:rsid w:val="00EE0233"/>
    <w:rsid w:val="00EE19AB"/>
    <w:rsid w:val="00EE2535"/>
    <w:rsid w:val="00EE2A63"/>
    <w:rsid w:val="00EE2C76"/>
    <w:rsid w:val="00EE2ED8"/>
    <w:rsid w:val="00EE41D4"/>
    <w:rsid w:val="00EE41EF"/>
    <w:rsid w:val="00EE41F9"/>
    <w:rsid w:val="00EE5A2F"/>
    <w:rsid w:val="00EE5C5E"/>
    <w:rsid w:val="00EE5D6B"/>
    <w:rsid w:val="00EE615D"/>
    <w:rsid w:val="00EE70B2"/>
    <w:rsid w:val="00EE7216"/>
    <w:rsid w:val="00EF013C"/>
    <w:rsid w:val="00EF01AD"/>
    <w:rsid w:val="00EF0B8E"/>
    <w:rsid w:val="00EF18BD"/>
    <w:rsid w:val="00EF1CE1"/>
    <w:rsid w:val="00EF1D89"/>
    <w:rsid w:val="00EF26E7"/>
    <w:rsid w:val="00EF2FA7"/>
    <w:rsid w:val="00EF372B"/>
    <w:rsid w:val="00EF378D"/>
    <w:rsid w:val="00EF411A"/>
    <w:rsid w:val="00EF45AE"/>
    <w:rsid w:val="00EF469D"/>
    <w:rsid w:val="00EF4EC3"/>
    <w:rsid w:val="00EF531F"/>
    <w:rsid w:val="00EF60B1"/>
    <w:rsid w:val="00F001CF"/>
    <w:rsid w:val="00F011A1"/>
    <w:rsid w:val="00F01243"/>
    <w:rsid w:val="00F013EE"/>
    <w:rsid w:val="00F01693"/>
    <w:rsid w:val="00F02221"/>
    <w:rsid w:val="00F031B1"/>
    <w:rsid w:val="00F038DB"/>
    <w:rsid w:val="00F050FA"/>
    <w:rsid w:val="00F057AA"/>
    <w:rsid w:val="00F0639F"/>
    <w:rsid w:val="00F064C8"/>
    <w:rsid w:val="00F0707E"/>
    <w:rsid w:val="00F07523"/>
    <w:rsid w:val="00F07DDF"/>
    <w:rsid w:val="00F10825"/>
    <w:rsid w:val="00F108F7"/>
    <w:rsid w:val="00F10B3E"/>
    <w:rsid w:val="00F11052"/>
    <w:rsid w:val="00F113DA"/>
    <w:rsid w:val="00F138A0"/>
    <w:rsid w:val="00F13F63"/>
    <w:rsid w:val="00F14247"/>
    <w:rsid w:val="00F149D2"/>
    <w:rsid w:val="00F15657"/>
    <w:rsid w:val="00F165E6"/>
    <w:rsid w:val="00F16F20"/>
    <w:rsid w:val="00F17E79"/>
    <w:rsid w:val="00F200D7"/>
    <w:rsid w:val="00F20525"/>
    <w:rsid w:val="00F2159C"/>
    <w:rsid w:val="00F21EBF"/>
    <w:rsid w:val="00F228DB"/>
    <w:rsid w:val="00F22E19"/>
    <w:rsid w:val="00F23903"/>
    <w:rsid w:val="00F244F1"/>
    <w:rsid w:val="00F24D8C"/>
    <w:rsid w:val="00F251A1"/>
    <w:rsid w:val="00F25438"/>
    <w:rsid w:val="00F25D04"/>
    <w:rsid w:val="00F25F9F"/>
    <w:rsid w:val="00F260DA"/>
    <w:rsid w:val="00F263D1"/>
    <w:rsid w:val="00F264C2"/>
    <w:rsid w:val="00F30250"/>
    <w:rsid w:val="00F30CD1"/>
    <w:rsid w:val="00F32215"/>
    <w:rsid w:val="00F32C92"/>
    <w:rsid w:val="00F3637B"/>
    <w:rsid w:val="00F37B0F"/>
    <w:rsid w:val="00F37F1B"/>
    <w:rsid w:val="00F409EF"/>
    <w:rsid w:val="00F4119C"/>
    <w:rsid w:val="00F41CD6"/>
    <w:rsid w:val="00F44E65"/>
    <w:rsid w:val="00F45B6E"/>
    <w:rsid w:val="00F45C50"/>
    <w:rsid w:val="00F46AE3"/>
    <w:rsid w:val="00F47A62"/>
    <w:rsid w:val="00F508CB"/>
    <w:rsid w:val="00F51200"/>
    <w:rsid w:val="00F5156C"/>
    <w:rsid w:val="00F51AD0"/>
    <w:rsid w:val="00F528EF"/>
    <w:rsid w:val="00F52A6B"/>
    <w:rsid w:val="00F52A91"/>
    <w:rsid w:val="00F5374A"/>
    <w:rsid w:val="00F53AB4"/>
    <w:rsid w:val="00F542A1"/>
    <w:rsid w:val="00F55A67"/>
    <w:rsid w:val="00F55BF5"/>
    <w:rsid w:val="00F56C03"/>
    <w:rsid w:val="00F57C05"/>
    <w:rsid w:val="00F57C75"/>
    <w:rsid w:val="00F6147C"/>
    <w:rsid w:val="00F61685"/>
    <w:rsid w:val="00F61999"/>
    <w:rsid w:val="00F61AED"/>
    <w:rsid w:val="00F61D9C"/>
    <w:rsid w:val="00F6202C"/>
    <w:rsid w:val="00F63B1F"/>
    <w:rsid w:val="00F63BD6"/>
    <w:rsid w:val="00F63F1C"/>
    <w:rsid w:val="00F646BE"/>
    <w:rsid w:val="00F647BE"/>
    <w:rsid w:val="00F648FB"/>
    <w:rsid w:val="00F64E5B"/>
    <w:rsid w:val="00F66103"/>
    <w:rsid w:val="00F67656"/>
    <w:rsid w:val="00F678B7"/>
    <w:rsid w:val="00F7014B"/>
    <w:rsid w:val="00F70CF4"/>
    <w:rsid w:val="00F7158C"/>
    <w:rsid w:val="00F71D21"/>
    <w:rsid w:val="00F728B1"/>
    <w:rsid w:val="00F73214"/>
    <w:rsid w:val="00F73AF0"/>
    <w:rsid w:val="00F74C63"/>
    <w:rsid w:val="00F75E6F"/>
    <w:rsid w:val="00F76EE4"/>
    <w:rsid w:val="00F77214"/>
    <w:rsid w:val="00F7753E"/>
    <w:rsid w:val="00F77758"/>
    <w:rsid w:val="00F805C2"/>
    <w:rsid w:val="00F81D8D"/>
    <w:rsid w:val="00F82871"/>
    <w:rsid w:val="00F8377D"/>
    <w:rsid w:val="00F83BC3"/>
    <w:rsid w:val="00F847A3"/>
    <w:rsid w:val="00F84AAF"/>
    <w:rsid w:val="00F8692C"/>
    <w:rsid w:val="00F86FC0"/>
    <w:rsid w:val="00F879F4"/>
    <w:rsid w:val="00F87CEC"/>
    <w:rsid w:val="00F9041E"/>
    <w:rsid w:val="00F904F8"/>
    <w:rsid w:val="00F90C56"/>
    <w:rsid w:val="00F91121"/>
    <w:rsid w:val="00F93367"/>
    <w:rsid w:val="00F93545"/>
    <w:rsid w:val="00F93905"/>
    <w:rsid w:val="00F93DBE"/>
    <w:rsid w:val="00F94C23"/>
    <w:rsid w:val="00F94C4D"/>
    <w:rsid w:val="00F95476"/>
    <w:rsid w:val="00F955A2"/>
    <w:rsid w:val="00F95C1C"/>
    <w:rsid w:val="00F95C2E"/>
    <w:rsid w:val="00F960F6"/>
    <w:rsid w:val="00F961C2"/>
    <w:rsid w:val="00F96B84"/>
    <w:rsid w:val="00F96E9F"/>
    <w:rsid w:val="00F9760B"/>
    <w:rsid w:val="00F97C6B"/>
    <w:rsid w:val="00FA01A0"/>
    <w:rsid w:val="00FA0757"/>
    <w:rsid w:val="00FA0777"/>
    <w:rsid w:val="00FA1207"/>
    <w:rsid w:val="00FA147C"/>
    <w:rsid w:val="00FA1A9C"/>
    <w:rsid w:val="00FA1DA9"/>
    <w:rsid w:val="00FA3029"/>
    <w:rsid w:val="00FA367A"/>
    <w:rsid w:val="00FA40C1"/>
    <w:rsid w:val="00FA433C"/>
    <w:rsid w:val="00FA4349"/>
    <w:rsid w:val="00FA4AB0"/>
    <w:rsid w:val="00FA5033"/>
    <w:rsid w:val="00FA6037"/>
    <w:rsid w:val="00FA6340"/>
    <w:rsid w:val="00FA6ECC"/>
    <w:rsid w:val="00FA739E"/>
    <w:rsid w:val="00FB1705"/>
    <w:rsid w:val="00FB2B46"/>
    <w:rsid w:val="00FB2D24"/>
    <w:rsid w:val="00FB329C"/>
    <w:rsid w:val="00FB3580"/>
    <w:rsid w:val="00FB3886"/>
    <w:rsid w:val="00FB4470"/>
    <w:rsid w:val="00FB55C2"/>
    <w:rsid w:val="00FB5694"/>
    <w:rsid w:val="00FB6FE9"/>
    <w:rsid w:val="00FB7394"/>
    <w:rsid w:val="00FC07F3"/>
    <w:rsid w:val="00FC0C5E"/>
    <w:rsid w:val="00FC14C6"/>
    <w:rsid w:val="00FC34D1"/>
    <w:rsid w:val="00FC37F8"/>
    <w:rsid w:val="00FC3877"/>
    <w:rsid w:val="00FC4BC7"/>
    <w:rsid w:val="00FC7EAC"/>
    <w:rsid w:val="00FD053A"/>
    <w:rsid w:val="00FD06FB"/>
    <w:rsid w:val="00FD14C0"/>
    <w:rsid w:val="00FD1BDD"/>
    <w:rsid w:val="00FD1EBD"/>
    <w:rsid w:val="00FD219C"/>
    <w:rsid w:val="00FD2D36"/>
    <w:rsid w:val="00FD3E40"/>
    <w:rsid w:val="00FD412A"/>
    <w:rsid w:val="00FD41C1"/>
    <w:rsid w:val="00FD499D"/>
    <w:rsid w:val="00FD5593"/>
    <w:rsid w:val="00FD65E7"/>
    <w:rsid w:val="00FD6BDC"/>
    <w:rsid w:val="00FE0833"/>
    <w:rsid w:val="00FE0A2F"/>
    <w:rsid w:val="00FE1AC6"/>
    <w:rsid w:val="00FE205C"/>
    <w:rsid w:val="00FE31D9"/>
    <w:rsid w:val="00FE4470"/>
    <w:rsid w:val="00FE5D1D"/>
    <w:rsid w:val="00FF0031"/>
    <w:rsid w:val="00FF0041"/>
    <w:rsid w:val="00FF197E"/>
    <w:rsid w:val="00FF1A40"/>
    <w:rsid w:val="00FF1D2A"/>
    <w:rsid w:val="00FF2688"/>
    <w:rsid w:val="00FF325A"/>
    <w:rsid w:val="00FF326D"/>
    <w:rsid w:val="00FF36A7"/>
    <w:rsid w:val="00FF3E17"/>
    <w:rsid w:val="00FF53B4"/>
    <w:rsid w:val="00FF5F2E"/>
    <w:rsid w:val="00FF65F3"/>
    <w:rsid w:val="00FF67E2"/>
    <w:rsid w:val="00FF6E28"/>
    <w:rsid w:val="00FF6E50"/>
    <w:rsid w:val="00FF6EC8"/>
    <w:rsid w:val="00FF6F83"/>
    <w:rsid w:val="00FF72B2"/>
    <w:rsid w:val="00FF73D1"/>
    <w:rsid w:val="00FF7451"/>
    <w:rsid w:val="00FF75DA"/>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33A2647"/>
  <w15:chartTrackingRefBased/>
  <w15:docId w15:val="{805AD8B1-5288-49A9-A1DD-26C13BB4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E41EF"/>
    <w:pPr>
      <w:spacing w:after="120" w:line="336" w:lineRule="auto"/>
      <w:jc w:val="both"/>
    </w:pPr>
    <w:rPr>
      <w:rFonts w:ascii="Times New Roman" w:hAnsi="Times New Roman"/>
    </w:rPr>
  </w:style>
  <w:style w:type="paragraph" w:styleId="Nadpis1">
    <w:name w:val="heading 1"/>
    <w:basedOn w:val="Normlny"/>
    <w:next w:val="Normlny"/>
    <w:link w:val="Nadpis1Char"/>
    <w:uiPriority w:val="9"/>
    <w:qFormat/>
    <w:rsid w:val="00ED135D"/>
    <w:pPr>
      <w:keepNext/>
      <w:numPr>
        <w:numId w:val="1"/>
      </w:numPr>
      <w:spacing w:before="120"/>
      <w:ind w:left="4402"/>
      <w:jc w:val="center"/>
      <w:outlineLvl w:val="0"/>
    </w:pPr>
    <w:rPr>
      <w:rFonts w:eastAsiaTheme="majorEastAsia" w:cstheme="majorBidi"/>
      <w:b/>
      <w:sz w:val="26"/>
      <w:szCs w:val="32"/>
    </w:rPr>
  </w:style>
  <w:style w:type="paragraph" w:styleId="Nadpis2">
    <w:name w:val="heading 2"/>
    <w:basedOn w:val="Normlny"/>
    <w:next w:val="Normlny"/>
    <w:link w:val="Nadpis2Char"/>
    <w:uiPriority w:val="9"/>
    <w:unhideWhenUsed/>
    <w:qFormat/>
    <w:rsid w:val="00112E7C"/>
    <w:pPr>
      <w:keepNext/>
      <w:numPr>
        <w:ilvl w:val="1"/>
        <w:numId w:val="1"/>
      </w:numPr>
      <w:spacing w:before="120"/>
      <w:ind w:left="578" w:hanging="578"/>
      <w:jc w:val="center"/>
      <w:outlineLvl w:val="1"/>
    </w:pPr>
    <w:rPr>
      <w:rFonts w:eastAsiaTheme="majorEastAsia" w:cstheme="majorBidi"/>
      <w:b/>
      <w:sz w:val="24"/>
      <w:szCs w:val="26"/>
    </w:rPr>
  </w:style>
  <w:style w:type="paragraph" w:styleId="Nadpis3">
    <w:name w:val="heading 3"/>
    <w:basedOn w:val="Normlny"/>
    <w:next w:val="Normlny"/>
    <w:link w:val="Nadpis3Char"/>
    <w:uiPriority w:val="9"/>
    <w:unhideWhenUsed/>
    <w:qFormat/>
    <w:rsid w:val="00861AB8"/>
    <w:pPr>
      <w:keepNext/>
      <w:keepLines/>
      <w:numPr>
        <w:ilvl w:val="2"/>
        <w:numId w:val="1"/>
      </w:numPr>
      <w:spacing w:before="120"/>
      <w:ind w:left="0" w:firstLine="0"/>
      <w:jc w:val="center"/>
      <w:outlineLvl w:val="2"/>
    </w:pPr>
    <w:rPr>
      <w:rFonts w:eastAsiaTheme="majorEastAsia" w:cstheme="majorBidi"/>
      <w:b/>
      <w:szCs w:val="24"/>
    </w:rPr>
  </w:style>
  <w:style w:type="paragraph" w:styleId="Nadpis4">
    <w:name w:val="heading 4"/>
    <w:basedOn w:val="Normlny"/>
    <w:next w:val="Normlny"/>
    <w:link w:val="Nadpis4Char"/>
    <w:uiPriority w:val="9"/>
    <w:unhideWhenUsed/>
    <w:qFormat/>
    <w:rsid w:val="00F61D9C"/>
    <w:pPr>
      <w:keepNext/>
      <w:keepLines/>
      <w:numPr>
        <w:ilvl w:val="3"/>
        <w:numId w:val="1"/>
      </w:numPr>
      <w:spacing w:before="120"/>
      <w:ind w:left="862" w:hanging="862"/>
      <w:jc w:val="center"/>
      <w:outlineLvl w:val="3"/>
    </w:pPr>
    <w:rPr>
      <w:rFonts w:eastAsiaTheme="majorEastAsia" w:cstheme="majorBidi"/>
      <w:b/>
      <w:iCs/>
    </w:rPr>
  </w:style>
  <w:style w:type="paragraph" w:styleId="Nadpis5">
    <w:name w:val="heading 5"/>
    <w:basedOn w:val="Normlny"/>
    <w:next w:val="Normlny"/>
    <w:link w:val="Nadpis5Char"/>
    <w:uiPriority w:val="9"/>
    <w:unhideWhenUsed/>
    <w:qFormat/>
    <w:rsid w:val="009C63C5"/>
    <w:pPr>
      <w:keepNext/>
      <w:keepLines/>
      <w:numPr>
        <w:ilvl w:val="4"/>
        <w:numId w:val="1"/>
      </w:numPr>
      <w:spacing w:before="40" w:after="0"/>
      <w:outlineLvl w:val="4"/>
    </w:pPr>
    <w:rPr>
      <w:rFonts w:eastAsiaTheme="majorEastAsia" w:cstheme="majorBidi"/>
      <w:b/>
    </w:rPr>
  </w:style>
  <w:style w:type="paragraph" w:styleId="Nadpis6">
    <w:name w:val="heading 6"/>
    <w:basedOn w:val="Normlny"/>
    <w:next w:val="Normlny"/>
    <w:link w:val="Nadpis6Char"/>
    <w:uiPriority w:val="9"/>
    <w:semiHidden/>
    <w:unhideWhenUsed/>
    <w:qFormat/>
    <w:rsid w:val="005F5B8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semiHidden/>
    <w:unhideWhenUsed/>
    <w:qFormat/>
    <w:rsid w:val="005F5B8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semiHidden/>
    <w:unhideWhenUsed/>
    <w:qFormat/>
    <w:rsid w:val="005F5B8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5F5B8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D135D"/>
    <w:rPr>
      <w:rFonts w:ascii="Times New Roman" w:eastAsiaTheme="majorEastAsia" w:hAnsi="Times New Roman" w:cstheme="majorBidi"/>
      <w:b/>
      <w:sz w:val="26"/>
      <w:szCs w:val="32"/>
    </w:rPr>
  </w:style>
  <w:style w:type="character" w:customStyle="1" w:styleId="Nadpis2Char">
    <w:name w:val="Nadpis 2 Char"/>
    <w:basedOn w:val="Predvolenpsmoodseku"/>
    <w:link w:val="Nadpis2"/>
    <w:uiPriority w:val="9"/>
    <w:rsid w:val="00112E7C"/>
    <w:rPr>
      <w:rFonts w:ascii="Times New Roman" w:eastAsiaTheme="majorEastAsia" w:hAnsi="Times New Roman" w:cstheme="majorBidi"/>
      <w:b/>
      <w:sz w:val="24"/>
      <w:szCs w:val="26"/>
    </w:rPr>
  </w:style>
  <w:style w:type="character" w:customStyle="1" w:styleId="Nadpis3Char">
    <w:name w:val="Nadpis 3 Char"/>
    <w:basedOn w:val="Predvolenpsmoodseku"/>
    <w:link w:val="Nadpis3"/>
    <w:uiPriority w:val="9"/>
    <w:rsid w:val="00861AB8"/>
    <w:rPr>
      <w:rFonts w:ascii="Times New Roman" w:eastAsiaTheme="majorEastAsia" w:hAnsi="Times New Roman" w:cstheme="majorBidi"/>
      <w:b/>
      <w:szCs w:val="24"/>
    </w:rPr>
  </w:style>
  <w:style w:type="character" w:customStyle="1" w:styleId="Nadpis4Char">
    <w:name w:val="Nadpis 4 Char"/>
    <w:basedOn w:val="Predvolenpsmoodseku"/>
    <w:link w:val="Nadpis4"/>
    <w:uiPriority w:val="9"/>
    <w:rsid w:val="00F61D9C"/>
    <w:rPr>
      <w:rFonts w:ascii="Times New Roman" w:eastAsiaTheme="majorEastAsia" w:hAnsi="Times New Roman" w:cstheme="majorBidi"/>
      <w:b/>
      <w:iCs/>
    </w:rPr>
  </w:style>
  <w:style w:type="character" w:customStyle="1" w:styleId="Nadpis5Char">
    <w:name w:val="Nadpis 5 Char"/>
    <w:basedOn w:val="Predvolenpsmoodseku"/>
    <w:link w:val="Nadpis5"/>
    <w:uiPriority w:val="9"/>
    <w:rsid w:val="009C63C5"/>
    <w:rPr>
      <w:rFonts w:ascii="Times New Roman" w:eastAsiaTheme="majorEastAsia" w:hAnsi="Times New Roman" w:cstheme="majorBidi"/>
      <w:b/>
    </w:rPr>
  </w:style>
  <w:style w:type="character" w:customStyle="1" w:styleId="Nadpis6Char">
    <w:name w:val="Nadpis 6 Char"/>
    <w:basedOn w:val="Predvolenpsmoodseku"/>
    <w:link w:val="Nadpis6"/>
    <w:uiPriority w:val="9"/>
    <w:semiHidden/>
    <w:rsid w:val="005F5B88"/>
    <w:rPr>
      <w:rFonts w:asciiTheme="majorHAnsi" w:eastAsiaTheme="majorEastAsia" w:hAnsiTheme="majorHAnsi" w:cstheme="majorBidi"/>
      <w:color w:val="1F4D78" w:themeColor="accent1" w:themeShade="7F"/>
    </w:rPr>
  </w:style>
  <w:style w:type="character" w:customStyle="1" w:styleId="Nadpis7Char">
    <w:name w:val="Nadpis 7 Char"/>
    <w:basedOn w:val="Predvolenpsmoodseku"/>
    <w:link w:val="Nadpis7"/>
    <w:uiPriority w:val="9"/>
    <w:semiHidden/>
    <w:rsid w:val="005F5B88"/>
    <w:rPr>
      <w:rFonts w:asciiTheme="majorHAnsi" w:eastAsiaTheme="majorEastAsia" w:hAnsiTheme="majorHAnsi" w:cstheme="majorBidi"/>
      <w:i/>
      <w:iCs/>
      <w:color w:val="1F4D78" w:themeColor="accent1" w:themeShade="7F"/>
    </w:rPr>
  </w:style>
  <w:style w:type="character" w:customStyle="1" w:styleId="Nadpis8Char">
    <w:name w:val="Nadpis 8 Char"/>
    <w:basedOn w:val="Predvolenpsmoodseku"/>
    <w:link w:val="Nadpis8"/>
    <w:uiPriority w:val="9"/>
    <w:semiHidden/>
    <w:rsid w:val="005F5B8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5F5B88"/>
    <w:rPr>
      <w:rFonts w:asciiTheme="majorHAnsi" w:eastAsiaTheme="majorEastAsia" w:hAnsiTheme="majorHAnsi" w:cstheme="majorBidi"/>
      <w:i/>
      <w:iCs/>
      <w:color w:val="272727" w:themeColor="text1" w:themeTint="D8"/>
      <w:sz w:val="21"/>
      <w:szCs w:val="21"/>
    </w:rPr>
  </w:style>
  <w:style w:type="paragraph" w:styleId="Hlavika">
    <w:name w:val="header"/>
    <w:basedOn w:val="Normlny"/>
    <w:link w:val="HlavikaChar"/>
    <w:uiPriority w:val="99"/>
    <w:unhideWhenUsed/>
    <w:rsid w:val="00881BD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81BDB"/>
    <w:rPr>
      <w:rFonts w:ascii="Times New Roman" w:hAnsi="Times New Roman"/>
    </w:rPr>
  </w:style>
  <w:style w:type="paragraph" w:styleId="Pta">
    <w:name w:val="footer"/>
    <w:basedOn w:val="Normlny"/>
    <w:link w:val="PtaChar"/>
    <w:unhideWhenUsed/>
    <w:rsid w:val="00881BDB"/>
    <w:pPr>
      <w:tabs>
        <w:tab w:val="center" w:pos="4536"/>
        <w:tab w:val="right" w:pos="9072"/>
      </w:tabs>
      <w:spacing w:after="0" w:line="240" w:lineRule="auto"/>
    </w:pPr>
  </w:style>
  <w:style w:type="character" w:customStyle="1" w:styleId="PtaChar">
    <w:name w:val="Päta Char"/>
    <w:basedOn w:val="Predvolenpsmoodseku"/>
    <w:link w:val="Pta"/>
    <w:uiPriority w:val="99"/>
    <w:rsid w:val="00881BDB"/>
    <w:rPr>
      <w:rFonts w:ascii="Times New Roman" w:hAnsi="Times New Roman"/>
    </w:rPr>
  </w:style>
  <w:style w:type="paragraph" w:styleId="Obsah1">
    <w:name w:val="toc 1"/>
    <w:basedOn w:val="Normlny"/>
    <w:next w:val="Normlny"/>
    <w:autoRedefine/>
    <w:uiPriority w:val="39"/>
    <w:unhideWhenUsed/>
    <w:rsid w:val="003B450C"/>
    <w:pPr>
      <w:tabs>
        <w:tab w:val="left" w:pos="332"/>
        <w:tab w:val="right" w:pos="8493"/>
      </w:tabs>
      <w:spacing w:before="240" w:after="0" w:line="240" w:lineRule="auto"/>
      <w:jc w:val="left"/>
    </w:pPr>
    <w:rPr>
      <w:b/>
      <w:bCs/>
      <w:noProof/>
      <w:sz w:val="20"/>
    </w:rPr>
  </w:style>
  <w:style w:type="paragraph" w:styleId="Obsah2">
    <w:name w:val="toc 2"/>
    <w:basedOn w:val="Normlny"/>
    <w:next w:val="Normlny"/>
    <w:autoRedefine/>
    <w:uiPriority w:val="39"/>
    <w:unhideWhenUsed/>
    <w:rsid w:val="00C464CF"/>
    <w:pPr>
      <w:tabs>
        <w:tab w:val="left" w:pos="502"/>
        <w:tab w:val="right" w:pos="8493"/>
      </w:tabs>
      <w:spacing w:after="0" w:line="240" w:lineRule="auto"/>
      <w:jc w:val="left"/>
    </w:pPr>
    <w:rPr>
      <w:b/>
      <w:bCs/>
      <w:noProof/>
      <w:sz w:val="20"/>
    </w:rPr>
  </w:style>
  <w:style w:type="paragraph" w:styleId="Obsah3">
    <w:name w:val="toc 3"/>
    <w:basedOn w:val="Normlny"/>
    <w:next w:val="Normlny"/>
    <w:autoRedefine/>
    <w:uiPriority w:val="39"/>
    <w:unhideWhenUsed/>
    <w:rsid w:val="001E345C"/>
    <w:pPr>
      <w:tabs>
        <w:tab w:val="left" w:pos="666"/>
        <w:tab w:val="right" w:pos="8493"/>
      </w:tabs>
      <w:spacing w:after="0" w:line="240" w:lineRule="auto"/>
      <w:jc w:val="left"/>
    </w:pPr>
    <w:rPr>
      <w:rFonts w:asciiTheme="minorHAnsi" w:hAnsiTheme="minorHAnsi"/>
      <w:smallCaps/>
    </w:rPr>
  </w:style>
  <w:style w:type="character" w:styleId="Hypertextovprepojenie">
    <w:name w:val="Hyperlink"/>
    <w:basedOn w:val="Predvolenpsmoodseku"/>
    <w:uiPriority w:val="99"/>
    <w:unhideWhenUsed/>
    <w:rsid w:val="0021355F"/>
    <w:rPr>
      <w:color w:val="0563C1" w:themeColor="hyperlink"/>
      <w:u w:val="single"/>
    </w:rPr>
  </w:style>
  <w:style w:type="paragraph" w:styleId="Obsah4">
    <w:name w:val="toc 4"/>
    <w:basedOn w:val="Normlny"/>
    <w:next w:val="Normlny"/>
    <w:autoRedefine/>
    <w:uiPriority w:val="39"/>
    <w:unhideWhenUsed/>
    <w:rsid w:val="007F2028"/>
    <w:pPr>
      <w:tabs>
        <w:tab w:val="left" w:pos="833"/>
      </w:tabs>
      <w:spacing w:after="0" w:line="240" w:lineRule="auto"/>
      <w:jc w:val="left"/>
    </w:pPr>
    <w:rPr>
      <w:rFonts w:asciiTheme="minorHAnsi" w:hAnsiTheme="minorHAnsi"/>
    </w:rPr>
  </w:style>
  <w:style w:type="paragraph" w:styleId="Obsah5">
    <w:name w:val="toc 5"/>
    <w:basedOn w:val="Normlny"/>
    <w:next w:val="Normlny"/>
    <w:autoRedefine/>
    <w:uiPriority w:val="39"/>
    <w:unhideWhenUsed/>
    <w:rsid w:val="007D65C4"/>
    <w:pPr>
      <w:spacing w:after="0"/>
      <w:jc w:val="left"/>
    </w:pPr>
    <w:rPr>
      <w:rFonts w:asciiTheme="minorHAnsi" w:hAnsiTheme="minorHAnsi"/>
    </w:rPr>
  </w:style>
  <w:style w:type="paragraph" w:styleId="Obsah6">
    <w:name w:val="toc 6"/>
    <w:basedOn w:val="Normlny"/>
    <w:next w:val="Normlny"/>
    <w:autoRedefine/>
    <w:uiPriority w:val="39"/>
    <w:unhideWhenUsed/>
    <w:rsid w:val="007D65C4"/>
    <w:pPr>
      <w:spacing w:after="0"/>
      <w:jc w:val="left"/>
    </w:pPr>
    <w:rPr>
      <w:rFonts w:asciiTheme="minorHAnsi" w:hAnsiTheme="minorHAnsi"/>
    </w:rPr>
  </w:style>
  <w:style w:type="paragraph" w:styleId="Obsah7">
    <w:name w:val="toc 7"/>
    <w:basedOn w:val="Normlny"/>
    <w:next w:val="Normlny"/>
    <w:autoRedefine/>
    <w:uiPriority w:val="39"/>
    <w:unhideWhenUsed/>
    <w:rsid w:val="007D65C4"/>
    <w:pPr>
      <w:spacing w:after="0"/>
      <w:jc w:val="left"/>
    </w:pPr>
    <w:rPr>
      <w:rFonts w:asciiTheme="minorHAnsi" w:hAnsiTheme="minorHAnsi"/>
    </w:rPr>
  </w:style>
  <w:style w:type="paragraph" w:styleId="Obsah8">
    <w:name w:val="toc 8"/>
    <w:basedOn w:val="Normlny"/>
    <w:next w:val="Normlny"/>
    <w:autoRedefine/>
    <w:uiPriority w:val="39"/>
    <w:unhideWhenUsed/>
    <w:rsid w:val="007D65C4"/>
    <w:pPr>
      <w:spacing w:after="0"/>
      <w:jc w:val="left"/>
    </w:pPr>
    <w:rPr>
      <w:rFonts w:asciiTheme="minorHAnsi" w:hAnsiTheme="minorHAnsi"/>
    </w:rPr>
  </w:style>
  <w:style w:type="paragraph" w:styleId="Obsah9">
    <w:name w:val="toc 9"/>
    <w:basedOn w:val="Normlny"/>
    <w:next w:val="Normlny"/>
    <w:autoRedefine/>
    <w:uiPriority w:val="39"/>
    <w:unhideWhenUsed/>
    <w:rsid w:val="007D65C4"/>
    <w:pPr>
      <w:spacing w:after="0"/>
      <w:jc w:val="left"/>
    </w:pPr>
    <w:rPr>
      <w:rFonts w:asciiTheme="minorHAnsi" w:hAnsiTheme="minorHAnsi"/>
    </w:rPr>
  </w:style>
  <w:style w:type="character" w:customStyle="1" w:styleId="st1">
    <w:name w:val="st1"/>
    <w:basedOn w:val="Predvolenpsmoodseku"/>
    <w:rsid w:val="00743099"/>
  </w:style>
  <w:style w:type="character" w:customStyle="1" w:styleId="awspan1">
    <w:name w:val="awspan1"/>
    <w:basedOn w:val="Predvolenpsmoodseku"/>
    <w:rsid w:val="00743099"/>
    <w:rPr>
      <w:color w:val="000000"/>
      <w:sz w:val="24"/>
      <w:szCs w:val="24"/>
    </w:rPr>
  </w:style>
  <w:style w:type="paragraph" w:styleId="Odsekzoznamu">
    <w:name w:val="List Paragraph"/>
    <w:basedOn w:val="Normlny"/>
    <w:uiPriority w:val="34"/>
    <w:qFormat/>
    <w:rsid w:val="00530112"/>
    <w:pPr>
      <w:spacing w:after="0" w:line="240" w:lineRule="auto"/>
      <w:ind w:left="720"/>
      <w:contextualSpacing/>
      <w:jc w:val="left"/>
    </w:pPr>
    <w:rPr>
      <w:rFonts w:ascii="Calibri" w:hAnsi="Calibri" w:cs="Times New Roman"/>
    </w:rPr>
  </w:style>
  <w:style w:type="paragraph" w:styleId="Textpoznmkypodiarou">
    <w:name w:val="footnote text"/>
    <w:aliases w:val="Footnote Text Char2,Footnote Text Char1 Char,Footnote Text Char2 Char Char,Footnote Text Char1 Char Char Char,Footnote Text Char2 Char Char Char Char,Footnote Text Char Char1 Char Char Char Char,Footnote Text Char1,f"/>
    <w:basedOn w:val="Normlny"/>
    <w:link w:val="TextpoznmkypodiarouChar"/>
    <w:uiPriority w:val="99"/>
    <w:unhideWhenUsed/>
    <w:qFormat/>
    <w:rsid w:val="00237058"/>
    <w:pPr>
      <w:spacing w:after="0" w:line="240" w:lineRule="auto"/>
    </w:pPr>
    <w:rPr>
      <w:sz w:val="20"/>
      <w:szCs w:val="20"/>
    </w:rPr>
  </w:style>
  <w:style w:type="character" w:customStyle="1" w:styleId="TextpoznmkypodiarouChar">
    <w:name w:val="Text poznámky pod čiarou Char"/>
    <w:aliases w:val="Footnote Text Char2 Char,Footnote Text Char1 Char Char,Footnote Text Char2 Char Char Char,Footnote Text Char1 Char Char Char Char,Footnote Text Char2 Char Char Char Char Char,Footnote Text Char1 Char1,f Char"/>
    <w:basedOn w:val="Predvolenpsmoodseku"/>
    <w:link w:val="Textpoznmkypodiarou"/>
    <w:uiPriority w:val="99"/>
    <w:rsid w:val="00237058"/>
    <w:rPr>
      <w:rFonts w:ascii="Times New Roman" w:hAnsi="Times New Roman"/>
      <w:sz w:val="20"/>
      <w:szCs w:val="20"/>
    </w:rPr>
  </w:style>
  <w:style w:type="character" w:styleId="Odkaznapoznmkupodiarou">
    <w:name w:val="footnote reference"/>
    <w:aliases w:val="16 Point,Superscript 6 Point,Footnote Reference Number,Footnote Reference_LVL6,Footnote Reference_LVL61,Footnote Reference_LVL62,Footnote Reference_LVL63,Footnote Reference_LVL64,Footnote call,BVI fnr,SUPERS,Footnote symbol"/>
    <w:basedOn w:val="Predvolenpsmoodseku"/>
    <w:link w:val="Char2"/>
    <w:uiPriority w:val="99"/>
    <w:unhideWhenUsed/>
    <w:qFormat/>
    <w:rsid w:val="00237058"/>
    <w:rPr>
      <w:vertAlign w:val="superscript"/>
    </w:rPr>
  </w:style>
  <w:style w:type="paragraph" w:customStyle="1" w:styleId="Char2">
    <w:name w:val="Char2"/>
    <w:basedOn w:val="Normlny"/>
    <w:link w:val="Odkaznapoznmkupodiarou"/>
    <w:uiPriority w:val="99"/>
    <w:rsid w:val="00415AB8"/>
    <w:pPr>
      <w:spacing w:after="0" w:line="240" w:lineRule="exact"/>
      <w:jc w:val="left"/>
    </w:pPr>
    <w:rPr>
      <w:rFonts w:asciiTheme="minorHAnsi" w:hAnsiTheme="minorHAnsi"/>
      <w:vertAlign w:val="superscript"/>
    </w:rPr>
  </w:style>
  <w:style w:type="paragraph" w:customStyle="1" w:styleId="Zkladntext1">
    <w:name w:val="Základný text1"/>
    <w:rsid w:val="00F057AA"/>
    <w:pPr>
      <w:spacing w:after="0" w:line="240" w:lineRule="auto"/>
    </w:pPr>
    <w:rPr>
      <w:rFonts w:ascii="Dutch801 SWC" w:eastAsia="Times New Roman" w:hAnsi="Dutch801 SWC" w:cs="Times New Roman"/>
      <w:color w:val="000000"/>
      <w:sz w:val="24"/>
      <w:szCs w:val="20"/>
      <w:lang w:val="en-US" w:eastAsia="sk-SK"/>
    </w:rPr>
  </w:style>
  <w:style w:type="character" w:styleId="Odkaznakomentr">
    <w:name w:val="annotation reference"/>
    <w:basedOn w:val="Predvolenpsmoodseku"/>
    <w:uiPriority w:val="99"/>
    <w:semiHidden/>
    <w:unhideWhenUsed/>
    <w:rsid w:val="005717A4"/>
    <w:rPr>
      <w:sz w:val="16"/>
      <w:szCs w:val="16"/>
    </w:rPr>
  </w:style>
  <w:style w:type="paragraph" w:styleId="Textkomentra">
    <w:name w:val="annotation text"/>
    <w:basedOn w:val="Normlny"/>
    <w:link w:val="TextkomentraChar"/>
    <w:uiPriority w:val="99"/>
    <w:unhideWhenUsed/>
    <w:rsid w:val="005717A4"/>
    <w:pPr>
      <w:spacing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5717A4"/>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5434A"/>
    <w:pPr>
      <w:spacing w:after="0" w:line="240" w:lineRule="auto"/>
    </w:pPr>
    <w:rPr>
      <w:rFonts w:ascii="Segoe UI" w:hAnsi="Segoe UI"/>
      <w:sz w:val="18"/>
      <w:szCs w:val="18"/>
    </w:rPr>
  </w:style>
  <w:style w:type="character" w:customStyle="1" w:styleId="TextbublinyChar">
    <w:name w:val="Text bubliny Char"/>
    <w:basedOn w:val="Predvolenpsmoodseku"/>
    <w:link w:val="Textbubliny"/>
    <w:uiPriority w:val="99"/>
    <w:semiHidden/>
    <w:rsid w:val="0045434A"/>
    <w:rPr>
      <w:rFonts w:ascii="Segoe UI" w:hAnsi="Segoe UI"/>
      <w:sz w:val="18"/>
      <w:szCs w:val="18"/>
    </w:rPr>
  </w:style>
  <w:style w:type="paragraph" w:customStyle="1" w:styleId="Zkladntext">
    <w:name w:val="Základní text"/>
    <w:rsid w:val="00ED135D"/>
    <w:pPr>
      <w:widowControl w:val="0"/>
      <w:spacing w:after="0" w:line="240" w:lineRule="auto"/>
    </w:pPr>
    <w:rPr>
      <w:rFonts w:ascii="Times New Roman" w:eastAsia="Times New Roman" w:hAnsi="Times New Roman" w:cs="Times New Roman"/>
      <w:color w:val="000000"/>
      <w:sz w:val="26"/>
      <w:szCs w:val="20"/>
      <w:lang w:eastAsia="sk-SK"/>
    </w:rPr>
  </w:style>
  <w:style w:type="paragraph" w:styleId="Zkladntext0">
    <w:name w:val="Body Text"/>
    <w:basedOn w:val="Normlny"/>
    <w:link w:val="ZkladntextChar"/>
    <w:rsid w:val="005F6E5F"/>
    <w:pPr>
      <w:spacing w:after="0" w:line="240" w:lineRule="auto"/>
    </w:pPr>
    <w:rPr>
      <w:rFonts w:eastAsia="Times New Roman" w:cs="Times New Roman"/>
      <w:sz w:val="24"/>
      <w:szCs w:val="20"/>
      <w:lang w:eastAsia="sk-SK"/>
    </w:rPr>
  </w:style>
  <w:style w:type="character" w:customStyle="1" w:styleId="ZkladntextChar">
    <w:name w:val="Základný text Char"/>
    <w:basedOn w:val="Predvolenpsmoodseku"/>
    <w:link w:val="Zkladntext0"/>
    <w:rsid w:val="005F6E5F"/>
    <w:rPr>
      <w:rFonts w:ascii="Times New Roman" w:eastAsia="Times New Roman" w:hAnsi="Times New Roman" w:cs="Times New Roman"/>
      <w:sz w:val="24"/>
      <w:szCs w:val="20"/>
      <w:lang w:eastAsia="sk-SK"/>
    </w:rPr>
  </w:style>
  <w:style w:type="paragraph" w:styleId="Revzia">
    <w:name w:val="Revision"/>
    <w:hidden/>
    <w:uiPriority w:val="99"/>
    <w:semiHidden/>
    <w:rsid w:val="00F61D9C"/>
    <w:pPr>
      <w:spacing w:after="0" w:line="240" w:lineRule="auto"/>
    </w:pPr>
    <w:rPr>
      <w:rFonts w:ascii="Times New Roman" w:hAnsi="Times New Roman"/>
    </w:rPr>
  </w:style>
  <w:style w:type="character" w:customStyle="1" w:styleId="ZarkazkladnhotextuChar">
    <w:name w:val="Zarážka základného textu Char"/>
    <w:basedOn w:val="Predvolenpsmoodseku"/>
    <w:link w:val="Zarkazkladnhotextu"/>
    <w:uiPriority w:val="99"/>
    <w:semiHidden/>
    <w:rsid w:val="008F75C2"/>
    <w:rPr>
      <w:rFonts w:ascii="Times New Roman" w:hAnsi="Times New Roman" w:cs="Times New Roman"/>
      <w:sz w:val="24"/>
      <w:szCs w:val="24"/>
      <w:lang w:eastAsia="sk-SK"/>
    </w:rPr>
  </w:style>
  <w:style w:type="paragraph" w:styleId="Zarkazkladnhotextu">
    <w:name w:val="Body Text Indent"/>
    <w:basedOn w:val="Normlny"/>
    <w:link w:val="ZarkazkladnhotextuChar"/>
    <w:uiPriority w:val="99"/>
    <w:semiHidden/>
    <w:unhideWhenUsed/>
    <w:rsid w:val="008F75C2"/>
    <w:pPr>
      <w:spacing w:after="0" w:line="240" w:lineRule="auto"/>
      <w:ind w:firstLine="708"/>
      <w:jc w:val="left"/>
    </w:pPr>
    <w:rPr>
      <w:rFonts w:cs="Times New Roman"/>
      <w:sz w:val="24"/>
      <w:szCs w:val="24"/>
      <w:lang w:eastAsia="sk-SK"/>
    </w:rPr>
  </w:style>
  <w:style w:type="paragraph" w:styleId="Bezriadkovania">
    <w:name w:val="No Spacing"/>
    <w:uiPriority w:val="1"/>
    <w:qFormat/>
    <w:rsid w:val="00872F0C"/>
    <w:pPr>
      <w:spacing w:after="0" w:line="240" w:lineRule="auto"/>
      <w:jc w:val="both"/>
    </w:pPr>
    <w:rPr>
      <w:rFonts w:ascii="Times New Roman" w:eastAsia="Times New Roman" w:hAnsi="Times New Roman" w:cs="Times New Roman"/>
      <w:szCs w:val="36"/>
    </w:rPr>
  </w:style>
  <w:style w:type="paragraph" w:customStyle="1" w:styleId="textCharCharCharChar">
    <w:name w:val="text Char Char Char Char"/>
    <w:basedOn w:val="Normlny"/>
    <w:link w:val="textCharCharCharCharChar"/>
    <w:rsid w:val="00872F0C"/>
    <w:pPr>
      <w:spacing w:line="240" w:lineRule="auto"/>
      <w:ind w:firstLine="510"/>
    </w:pPr>
    <w:rPr>
      <w:rFonts w:eastAsia="Batang" w:cs="Times New Roman"/>
      <w:color w:val="000000"/>
      <w:szCs w:val="24"/>
      <w:lang w:eastAsia="sk-SK"/>
    </w:rPr>
  </w:style>
  <w:style w:type="character" w:customStyle="1" w:styleId="textCharCharCharCharChar">
    <w:name w:val="text Char Char Char Char Char"/>
    <w:link w:val="textCharCharCharChar"/>
    <w:rsid w:val="00872F0C"/>
    <w:rPr>
      <w:rFonts w:ascii="Times New Roman" w:eastAsia="Batang" w:hAnsi="Times New Roman" w:cs="Times New Roman"/>
      <w:color w:val="000000"/>
      <w:szCs w:val="24"/>
      <w:lang w:eastAsia="sk-SK"/>
    </w:rPr>
  </w:style>
  <w:style w:type="character" w:styleId="Siln">
    <w:name w:val="Strong"/>
    <w:basedOn w:val="Predvolenpsmoodseku"/>
    <w:uiPriority w:val="22"/>
    <w:qFormat/>
    <w:rsid w:val="00872F0C"/>
    <w:rPr>
      <w:b/>
      <w:bCs/>
    </w:rPr>
  </w:style>
  <w:style w:type="paragraph" w:customStyle="1" w:styleId="default">
    <w:name w:val="default"/>
    <w:basedOn w:val="Normlny"/>
    <w:rsid w:val="00614751"/>
    <w:pPr>
      <w:autoSpaceDE w:val="0"/>
      <w:autoSpaceDN w:val="0"/>
      <w:spacing w:after="0" w:line="240" w:lineRule="auto"/>
      <w:jc w:val="left"/>
    </w:pPr>
    <w:rPr>
      <w:rFonts w:eastAsia="Times New Roman" w:cs="Times New Roman"/>
      <w:color w:val="000000"/>
      <w:sz w:val="24"/>
      <w:szCs w:val="24"/>
      <w:lang w:eastAsia="sk-SK"/>
    </w:rPr>
  </w:style>
  <w:style w:type="character" w:styleId="PouitHypertextovPrepojenie">
    <w:name w:val="FollowedHyperlink"/>
    <w:basedOn w:val="Predvolenpsmoodseku"/>
    <w:uiPriority w:val="99"/>
    <w:semiHidden/>
    <w:unhideWhenUsed/>
    <w:rsid w:val="00614751"/>
    <w:rPr>
      <w:color w:val="954F72" w:themeColor="followedHyperlink"/>
      <w:u w:val="single"/>
    </w:rPr>
  </w:style>
  <w:style w:type="paragraph" w:styleId="Predmetkomentra">
    <w:name w:val="annotation subject"/>
    <w:basedOn w:val="Textkomentra"/>
    <w:next w:val="Textkomentra"/>
    <w:link w:val="PredmetkomentraChar"/>
    <w:uiPriority w:val="99"/>
    <w:semiHidden/>
    <w:unhideWhenUsed/>
    <w:rsid w:val="00E5051B"/>
    <w:rPr>
      <w:rFonts w:eastAsiaTheme="minorHAnsi" w:cstheme="minorBidi"/>
      <w:b/>
      <w:bCs/>
    </w:rPr>
  </w:style>
  <w:style w:type="character" w:customStyle="1" w:styleId="PredmetkomentraChar">
    <w:name w:val="Predmet komentára Char"/>
    <w:basedOn w:val="TextkomentraChar"/>
    <w:link w:val="Predmetkomentra"/>
    <w:uiPriority w:val="99"/>
    <w:semiHidden/>
    <w:rsid w:val="00E5051B"/>
    <w:rPr>
      <w:rFonts w:ascii="Times New Roman" w:eastAsia="Times New Roman" w:hAnsi="Times New Roman" w:cs="Times New Roman"/>
      <w:b/>
      <w:bCs/>
      <w:sz w:val="20"/>
      <w:szCs w:val="20"/>
    </w:rPr>
  </w:style>
  <w:style w:type="character" w:customStyle="1" w:styleId="h1a2">
    <w:name w:val="h1a2"/>
    <w:basedOn w:val="Predvolenpsmoodseku"/>
    <w:rsid w:val="00BD02D9"/>
    <w:rPr>
      <w:vanish w:val="0"/>
      <w:webHidden w:val="0"/>
      <w:sz w:val="24"/>
      <w:szCs w:val="24"/>
      <w:specVanish w:val="0"/>
    </w:rPr>
  </w:style>
  <w:style w:type="paragraph" w:styleId="Hlavikaobsahu">
    <w:name w:val="TOC Heading"/>
    <w:basedOn w:val="Nadpis1"/>
    <w:next w:val="Normlny"/>
    <w:uiPriority w:val="39"/>
    <w:unhideWhenUsed/>
    <w:qFormat/>
    <w:rsid w:val="00BB3915"/>
    <w:pPr>
      <w:keepLines/>
      <w:numPr>
        <w:numId w:val="0"/>
      </w:numPr>
      <w:spacing w:before="240" w:after="0" w:line="259" w:lineRule="auto"/>
      <w:jc w:val="left"/>
      <w:outlineLvl w:val="9"/>
    </w:pPr>
    <w:rPr>
      <w:rFonts w:asciiTheme="majorHAnsi" w:hAnsiTheme="majorHAnsi"/>
      <w:b w:val="0"/>
      <w:color w:val="2E74B5" w:themeColor="accent1" w:themeShade="BF"/>
      <w:sz w:val="32"/>
      <w:lang w:eastAsia="sk-SK"/>
    </w:rPr>
  </w:style>
  <w:style w:type="paragraph" w:styleId="Normlnywebov">
    <w:name w:val="Normal (Web)"/>
    <w:basedOn w:val="Normlny"/>
    <w:uiPriority w:val="99"/>
    <w:unhideWhenUsed/>
    <w:rsid w:val="00CE1795"/>
    <w:pPr>
      <w:spacing w:before="100" w:beforeAutospacing="1" w:after="100" w:afterAutospacing="1" w:line="240" w:lineRule="auto"/>
      <w:jc w:val="left"/>
    </w:pPr>
    <w:rPr>
      <w:rFonts w:cs="Times New Roman"/>
      <w:sz w:val="24"/>
      <w:szCs w:val="24"/>
      <w:lang w:eastAsia="sk-SK"/>
    </w:rPr>
  </w:style>
  <w:style w:type="paragraph" w:styleId="Textvysvetlivky">
    <w:name w:val="endnote text"/>
    <w:basedOn w:val="Normlny"/>
    <w:link w:val="TextvysvetlivkyChar"/>
    <w:uiPriority w:val="99"/>
    <w:semiHidden/>
    <w:unhideWhenUsed/>
    <w:rsid w:val="00537EC3"/>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537EC3"/>
    <w:rPr>
      <w:rFonts w:ascii="Times New Roman" w:hAnsi="Times New Roman"/>
      <w:sz w:val="20"/>
      <w:szCs w:val="20"/>
    </w:rPr>
  </w:style>
  <w:style w:type="character" w:styleId="Odkaznavysvetlivku">
    <w:name w:val="endnote reference"/>
    <w:basedOn w:val="Predvolenpsmoodseku"/>
    <w:uiPriority w:val="99"/>
    <w:semiHidden/>
    <w:unhideWhenUsed/>
    <w:rsid w:val="00537EC3"/>
    <w:rPr>
      <w:vertAlign w:val="superscript"/>
    </w:rPr>
  </w:style>
  <w:style w:type="character" w:customStyle="1" w:styleId="ZarkazkladnhotextuChar1">
    <w:name w:val="Zarážka základného textu Char1"/>
    <w:basedOn w:val="Predvolenpsmoodseku"/>
    <w:uiPriority w:val="99"/>
    <w:semiHidden/>
    <w:rsid w:val="0078085C"/>
    <w:rPr>
      <w:rFonts w:ascii="Times New Roman" w:hAnsi="Times New Roman"/>
    </w:rPr>
  </w:style>
  <w:style w:type="paragraph" w:styleId="Obyajntext">
    <w:name w:val="Plain Text"/>
    <w:basedOn w:val="Normlny"/>
    <w:link w:val="ObyajntextChar"/>
    <w:uiPriority w:val="99"/>
    <w:unhideWhenUsed/>
    <w:rsid w:val="0078085C"/>
    <w:pPr>
      <w:spacing w:after="0" w:line="240" w:lineRule="auto"/>
      <w:jc w:val="left"/>
    </w:pPr>
    <w:rPr>
      <w:rFonts w:ascii="Arial Narrow" w:hAnsi="Arial Narrow"/>
    </w:rPr>
  </w:style>
  <w:style w:type="character" w:customStyle="1" w:styleId="ObyajntextChar">
    <w:name w:val="Obyčajný text Char"/>
    <w:basedOn w:val="Predvolenpsmoodseku"/>
    <w:link w:val="Obyajntext"/>
    <w:uiPriority w:val="99"/>
    <w:rsid w:val="0078085C"/>
    <w:rPr>
      <w:rFonts w:ascii="Arial Narrow" w:hAnsi="Arial Narrow"/>
    </w:rPr>
  </w:style>
  <w:style w:type="paragraph" w:customStyle="1" w:styleId="b-typo-p">
    <w:name w:val="b-typo-p"/>
    <w:basedOn w:val="Normlny"/>
    <w:rsid w:val="0078085C"/>
    <w:pPr>
      <w:spacing w:before="100" w:beforeAutospacing="1" w:after="100" w:afterAutospacing="1" w:line="240" w:lineRule="auto"/>
      <w:jc w:val="left"/>
    </w:pPr>
    <w:rPr>
      <w:rFonts w:eastAsia="Times New Roman" w:cs="Times New Roman"/>
      <w:sz w:val="24"/>
      <w:szCs w:val="24"/>
      <w:lang w:eastAsia="sk-SK"/>
    </w:rPr>
  </w:style>
  <w:style w:type="numbering" w:customStyle="1" w:styleId="Bezzoznamu1">
    <w:name w:val="Bez zoznamu1"/>
    <w:next w:val="Bezzoznamu"/>
    <w:uiPriority w:val="99"/>
    <w:semiHidden/>
    <w:unhideWhenUsed/>
    <w:rsid w:val="00867564"/>
  </w:style>
  <w:style w:type="paragraph" w:customStyle="1" w:styleId="xxmsonormal">
    <w:name w:val="xxmsonormal"/>
    <w:basedOn w:val="Normlny"/>
    <w:uiPriority w:val="99"/>
    <w:rsid w:val="00867564"/>
    <w:pPr>
      <w:spacing w:after="0" w:line="240" w:lineRule="auto"/>
      <w:jc w:val="left"/>
    </w:pPr>
    <w:rPr>
      <w:rFonts w:cs="Times New Roman"/>
      <w:sz w:val="24"/>
      <w:szCs w:val="24"/>
      <w:lang w:eastAsia="sk-SK"/>
    </w:rPr>
  </w:style>
  <w:style w:type="paragraph" w:customStyle="1" w:styleId="xmsonormal">
    <w:name w:val="x_msonormal"/>
    <w:basedOn w:val="Normlny"/>
    <w:rsid w:val="00867564"/>
    <w:pPr>
      <w:spacing w:before="100" w:beforeAutospacing="1" w:after="100" w:afterAutospacing="1" w:line="240" w:lineRule="auto"/>
      <w:jc w:val="left"/>
    </w:pPr>
    <w:rPr>
      <w:rFonts w:eastAsia="Times New Roman" w:cs="Times New Roman"/>
      <w:sz w:val="24"/>
      <w:szCs w:val="24"/>
      <w:lang w:eastAsia="sk-SK"/>
    </w:rPr>
  </w:style>
  <w:style w:type="character" w:customStyle="1" w:styleId="acopre1">
    <w:name w:val="acopre1"/>
    <w:basedOn w:val="Predvolenpsmoodseku"/>
    <w:rsid w:val="00005FDB"/>
  </w:style>
  <w:style w:type="paragraph" w:customStyle="1" w:styleId="Default0">
    <w:name w:val="Default"/>
    <w:rsid w:val="00CB3C45"/>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0"/>
    <w:next w:val="Default0"/>
    <w:uiPriority w:val="99"/>
    <w:rsid w:val="00CB3C45"/>
    <w:rPr>
      <w:rFonts w:cstheme="minorBidi"/>
      <w:color w:val="auto"/>
    </w:rPr>
  </w:style>
  <w:style w:type="paragraph" w:customStyle="1" w:styleId="CM3">
    <w:name w:val="CM3"/>
    <w:basedOn w:val="Default0"/>
    <w:next w:val="Default0"/>
    <w:uiPriority w:val="99"/>
    <w:rsid w:val="00CB3C45"/>
    <w:rPr>
      <w:rFonts w:cstheme="minorBidi"/>
      <w:color w:val="auto"/>
    </w:rPr>
  </w:style>
  <w:style w:type="paragraph" w:customStyle="1" w:styleId="CM4">
    <w:name w:val="CM4"/>
    <w:basedOn w:val="Default0"/>
    <w:next w:val="Default0"/>
    <w:uiPriority w:val="99"/>
    <w:rsid w:val="00CB3C45"/>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5660">
      <w:bodyDiv w:val="1"/>
      <w:marLeft w:val="0"/>
      <w:marRight w:val="0"/>
      <w:marTop w:val="0"/>
      <w:marBottom w:val="0"/>
      <w:divBdr>
        <w:top w:val="none" w:sz="0" w:space="0" w:color="auto"/>
        <w:left w:val="none" w:sz="0" w:space="0" w:color="auto"/>
        <w:bottom w:val="none" w:sz="0" w:space="0" w:color="auto"/>
        <w:right w:val="none" w:sz="0" w:space="0" w:color="auto"/>
      </w:divBdr>
    </w:div>
    <w:div w:id="103547509">
      <w:bodyDiv w:val="1"/>
      <w:marLeft w:val="0"/>
      <w:marRight w:val="0"/>
      <w:marTop w:val="0"/>
      <w:marBottom w:val="0"/>
      <w:divBdr>
        <w:top w:val="none" w:sz="0" w:space="0" w:color="auto"/>
        <w:left w:val="none" w:sz="0" w:space="0" w:color="auto"/>
        <w:bottom w:val="none" w:sz="0" w:space="0" w:color="auto"/>
        <w:right w:val="none" w:sz="0" w:space="0" w:color="auto"/>
      </w:divBdr>
      <w:divsChild>
        <w:div w:id="562831429">
          <w:marLeft w:val="0"/>
          <w:marRight w:val="0"/>
          <w:marTop w:val="0"/>
          <w:marBottom w:val="0"/>
          <w:divBdr>
            <w:top w:val="none" w:sz="0" w:space="0" w:color="auto"/>
            <w:left w:val="none" w:sz="0" w:space="0" w:color="auto"/>
            <w:bottom w:val="none" w:sz="0" w:space="0" w:color="auto"/>
            <w:right w:val="none" w:sz="0" w:space="0" w:color="auto"/>
          </w:divBdr>
          <w:divsChild>
            <w:div w:id="8848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349">
      <w:bodyDiv w:val="1"/>
      <w:marLeft w:val="0"/>
      <w:marRight w:val="0"/>
      <w:marTop w:val="0"/>
      <w:marBottom w:val="0"/>
      <w:divBdr>
        <w:top w:val="none" w:sz="0" w:space="0" w:color="auto"/>
        <w:left w:val="none" w:sz="0" w:space="0" w:color="auto"/>
        <w:bottom w:val="none" w:sz="0" w:space="0" w:color="auto"/>
        <w:right w:val="none" w:sz="0" w:space="0" w:color="auto"/>
      </w:divBdr>
    </w:div>
    <w:div w:id="120421357">
      <w:bodyDiv w:val="1"/>
      <w:marLeft w:val="0"/>
      <w:marRight w:val="0"/>
      <w:marTop w:val="0"/>
      <w:marBottom w:val="0"/>
      <w:divBdr>
        <w:top w:val="none" w:sz="0" w:space="0" w:color="auto"/>
        <w:left w:val="none" w:sz="0" w:space="0" w:color="auto"/>
        <w:bottom w:val="none" w:sz="0" w:space="0" w:color="auto"/>
        <w:right w:val="none" w:sz="0" w:space="0" w:color="auto"/>
      </w:divBdr>
    </w:div>
    <w:div w:id="130249624">
      <w:bodyDiv w:val="1"/>
      <w:marLeft w:val="0"/>
      <w:marRight w:val="0"/>
      <w:marTop w:val="0"/>
      <w:marBottom w:val="0"/>
      <w:divBdr>
        <w:top w:val="none" w:sz="0" w:space="0" w:color="auto"/>
        <w:left w:val="none" w:sz="0" w:space="0" w:color="auto"/>
        <w:bottom w:val="none" w:sz="0" w:space="0" w:color="auto"/>
        <w:right w:val="none" w:sz="0" w:space="0" w:color="auto"/>
      </w:divBdr>
    </w:div>
    <w:div w:id="221866251">
      <w:bodyDiv w:val="1"/>
      <w:marLeft w:val="0"/>
      <w:marRight w:val="0"/>
      <w:marTop w:val="0"/>
      <w:marBottom w:val="0"/>
      <w:divBdr>
        <w:top w:val="none" w:sz="0" w:space="0" w:color="auto"/>
        <w:left w:val="none" w:sz="0" w:space="0" w:color="auto"/>
        <w:bottom w:val="none" w:sz="0" w:space="0" w:color="auto"/>
        <w:right w:val="none" w:sz="0" w:space="0" w:color="auto"/>
      </w:divBdr>
    </w:div>
    <w:div w:id="232737814">
      <w:bodyDiv w:val="1"/>
      <w:marLeft w:val="0"/>
      <w:marRight w:val="0"/>
      <w:marTop w:val="0"/>
      <w:marBottom w:val="0"/>
      <w:divBdr>
        <w:top w:val="none" w:sz="0" w:space="0" w:color="auto"/>
        <w:left w:val="none" w:sz="0" w:space="0" w:color="auto"/>
        <w:bottom w:val="none" w:sz="0" w:space="0" w:color="auto"/>
        <w:right w:val="none" w:sz="0" w:space="0" w:color="auto"/>
      </w:divBdr>
    </w:div>
    <w:div w:id="278338214">
      <w:bodyDiv w:val="1"/>
      <w:marLeft w:val="0"/>
      <w:marRight w:val="0"/>
      <w:marTop w:val="0"/>
      <w:marBottom w:val="0"/>
      <w:divBdr>
        <w:top w:val="none" w:sz="0" w:space="0" w:color="auto"/>
        <w:left w:val="none" w:sz="0" w:space="0" w:color="auto"/>
        <w:bottom w:val="none" w:sz="0" w:space="0" w:color="auto"/>
        <w:right w:val="none" w:sz="0" w:space="0" w:color="auto"/>
      </w:divBdr>
    </w:div>
    <w:div w:id="282075293">
      <w:bodyDiv w:val="1"/>
      <w:marLeft w:val="0"/>
      <w:marRight w:val="0"/>
      <w:marTop w:val="0"/>
      <w:marBottom w:val="0"/>
      <w:divBdr>
        <w:top w:val="none" w:sz="0" w:space="0" w:color="auto"/>
        <w:left w:val="none" w:sz="0" w:space="0" w:color="auto"/>
        <w:bottom w:val="none" w:sz="0" w:space="0" w:color="auto"/>
        <w:right w:val="none" w:sz="0" w:space="0" w:color="auto"/>
      </w:divBdr>
    </w:div>
    <w:div w:id="305822928">
      <w:bodyDiv w:val="1"/>
      <w:marLeft w:val="0"/>
      <w:marRight w:val="0"/>
      <w:marTop w:val="0"/>
      <w:marBottom w:val="0"/>
      <w:divBdr>
        <w:top w:val="none" w:sz="0" w:space="0" w:color="auto"/>
        <w:left w:val="none" w:sz="0" w:space="0" w:color="auto"/>
        <w:bottom w:val="none" w:sz="0" w:space="0" w:color="auto"/>
        <w:right w:val="none" w:sz="0" w:space="0" w:color="auto"/>
      </w:divBdr>
    </w:div>
    <w:div w:id="325207847">
      <w:bodyDiv w:val="1"/>
      <w:marLeft w:val="0"/>
      <w:marRight w:val="0"/>
      <w:marTop w:val="0"/>
      <w:marBottom w:val="0"/>
      <w:divBdr>
        <w:top w:val="none" w:sz="0" w:space="0" w:color="auto"/>
        <w:left w:val="none" w:sz="0" w:space="0" w:color="auto"/>
        <w:bottom w:val="none" w:sz="0" w:space="0" w:color="auto"/>
        <w:right w:val="none" w:sz="0" w:space="0" w:color="auto"/>
      </w:divBdr>
    </w:div>
    <w:div w:id="365251082">
      <w:bodyDiv w:val="1"/>
      <w:marLeft w:val="0"/>
      <w:marRight w:val="0"/>
      <w:marTop w:val="0"/>
      <w:marBottom w:val="0"/>
      <w:divBdr>
        <w:top w:val="none" w:sz="0" w:space="0" w:color="auto"/>
        <w:left w:val="none" w:sz="0" w:space="0" w:color="auto"/>
        <w:bottom w:val="none" w:sz="0" w:space="0" w:color="auto"/>
        <w:right w:val="none" w:sz="0" w:space="0" w:color="auto"/>
      </w:divBdr>
    </w:div>
    <w:div w:id="366878275">
      <w:bodyDiv w:val="1"/>
      <w:marLeft w:val="0"/>
      <w:marRight w:val="0"/>
      <w:marTop w:val="0"/>
      <w:marBottom w:val="0"/>
      <w:divBdr>
        <w:top w:val="none" w:sz="0" w:space="0" w:color="auto"/>
        <w:left w:val="none" w:sz="0" w:space="0" w:color="auto"/>
        <w:bottom w:val="none" w:sz="0" w:space="0" w:color="auto"/>
        <w:right w:val="none" w:sz="0" w:space="0" w:color="auto"/>
      </w:divBdr>
    </w:div>
    <w:div w:id="398406455">
      <w:bodyDiv w:val="1"/>
      <w:marLeft w:val="0"/>
      <w:marRight w:val="0"/>
      <w:marTop w:val="0"/>
      <w:marBottom w:val="0"/>
      <w:divBdr>
        <w:top w:val="none" w:sz="0" w:space="0" w:color="auto"/>
        <w:left w:val="none" w:sz="0" w:space="0" w:color="auto"/>
        <w:bottom w:val="none" w:sz="0" w:space="0" w:color="auto"/>
        <w:right w:val="none" w:sz="0" w:space="0" w:color="auto"/>
      </w:divBdr>
    </w:div>
    <w:div w:id="431168882">
      <w:bodyDiv w:val="1"/>
      <w:marLeft w:val="0"/>
      <w:marRight w:val="0"/>
      <w:marTop w:val="0"/>
      <w:marBottom w:val="0"/>
      <w:divBdr>
        <w:top w:val="none" w:sz="0" w:space="0" w:color="auto"/>
        <w:left w:val="none" w:sz="0" w:space="0" w:color="auto"/>
        <w:bottom w:val="none" w:sz="0" w:space="0" w:color="auto"/>
        <w:right w:val="none" w:sz="0" w:space="0" w:color="auto"/>
      </w:divBdr>
    </w:div>
    <w:div w:id="451360976">
      <w:bodyDiv w:val="1"/>
      <w:marLeft w:val="0"/>
      <w:marRight w:val="0"/>
      <w:marTop w:val="0"/>
      <w:marBottom w:val="0"/>
      <w:divBdr>
        <w:top w:val="none" w:sz="0" w:space="0" w:color="auto"/>
        <w:left w:val="none" w:sz="0" w:space="0" w:color="auto"/>
        <w:bottom w:val="none" w:sz="0" w:space="0" w:color="auto"/>
        <w:right w:val="none" w:sz="0" w:space="0" w:color="auto"/>
      </w:divBdr>
    </w:div>
    <w:div w:id="475218865">
      <w:bodyDiv w:val="1"/>
      <w:marLeft w:val="0"/>
      <w:marRight w:val="0"/>
      <w:marTop w:val="0"/>
      <w:marBottom w:val="0"/>
      <w:divBdr>
        <w:top w:val="none" w:sz="0" w:space="0" w:color="auto"/>
        <w:left w:val="none" w:sz="0" w:space="0" w:color="auto"/>
        <w:bottom w:val="none" w:sz="0" w:space="0" w:color="auto"/>
        <w:right w:val="none" w:sz="0" w:space="0" w:color="auto"/>
      </w:divBdr>
    </w:div>
    <w:div w:id="551313390">
      <w:bodyDiv w:val="1"/>
      <w:marLeft w:val="0"/>
      <w:marRight w:val="0"/>
      <w:marTop w:val="0"/>
      <w:marBottom w:val="0"/>
      <w:divBdr>
        <w:top w:val="none" w:sz="0" w:space="0" w:color="auto"/>
        <w:left w:val="none" w:sz="0" w:space="0" w:color="auto"/>
        <w:bottom w:val="none" w:sz="0" w:space="0" w:color="auto"/>
        <w:right w:val="none" w:sz="0" w:space="0" w:color="auto"/>
      </w:divBdr>
    </w:div>
    <w:div w:id="607812558">
      <w:bodyDiv w:val="1"/>
      <w:marLeft w:val="0"/>
      <w:marRight w:val="0"/>
      <w:marTop w:val="0"/>
      <w:marBottom w:val="0"/>
      <w:divBdr>
        <w:top w:val="none" w:sz="0" w:space="0" w:color="auto"/>
        <w:left w:val="none" w:sz="0" w:space="0" w:color="auto"/>
        <w:bottom w:val="none" w:sz="0" w:space="0" w:color="auto"/>
        <w:right w:val="none" w:sz="0" w:space="0" w:color="auto"/>
      </w:divBdr>
    </w:div>
    <w:div w:id="607978284">
      <w:bodyDiv w:val="1"/>
      <w:marLeft w:val="0"/>
      <w:marRight w:val="0"/>
      <w:marTop w:val="0"/>
      <w:marBottom w:val="0"/>
      <w:divBdr>
        <w:top w:val="none" w:sz="0" w:space="0" w:color="auto"/>
        <w:left w:val="none" w:sz="0" w:space="0" w:color="auto"/>
        <w:bottom w:val="none" w:sz="0" w:space="0" w:color="auto"/>
        <w:right w:val="none" w:sz="0" w:space="0" w:color="auto"/>
      </w:divBdr>
    </w:div>
    <w:div w:id="609095785">
      <w:bodyDiv w:val="1"/>
      <w:marLeft w:val="0"/>
      <w:marRight w:val="0"/>
      <w:marTop w:val="0"/>
      <w:marBottom w:val="0"/>
      <w:divBdr>
        <w:top w:val="none" w:sz="0" w:space="0" w:color="auto"/>
        <w:left w:val="none" w:sz="0" w:space="0" w:color="auto"/>
        <w:bottom w:val="none" w:sz="0" w:space="0" w:color="auto"/>
        <w:right w:val="none" w:sz="0" w:space="0" w:color="auto"/>
      </w:divBdr>
    </w:div>
    <w:div w:id="640769414">
      <w:bodyDiv w:val="1"/>
      <w:marLeft w:val="0"/>
      <w:marRight w:val="0"/>
      <w:marTop w:val="0"/>
      <w:marBottom w:val="0"/>
      <w:divBdr>
        <w:top w:val="none" w:sz="0" w:space="0" w:color="auto"/>
        <w:left w:val="none" w:sz="0" w:space="0" w:color="auto"/>
        <w:bottom w:val="none" w:sz="0" w:space="0" w:color="auto"/>
        <w:right w:val="none" w:sz="0" w:space="0" w:color="auto"/>
      </w:divBdr>
    </w:div>
    <w:div w:id="672996393">
      <w:bodyDiv w:val="1"/>
      <w:marLeft w:val="0"/>
      <w:marRight w:val="0"/>
      <w:marTop w:val="0"/>
      <w:marBottom w:val="0"/>
      <w:divBdr>
        <w:top w:val="none" w:sz="0" w:space="0" w:color="auto"/>
        <w:left w:val="none" w:sz="0" w:space="0" w:color="auto"/>
        <w:bottom w:val="none" w:sz="0" w:space="0" w:color="auto"/>
        <w:right w:val="none" w:sz="0" w:space="0" w:color="auto"/>
      </w:divBdr>
    </w:div>
    <w:div w:id="745540572">
      <w:bodyDiv w:val="1"/>
      <w:marLeft w:val="0"/>
      <w:marRight w:val="0"/>
      <w:marTop w:val="0"/>
      <w:marBottom w:val="0"/>
      <w:divBdr>
        <w:top w:val="none" w:sz="0" w:space="0" w:color="auto"/>
        <w:left w:val="none" w:sz="0" w:space="0" w:color="auto"/>
        <w:bottom w:val="none" w:sz="0" w:space="0" w:color="auto"/>
        <w:right w:val="none" w:sz="0" w:space="0" w:color="auto"/>
      </w:divBdr>
    </w:div>
    <w:div w:id="752703514">
      <w:bodyDiv w:val="1"/>
      <w:marLeft w:val="0"/>
      <w:marRight w:val="0"/>
      <w:marTop w:val="0"/>
      <w:marBottom w:val="0"/>
      <w:divBdr>
        <w:top w:val="none" w:sz="0" w:space="0" w:color="auto"/>
        <w:left w:val="none" w:sz="0" w:space="0" w:color="auto"/>
        <w:bottom w:val="none" w:sz="0" w:space="0" w:color="auto"/>
        <w:right w:val="none" w:sz="0" w:space="0" w:color="auto"/>
      </w:divBdr>
    </w:div>
    <w:div w:id="759526628">
      <w:bodyDiv w:val="1"/>
      <w:marLeft w:val="0"/>
      <w:marRight w:val="0"/>
      <w:marTop w:val="0"/>
      <w:marBottom w:val="0"/>
      <w:divBdr>
        <w:top w:val="none" w:sz="0" w:space="0" w:color="auto"/>
        <w:left w:val="none" w:sz="0" w:space="0" w:color="auto"/>
        <w:bottom w:val="none" w:sz="0" w:space="0" w:color="auto"/>
        <w:right w:val="none" w:sz="0" w:space="0" w:color="auto"/>
      </w:divBdr>
    </w:div>
    <w:div w:id="828054206">
      <w:bodyDiv w:val="1"/>
      <w:marLeft w:val="0"/>
      <w:marRight w:val="0"/>
      <w:marTop w:val="0"/>
      <w:marBottom w:val="0"/>
      <w:divBdr>
        <w:top w:val="none" w:sz="0" w:space="0" w:color="auto"/>
        <w:left w:val="none" w:sz="0" w:space="0" w:color="auto"/>
        <w:bottom w:val="none" w:sz="0" w:space="0" w:color="auto"/>
        <w:right w:val="none" w:sz="0" w:space="0" w:color="auto"/>
      </w:divBdr>
    </w:div>
    <w:div w:id="842276737">
      <w:bodyDiv w:val="1"/>
      <w:marLeft w:val="0"/>
      <w:marRight w:val="0"/>
      <w:marTop w:val="0"/>
      <w:marBottom w:val="0"/>
      <w:divBdr>
        <w:top w:val="none" w:sz="0" w:space="0" w:color="auto"/>
        <w:left w:val="none" w:sz="0" w:space="0" w:color="auto"/>
        <w:bottom w:val="none" w:sz="0" w:space="0" w:color="auto"/>
        <w:right w:val="none" w:sz="0" w:space="0" w:color="auto"/>
      </w:divBdr>
    </w:div>
    <w:div w:id="843937752">
      <w:bodyDiv w:val="1"/>
      <w:marLeft w:val="0"/>
      <w:marRight w:val="0"/>
      <w:marTop w:val="0"/>
      <w:marBottom w:val="0"/>
      <w:divBdr>
        <w:top w:val="none" w:sz="0" w:space="0" w:color="auto"/>
        <w:left w:val="none" w:sz="0" w:space="0" w:color="auto"/>
        <w:bottom w:val="none" w:sz="0" w:space="0" w:color="auto"/>
        <w:right w:val="none" w:sz="0" w:space="0" w:color="auto"/>
      </w:divBdr>
    </w:div>
    <w:div w:id="850340764">
      <w:bodyDiv w:val="1"/>
      <w:marLeft w:val="0"/>
      <w:marRight w:val="0"/>
      <w:marTop w:val="0"/>
      <w:marBottom w:val="0"/>
      <w:divBdr>
        <w:top w:val="none" w:sz="0" w:space="0" w:color="auto"/>
        <w:left w:val="none" w:sz="0" w:space="0" w:color="auto"/>
        <w:bottom w:val="none" w:sz="0" w:space="0" w:color="auto"/>
        <w:right w:val="none" w:sz="0" w:space="0" w:color="auto"/>
      </w:divBdr>
    </w:div>
    <w:div w:id="930705010">
      <w:bodyDiv w:val="1"/>
      <w:marLeft w:val="0"/>
      <w:marRight w:val="0"/>
      <w:marTop w:val="0"/>
      <w:marBottom w:val="0"/>
      <w:divBdr>
        <w:top w:val="none" w:sz="0" w:space="0" w:color="auto"/>
        <w:left w:val="none" w:sz="0" w:space="0" w:color="auto"/>
        <w:bottom w:val="none" w:sz="0" w:space="0" w:color="auto"/>
        <w:right w:val="none" w:sz="0" w:space="0" w:color="auto"/>
      </w:divBdr>
    </w:div>
    <w:div w:id="941111308">
      <w:bodyDiv w:val="1"/>
      <w:marLeft w:val="0"/>
      <w:marRight w:val="0"/>
      <w:marTop w:val="0"/>
      <w:marBottom w:val="0"/>
      <w:divBdr>
        <w:top w:val="none" w:sz="0" w:space="0" w:color="auto"/>
        <w:left w:val="none" w:sz="0" w:space="0" w:color="auto"/>
        <w:bottom w:val="none" w:sz="0" w:space="0" w:color="auto"/>
        <w:right w:val="none" w:sz="0" w:space="0" w:color="auto"/>
      </w:divBdr>
    </w:div>
    <w:div w:id="975842262">
      <w:bodyDiv w:val="1"/>
      <w:marLeft w:val="0"/>
      <w:marRight w:val="0"/>
      <w:marTop w:val="0"/>
      <w:marBottom w:val="0"/>
      <w:divBdr>
        <w:top w:val="none" w:sz="0" w:space="0" w:color="auto"/>
        <w:left w:val="none" w:sz="0" w:space="0" w:color="auto"/>
        <w:bottom w:val="none" w:sz="0" w:space="0" w:color="auto"/>
        <w:right w:val="none" w:sz="0" w:space="0" w:color="auto"/>
      </w:divBdr>
    </w:div>
    <w:div w:id="977958545">
      <w:bodyDiv w:val="1"/>
      <w:marLeft w:val="0"/>
      <w:marRight w:val="0"/>
      <w:marTop w:val="0"/>
      <w:marBottom w:val="0"/>
      <w:divBdr>
        <w:top w:val="none" w:sz="0" w:space="0" w:color="auto"/>
        <w:left w:val="none" w:sz="0" w:space="0" w:color="auto"/>
        <w:bottom w:val="none" w:sz="0" w:space="0" w:color="auto"/>
        <w:right w:val="none" w:sz="0" w:space="0" w:color="auto"/>
      </w:divBdr>
    </w:div>
    <w:div w:id="999192318">
      <w:bodyDiv w:val="1"/>
      <w:marLeft w:val="0"/>
      <w:marRight w:val="0"/>
      <w:marTop w:val="0"/>
      <w:marBottom w:val="0"/>
      <w:divBdr>
        <w:top w:val="none" w:sz="0" w:space="0" w:color="auto"/>
        <w:left w:val="none" w:sz="0" w:space="0" w:color="auto"/>
        <w:bottom w:val="none" w:sz="0" w:space="0" w:color="auto"/>
        <w:right w:val="none" w:sz="0" w:space="0" w:color="auto"/>
      </w:divBdr>
    </w:div>
    <w:div w:id="1012219505">
      <w:bodyDiv w:val="1"/>
      <w:marLeft w:val="0"/>
      <w:marRight w:val="0"/>
      <w:marTop w:val="0"/>
      <w:marBottom w:val="0"/>
      <w:divBdr>
        <w:top w:val="none" w:sz="0" w:space="0" w:color="auto"/>
        <w:left w:val="none" w:sz="0" w:space="0" w:color="auto"/>
        <w:bottom w:val="none" w:sz="0" w:space="0" w:color="auto"/>
        <w:right w:val="none" w:sz="0" w:space="0" w:color="auto"/>
      </w:divBdr>
    </w:div>
    <w:div w:id="1018970716">
      <w:bodyDiv w:val="1"/>
      <w:marLeft w:val="0"/>
      <w:marRight w:val="0"/>
      <w:marTop w:val="0"/>
      <w:marBottom w:val="0"/>
      <w:divBdr>
        <w:top w:val="none" w:sz="0" w:space="0" w:color="auto"/>
        <w:left w:val="none" w:sz="0" w:space="0" w:color="auto"/>
        <w:bottom w:val="none" w:sz="0" w:space="0" w:color="auto"/>
        <w:right w:val="none" w:sz="0" w:space="0" w:color="auto"/>
      </w:divBdr>
    </w:div>
    <w:div w:id="1019815154">
      <w:bodyDiv w:val="1"/>
      <w:marLeft w:val="0"/>
      <w:marRight w:val="0"/>
      <w:marTop w:val="0"/>
      <w:marBottom w:val="0"/>
      <w:divBdr>
        <w:top w:val="none" w:sz="0" w:space="0" w:color="auto"/>
        <w:left w:val="none" w:sz="0" w:space="0" w:color="auto"/>
        <w:bottom w:val="none" w:sz="0" w:space="0" w:color="auto"/>
        <w:right w:val="none" w:sz="0" w:space="0" w:color="auto"/>
      </w:divBdr>
    </w:div>
    <w:div w:id="1094402443">
      <w:bodyDiv w:val="1"/>
      <w:marLeft w:val="0"/>
      <w:marRight w:val="0"/>
      <w:marTop w:val="0"/>
      <w:marBottom w:val="0"/>
      <w:divBdr>
        <w:top w:val="none" w:sz="0" w:space="0" w:color="auto"/>
        <w:left w:val="none" w:sz="0" w:space="0" w:color="auto"/>
        <w:bottom w:val="none" w:sz="0" w:space="0" w:color="auto"/>
        <w:right w:val="none" w:sz="0" w:space="0" w:color="auto"/>
      </w:divBdr>
    </w:div>
    <w:div w:id="1100636161">
      <w:bodyDiv w:val="1"/>
      <w:marLeft w:val="0"/>
      <w:marRight w:val="0"/>
      <w:marTop w:val="0"/>
      <w:marBottom w:val="0"/>
      <w:divBdr>
        <w:top w:val="none" w:sz="0" w:space="0" w:color="auto"/>
        <w:left w:val="none" w:sz="0" w:space="0" w:color="auto"/>
        <w:bottom w:val="none" w:sz="0" w:space="0" w:color="auto"/>
        <w:right w:val="none" w:sz="0" w:space="0" w:color="auto"/>
      </w:divBdr>
    </w:div>
    <w:div w:id="1116681944">
      <w:bodyDiv w:val="1"/>
      <w:marLeft w:val="0"/>
      <w:marRight w:val="0"/>
      <w:marTop w:val="0"/>
      <w:marBottom w:val="0"/>
      <w:divBdr>
        <w:top w:val="none" w:sz="0" w:space="0" w:color="auto"/>
        <w:left w:val="none" w:sz="0" w:space="0" w:color="auto"/>
        <w:bottom w:val="none" w:sz="0" w:space="0" w:color="auto"/>
        <w:right w:val="none" w:sz="0" w:space="0" w:color="auto"/>
      </w:divBdr>
    </w:div>
    <w:div w:id="1122964428">
      <w:bodyDiv w:val="1"/>
      <w:marLeft w:val="0"/>
      <w:marRight w:val="0"/>
      <w:marTop w:val="0"/>
      <w:marBottom w:val="0"/>
      <w:divBdr>
        <w:top w:val="none" w:sz="0" w:space="0" w:color="auto"/>
        <w:left w:val="none" w:sz="0" w:space="0" w:color="auto"/>
        <w:bottom w:val="none" w:sz="0" w:space="0" w:color="auto"/>
        <w:right w:val="none" w:sz="0" w:space="0" w:color="auto"/>
      </w:divBdr>
    </w:div>
    <w:div w:id="1137844169">
      <w:bodyDiv w:val="1"/>
      <w:marLeft w:val="0"/>
      <w:marRight w:val="0"/>
      <w:marTop w:val="0"/>
      <w:marBottom w:val="0"/>
      <w:divBdr>
        <w:top w:val="none" w:sz="0" w:space="0" w:color="auto"/>
        <w:left w:val="none" w:sz="0" w:space="0" w:color="auto"/>
        <w:bottom w:val="none" w:sz="0" w:space="0" w:color="auto"/>
        <w:right w:val="none" w:sz="0" w:space="0" w:color="auto"/>
      </w:divBdr>
    </w:div>
    <w:div w:id="1155531707">
      <w:bodyDiv w:val="1"/>
      <w:marLeft w:val="0"/>
      <w:marRight w:val="0"/>
      <w:marTop w:val="0"/>
      <w:marBottom w:val="0"/>
      <w:divBdr>
        <w:top w:val="none" w:sz="0" w:space="0" w:color="auto"/>
        <w:left w:val="none" w:sz="0" w:space="0" w:color="auto"/>
        <w:bottom w:val="none" w:sz="0" w:space="0" w:color="auto"/>
        <w:right w:val="none" w:sz="0" w:space="0" w:color="auto"/>
      </w:divBdr>
    </w:div>
    <w:div w:id="1248272175">
      <w:bodyDiv w:val="1"/>
      <w:marLeft w:val="0"/>
      <w:marRight w:val="0"/>
      <w:marTop w:val="0"/>
      <w:marBottom w:val="0"/>
      <w:divBdr>
        <w:top w:val="none" w:sz="0" w:space="0" w:color="auto"/>
        <w:left w:val="none" w:sz="0" w:space="0" w:color="auto"/>
        <w:bottom w:val="none" w:sz="0" w:space="0" w:color="auto"/>
        <w:right w:val="none" w:sz="0" w:space="0" w:color="auto"/>
      </w:divBdr>
    </w:div>
    <w:div w:id="1256472208">
      <w:bodyDiv w:val="1"/>
      <w:marLeft w:val="0"/>
      <w:marRight w:val="0"/>
      <w:marTop w:val="0"/>
      <w:marBottom w:val="0"/>
      <w:divBdr>
        <w:top w:val="none" w:sz="0" w:space="0" w:color="auto"/>
        <w:left w:val="none" w:sz="0" w:space="0" w:color="auto"/>
        <w:bottom w:val="none" w:sz="0" w:space="0" w:color="auto"/>
        <w:right w:val="none" w:sz="0" w:space="0" w:color="auto"/>
      </w:divBdr>
    </w:div>
    <w:div w:id="1268805720">
      <w:bodyDiv w:val="1"/>
      <w:marLeft w:val="0"/>
      <w:marRight w:val="0"/>
      <w:marTop w:val="0"/>
      <w:marBottom w:val="0"/>
      <w:divBdr>
        <w:top w:val="none" w:sz="0" w:space="0" w:color="auto"/>
        <w:left w:val="none" w:sz="0" w:space="0" w:color="auto"/>
        <w:bottom w:val="none" w:sz="0" w:space="0" w:color="auto"/>
        <w:right w:val="none" w:sz="0" w:space="0" w:color="auto"/>
      </w:divBdr>
    </w:div>
    <w:div w:id="1283154203">
      <w:bodyDiv w:val="1"/>
      <w:marLeft w:val="0"/>
      <w:marRight w:val="0"/>
      <w:marTop w:val="0"/>
      <w:marBottom w:val="0"/>
      <w:divBdr>
        <w:top w:val="none" w:sz="0" w:space="0" w:color="auto"/>
        <w:left w:val="none" w:sz="0" w:space="0" w:color="auto"/>
        <w:bottom w:val="none" w:sz="0" w:space="0" w:color="auto"/>
        <w:right w:val="none" w:sz="0" w:space="0" w:color="auto"/>
      </w:divBdr>
    </w:div>
    <w:div w:id="1370226883">
      <w:bodyDiv w:val="1"/>
      <w:marLeft w:val="0"/>
      <w:marRight w:val="0"/>
      <w:marTop w:val="0"/>
      <w:marBottom w:val="0"/>
      <w:divBdr>
        <w:top w:val="none" w:sz="0" w:space="0" w:color="auto"/>
        <w:left w:val="none" w:sz="0" w:space="0" w:color="auto"/>
        <w:bottom w:val="none" w:sz="0" w:space="0" w:color="auto"/>
        <w:right w:val="none" w:sz="0" w:space="0" w:color="auto"/>
      </w:divBdr>
    </w:div>
    <w:div w:id="1379476605">
      <w:bodyDiv w:val="1"/>
      <w:marLeft w:val="0"/>
      <w:marRight w:val="0"/>
      <w:marTop w:val="0"/>
      <w:marBottom w:val="0"/>
      <w:divBdr>
        <w:top w:val="none" w:sz="0" w:space="0" w:color="auto"/>
        <w:left w:val="none" w:sz="0" w:space="0" w:color="auto"/>
        <w:bottom w:val="none" w:sz="0" w:space="0" w:color="auto"/>
        <w:right w:val="none" w:sz="0" w:space="0" w:color="auto"/>
      </w:divBdr>
    </w:div>
    <w:div w:id="1380780124">
      <w:bodyDiv w:val="1"/>
      <w:marLeft w:val="0"/>
      <w:marRight w:val="0"/>
      <w:marTop w:val="0"/>
      <w:marBottom w:val="0"/>
      <w:divBdr>
        <w:top w:val="none" w:sz="0" w:space="0" w:color="auto"/>
        <w:left w:val="none" w:sz="0" w:space="0" w:color="auto"/>
        <w:bottom w:val="none" w:sz="0" w:space="0" w:color="auto"/>
        <w:right w:val="none" w:sz="0" w:space="0" w:color="auto"/>
      </w:divBdr>
    </w:div>
    <w:div w:id="1384645267">
      <w:bodyDiv w:val="1"/>
      <w:marLeft w:val="0"/>
      <w:marRight w:val="0"/>
      <w:marTop w:val="0"/>
      <w:marBottom w:val="0"/>
      <w:divBdr>
        <w:top w:val="none" w:sz="0" w:space="0" w:color="auto"/>
        <w:left w:val="none" w:sz="0" w:space="0" w:color="auto"/>
        <w:bottom w:val="none" w:sz="0" w:space="0" w:color="auto"/>
        <w:right w:val="none" w:sz="0" w:space="0" w:color="auto"/>
      </w:divBdr>
    </w:div>
    <w:div w:id="1415738975">
      <w:bodyDiv w:val="1"/>
      <w:marLeft w:val="0"/>
      <w:marRight w:val="0"/>
      <w:marTop w:val="0"/>
      <w:marBottom w:val="0"/>
      <w:divBdr>
        <w:top w:val="none" w:sz="0" w:space="0" w:color="auto"/>
        <w:left w:val="none" w:sz="0" w:space="0" w:color="auto"/>
        <w:bottom w:val="none" w:sz="0" w:space="0" w:color="auto"/>
        <w:right w:val="none" w:sz="0" w:space="0" w:color="auto"/>
      </w:divBdr>
    </w:div>
    <w:div w:id="1427848696">
      <w:bodyDiv w:val="1"/>
      <w:marLeft w:val="0"/>
      <w:marRight w:val="0"/>
      <w:marTop w:val="0"/>
      <w:marBottom w:val="0"/>
      <w:divBdr>
        <w:top w:val="none" w:sz="0" w:space="0" w:color="auto"/>
        <w:left w:val="none" w:sz="0" w:space="0" w:color="auto"/>
        <w:bottom w:val="none" w:sz="0" w:space="0" w:color="auto"/>
        <w:right w:val="none" w:sz="0" w:space="0" w:color="auto"/>
      </w:divBdr>
    </w:div>
    <w:div w:id="1447385127">
      <w:bodyDiv w:val="1"/>
      <w:marLeft w:val="0"/>
      <w:marRight w:val="0"/>
      <w:marTop w:val="0"/>
      <w:marBottom w:val="0"/>
      <w:divBdr>
        <w:top w:val="none" w:sz="0" w:space="0" w:color="auto"/>
        <w:left w:val="none" w:sz="0" w:space="0" w:color="auto"/>
        <w:bottom w:val="none" w:sz="0" w:space="0" w:color="auto"/>
        <w:right w:val="none" w:sz="0" w:space="0" w:color="auto"/>
      </w:divBdr>
    </w:div>
    <w:div w:id="1462530602">
      <w:bodyDiv w:val="1"/>
      <w:marLeft w:val="0"/>
      <w:marRight w:val="0"/>
      <w:marTop w:val="0"/>
      <w:marBottom w:val="0"/>
      <w:divBdr>
        <w:top w:val="none" w:sz="0" w:space="0" w:color="auto"/>
        <w:left w:val="none" w:sz="0" w:space="0" w:color="auto"/>
        <w:bottom w:val="none" w:sz="0" w:space="0" w:color="auto"/>
        <w:right w:val="none" w:sz="0" w:space="0" w:color="auto"/>
      </w:divBdr>
    </w:div>
    <w:div w:id="1478260026">
      <w:bodyDiv w:val="1"/>
      <w:marLeft w:val="0"/>
      <w:marRight w:val="0"/>
      <w:marTop w:val="0"/>
      <w:marBottom w:val="0"/>
      <w:divBdr>
        <w:top w:val="none" w:sz="0" w:space="0" w:color="auto"/>
        <w:left w:val="none" w:sz="0" w:space="0" w:color="auto"/>
        <w:bottom w:val="none" w:sz="0" w:space="0" w:color="auto"/>
        <w:right w:val="none" w:sz="0" w:space="0" w:color="auto"/>
      </w:divBdr>
    </w:div>
    <w:div w:id="1513716708">
      <w:bodyDiv w:val="1"/>
      <w:marLeft w:val="0"/>
      <w:marRight w:val="0"/>
      <w:marTop w:val="0"/>
      <w:marBottom w:val="0"/>
      <w:divBdr>
        <w:top w:val="none" w:sz="0" w:space="0" w:color="auto"/>
        <w:left w:val="none" w:sz="0" w:space="0" w:color="auto"/>
        <w:bottom w:val="none" w:sz="0" w:space="0" w:color="auto"/>
        <w:right w:val="none" w:sz="0" w:space="0" w:color="auto"/>
      </w:divBdr>
    </w:div>
    <w:div w:id="1572036786">
      <w:bodyDiv w:val="1"/>
      <w:marLeft w:val="0"/>
      <w:marRight w:val="0"/>
      <w:marTop w:val="0"/>
      <w:marBottom w:val="0"/>
      <w:divBdr>
        <w:top w:val="none" w:sz="0" w:space="0" w:color="auto"/>
        <w:left w:val="none" w:sz="0" w:space="0" w:color="auto"/>
        <w:bottom w:val="none" w:sz="0" w:space="0" w:color="auto"/>
        <w:right w:val="none" w:sz="0" w:space="0" w:color="auto"/>
      </w:divBdr>
    </w:div>
    <w:div w:id="1598057521">
      <w:bodyDiv w:val="1"/>
      <w:marLeft w:val="0"/>
      <w:marRight w:val="0"/>
      <w:marTop w:val="0"/>
      <w:marBottom w:val="0"/>
      <w:divBdr>
        <w:top w:val="none" w:sz="0" w:space="0" w:color="auto"/>
        <w:left w:val="none" w:sz="0" w:space="0" w:color="auto"/>
        <w:bottom w:val="none" w:sz="0" w:space="0" w:color="auto"/>
        <w:right w:val="none" w:sz="0" w:space="0" w:color="auto"/>
      </w:divBdr>
    </w:div>
    <w:div w:id="1647398196">
      <w:bodyDiv w:val="1"/>
      <w:marLeft w:val="0"/>
      <w:marRight w:val="0"/>
      <w:marTop w:val="0"/>
      <w:marBottom w:val="0"/>
      <w:divBdr>
        <w:top w:val="none" w:sz="0" w:space="0" w:color="auto"/>
        <w:left w:val="none" w:sz="0" w:space="0" w:color="auto"/>
        <w:bottom w:val="none" w:sz="0" w:space="0" w:color="auto"/>
        <w:right w:val="none" w:sz="0" w:space="0" w:color="auto"/>
      </w:divBdr>
    </w:div>
    <w:div w:id="1660426790">
      <w:bodyDiv w:val="1"/>
      <w:marLeft w:val="0"/>
      <w:marRight w:val="0"/>
      <w:marTop w:val="0"/>
      <w:marBottom w:val="0"/>
      <w:divBdr>
        <w:top w:val="none" w:sz="0" w:space="0" w:color="auto"/>
        <w:left w:val="none" w:sz="0" w:space="0" w:color="auto"/>
        <w:bottom w:val="none" w:sz="0" w:space="0" w:color="auto"/>
        <w:right w:val="none" w:sz="0" w:space="0" w:color="auto"/>
      </w:divBdr>
    </w:div>
    <w:div w:id="1701710505">
      <w:bodyDiv w:val="1"/>
      <w:marLeft w:val="0"/>
      <w:marRight w:val="0"/>
      <w:marTop w:val="0"/>
      <w:marBottom w:val="0"/>
      <w:divBdr>
        <w:top w:val="none" w:sz="0" w:space="0" w:color="auto"/>
        <w:left w:val="none" w:sz="0" w:space="0" w:color="auto"/>
        <w:bottom w:val="none" w:sz="0" w:space="0" w:color="auto"/>
        <w:right w:val="none" w:sz="0" w:space="0" w:color="auto"/>
      </w:divBdr>
      <w:divsChild>
        <w:div w:id="1977250787">
          <w:marLeft w:val="0"/>
          <w:marRight w:val="0"/>
          <w:marTop w:val="0"/>
          <w:marBottom w:val="0"/>
          <w:divBdr>
            <w:top w:val="none" w:sz="0" w:space="0" w:color="auto"/>
            <w:left w:val="none" w:sz="0" w:space="0" w:color="auto"/>
            <w:bottom w:val="none" w:sz="0" w:space="0" w:color="auto"/>
            <w:right w:val="none" w:sz="0" w:space="0" w:color="auto"/>
          </w:divBdr>
          <w:divsChild>
            <w:div w:id="1293634798">
              <w:marLeft w:val="0"/>
              <w:marRight w:val="0"/>
              <w:marTop w:val="0"/>
              <w:marBottom w:val="0"/>
              <w:divBdr>
                <w:top w:val="none" w:sz="0" w:space="0" w:color="auto"/>
                <w:left w:val="none" w:sz="0" w:space="0" w:color="auto"/>
                <w:bottom w:val="none" w:sz="0" w:space="0" w:color="auto"/>
                <w:right w:val="none" w:sz="0" w:space="0" w:color="auto"/>
              </w:divBdr>
              <w:divsChild>
                <w:div w:id="1392540232">
                  <w:marLeft w:val="-225"/>
                  <w:marRight w:val="-225"/>
                  <w:marTop w:val="0"/>
                  <w:marBottom w:val="0"/>
                  <w:divBdr>
                    <w:top w:val="none" w:sz="0" w:space="0" w:color="auto"/>
                    <w:left w:val="none" w:sz="0" w:space="0" w:color="auto"/>
                    <w:bottom w:val="none" w:sz="0" w:space="0" w:color="auto"/>
                    <w:right w:val="none" w:sz="0" w:space="0" w:color="auto"/>
                  </w:divBdr>
                  <w:divsChild>
                    <w:div w:id="8955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508258">
      <w:bodyDiv w:val="1"/>
      <w:marLeft w:val="0"/>
      <w:marRight w:val="0"/>
      <w:marTop w:val="0"/>
      <w:marBottom w:val="0"/>
      <w:divBdr>
        <w:top w:val="none" w:sz="0" w:space="0" w:color="auto"/>
        <w:left w:val="none" w:sz="0" w:space="0" w:color="auto"/>
        <w:bottom w:val="none" w:sz="0" w:space="0" w:color="auto"/>
        <w:right w:val="none" w:sz="0" w:space="0" w:color="auto"/>
      </w:divBdr>
    </w:div>
    <w:div w:id="1715350226">
      <w:bodyDiv w:val="1"/>
      <w:marLeft w:val="0"/>
      <w:marRight w:val="0"/>
      <w:marTop w:val="0"/>
      <w:marBottom w:val="0"/>
      <w:divBdr>
        <w:top w:val="none" w:sz="0" w:space="0" w:color="auto"/>
        <w:left w:val="none" w:sz="0" w:space="0" w:color="auto"/>
        <w:bottom w:val="none" w:sz="0" w:space="0" w:color="auto"/>
        <w:right w:val="none" w:sz="0" w:space="0" w:color="auto"/>
      </w:divBdr>
    </w:div>
    <w:div w:id="1729264926">
      <w:bodyDiv w:val="1"/>
      <w:marLeft w:val="0"/>
      <w:marRight w:val="0"/>
      <w:marTop w:val="0"/>
      <w:marBottom w:val="0"/>
      <w:divBdr>
        <w:top w:val="none" w:sz="0" w:space="0" w:color="auto"/>
        <w:left w:val="none" w:sz="0" w:space="0" w:color="auto"/>
        <w:bottom w:val="none" w:sz="0" w:space="0" w:color="auto"/>
        <w:right w:val="none" w:sz="0" w:space="0" w:color="auto"/>
      </w:divBdr>
    </w:div>
    <w:div w:id="1744253208">
      <w:bodyDiv w:val="1"/>
      <w:marLeft w:val="0"/>
      <w:marRight w:val="0"/>
      <w:marTop w:val="0"/>
      <w:marBottom w:val="0"/>
      <w:divBdr>
        <w:top w:val="none" w:sz="0" w:space="0" w:color="auto"/>
        <w:left w:val="none" w:sz="0" w:space="0" w:color="auto"/>
        <w:bottom w:val="none" w:sz="0" w:space="0" w:color="auto"/>
        <w:right w:val="none" w:sz="0" w:space="0" w:color="auto"/>
      </w:divBdr>
    </w:div>
    <w:div w:id="1781873342">
      <w:bodyDiv w:val="1"/>
      <w:marLeft w:val="0"/>
      <w:marRight w:val="0"/>
      <w:marTop w:val="0"/>
      <w:marBottom w:val="0"/>
      <w:divBdr>
        <w:top w:val="none" w:sz="0" w:space="0" w:color="auto"/>
        <w:left w:val="none" w:sz="0" w:space="0" w:color="auto"/>
        <w:bottom w:val="none" w:sz="0" w:space="0" w:color="auto"/>
        <w:right w:val="none" w:sz="0" w:space="0" w:color="auto"/>
      </w:divBdr>
    </w:div>
    <w:div w:id="1800568308">
      <w:bodyDiv w:val="1"/>
      <w:marLeft w:val="0"/>
      <w:marRight w:val="0"/>
      <w:marTop w:val="0"/>
      <w:marBottom w:val="0"/>
      <w:divBdr>
        <w:top w:val="none" w:sz="0" w:space="0" w:color="auto"/>
        <w:left w:val="none" w:sz="0" w:space="0" w:color="auto"/>
        <w:bottom w:val="none" w:sz="0" w:space="0" w:color="auto"/>
        <w:right w:val="none" w:sz="0" w:space="0" w:color="auto"/>
      </w:divBdr>
    </w:div>
    <w:div w:id="1812401138">
      <w:bodyDiv w:val="1"/>
      <w:marLeft w:val="0"/>
      <w:marRight w:val="0"/>
      <w:marTop w:val="0"/>
      <w:marBottom w:val="0"/>
      <w:divBdr>
        <w:top w:val="none" w:sz="0" w:space="0" w:color="auto"/>
        <w:left w:val="none" w:sz="0" w:space="0" w:color="auto"/>
        <w:bottom w:val="none" w:sz="0" w:space="0" w:color="auto"/>
        <w:right w:val="none" w:sz="0" w:space="0" w:color="auto"/>
      </w:divBdr>
    </w:div>
    <w:div w:id="1830435626">
      <w:bodyDiv w:val="1"/>
      <w:marLeft w:val="0"/>
      <w:marRight w:val="0"/>
      <w:marTop w:val="0"/>
      <w:marBottom w:val="0"/>
      <w:divBdr>
        <w:top w:val="none" w:sz="0" w:space="0" w:color="auto"/>
        <w:left w:val="none" w:sz="0" w:space="0" w:color="auto"/>
        <w:bottom w:val="none" w:sz="0" w:space="0" w:color="auto"/>
        <w:right w:val="none" w:sz="0" w:space="0" w:color="auto"/>
      </w:divBdr>
    </w:div>
    <w:div w:id="1911382337">
      <w:bodyDiv w:val="1"/>
      <w:marLeft w:val="0"/>
      <w:marRight w:val="0"/>
      <w:marTop w:val="0"/>
      <w:marBottom w:val="0"/>
      <w:divBdr>
        <w:top w:val="none" w:sz="0" w:space="0" w:color="auto"/>
        <w:left w:val="none" w:sz="0" w:space="0" w:color="auto"/>
        <w:bottom w:val="none" w:sz="0" w:space="0" w:color="auto"/>
        <w:right w:val="none" w:sz="0" w:space="0" w:color="auto"/>
      </w:divBdr>
    </w:div>
    <w:div w:id="1945573048">
      <w:bodyDiv w:val="1"/>
      <w:marLeft w:val="0"/>
      <w:marRight w:val="0"/>
      <w:marTop w:val="0"/>
      <w:marBottom w:val="0"/>
      <w:divBdr>
        <w:top w:val="none" w:sz="0" w:space="0" w:color="auto"/>
        <w:left w:val="none" w:sz="0" w:space="0" w:color="auto"/>
        <w:bottom w:val="none" w:sz="0" w:space="0" w:color="auto"/>
        <w:right w:val="none" w:sz="0" w:space="0" w:color="auto"/>
      </w:divBdr>
    </w:div>
    <w:div w:id="1950777076">
      <w:bodyDiv w:val="1"/>
      <w:marLeft w:val="0"/>
      <w:marRight w:val="0"/>
      <w:marTop w:val="0"/>
      <w:marBottom w:val="0"/>
      <w:divBdr>
        <w:top w:val="none" w:sz="0" w:space="0" w:color="auto"/>
        <w:left w:val="none" w:sz="0" w:space="0" w:color="auto"/>
        <w:bottom w:val="none" w:sz="0" w:space="0" w:color="auto"/>
        <w:right w:val="none" w:sz="0" w:space="0" w:color="auto"/>
      </w:divBdr>
    </w:div>
    <w:div w:id="1952779478">
      <w:bodyDiv w:val="1"/>
      <w:marLeft w:val="0"/>
      <w:marRight w:val="0"/>
      <w:marTop w:val="0"/>
      <w:marBottom w:val="0"/>
      <w:divBdr>
        <w:top w:val="none" w:sz="0" w:space="0" w:color="auto"/>
        <w:left w:val="none" w:sz="0" w:space="0" w:color="auto"/>
        <w:bottom w:val="none" w:sz="0" w:space="0" w:color="auto"/>
        <w:right w:val="none" w:sz="0" w:space="0" w:color="auto"/>
      </w:divBdr>
    </w:div>
    <w:div w:id="1959605522">
      <w:bodyDiv w:val="1"/>
      <w:marLeft w:val="0"/>
      <w:marRight w:val="0"/>
      <w:marTop w:val="0"/>
      <w:marBottom w:val="0"/>
      <w:divBdr>
        <w:top w:val="none" w:sz="0" w:space="0" w:color="auto"/>
        <w:left w:val="none" w:sz="0" w:space="0" w:color="auto"/>
        <w:bottom w:val="none" w:sz="0" w:space="0" w:color="auto"/>
        <w:right w:val="none" w:sz="0" w:space="0" w:color="auto"/>
      </w:divBdr>
    </w:div>
    <w:div w:id="1964770860">
      <w:bodyDiv w:val="1"/>
      <w:marLeft w:val="0"/>
      <w:marRight w:val="0"/>
      <w:marTop w:val="0"/>
      <w:marBottom w:val="0"/>
      <w:divBdr>
        <w:top w:val="none" w:sz="0" w:space="0" w:color="auto"/>
        <w:left w:val="none" w:sz="0" w:space="0" w:color="auto"/>
        <w:bottom w:val="none" w:sz="0" w:space="0" w:color="auto"/>
        <w:right w:val="none" w:sz="0" w:space="0" w:color="auto"/>
      </w:divBdr>
    </w:div>
    <w:div w:id="1970624127">
      <w:bodyDiv w:val="1"/>
      <w:marLeft w:val="0"/>
      <w:marRight w:val="0"/>
      <w:marTop w:val="0"/>
      <w:marBottom w:val="0"/>
      <w:divBdr>
        <w:top w:val="none" w:sz="0" w:space="0" w:color="auto"/>
        <w:left w:val="none" w:sz="0" w:space="0" w:color="auto"/>
        <w:bottom w:val="none" w:sz="0" w:space="0" w:color="auto"/>
        <w:right w:val="none" w:sz="0" w:space="0" w:color="auto"/>
      </w:divBdr>
    </w:div>
    <w:div w:id="1979219006">
      <w:bodyDiv w:val="1"/>
      <w:marLeft w:val="0"/>
      <w:marRight w:val="0"/>
      <w:marTop w:val="0"/>
      <w:marBottom w:val="0"/>
      <w:divBdr>
        <w:top w:val="none" w:sz="0" w:space="0" w:color="auto"/>
        <w:left w:val="none" w:sz="0" w:space="0" w:color="auto"/>
        <w:bottom w:val="none" w:sz="0" w:space="0" w:color="auto"/>
        <w:right w:val="none" w:sz="0" w:space="0" w:color="auto"/>
      </w:divBdr>
    </w:div>
    <w:div w:id="2003846990">
      <w:bodyDiv w:val="1"/>
      <w:marLeft w:val="0"/>
      <w:marRight w:val="0"/>
      <w:marTop w:val="0"/>
      <w:marBottom w:val="0"/>
      <w:divBdr>
        <w:top w:val="none" w:sz="0" w:space="0" w:color="auto"/>
        <w:left w:val="none" w:sz="0" w:space="0" w:color="auto"/>
        <w:bottom w:val="none" w:sz="0" w:space="0" w:color="auto"/>
        <w:right w:val="none" w:sz="0" w:space="0" w:color="auto"/>
      </w:divBdr>
    </w:div>
    <w:div w:id="2033455664">
      <w:bodyDiv w:val="1"/>
      <w:marLeft w:val="0"/>
      <w:marRight w:val="0"/>
      <w:marTop w:val="0"/>
      <w:marBottom w:val="0"/>
      <w:divBdr>
        <w:top w:val="none" w:sz="0" w:space="0" w:color="auto"/>
        <w:left w:val="none" w:sz="0" w:space="0" w:color="auto"/>
        <w:bottom w:val="none" w:sz="0" w:space="0" w:color="auto"/>
        <w:right w:val="none" w:sz="0" w:space="0" w:color="auto"/>
      </w:divBdr>
    </w:div>
    <w:div w:id="214376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mfsr.sk/sk/financie/institut-financnej-politiky/ekonomicke-statistiky/asignacia-dane/" TargetMode="External"/><Relationship Id="rId3" Type="http://schemas.openxmlformats.org/officeDocument/2006/relationships/hyperlink" Target="https://rokovania.gov.sk/RVL/Material/24418/1" TargetMode="External"/><Relationship Id="rId7" Type="http://schemas.openxmlformats.org/officeDocument/2006/relationships/hyperlink" Target="https://www.mfsr.sk/sk/media/tlacove-spravy/finalny-zoznam-miest-obci-ktorym-sme-schvalili-pomoc.html" TargetMode="External"/><Relationship Id="rId12" Type="http://schemas.openxmlformats.org/officeDocument/2006/relationships/hyperlink" Target="https://rokovania.gov.sk/RVL/Resolution/5478/1" TargetMode="External"/><Relationship Id="rId2" Type="http://schemas.openxmlformats.org/officeDocument/2006/relationships/hyperlink" Target="https://rokovania.gov.sk/RVL/Material/24253/" TargetMode="External"/><Relationship Id="rId1" Type="http://schemas.openxmlformats.org/officeDocument/2006/relationships/hyperlink" Target="https://ec.europa.eu/eurostat/news/euro-indicators" TargetMode="External"/><Relationship Id="rId6" Type="http://schemas.openxmlformats.org/officeDocument/2006/relationships/hyperlink" Target="https://www.mfsr.sk/sk/verejnost/pomoc-samospravam/" TargetMode="External"/><Relationship Id="rId11" Type="http://schemas.openxmlformats.org/officeDocument/2006/relationships/hyperlink" Target="https://rokovania.gov.sk/RVL/Material/25077/1" TargetMode="External"/><Relationship Id="rId5" Type="http://schemas.openxmlformats.org/officeDocument/2006/relationships/hyperlink" Target="https://www.mfsr.sk/sk/media/tlacove-spravy/finalny-zoznam-miest-obci-ktorym-sme-schvalili-pomoc.html" TargetMode="External"/><Relationship Id="rId10" Type="http://schemas.openxmlformats.org/officeDocument/2006/relationships/hyperlink" Target="https://www.opii.gov.sk/opiiapp.php/Projekty/show?id=1864" TargetMode="External"/><Relationship Id="rId4" Type="http://schemas.openxmlformats.org/officeDocument/2006/relationships/hyperlink" Target="https://www.mfsr.sk/sk/verejnost/pomoc-samospravam/" TargetMode="External"/><Relationship Id="rId9" Type="http://schemas.openxmlformats.org/officeDocument/2006/relationships/hyperlink" Target="https://www.mfsr.sk/sk/media/tlacove-spravy/slovensko-ma-lepsi-transparentnejsi-model-asignacie.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mf.mfsr.sk\DfsRoot\ADRESARE\IFP_NEW\3_MAKRO\3_7_Materialy\3_7_8_SZU\SZU%20za%202020\kap1_grafy.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mf.mfsr.sk\DfsRoot\ADRESARE\IFP_NEW\3_MAKRO\3_7_Materialy\3_7_8_SZU\SZU%20za%202019\kap1_grafy.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mf.mfsr.sk\DfsRoot\ADRESARE\IFP_NEW\3_MAKRO\3_7_Materialy\3_7_8_SZU\SZU%20za%202019\kap1_grafy.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3" Type="http://schemas.openxmlformats.org/officeDocument/2006/relationships/oleObject" Target="file:///\\mf.mfsr.sk\DfsRoot\ADRESARE\IFP_NEW\3_MAKRO\3_7_Materialy\3_7_8_SZU\SZU%20za%202020\kap1_grafy.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2" Type="http://schemas.openxmlformats.org/officeDocument/2006/relationships/oleObject" Target="file:///\\mf.mfsr.sk\DfsRoot\ADRESARE\IFP_NEW\3_MAKRO\3_7_Materialy\3_7_8_SZU\SZU%20za%202020\kap1_grafy.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3"/>
          <c:order val="0"/>
          <c:tx>
            <c:strRef>
              <c:f>HDP!$A$5</c:f>
              <c:strCache>
                <c:ptCount val="1"/>
                <c:pt idx="0">
                  <c:v>štatistická diskrepancia</c:v>
                </c:pt>
              </c:strCache>
            </c:strRef>
          </c:tx>
          <c:spPr>
            <a:solidFill>
              <a:srgbClr val="7C7C7C"/>
            </a:solidFill>
          </c:spPr>
          <c:invertIfNegative val="0"/>
          <c:cat>
            <c:numRef>
              <c:f>HDP!$F$1:$M$1</c:f>
              <c:numCache>
                <c:formatCode>General</c:formatCode>
                <c:ptCount val="8"/>
                <c:pt idx="0">
                  <c:v>2013</c:v>
                </c:pt>
                <c:pt idx="1">
                  <c:v>2014</c:v>
                </c:pt>
                <c:pt idx="2">
                  <c:v>2015</c:v>
                </c:pt>
                <c:pt idx="3">
                  <c:v>2016</c:v>
                </c:pt>
                <c:pt idx="4">
                  <c:v>2017</c:v>
                </c:pt>
                <c:pt idx="5">
                  <c:v>2018</c:v>
                </c:pt>
                <c:pt idx="6">
                  <c:v>2019</c:v>
                </c:pt>
                <c:pt idx="7">
                  <c:v>2020</c:v>
                </c:pt>
              </c:numCache>
            </c:numRef>
          </c:cat>
          <c:val>
            <c:numRef>
              <c:f>HDP!$F$5:$M$5</c:f>
              <c:numCache>
                <c:formatCode>0.0</c:formatCode>
                <c:ptCount val="8"/>
                <c:pt idx="0">
                  <c:v>7.422569242986149E-2</c:v>
                </c:pt>
                <c:pt idx="1">
                  <c:v>-2.7221107060028105E-2</c:v>
                </c:pt>
                <c:pt idx="2">
                  <c:v>-1.391004654359349E-2</c:v>
                </c:pt>
                <c:pt idx="3">
                  <c:v>0</c:v>
                </c:pt>
                <c:pt idx="4">
                  <c:v>-5.4843088437226632E-3</c:v>
                </c:pt>
                <c:pt idx="5">
                  <c:v>-3.4702388542096278E-2</c:v>
                </c:pt>
                <c:pt idx="6">
                  <c:v>2.9648104992231673E-2</c:v>
                </c:pt>
                <c:pt idx="7">
                  <c:v>0.17475781050573955</c:v>
                </c:pt>
              </c:numCache>
            </c:numRef>
          </c:val>
          <c:extLst xmlns:c16r2="http://schemas.microsoft.com/office/drawing/2015/06/chart">
            <c:ext xmlns:c16="http://schemas.microsoft.com/office/drawing/2014/chart" uri="{C3380CC4-5D6E-409C-BE32-E72D297353CC}">
              <c16:uniqueId val="{00000000-6DCC-44EF-86D1-08B33E13A0B8}"/>
            </c:ext>
          </c:extLst>
        </c:ser>
        <c:ser>
          <c:idx val="1"/>
          <c:order val="2"/>
          <c:tx>
            <c:strRef>
              <c:f>HDP!$A$3</c:f>
              <c:strCache>
                <c:ptCount val="1"/>
                <c:pt idx="0">
                  <c:v>domáci dopyt</c:v>
                </c:pt>
              </c:strCache>
            </c:strRef>
          </c:tx>
          <c:spPr>
            <a:solidFill>
              <a:srgbClr val="2C9ADC"/>
            </a:solidFill>
          </c:spPr>
          <c:invertIfNegative val="0"/>
          <c:cat>
            <c:numRef>
              <c:f>HDP!$F$1:$M$1</c:f>
              <c:numCache>
                <c:formatCode>General</c:formatCode>
                <c:ptCount val="8"/>
                <c:pt idx="0">
                  <c:v>2013</c:v>
                </c:pt>
                <c:pt idx="1">
                  <c:v>2014</c:v>
                </c:pt>
                <c:pt idx="2">
                  <c:v>2015</c:v>
                </c:pt>
                <c:pt idx="3">
                  <c:v>2016</c:v>
                </c:pt>
                <c:pt idx="4">
                  <c:v>2017</c:v>
                </c:pt>
                <c:pt idx="5">
                  <c:v>2018</c:v>
                </c:pt>
                <c:pt idx="6">
                  <c:v>2019</c:v>
                </c:pt>
                <c:pt idx="7">
                  <c:v>2020</c:v>
                </c:pt>
              </c:numCache>
            </c:numRef>
          </c:cat>
          <c:val>
            <c:numRef>
              <c:f>HDP!$F$3:$M$3</c:f>
              <c:numCache>
                <c:formatCode>0.0</c:formatCode>
                <c:ptCount val="8"/>
                <c:pt idx="0">
                  <c:v>4.9434012463191726E-3</c:v>
                </c:pt>
                <c:pt idx="1">
                  <c:v>3.1955540431968998</c:v>
                </c:pt>
                <c:pt idx="2">
                  <c:v>6.1382646537596752</c:v>
                </c:pt>
                <c:pt idx="3">
                  <c:v>1.8034485796758319</c:v>
                </c:pt>
                <c:pt idx="4">
                  <c:v>3.2041595708511137</c:v>
                </c:pt>
                <c:pt idx="5">
                  <c:v>3.4243462199602526</c:v>
                </c:pt>
                <c:pt idx="6">
                  <c:v>3.4913545072024479</c:v>
                </c:pt>
                <c:pt idx="7">
                  <c:v>-6.3926295336369119</c:v>
                </c:pt>
              </c:numCache>
            </c:numRef>
          </c:val>
          <c:extLst xmlns:c16r2="http://schemas.microsoft.com/office/drawing/2015/06/chart">
            <c:ext xmlns:c16="http://schemas.microsoft.com/office/drawing/2014/chart" uri="{C3380CC4-5D6E-409C-BE32-E72D297353CC}">
              <c16:uniqueId val="{00000001-6DCC-44EF-86D1-08B33E13A0B8}"/>
            </c:ext>
          </c:extLst>
        </c:ser>
        <c:ser>
          <c:idx val="2"/>
          <c:order val="3"/>
          <c:tx>
            <c:strRef>
              <c:f>HDP!$A$4</c:f>
              <c:strCache>
                <c:ptCount val="1"/>
                <c:pt idx="0">
                  <c:v>zahraničný dopyt</c:v>
                </c:pt>
              </c:strCache>
            </c:strRef>
          </c:tx>
          <c:spPr>
            <a:solidFill>
              <a:srgbClr val="555555"/>
            </a:solidFill>
          </c:spPr>
          <c:invertIfNegative val="0"/>
          <c:cat>
            <c:numRef>
              <c:f>HDP!$F$1:$M$1</c:f>
              <c:numCache>
                <c:formatCode>General</c:formatCode>
                <c:ptCount val="8"/>
                <c:pt idx="0">
                  <c:v>2013</c:v>
                </c:pt>
                <c:pt idx="1">
                  <c:v>2014</c:v>
                </c:pt>
                <c:pt idx="2">
                  <c:v>2015</c:v>
                </c:pt>
                <c:pt idx="3">
                  <c:v>2016</c:v>
                </c:pt>
                <c:pt idx="4">
                  <c:v>2017</c:v>
                </c:pt>
                <c:pt idx="5">
                  <c:v>2018</c:v>
                </c:pt>
                <c:pt idx="6">
                  <c:v>2019</c:v>
                </c:pt>
                <c:pt idx="7">
                  <c:v>2020</c:v>
                </c:pt>
              </c:numCache>
            </c:numRef>
          </c:cat>
          <c:val>
            <c:numRef>
              <c:f>HDP!$F$4:$M$4</c:f>
              <c:numCache>
                <c:formatCode>0.0</c:formatCode>
                <c:ptCount val="8"/>
                <c:pt idx="0">
                  <c:v>0.58736594808720499</c:v>
                </c:pt>
                <c:pt idx="1">
                  <c:v>-0.52674319003644887</c:v>
                </c:pt>
                <c:pt idx="2">
                  <c:v>-1.3094549369417385</c:v>
                </c:pt>
                <c:pt idx="3">
                  <c:v>0.32927920426402824</c:v>
                </c:pt>
                <c:pt idx="4">
                  <c:v>-0.15539570620105614</c:v>
                </c:pt>
                <c:pt idx="5">
                  <c:v>0.37898767753108159</c:v>
                </c:pt>
                <c:pt idx="6">
                  <c:v>-1.2039791574981218</c:v>
                </c:pt>
                <c:pt idx="7">
                  <c:v>1.0298304251685284</c:v>
                </c:pt>
              </c:numCache>
            </c:numRef>
          </c:val>
          <c:extLst xmlns:c16r2="http://schemas.microsoft.com/office/drawing/2015/06/chart">
            <c:ext xmlns:c16="http://schemas.microsoft.com/office/drawing/2014/chart" uri="{C3380CC4-5D6E-409C-BE32-E72D297353CC}">
              <c16:uniqueId val="{00000002-6DCC-44EF-86D1-08B33E13A0B8}"/>
            </c:ext>
          </c:extLst>
        </c:ser>
        <c:dLbls>
          <c:showLegendKey val="0"/>
          <c:showVal val="0"/>
          <c:showCatName val="0"/>
          <c:showSerName val="0"/>
          <c:showPercent val="0"/>
          <c:showBubbleSize val="0"/>
        </c:dLbls>
        <c:gapWidth val="150"/>
        <c:overlap val="100"/>
        <c:axId val="197970632"/>
        <c:axId val="197971024"/>
      </c:barChart>
      <c:lineChart>
        <c:grouping val="standard"/>
        <c:varyColors val="0"/>
        <c:ser>
          <c:idx val="0"/>
          <c:order val="1"/>
          <c:tx>
            <c:strRef>
              <c:f>HDP!$A$2</c:f>
              <c:strCache>
                <c:ptCount val="1"/>
                <c:pt idx="0">
                  <c:v>rast HDP</c:v>
                </c:pt>
              </c:strCache>
            </c:strRef>
          </c:tx>
          <c:spPr>
            <a:ln>
              <a:solidFill>
                <a:schemeClr val="tx1"/>
              </a:solidFill>
            </a:ln>
          </c:spPr>
          <c:marker>
            <c:symbol val="none"/>
          </c:marker>
          <c:dLbls>
            <c:dLbl>
              <c:idx val="2"/>
              <c:layout>
                <c:manualLayout>
                  <c:x val="-5.9300718557721267E-2"/>
                  <c:y val="-0.15149174846294899"/>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DCC-44EF-86D1-08B33E13A0B8}"/>
                </c:ext>
                <c:ext xmlns:c15="http://schemas.microsoft.com/office/drawing/2012/chart" uri="{CE6537A1-D6FC-4f65-9D91-7224C49458BB}">
                  <c15:layout/>
                </c:ext>
              </c:extLst>
            </c:dLbl>
            <c:dLbl>
              <c:idx val="6"/>
              <c:layout>
                <c:manualLayout>
                  <c:x val="-5.7103911191428942E-2"/>
                  <c:y val="-8.882800608828009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DCC-44EF-86D1-08B33E13A0B8}"/>
                </c:ext>
                <c:ext xmlns:c15="http://schemas.microsoft.com/office/drawing/2012/chart" uri="{CE6537A1-D6FC-4f65-9D91-7224C49458BB}">
                  <c15:layout/>
                </c:ext>
              </c:extLst>
            </c:dLbl>
            <c:dLbl>
              <c:idx val="7"/>
              <c:layout/>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DCC-44EF-86D1-08B33E13A0B8}"/>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baseline="0">
                    <a:latin typeface="Times New Roman" panose="02020603050405020304" pitchFamily="18" charset="0"/>
                  </a:defRPr>
                </a:pPr>
                <a:endParaRPr lang="sk-SK"/>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a:noFill/>
                    </a:ln>
                  </c:spPr>
                </c15:leaderLines>
              </c:ext>
            </c:extLst>
          </c:dLbls>
          <c:cat>
            <c:numRef>
              <c:f>HDP!$F$1:$M$1</c:f>
              <c:numCache>
                <c:formatCode>General</c:formatCode>
                <c:ptCount val="8"/>
                <c:pt idx="0">
                  <c:v>2013</c:v>
                </c:pt>
                <c:pt idx="1">
                  <c:v>2014</c:v>
                </c:pt>
                <c:pt idx="2">
                  <c:v>2015</c:v>
                </c:pt>
                <c:pt idx="3">
                  <c:v>2016</c:v>
                </c:pt>
                <c:pt idx="4">
                  <c:v>2017</c:v>
                </c:pt>
                <c:pt idx="5">
                  <c:v>2018</c:v>
                </c:pt>
                <c:pt idx="6">
                  <c:v>2019</c:v>
                </c:pt>
                <c:pt idx="7">
                  <c:v>2020</c:v>
                </c:pt>
              </c:numCache>
            </c:numRef>
          </c:cat>
          <c:val>
            <c:numRef>
              <c:f>HDP!$F$2:$M$2</c:f>
              <c:numCache>
                <c:formatCode>0.0</c:formatCode>
                <c:ptCount val="8"/>
                <c:pt idx="0">
                  <c:v>0.66653504176339418</c:v>
                </c:pt>
                <c:pt idx="1">
                  <c:v>2.6415897461004478</c:v>
                </c:pt>
                <c:pt idx="2">
                  <c:v>4.8148996702743307</c:v>
                </c:pt>
                <c:pt idx="3">
                  <c:v>2.1327277839398473</c:v>
                </c:pt>
                <c:pt idx="4">
                  <c:v>3.0432795558063219</c:v>
                </c:pt>
                <c:pt idx="5">
                  <c:v>3.7686315089492606</c:v>
                </c:pt>
                <c:pt idx="6">
                  <c:v>2.3170234546965762</c:v>
                </c:pt>
                <c:pt idx="7">
                  <c:v>-5.1880412979626422</c:v>
                </c:pt>
              </c:numCache>
            </c:numRef>
          </c:val>
          <c:smooth val="0"/>
          <c:extLst xmlns:c16r2="http://schemas.microsoft.com/office/drawing/2015/06/chart">
            <c:ext xmlns:c16="http://schemas.microsoft.com/office/drawing/2014/chart" uri="{C3380CC4-5D6E-409C-BE32-E72D297353CC}">
              <c16:uniqueId val="{00000006-6DCC-44EF-86D1-08B33E13A0B8}"/>
            </c:ext>
          </c:extLst>
        </c:ser>
        <c:dLbls>
          <c:showLegendKey val="0"/>
          <c:showVal val="0"/>
          <c:showCatName val="0"/>
          <c:showSerName val="0"/>
          <c:showPercent val="0"/>
          <c:showBubbleSize val="0"/>
        </c:dLbls>
        <c:marker val="1"/>
        <c:smooth val="0"/>
        <c:axId val="197970632"/>
        <c:axId val="197971024"/>
      </c:lineChart>
      <c:catAx>
        <c:axId val="197970632"/>
        <c:scaling>
          <c:orientation val="minMax"/>
        </c:scaling>
        <c:delete val="0"/>
        <c:axPos val="b"/>
        <c:numFmt formatCode="General" sourceLinked="1"/>
        <c:majorTickMark val="out"/>
        <c:minorTickMark val="none"/>
        <c:tickLblPos val="low"/>
        <c:txPr>
          <a:bodyPr/>
          <a:lstStyle/>
          <a:p>
            <a:pPr>
              <a:defRPr baseline="0">
                <a:latin typeface="Times New Roman" panose="02020603050405020304" pitchFamily="18" charset="0"/>
              </a:defRPr>
            </a:pPr>
            <a:endParaRPr lang="sk-SK"/>
          </a:p>
        </c:txPr>
        <c:crossAx val="197971024"/>
        <c:crosses val="autoZero"/>
        <c:auto val="1"/>
        <c:lblAlgn val="ctr"/>
        <c:lblOffset val="100"/>
        <c:noMultiLvlLbl val="0"/>
      </c:catAx>
      <c:valAx>
        <c:axId val="197971024"/>
        <c:scaling>
          <c:orientation val="minMax"/>
        </c:scaling>
        <c:delete val="0"/>
        <c:axPos val="l"/>
        <c:majorGridlines>
          <c:spPr>
            <a:ln>
              <a:prstDash val="sysDash"/>
            </a:ln>
          </c:spPr>
        </c:majorGridlines>
        <c:numFmt formatCode="0.0" sourceLinked="0"/>
        <c:majorTickMark val="out"/>
        <c:minorTickMark val="none"/>
        <c:tickLblPos val="nextTo"/>
        <c:txPr>
          <a:bodyPr/>
          <a:lstStyle/>
          <a:p>
            <a:pPr>
              <a:defRPr baseline="0">
                <a:latin typeface="Times New Roman" panose="02020603050405020304" pitchFamily="18" charset="0"/>
              </a:defRPr>
            </a:pPr>
            <a:endParaRPr lang="sk-SK"/>
          </a:p>
        </c:txPr>
        <c:crossAx val="197970632"/>
        <c:crosses val="autoZero"/>
        <c:crossBetween val="between"/>
      </c:valAx>
    </c:plotArea>
    <c:legend>
      <c:legendPos val="r"/>
      <c:layout>
        <c:manualLayout>
          <c:xMode val="edge"/>
          <c:yMode val="edge"/>
          <c:x val="1.4626565121982703E-2"/>
          <c:y val="0.58751567013027484"/>
          <c:w val="0.78078774579407084"/>
          <c:h val="0.27245388846942076"/>
        </c:manualLayout>
      </c:layout>
      <c:overlay val="1"/>
      <c:txPr>
        <a:bodyPr/>
        <a:lstStyle/>
        <a:p>
          <a:pPr>
            <a:defRPr baseline="0">
              <a:latin typeface="Times New Roman" panose="02020603050405020304" pitchFamily="18" charset="0"/>
            </a:defRPr>
          </a:pPr>
          <a:endParaRPr lang="sk-SK"/>
        </a:p>
      </c:txPr>
    </c:legend>
    <c:plotVisOnly val="1"/>
    <c:dispBlanksAs val="gap"/>
    <c:showDLblsOverMax val="0"/>
  </c:chart>
  <c:spPr>
    <a:ln>
      <a:noFill/>
    </a:ln>
  </c:spPr>
  <c:txPr>
    <a:bodyPr/>
    <a:lstStyle/>
    <a:p>
      <a:pPr>
        <a:defRPr sz="800">
          <a:latin typeface="Arial Narrow" panose="020B0606020202030204" pitchFamily="34" charset="0"/>
        </a:defRPr>
      </a:pPr>
      <a:endParaRPr lang="sk-S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3099679777191692E-2"/>
          <c:y val="4.8823828544190706E-2"/>
          <c:w val="0.89093095636884034"/>
          <c:h val="0.85748137319626516"/>
        </c:manualLayout>
      </c:layout>
      <c:barChart>
        <c:barDir val="col"/>
        <c:grouping val="stacked"/>
        <c:varyColors val="0"/>
        <c:ser>
          <c:idx val="5"/>
          <c:order val="0"/>
          <c:tx>
            <c:strRef>
              <c:f>trh_prace!$A$19</c:f>
              <c:strCache>
                <c:ptCount val="1"/>
                <c:pt idx="0">
                  <c:v>Poľnohospodárstvo</c:v>
                </c:pt>
              </c:strCache>
            </c:strRef>
          </c:tx>
          <c:spPr>
            <a:solidFill>
              <a:srgbClr val="2C9ADC"/>
            </a:solidFill>
          </c:spPr>
          <c:invertIfNegative val="0"/>
          <c:cat>
            <c:strRef>
              <c:f>trh_prace!$CH$2:$CO$2</c:f>
              <c:strCache>
                <c:ptCount val="8"/>
                <c:pt idx="0">
                  <c:v>2019Q1</c:v>
                </c:pt>
                <c:pt idx="1">
                  <c:v>2019Q2</c:v>
                </c:pt>
                <c:pt idx="2">
                  <c:v>2019Q3</c:v>
                </c:pt>
                <c:pt idx="3">
                  <c:v>2019Q4</c:v>
                </c:pt>
                <c:pt idx="4">
                  <c:v>2020Q1</c:v>
                </c:pt>
                <c:pt idx="5">
                  <c:v>2020Q2</c:v>
                </c:pt>
                <c:pt idx="6">
                  <c:v>2020Q3</c:v>
                </c:pt>
                <c:pt idx="7">
                  <c:v>2020Q4</c:v>
                </c:pt>
              </c:strCache>
            </c:strRef>
          </c:cat>
          <c:val>
            <c:numRef>
              <c:f>trh_prace!$W$19:$AD$19</c:f>
              <c:numCache>
                <c:formatCode>0.00</c:formatCode>
                <c:ptCount val="8"/>
                <c:pt idx="0">
                  <c:v>-7.9782790309107145E-3</c:v>
                </c:pt>
                <c:pt idx="1">
                  <c:v>2.5993022446299367E-2</c:v>
                </c:pt>
                <c:pt idx="2">
                  <c:v>-5.7174893887097181E-3</c:v>
                </c:pt>
                <c:pt idx="3">
                  <c:v>-2.5426112946079341E-3</c:v>
                </c:pt>
                <c:pt idx="4">
                  <c:v>-6.0654035549432814E-2</c:v>
                </c:pt>
                <c:pt idx="5">
                  <c:v>-9.4967771053675945E-2</c:v>
                </c:pt>
                <c:pt idx="6">
                  <c:v>-0.12648959754607789</c:v>
                </c:pt>
                <c:pt idx="7">
                  <c:v>-9.0769756088406664E-2</c:v>
                </c:pt>
              </c:numCache>
            </c:numRef>
          </c:val>
          <c:extLst xmlns:c16r2="http://schemas.microsoft.com/office/drawing/2015/06/chart">
            <c:ext xmlns:c16="http://schemas.microsoft.com/office/drawing/2014/chart" uri="{C3380CC4-5D6E-409C-BE32-E72D297353CC}">
              <c16:uniqueId val="{00000000-23F7-4B3E-8E26-B4B62581BBE9}"/>
            </c:ext>
          </c:extLst>
        </c:ser>
        <c:ser>
          <c:idx val="8"/>
          <c:order val="1"/>
          <c:tx>
            <c:strRef>
              <c:f>trh_prace!$A$20</c:f>
              <c:strCache>
                <c:ptCount val="1"/>
                <c:pt idx="0">
                  <c:v>Priemysel</c:v>
                </c:pt>
              </c:strCache>
            </c:strRef>
          </c:tx>
          <c:spPr>
            <a:solidFill>
              <a:schemeClr val="tx2">
                <a:lumMod val="20000"/>
                <a:lumOff val="80000"/>
              </a:schemeClr>
            </a:solidFill>
            <a:ln>
              <a:noFill/>
            </a:ln>
          </c:spPr>
          <c:invertIfNegative val="0"/>
          <c:cat>
            <c:strRef>
              <c:f>trh_prace!$CH$2:$CO$2</c:f>
              <c:strCache>
                <c:ptCount val="8"/>
                <c:pt idx="0">
                  <c:v>2019Q1</c:v>
                </c:pt>
                <c:pt idx="1">
                  <c:v>2019Q2</c:v>
                </c:pt>
                <c:pt idx="2">
                  <c:v>2019Q3</c:v>
                </c:pt>
                <c:pt idx="3">
                  <c:v>2019Q4</c:v>
                </c:pt>
                <c:pt idx="4">
                  <c:v>2020Q1</c:v>
                </c:pt>
                <c:pt idx="5">
                  <c:v>2020Q2</c:v>
                </c:pt>
                <c:pt idx="6">
                  <c:v>2020Q3</c:v>
                </c:pt>
                <c:pt idx="7">
                  <c:v>2020Q4</c:v>
                </c:pt>
              </c:strCache>
            </c:strRef>
          </c:cat>
          <c:val>
            <c:numRef>
              <c:f>trh_prace!$W$20:$AD$20</c:f>
              <c:numCache>
                <c:formatCode>0.00</c:formatCode>
                <c:ptCount val="8"/>
                <c:pt idx="0">
                  <c:v>0.26257309941520235</c:v>
                </c:pt>
                <c:pt idx="1">
                  <c:v>0.26042690642056276</c:v>
                </c:pt>
                <c:pt idx="2">
                  <c:v>-0.10706924373246203</c:v>
                </c:pt>
                <c:pt idx="3">
                  <c:v>-0.23847233351842206</c:v>
                </c:pt>
                <c:pt idx="4">
                  <c:v>-0.6149702384011978</c:v>
                </c:pt>
                <c:pt idx="5">
                  <c:v>-1.0652497676907584</c:v>
                </c:pt>
                <c:pt idx="6">
                  <c:v>-1.2410746517049145</c:v>
                </c:pt>
                <c:pt idx="7">
                  <c:v>-1.0782223161422921</c:v>
                </c:pt>
              </c:numCache>
            </c:numRef>
          </c:val>
          <c:extLst xmlns:c16r2="http://schemas.microsoft.com/office/drawing/2015/06/chart">
            <c:ext xmlns:c16="http://schemas.microsoft.com/office/drawing/2014/chart" uri="{C3380CC4-5D6E-409C-BE32-E72D297353CC}">
              <c16:uniqueId val="{00000001-23F7-4B3E-8E26-B4B62581BBE9}"/>
            </c:ext>
          </c:extLst>
        </c:ser>
        <c:ser>
          <c:idx val="0"/>
          <c:order val="2"/>
          <c:tx>
            <c:strRef>
              <c:f>trh_prace!$A$21</c:f>
              <c:strCache>
                <c:ptCount val="1"/>
                <c:pt idx="0">
                  <c:v>Trhové služby</c:v>
                </c:pt>
              </c:strCache>
            </c:strRef>
          </c:tx>
          <c:spPr>
            <a:solidFill>
              <a:srgbClr val="1F497D"/>
            </a:solidFill>
          </c:spPr>
          <c:invertIfNegative val="0"/>
          <c:cat>
            <c:strRef>
              <c:f>trh_prace!$CH$2:$CO$2</c:f>
              <c:strCache>
                <c:ptCount val="8"/>
                <c:pt idx="0">
                  <c:v>2019Q1</c:v>
                </c:pt>
                <c:pt idx="1">
                  <c:v>2019Q2</c:v>
                </c:pt>
                <c:pt idx="2">
                  <c:v>2019Q3</c:v>
                </c:pt>
                <c:pt idx="3">
                  <c:v>2019Q4</c:v>
                </c:pt>
                <c:pt idx="4">
                  <c:v>2020Q1</c:v>
                </c:pt>
                <c:pt idx="5">
                  <c:v>2020Q2</c:v>
                </c:pt>
                <c:pt idx="6">
                  <c:v>2020Q3</c:v>
                </c:pt>
                <c:pt idx="7">
                  <c:v>2020Q4</c:v>
                </c:pt>
              </c:strCache>
            </c:strRef>
          </c:cat>
          <c:val>
            <c:numRef>
              <c:f>trh_prace!$W$21:$AD$21</c:f>
              <c:numCache>
                <c:formatCode>0.00</c:formatCode>
                <c:ptCount val="8"/>
                <c:pt idx="0">
                  <c:v>0.78487886382623062</c:v>
                </c:pt>
                <c:pt idx="1">
                  <c:v>0.30012007286324216</c:v>
                </c:pt>
                <c:pt idx="2">
                  <c:v>0.10435446459825318</c:v>
                </c:pt>
                <c:pt idx="3">
                  <c:v>-2.3375619966549747E-2</c:v>
                </c:pt>
                <c:pt idx="4">
                  <c:v>-0.27650015934535421</c:v>
                </c:pt>
                <c:pt idx="5">
                  <c:v>-1.3275864817895193</c:v>
                </c:pt>
                <c:pt idx="6">
                  <c:v>-1.0855426183469086</c:v>
                </c:pt>
                <c:pt idx="7">
                  <c:v>-0.71869249124021628</c:v>
                </c:pt>
              </c:numCache>
            </c:numRef>
          </c:val>
          <c:extLst xmlns:c16r2="http://schemas.microsoft.com/office/drawing/2015/06/chart">
            <c:ext xmlns:c16="http://schemas.microsoft.com/office/drawing/2014/chart" uri="{C3380CC4-5D6E-409C-BE32-E72D297353CC}">
              <c16:uniqueId val="{00000002-23F7-4B3E-8E26-B4B62581BBE9}"/>
            </c:ext>
          </c:extLst>
        </c:ser>
        <c:ser>
          <c:idx val="1"/>
          <c:order val="3"/>
          <c:tx>
            <c:strRef>
              <c:f>trh_prace!$A$22</c:f>
              <c:strCache>
                <c:ptCount val="1"/>
                <c:pt idx="0">
                  <c:v>Verejný sektor</c:v>
                </c:pt>
              </c:strCache>
            </c:strRef>
          </c:tx>
          <c:invertIfNegative val="0"/>
          <c:cat>
            <c:strRef>
              <c:f>trh_prace!$CH$2:$CO$2</c:f>
              <c:strCache>
                <c:ptCount val="8"/>
                <c:pt idx="0">
                  <c:v>2019Q1</c:v>
                </c:pt>
                <c:pt idx="1">
                  <c:v>2019Q2</c:v>
                </c:pt>
                <c:pt idx="2">
                  <c:v>2019Q3</c:v>
                </c:pt>
                <c:pt idx="3">
                  <c:v>2019Q4</c:v>
                </c:pt>
                <c:pt idx="4">
                  <c:v>2020Q1</c:v>
                </c:pt>
                <c:pt idx="5">
                  <c:v>2020Q2</c:v>
                </c:pt>
                <c:pt idx="6">
                  <c:v>2020Q3</c:v>
                </c:pt>
                <c:pt idx="7">
                  <c:v>2020Q4</c:v>
                </c:pt>
              </c:strCache>
            </c:strRef>
          </c:cat>
          <c:val>
            <c:numRef>
              <c:f>trh_prace!$W$22:$AD$22</c:f>
              <c:numCache>
                <c:formatCode>0.00</c:formatCode>
                <c:ptCount val="8"/>
                <c:pt idx="0">
                  <c:v>0.23249791144527879</c:v>
                </c:pt>
                <c:pt idx="1">
                  <c:v>0.2703605455720175</c:v>
                </c:pt>
                <c:pt idx="2">
                  <c:v>0.44341392525390505</c:v>
                </c:pt>
                <c:pt idx="3">
                  <c:v>0.39082396189691815</c:v>
                </c:pt>
                <c:pt idx="4">
                  <c:v>0.23981988835545531</c:v>
                </c:pt>
                <c:pt idx="5">
                  <c:v>-3.2091993231654244E-2</c:v>
                </c:pt>
                <c:pt idx="6">
                  <c:v>2.9491125129253656E-2</c:v>
                </c:pt>
                <c:pt idx="7">
                  <c:v>7.7919206350049175E-2</c:v>
                </c:pt>
              </c:numCache>
            </c:numRef>
          </c:val>
          <c:extLst xmlns:c16r2="http://schemas.microsoft.com/office/drawing/2015/06/chart">
            <c:ext xmlns:c16="http://schemas.microsoft.com/office/drawing/2014/chart" uri="{C3380CC4-5D6E-409C-BE32-E72D297353CC}">
              <c16:uniqueId val="{00000003-23F7-4B3E-8E26-B4B62581BBE9}"/>
            </c:ext>
          </c:extLst>
        </c:ser>
        <c:ser>
          <c:idx val="2"/>
          <c:order val="4"/>
          <c:tx>
            <c:strRef>
              <c:f>trh_prace!$A$23</c:f>
              <c:strCache>
                <c:ptCount val="1"/>
                <c:pt idx="0">
                  <c:v>Stavebníctvo</c:v>
                </c:pt>
              </c:strCache>
            </c:strRef>
          </c:tx>
          <c:invertIfNegative val="0"/>
          <c:cat>
            <c:strRef>
              <c:f>trh_prace!$CH$2:$CO$2</c:f>
              <c:strCache>
                <c:ptCount val="8"/>
                <c:pt idx="0">
                  <c:v>2019Q1</c:v>
                </c:pt>
                <c:pt idx="1">
                  <c:v>2019Q2</c:v>
                </c:pt>
                <c:pt idx="2">
                  <c:v>2019Q3</c:v>
                </c:pt>
                <c:pt idx="3">
                  <c:v>2019Q4</c:v>
                </c:pt>
                <c:pt idx="4">
                  <c:v>2020Q1</c:v>
                </c:pt>
                <c:pt idx="5">
                  <c:v>2020Q2</c:v>
                </c:pt>
                <c:pt idx="6">
                  <c:v>2020Q3</c:v>
                </c:pt>
                <c:pt idx="7">
                  <c:v>2020Q4</c:v>
                </c:pt>
              </c:strCache>
            </c:strRef>
          </c:cat>
          <c:val>
            <c:numRef>
              <c:f>trh_prace!$W$23:$AD$23</c:f>
              <c:numCache>
                <c:formatCode>0.00</c:formatCode>
                <c:ptCount val="8"/>
                <c:pt idx="0">
                  <c:v>0.30802005012531186</c:v>
                </c:pt>
                <c:pt idx="1">
                  <c:v>0.38728775641723429</c:v>
                </c:pt>
                <c:pt idx="2">
                  <c:v>0.40610627866714172</c:v>
                </c:pt>
                <c:pt idx="3">
                  <c:v>0.39927199297255</c:v>
                </c:pt>
                <c:pt idx="4">
                  <c:v>0.26210767633361876</c:v>
                </c:pt>
                <c:pt idx="5">
                  <c:v>-7.1011200310045236E-2</c:v>
                </c:pt>
                <c:pt idx="6">
                  <c:v>-4.5399200925114611E-2</c:v>
                </c:pt>
                <c:pt idx="7">
                  <c:v>-0.21474696451657177</c:v>
                </c:pt>
              </c:numCache>
            </c:numRef>
          </c:val>
          <c:extLst xmlns:c16r2="http://schemas.microsoft.com/office/drawing/2015/06/chart">
            <c:ext xmlns:c16="http://schemas.microsoft.com/office/drawing/2014/chart" uri="{C3380CC4-5D6E-409C-BE32-E72D297353CC}">
              <c16:uniqueId val="{00000004-23F7-4B3E-8E26-B4B62581BBE9}"/>
            </c:ext>
          </c:extLst>
        </c:ser>
        <c:dLbls>
          <c:showLegendKey val="0"/>
          <c:showVal val="0"/>
          <c:showCatName val="0"/>
          <c:showSerName val="0"/>
          <c:showPercent val="0"/>
          <c:showBubbleSize val="0"/>
        </c:dLbls>
        <c:gapWidth val="150"/>
        <c:overlap val="100"/>
        <c:axId val="197971808"/>
        <c:axId val="197972200"/>
      </c:barChart>
      <c:lineChart>
        <c:grouping val="standard"/>
        <c:varyColors val="0"/>
        <c:ser>
          <c:idx val="3"/>
          <c:order val="5"/>
          <c:tx>
            <c:strRef>
              <c:f>trh_prace!$A$7</c:f>
              <c:strCache>
                <c:ptCount val="1"/>
                <c:pt idx="0">
                  <c:v>Hospodárstvo spolu</c:v>
                </c:pt>
              </c:strCache>
            </c:strRef>
          </c:tx>
          <c:spPr>
            <a:ln>
              <a:solidFill>
                <a:sysClr val="windowText" lastClr="000000"/>
              </a:solidFill>
            </a:ln>
          </c:spPr>
          <c:marker>
            <c:symbol val="none"/>
          </c:marker>
          <c:val>
            <c:numRef>
              <c:f>trh_prace!$W$24:$AD$24</c:f>
              <c:numCache>
                <c:formatCode>0.00</c:formatCode>
                <c:ptCount val="8"/>
                <c:pt idx="0">
                  <c:v>1.579991645781113</c:v>
                </c:pt>
                <c:pt idx="1">
                  <c:v>1.2441883037193562</c:v>
                </c:pt>
                <c:pt idx="2">
                  <c:v>0.84108793539812821</c:v>
                </c:pt>
                <c:pt idx="3">
                  <c:v>0.52570539008988848</c:v>
                </c:pt>
                <c:pt idx="4">
                  <c:v>-0.45019686860691077</c:v>
                </c:pt>
                <c:pt idx="5">
                  <c:v>-2.5909072140756533</c:v>
                </c:pt>
                <c:pt idx="6">
                  <c:v>-2.4690149433937618</c:v>
                </c:pt>
                <c:pt idx="7">
                  <c:v>-2.0245123216374377</c:v>
                </c:pt>
              </c:numCache>
            </c:numRef>
          </c:val>
          <c:smooth val="0"/>
          <c:extLst xmlns:c16r2="http://schemas.microsoft.com/office/drawing/2015/06/chart">
            <c:ext xmlns:c16="http://schemas.microsoft.com/office/drawing/2014/chart" uri="{C3380CC4-5D6E-409C-BE32-E72D297353CC}">
              <c16:uniqueId val="{00000005-23F7-4B3E-8E26-B4B62581BBE9}"/>
            </c:ext>
          </c:extLst>
        </c:ser>
        <c:dLbls>
          <c:showLegendKey val="0"/>
          <c:showVal val="0"/>
          <c:showCatName val="0"/>
          <c:showSerName val="0"/>
          <c:showPercent val="0"/>
          <c:showBubbleSize val="0"/>
        </c:dLbls>
        <c:marker val="1"/>
        <c:smooth val="0"/>
        <c:axId val="197971808"/>
        <c:axId val="197972200"/>
      </c:lineChart>
      <c:catAx>
        <c:axId val="197971808"/>
        <c:scaling>
          <c:orientation val="minMax"/>
        </c:scaling>
        <c:delete val="0"/>
        <c:axPos val="b"/>
        <c:numFmt formatCode="General" sourceLinked="1"/>
        <c:majorTickMark val="out"/>
        <c:minorTickMark val="none"/>
        <c:tickLblPos val="low"/>
        <c:txPr>
          <a:bodyPr rot="-5400000" vert="horz"/>
          <a:lstStyle/>
          <a:p>
            <a:pPr>
              <a:defRPr baseline="0">
                <a:latin typeface="Times New Roman" panose="02020603050405020304" pitchFamily="18" charset="0"/>
              </a:defRPr>
            </a:pPr>
            <a:endParaRPr lang="sk-SK"/>
          </a:p>
        </c:txPr>
        <c:crossAx val="197972200"/>
        <c:crosses val="autoZero"/>
        <c:auto val="1"/>
        <c:lblAlgn val="ctr"/>
        <c:lblOffset val="100"/>
        <c:noMultiLvlLbl val="0"/>
      </c:catAx>
      <c:valAx>
        <c:axId val="197972200"/>
        <c:scaling>
          <c:orientation val="minMax"/>
        </c:scaling>
        <c:delete val="0"/>
        <c:axPos val="l"/>
        <c:majorGridlines>
          <c:spPr>
            <a:ln>
              <a:solidFill>
                <a:schemeClr val="bg1">
                  <a:lumMod val="75000"/>
                </a:schemeClr>
              </a:solidFill>
              <a:prstDash val="dash"/>
            </a:ln>
          </c:spPr>
        </c:majorGridlines>
        <c:numFmt formatCode="#,##0.0" sourceLinked="0"/>
        <c:majorTickMark val="out"/>
        <c:minorTickMark val="none"/>
        <c:tickLblPos val="nextTo"/>
        <c:txPr>
          <a:bodyPr/>
          <a:lstStyle/>
          <a:p>
            <a:pPr>
              <a:defRPr baseline="0">
                <a:latin typeface="Times New Roman" panose="02020603050405020304" pitchFamily="18" charset="0"/>
              </a:defRPr>
            </a:pPr>
            <a:endParaRPr lang="sk-SK"/>
          </a:p>
        </c:txPr>
        <c:crossAx val="197971808"/>
        <c:crosses val="autoZero"/>
        <c:crossBetween val="between"/>
      </c:valAx>
    </c:plotArea>
    <c:legend>
      <c:legendPos val="r"/>
      <c:legendEntry>
        <c:idx val="1"/>
        <c:txPr>
          <a:bodyPr/>
          <a:lstStyle/>
          <a:p>
            <a:pPr>
              <a:defRPr sz="800" baseline="0">
                <a:latin typeface="Times New Roman" panose="02020603050405020304" pitchFamily="18" charset="0"/>
              </a:defRPr>
            </a:pPr>
            <a:endParaRPr lang="sk-SK"/>
          </a:p>
        </c:txPr>
      </c:legendEntry>
      <c:layout>
        <c:manualLayout>
          <c:xMode val="edge"/>
          <c:yMode val="edge"/>
          <c:x val="0.23724048382841034"/>
          <c:y val="7.286212662065251E-3"/>
          <c:w val="0.75620929328278408"/>
          <c:h val="0.19210484106153394"/>
        </c:manualLayout>
      </c:layout>
      <c:overlay val="0"/>
      <c:txPr>
        <a:bodyPr/>
        <a:lstStyle/>
        <a:p>
          <a:pPr>
            <a:defRPr baseline="0">
              <a:latin typeface="Times New Roman" panose="02020603050405020304" pitchFamily="18" charset="0"/>
            </a:defRPr>
          </a:pPr>
          <a:endParaRPr lang="sk-SK"/>
        </a:p>
      </c:txPr>
    </c:legend>
    <c:plotVisOnly val="1"/>
    <c:dispBlanksAs val="gap"/>
    <c:showDLblsOverMax val="0"/>
  </c:chart>
  <c:spPr>
    <a:ln>
      <a:noFill/>
    </a:ln>
  </c:spPr>
  <c:txPr>
    <a:bodyPr/>
    <a:lstStyle/>
    <a:p>
      <a:pPr>
        <a:defRPr sz="800">
          <a:latin typeface="Arial Narrow" panose="020B0606020202030204" pitchFamily="34" charset="0"/>
        </a:defRPr>
      </a:pPr>
      <a:endParaRPr lang="sk-SK"/>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9638149163938771E-2"/>
          <c:y val="8.4437759886755726E-2"/>
          <c:w val="0.91819511922711794"/>
          <c:h val="0.72658193006773042"/>
        </c:manualLayout>
      </c:layout>
      <c:lineChart>
        <c:grouping val="standard"/>
        <c:varyColors val="0"/>
        <c:ser>
          <c:idx val="3"/>
          <c:order val="0"/>
          <c:tx>
            <c:strRef>
              <c:f>trh_prace!$A$32</c:f>
              <c:strCache>
                <c:ptCount val="1"/>
                <c:pt idx="0">
                  <c:v>Rast nominálnej produktivity práce</c:v>
                </c:pt>
              </c:strCache>
            </c:strRef>
          </c:tx>
          <c:spPr>
            <a:ln w="19050">
              <a:solidFill>
                <a:srgbClr val="2C9ADC"/>
              </a:solidFill>
              <a:prstDash val="solid"/>
            </a:ln>
          </c:spPr>
          <c:marker>
            <c:symbol val="none"/>
          </c:marker>
          <c:cat>
            <c:strRef>
              <c:f>trh_prace!$CD$2:$CO$2</c:f>
              <c:strCache>
                <c:ptCount val="12"/>
                <c:pt idx="0">
                  <c:v>2018Q1</c:v>
                </c:pt>
                <c:pt idx="1">
                  <c:v>2018Q2</c:v>
                </c:pt>
                <c:pt idx="2">
                  <c:v>2018Q3</c:v>
                </c:pt>
                <c:pt idx="3">
                  <c:v>2018Q4</c:v>
                </c:pt>
                <c:pt idx="4">
                  <c:v>2019Q1</c:v>
                </c:pt>
                <c:pt idx="5">
                  <c:v>2019Q2</c:v>
                </c:pt>
                <c:pt idx="6">
                  <c:v>2019Q3</c:v>
                </c:pt>
                <c:pt idx="7">
                  <c:v>2019Q4</c:v>
                </c:pt>
                <c:pt idx="8">
                  <c:v>2020Q1</c:v>
                </c:pt>
                <c:pt idx="9">
                  <c:v>2020Q2</c:v>
                </c:pt>
                <c:pt idx="10">
                  <c:v>2020Q3</c:v>
                </c:pt>
                <c:pt idx="11">
                  <c:v>2020Q4</c:v>
                </c:pt>
              </c:strCache>
            </c:strRef>
          </c:cat>
          <c:val>
            <c:numRef>
              <c:f>trh_prace!$AE$34:$AP$34</c:f>
              <c:numCache>
                <c:formatCode>0.0</c:formatCode>
                <c:ptCount val="12"/>
                <c:pt idx="0">
                  <c:v>3.2617078511324227</c:v>
                </c:pt>
                <c:pt idx="1">
                  <c:v>4.0692151298212131</c:v>
                </c:pt>
                <c:pt idx="2">
                  <c:v>4.6166861782861224</c:v>
                </c:pt>
                <c:pt idx="3">
                  <c:v>3.2076542848235023</c:v>
                </c:pt>
                <c:pt idx="4">
                  <c:v>4.8608748602348983</c:v>
                </c:pt>
                <c:pt idx="5">
                  <c:v>3.6174522139633902</c:v>
                </c:pt>
                <c:pt idx="6">
                  <c:v>2.5839579138185798</c:v>
                </c:pt>
                <c:pt idx="7">
                  <c:v>4.3036076043031724</c:v>
                </c:pt>
                <c:pt idx="8">
                  <c:v>-0.18092101843589781</c:v>
                </c:pt>
                <c:pt idx="9">
                  <c:v>-8.0270370762908545</c:v>
                </c:pt>
                <c:pt idx="10">
                  <c:v>2.2252535727236733</c:v>
                </c:pt>
                <c:pt idx="11">
                  <c:v>1.6626284578733719</c:v>
                </c:pt>
              </c:numCache>
            </c:numRef>
          </c:val>
          <c:smooth val="0"/>
          <c:extLst xmlns:c16r2="http://schemas.microsoft.com/office/drawing/2015/06/chart">
            <c:ext xmlns:c16="http://schemas.microsoft.com/office/drawing/2014/chart" uri="{C3380CC4-5D6E-409C-BE32-E72D297353CC}">
              <c16:uniqueId val="{00000000-D665-4B8C-AED6-96A2B43EEE52}"/>
            </c:ext>
          </c:extLst>
        </c:ser>
        <c:ser>
          <c:idx val="5"/>
          <c:order val="1"/>
          <c:tx>
            <c:strRef>
              <c:f>trh_prace!$A$31</c:f>
              <c:strCache>
                <c:ptCount val="1"/>
                <c:pt idx="0">
                  <c:v>Rast nominálnej mzdy</c:v>
                </c:pt>
              </c:strCache>
            </c:strRef>
          </c:tx>
          <c:spPr>
            <a:ln w="19050">
              <a:solidFill>
                <a:sysClr val="windowText" lastClr="000000"/>
              </a:solidFill>
              <a:prstDash val="solid"/>
            </a:ln>
          </c:spPr>
          <c:marker>
            <c:symbol val="none"/>
          </c:marker>
          <c:cat>
            <c:strRef>
              <c:f>trh_prace!$CD$2:$CO$2</c:f>
              <c:strCache>
                <c:ptCount val="12"/>
                <c:pt idx="0">
                  <c:v>2018Q1</c:v>
                </c:pt>
                <c:pt idx="1">
                  <c:v>2018Q2</c:v>
                </c:pt>
                <c:pt idx="2">
                  <c:v>2018Q3</c:v>
                </c:pt>
                <c:pt idx="3">
                  <c:v>2018Q4</c:v>
                </c:pt>
                <c:pt idx="4">
                  <c:v>2019Q1</c:v>
                </c:pt>
                <c:pt idx="5">
                  <c:v>2019Q2</c:v>
                </c:pt>
                <c:pt idx="6">
                  <c:v>2019Q3</c:v>
                </c:pt>
                <c:pt idx="7">
                  <c:v>2019Q4</c:v>
                </c:pt>
                <c:pt idx="8">
                  <c:v>2020Q1</c:v>
                </c:pt>
                <c:pt idx="9">
                  <c:v>2020Q2</c:v>
                </c:pt>
                <c:pt idx="10">
                  <c:v>2020Q3</c:v>
                </c:pt>
                <c:pt idx="11">
                  <c:v>2020Q4</c:v>
                </c:pt>
              </c:strCache>
            </c:strRef>
          </c:cat>
          <c:val>
            <c:numRef>
              <c:f>trh_prace!$AE$33:$AP$33</c:f>
              <c:numCache>
                <c:formatCode>0.0</c:formatCode>
                <c:ptCount val="12"/>
                <c:pt idx="0">
                  <c:v>6.4659977703455995</c:v>
                </c:pt>
                <c:pt idx="1">
                  <c:v>6.3559322033898358</c:v>
                </c:pt>
                <c:pt idx="2">
                  <c:v>6.0962566844919852</c:v>
                </c:pt>
                <c:pt idx="3">
                  <c:v>5.7636887608069065</c:v>
                </c:pt>
                <c:pt idx="4">
                  <c:v>7.1204188481675423</c:v>
                </c:pt>
                <c:pt idx="5">
                  <c:v>9.6613545816732973</c:v>
                </c:pt>
                <c:pt idx="6">
                  <c:v>7.6612903225806495</c:v>
                </c:pt>
                <c:pt idx="7">
                  <c:v>6.9028156221616621</c:v>
                </c:pt>
                <c:pt idx="8">
                  <c:v>6.1583577712609916</c:v>
                </c:pt>
                <c:pt idx="9">
                  <c:v>-1.1807447774750179</c:v>
                </c:pt>
                <c:pt idx="10">
                  <c:v>4.2134831460674205</c:v>
                </c:pt>
                <c:pt idx="11">
                  <c:v>5.7774001699235411</c:v>
                </c:pt>
              </c:numCache>
            </c:numRef>
          </c:val>
          <c:smooth val="0"/>
          <c:extLst xmlns:c16r2="http://schemas.microsoft.com/office/drawing/2015/06/chart">
            <c:ext xmlns:c16="http://schemas.microsoft.com/office/drawing/2014/chart" uri="{C3380CC4-5D6E-409C-BE32-E72D297353CC}">
              <c16:uniqueId val="{00000001-D665-4B8C-AED6-96A2B43EEE52}"/>
            </c:ext>
          </c:extLst>
        </c:ser>
        <c:dLbls>
          <c:showLegendKey val="0"/>
          <c:showVal val="0"/>
          <c:showCatName val="0"/>
          <c:showSerName val="0"/>
          <c:showPercent val="0"/>
          <c:showBubbleSize val="0"/>
        </c:dLbls>
        <c:smooth val="0"/>
        <c:axId val="197972984"/>
        <c:axId val="201615152"/>
      </c:lineChart>
      <c:catAx>
        <c:axId val="197972984"/>
        <c:scaling>
          <c:orientation val="minMax"/>
        </c:scaling>
        <c:delete val="0"/>
        <c:axPos val="b"/>
        <c:numFmt formatCode="General" sourceLinked="0"/>
        <c:majorTickMark val="out"/>
        <c:minorTickMark val="none"/>
        <c:tickLblPos val="low"/>
        <c:txPr>
          <a:bodyPr rot="-5400000" vert="horz"/>
          <a:lstStyle/>
          <a:p>
            <a:pPr>
              <a:defRPr baseline="0">
                <a:latin typeface="Times New Roman" panose="02020603050405020304" pitchFamily="18" charset="0"/>
              </a:defRPr>
            </a:pPr>
            <a:endParaRPr lang="sk-SK"/>
          </a:p>
        </c:txPr>
        <c:crossAx val="201615152"/>
        <c:crosses val="autoZero"/>
        <c:auto val="1"/>
        <c:lblAlgn val="ctr"/>
        <c:lblOffset val="100"/>
        <c:noMultiLvlLbl val="0"/>
      </c:catAx>
      <c:valAx>
        <c:axId val="201615152"/>
        <c:scaling>
          <c:orientation val="minMax"/>
        </c:scaling>
        <c:delete val="0"/>
        <c:axPos val="l"/>
        <c:majorGridlines>
          <c:spPr>
            <a:ln>
              <a:solidFill>
                <a:schemeClr val="bg1">
                  <a:lumMod val="75000"/>
                </a:schemeClr>
              </a:solidFill>
              <a:prstDash val="sysDash"/>
            </a:ln>
          </c:spPr>
        </c:majorGridlines>
        <c:numFmt formatCode="#,##0" sourceLinked="0"/>
        <c:majorTickMark val="out"/>
        <c:minorTickMark val="none"/>
        <c:tickLblPos val="nextTo"/>
        <c:txPr>
          <a:bodyPr rot="0" vert="horz"/>
          <a:lstStyle/>
          <a:p>
            <a:pPr>
              <a:defRPr baseline="0">
                <a:latin typeface="Times New Roman" panose="02020603050405020304" pitchFamily="18" charset="0"/>
              </a:defRPr>
            </a:pPr>
            <a:endParaRPr lang="sk-SK"/>
          </a:p>
        </c:txPr>
        <c:crossAx val="197972984"/>
        <c:crosses val="autoZero"/>
        <c:crossBetween val="between"/>
      </c:valAx>
    </c:plotArea>
    <c:legend>
      <c:legendPos val="l"/>
      <c:layout>
        <c:manualLayout>
          <c:xMode val="edge"/>
          <c:yMode val="edge"/>
          <c:x val="8.3382013778602077E-2"/>
          <c:y val="2.0490542130509664E-3"/>
          <c:w val="0.59173876185081942"/>
          <c:h val="0.14373737765537928"/>
        </c:manualLayout>
      </c:layout>
      <c:overlay val="1"/>
      <c:txPr>
        <a:bodyPr/>
        <a:lstStyle/>
        <a:p>
          <a:pPr>
            <a:defRPr baseline="0">
              <a:latin typeface="Times New Roman" panose="02020603050405020304" pitchFamily="18" charset="0"/>
            </a:defRPr>
          </a:pPr>
          <a:endParaRPr lang="sk-SK"/>
        </a:p>
      </c:txPr>
    </c:legend>
    <c:plotVisOnly val="1"/>
    <c:dispBlanksAs val="gap"/>
    <c:showDLblsOverMax val="0"/>
  </c:chart>
  <c:spPr>
    <a:ln>
      <a:noFill/>
    </a:ln>
  </c:spPr>
  <c:txPr>
    <a:bodyPr/>
    <a:lstStyle/>
    <a:p>
      <a:pPr>
        <a:defRPr sz="800" b="0" i="0" u="none" strike="noStrike" baseline="0">
          <a:solidFill>
            <a:srgbClr val="000000"/>
          </a:solidFill>
          <a:latin typeface="Arial Narrow" panose="020B0606020202030204" pitchFamily="34" charset="0"/>
          <a:ea typeface="Calibri"/>
          <a:cs typeface="Calibri"/>
        </a:defRPr>
      </a:pPr>
      <a:endParaRPr lang="sk-SK"/>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1"/>
          <c:tx>
            <c:strRef>
              <c:f>inflacia!$A$3</c:f>
              <c:strCache>
                <c:ptCount val="1"/>
                <c:pt idx="0">
                  <c:v>Čistá inflácia</c:v>
                </c:pt>
              </c:strCache>
            </c:strRef>
          </c:tx>
          <c:spPr>
            <a:solidFill>
              <a:srgbClr val="2C9ADC"/>
            </a:solidFill>
            <a:ln>
              <a:noFill/>
            </a:ln>
            <a:effectLst/>
          </c:spPr>
          <c:invertIfNegative val="0"/>
          <c:cat>
            <c:numRef>
              <c:f>inflacia!$AL$1:$BI$1</c:f>
              <c:numCache>
                <c:formatCode>mmm\-yy</c:formatCode>
                <c:ptCount val="24"/>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numCache>
            </c:numRef>
          </c:cat>
          <c:val>
            <c:numRef>
              <c:f>inflacia!$AL$3:$BI$3</c:f>
              <c:numCache>
                <c:formatCode>General</c:formatCode>
                <c:ptCount val="24"/>
                <c:pt idx="0">
                  <c:v>1.0222161337996063</c:v>
                </c:pt>
                <c:pt idx="1">
                  <c:v>0.95627224314612747</c:v>
                </c:pt>
                <c:pt idx="2">
                  <c:v>1.2397411097079563</c:v>
                </c:pt>
                <c:pt idx="3">
                  <c:v>1.0036535310249906</c:v>
                </c:pt>
                <c:pt idx="4">
                  <c:v>1.1841637203051218</c:v>
                </c:pt>
                <c:pt idx="5">
                  <c:v>1.1369681930967772</c:v>
                </c:pt>
                <c:pt idx="6">
                  <c:v>1.2009056954301165</c:v>
                </c:pt>
                <c:pt idx="7">
                  <c:v>1.0576181091392127</c:v>
                </c:pt>
                <c:pt idx="8">
                  <c:v>1.2945284491439368</c:v>
                </c:pt>
                <c:pt idx="9">
                  <c:v>1.0603006109168973</c:v>
                </c:pt>
                <c:pt idx="10">
                  <c:v>1.287620856386084</c:v>
                </c:pt>
                <c:pt idx="11">
                  <c:v>1.4796647511439807</c:v>
                </c:pt>
                <c:pt idx="12">
                  <c:v>1.8195817370335055</c:v>
                </c:pt>
                <c:pt idx="13">
                  <c:v>1.6981439284857553</c:v>
                </c:pt>
                <c:pt idx="14">
                  <c:v>1.1748251610101201</c:v>
                </c:pt>
                <c:pt idx="15">
                  <c:v>0.8091388844519426</c:v>
                </c:pt>
                <c:pt idx="16">
                  <c:v>0.6196613978873946</c:v>
                </c:pt>
                <c:pt idx="17">
                  <c:v>0.79334811569976538</c:v>
                </c:pt>
                <c:pt idx="18">
                  <c:v>0.86760321033910293</c:v>
                </c:pt>
                <c:pt idx="19">
                  <c:v>0.85470568302405858</c:v>
                </c:pt>
                <c:pt idx="20">
                  <c:v>0.86453370057068324</c:v>
                </c:pt>
                <c:pt idx="21">
                  <c:v>0.8670908695481756</c:v>
                </c:pt>
                <c:pt idx="22">
                  <c:v>0.80645379187674426</c:v>
                </c:pt>
                <c:pt idx="23">
                  <c:v>0.95803914345383723</c:v>
                </c:pt>
              </c:numCache>
            </c:numRef>
          </c:val>
          <c:extLst xmlns:c16r2="http://schemas.microsoft.com/office/drawing/2015/06/chart">
            <c:ext xmlns:c16="http://schemas.microsoft.com/office/drawing/2014/chart" uri="{C3380CC4-5D6E-409C-BE32-E72D297353CC}">
              <c16:uniqueId val="{00000000-69DC-49CF-84BD-A6CC40592F55}"/>
            </c:ext>
          </c:extLst>
        </c:ser>
        <c:ser>
          <c:idx val="2"/>
          <c:order val="2"/>
          <c:tx>
            <c:strRef>
              <c:f>inflacia!$A$4</c:f>
              <c:strCache>
                <c:ptCount val="1"/>
                <c:pt idx="0">
                  <c:v>Ceny potravín</c:v>
                </c:pt>
              </c:strCache>
            </c:strRef>
          </c:tx>
          <c:spPr>
            <a:solidFill>
              <a:srgbClr val="555555"/>
            </a:solidFill>
            <a:ln>
              <a:noFill/>
            </a:ln>
            <a:effectLst/>
          </c:spPr>
          <c:invertIfNegative val="0"/>
          <c:cat>
            <c:numRef>
              <c:f>inflacia!$AL$1:$BI$1</c:f>
              <c:numCache>
                <c:formatCode>mmm\-yy</c:formatCode>
                <c:ptCount val="24"/>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numCache>
            </c:numRef>
          </c:cat>
          <c:val>
            <c:numRef>
              <c:f>inflacia!$AL$4:$BI$4</c:f>
              <c:numCache>
                <c:formatCode>General</c:formatCode>
                <c:ptCount val="24"/>
                <c:pt idx="0">
                  <c:v>0.13520421084403283</c:v>
                </c:pt>
                <c:pt idx="1">
                  <c:v>0.29037747043469986</c:v>
                </c:pt>
                <c:pt idx="2">
                  <c:v>0.33029150971213328</c:v>
                </c:pt>
                <c:pt idx="3">
                  <c:v>0.49129737386896127</c:v>
                </c:pt>
                <c:pt idx="4">
                  <c:v>0.65365223874880019</c:v>
                </c:pt>
                <c:pt idx="5">
                  <c:v>0.63675839600847894</c:v>
                </c:pt>
                <c:pt idx="6">
                  <c:v>0.80794652038964254</c:v>
                </c:pt>
                <c:pt idx="7">
                  <c:v>0.86495203989130431</c:v>
                </c:pt>
                <c:pt idx="8">
                  <c:v>0.83605267307131081</c:v>
                </c:pt>
                <c:pt idx="9">
                  <c:v>0.80345742723017566</c:v>
                </c:pt>
                <c:pt idx="10">
                  <c:v>0.92222388158696966</c:v>
                </c:pt>
                <c:pt idx="11">
                  <c:v>0.89431648024478883</c:v>
                </c:pt>
                <c:pt idx="12">
                  <c:v>0.9800962572388644</c:v>
                </c:pt>
                <c:pt idx="13">
                  <c:v>1.0154009880667807</c:v>
                </c:pt>
                <c:pt idx="14">
                  <c:v>0.85186040092851734</c:v>
                </c:pt>
                <c:pt idx="15">
                  <c:v>0.99471698710603429</c:v>
                </c:pt>
                <c:pt idx="16">
                  <c:v>1.0563398887330102</c:v>
                </c:pt>
                <c:pt idx="17">
                  <c:v>0.69343776021269199</c:v>
                </c:pt>
                <c:pt idx="18">
                  <c:v>0.55427284966097978</c:v>
                </c:pt>
                <c:pt idx="19">
                  <c:v>0.38845739107516286</c:v>
                </c:pt>
                <c:pt idx="20">
                  <c:v>0.24801223489609617</c:v>
                </c:pt>
                <c:pt idx="21">
                  <c:v>0.37762339636034759</c:v>
                </c:pt>
                <c:pt idx="22">
                  <c:v>0.35393644227427734</c:v>
                </c:pt>
                <c:pt idx="23">
                  <c:v>0.28497499919349362</c:v>
                </c:pt>
              </c:numCache>
            </c:numRef>
          </c:val>
          <c:extLst xmlns:c16r2="http://schemas.microsoft.com/office/drawing/2015/06/chart">
            <c:ext xmlns:c16="http://schemas.microsoft.com/office/drawing/2014/chart" uri="{C3380CC4-5D6E-409C-BE32-E72D297353CC}">
              <c16:uniqueId val="{00000001-69DC-49CF-84BD-A6CC40592F55}"/>
            </c:ext>
          </c:extLst>
        </c:ser>
        <c:ser>
          <c:idx val="3"/>
          <c:order val="3"/>
          <c:tx>
            <c:strRef>
              <c:f>inflacia!$A$5</c:f>
              <c:strCache>
                <c:ptCount val="1"/>
                <c:pt idx="0">
                  <c:v>Regulované ceny</c:v>
                </c:pt>
              </c:strCache>
            </c:strRef>
          </c:tx>
          <c:spPr>
            <a:solidFill>
              <a:srgbClr val="C6D9F1"/>
            </a:solidFill>
            <a:ln>
              <a:noFill/>
            </a:ln>
            <a:effectLst/>
          </c:spPr>
          <c:invertIfNegative val="0"/>
          <c:cat>
            <c:numRef>
              <c:f>inflacia!$AL$1:$BI$1</c:f>
              <c:numCache>
                <c:formatCode>mmm\-yy</c:formatCode>
                <c:ptCount val="24"/>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numCache>
            </c:numRef>
          </c:cat>
          <c:val>
            <c:numRef>
              <c:f>inflacia!$AL$5:$BI$5</c:f>
              <c:numCache>
                <c:formatCode>General</c:formatCode>
                <c:ptCount val="24"/>
                <c:pt idx="0">
                  <c:v>0.75025466051433376</c:v>
                </c:pt>
                <c:pt idx="1">
                  <c:v>0.75321186946011742</c:v>
                </c:pt>
                <c:pt idx="2">
                  <c:v>0.76163845234152305</c:v>
                </c:pt>
                <c:pt idx="3">
                  <c:v>0.77675668410025456</c:v>
                </c:pt>
                <c:pt idx="4">
                  <c:v>0.77446992510754276</c:v>
                </c:pt>
                <c:pt idx="5">
                  <c:v>0.78171995380152559</c:v>
                </c:pt>
                <c:pt idx="6">
                  <c:v>0.79958730053208393</c:v>
                </c:pt>
                <c:pt idx="7">
                  <c:v>0.86065519220753572</c:v>
                </c:pt>
                <c:pt idx="8">
                  <c:v>0.7391267186450865</c:v>
                </c:pt>
                <c:pt idx="9">
                  <c:v>0.78474531830693284</c:v>
                </c:pt>
                <c:pt idx="10">
                  <c:v>0.73974445876694384</c:v>
                </c:pt>
                <c:pt idx="11">
                  <c:v>0.54287111322844006</c:v>
                </c:pt>
                <c:pt idx="12">
                  <c:v>0.55394145557526864</c:v>
                </c:pt>
                <c:pt idx="13">
                  <c:v>0.55314880702801628</c:v>
                </c:pt>
                <c:pt idx="14">
                  <c:v>0.55223344667659391</c:v>
                </c:pt>
                <c:pt idx="15">
                  <c:v>0.5477285202571448</c:v>
                </c:pt>
                <c:pt idx="16">
                  <c:v>0.56892690879602104</c:v>
                </c:pt>
                <c:pt idx="17">
                  <c:v>0.58036378900443697</c:v>
                </c:pt>
                <c:pt idx="18">
                  <c:v>0.54915992944440584</c:v>
                </c:pt>
                <c:pt idx="19">
                  <c:v>0.48840171674246963</c:v>
                </c:pt>
                <c:pt idx="20">
                  <c:v>0.5822201395598452</c:v>
                </c:pt>
                <c:pt idx="21">
                  <c:v>0.59928904769689428</c:v>
                </c:pt>
                <c:pt idx="22">
                  <c:v>0.60136103169380051</c:v>
                </c:pt>
                <c:pt idx="23">
                  <c:v>0.6109509721290296</c:v>
                </c:pt>
              </c:numCache>
            </c:numRef>
          </c:val>
          <c:extLst xmlns:c16r2="http://schemas.microsoft.com/office/drawing/2015/06/chart">
            <c:ext xmlns:c16="http://schemas.microsoft.com/office/drawing/2014/chart" uri="{C3380CC4-5D6E-409C-BE32-E72D297353CC}">
              <c16:uniqueId val="{00000002-69DC-49CF-84BD-A6CC40592F55}"/>
            </c:ext>
          </c:extLst>
        </c:ser>
        <c:ser>
          <c:idx val="4"/>
          <c:order val="4"/>
          <c:tx>
            <c:strRef>
              <c:f>inflacia!$A$6</c:f>
              <c:strCache>
                <c:ptCount val="1"/>
                <c:pt idx="0">
                  <c:v>Zmena nepriamych daní</c:v>
                </c:pt>
              </c:strCache>
            </c:strRef>
          </c:tx>
          <c:spPr>
            <a:solidFill>
              <a:schemeClr val="bg1">
                <a:lumMod val="75000"/>
              </a:schemeClr>
            </a:solidFill>
            <a:ln>
              <a:noFill/>
            </a:ln>
            <a:effectLst/>
          </c:spPr>
          <c:invertIfNegative val="0"/>
          <c:cat>
            <c:numRef>
              <c:f>inflacia!$AL$1:$BI$1</c:f>
              <c:numCache>
                <c:formatCode>mmm\-yy</c:formatCode>
                <c:ptCount val="24"/>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numCache>
            </c:numRef>
          </c:cat>
          <c:val>
            <c:numRef>
              <c:f>inflacia!$AL$6:$BI$6</c:f>
              <c:numCache>
                <c:formatCode>General</c:formatCode>
                <c:ptCount val="24"/>
                <c:pt idx="0">
                  <c:v>0.20335257826003855</c:v>
                </c:pt>
                <c:pt idx="1">
                  <c:v>0.27903148186684323</c:v>
                </c:pt>
                <c:pt idx="2">
                  <c:v>0.37661582837815544</c:v>
                </c:pt>
                <c:pt idx="3">
                  <c:v>7.1664745530304885E-2</c:v>
                </c:pt>
                <c:pt idx="4">
                  <c:v>7.1664745530304885E-2</c:v>
                </c:pt>
                <c:pt idx="5">
                  <c:v>7.1664745530304885E-2</c:v>
                </c:pt>
                <c:pt idx="6">
                  <c:v>7.1664745530304885E-2</c:v>
                </c:pt>
                <c:pt idx="7">
                  <c:v>7.1664745530304885E-2</c:v>
                </c:pt>
                <c:pt idx="8">
                  <c:v>7.1664745530304885E-2</c:v>
                </c:pt>
                <c:pt idx="9">
                  <c:v>7.1664745530304885E-2</c:v>
                </c:pt>
                <c:pt idx="10">
                  <c:v>7.1664745530304899E-2</c:v>
                </c:pt>
                <c:pt idx="11">
                  <c:v>7.1664745530304899E-2</c:v>
                </c:pt>
                <c:pt idx="12">
                  <c:v>-0.28106110018333308</c:v>
                </c:pt>
                <c:pt idx="13">
                  <c:v>-0.28106110018333308</c:v>
                </c:pt>
                <c:pt idx="14">
                  <c:v>-0.28106110018333308</c:v>
                </c:pt>
                <c:pt idx="15">
                  <c:v>-0.28106110018333308</c:v>
                </c:pt>
                <c:pt idx="16">
                  <c:v>-0.28106110018333308</c:v>
                </c:pt>
                <c:pt idx="17">
                  <c:v>-0.28106110018333308</c:v>
                </c:pt>
                <c:pt idx="18">
                  <c:v>-0.28106110018333308</c:v>
                </c:pt>
                <c:pt idx="19">
                  <c:v>-0.28106110018333308</c:v>
                </c:pt>
                <c:pt idx="20">
                  <c:v>-0.28106110018333308</c:v>
                </c:pt>
                <c:pt idx="21">
                  <c:v>-0.28106110018333308</c:v>
                </c:pt>
                <c:pt idx="22">
                  <c:v>-0.28106110018333308</c:v>
                </c:pt>
                <c:pt idx="23">
                  <c:v>-0.28106110018333308</c:v>
                </c:pt>
              </c:numCache>
            </c:numRef>
          </c:val>
          <c:extLst xmlns:c16r2="http://schemas.microsoft.com/office/drawing/2015/06/chart">
            <c:ext xmlns:c16="http://schemas.microsoft.com/office/drawing/2014/chart" uri="{C3380CC4-5D6E-409C-BE32-E72D297353CC}">
              <c16:uniqueId val="{00000003-69DC-49CF-84BD-A6CC40592F55}"/>
            </c:ext>
          </c:extLst>
        </c:ser>
        <c:dLbls>
          <c:showLegendKey val="0"/>
          <c:showVal val="0"/>
          <c:showCatName val="0"/>
          <c:showSerName val="0"/>
          <c:showPercent val="0"/>
          <c:showBubbleSize val="0"/>
        </c:dLbls>
        <c:gapWidth val="150"/>
        <c:overlap val="100"/>
        <c:axId val="201644608"/>
        <c:axId val="201645000"/>
      </c:barChart>
      <c:lineChart>
        <c:grouping val="standard"/>
        <c:varyColors val="0"/>
        <c:ser>
          <c:idx val="0"/>
          <c:order val="0"/>
          <c:tx>
            <c:strRef>
              <c:f>inflacia!$A$2</c:f>
              <c:strCache>
                <c:ptCount val="1"/>
                <c:pt idx="0">
                  <c:v>Celková inflácia</c:v>
                </c:pt>
              </c:strCache>
            </c:strRef>
          </c:tx>
          <c:spPr>
            <a:ln w="19050" cap="rnd">
              <a:solidFill>
                <a:schemeClr val="tx1"/>
              </a:solidFill>
              <a:round/>
            </a:ln>
            <a:effectLst/>
          </c:spPr>
          <c:marker>
            <c:symbol val="none"/>
          </c:marker>
          <c:cat>
            <c:numRef>
              <c:f>inflacia!$AL$1:$BI$1</c:f>
              <c:numCache>
                <c:formatCode>mmm\-yy</c:formatCode>
                <c:ptCount val="24"/>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numCache>
            </c:numRef>
          </c:cat>
          <c:val>
            <c:numRef>
              <c:f>inflacia!$AL$2:$BI$2</c:f>
              <c:numCache>
                <c:formatCode>General</c:formatCode>
                <c:ptCount val="24"/>
                <c:pt idx="0">
                  <c:v>2.1110275834180117</c:v>
                </c:pt>
                <c:pt idx="1">
                  <c:v>2.2788930649077881</c:v>
                </c:pt>
                <c:pt idx="2">
                  <c:v>2.7082869001397682</c:v>
                </c:pt>
                <c:pt idx="3">
                  <c:v>2.3433723345245112</c:v>
                </c:pt>
                <c:pt idx="4">
                  <c:v>2.6839506296917697</c:v>
                </c:pt>
                <c:pt idx="5">
                  <c:v>2.6271112884370864</c:v>
                </c:pt>
                <c:pt idx="6">
                  <c:v>2.8801042618821477</c:v>
                </c:pt>
                <c:pt idx="7">
                  <c:v>2.8548900867683575</c:v>
                </c:pt>
                <c:pt idx="8">
                  <c:v>2.941372586390639</c:v>
                </c:pt>
                <c:pt idx="9">
                  <c:v>2.7201681019843105</c:v>
                </c:pt>
                <c:pt idx="10">
                  <c:v>3.0212539422703024</c:v>
                </c:pt>
                <c:pt idx="11">
                  <c:v>2.9885170901475147</c:v>
                </c:pt>
                <c:pt idx="12">
                  <c:v>3.0725583496643054</c:v>
                </c:pt>
                <c:pt idx="13">
                  <c:v>2.985632623397219</c:v>
                </c:pt>
                <c:pt idx="14">
                  <c:v>2.2978579084318982</c:v>
                </c:pt>
                <c:pt idx="15">
                  <c:v>2.0705232916317886</c:v>
                </c:pt>
                <c:pt idx="16">
                  <c:v>1.963867095233093</c:v>
                </c:pt>
                <c:pt idx="17">
                  <c:v>1.7860885647335616</c:v>
                </c:pt>
                <c:pt idx="18">
                  <c:v>1.6899748892611557</c:v>
                </c:pt>
                <c:pt idx="19">
                  <c:v>1.4505036906583579</c:v>
                </c:pt>
                <c:pt idx="20">
                  <c:v>1.4137049748432915</c:v>
                </c:pt>
                <c:pt idx="21">
                  <c:v>1.5629422134220845</c:v>
                </c:pt>
                <c:pt idx="22">
                  <c:v>1.480690165661489</c:v>
                </c:pt>
                <c:pt idx="23">
                  <c:v>1.5729040145930275</c:v>
                </c:pt>
              </c:numCache>
            </c:numRef>
          </c:val>
          <c:smooth val="0"/>
          <c:extLst xmlns:c16r2="http://schemas.microsoft.com/office/drawing/2015/06/chart">
            <c:ext xmlns:c16="http://schemas.microsoft.com/office/drawing/2014/chart" uri="{C3380CC4-5D6E-409C-BE32-E72D297353CC}">
              <c16:uniqueId val="{00000004-69DC-49CF-84BD-A6CC40592F55}"/>
            </c:ext>
          </c:extLst>
        </c:ser>
        <c:dLbls>
          <c:showLegendKey val="0"/>
          <c:showVal val="0"/>
          <c:showCatName val="0"/>
          <c:showSerName val="0"/>
          <c:showPercent val="0"/>
          <c:showBubbleSize val="0"/>
        </c:dLbls>
        <c:marker val="1"/>
        <c:smooth val="0"/>
        <c:axId val="201644608"/>
        <c:axId val="201645000"/>
      </c:lineChart>
      <c:dateAx>
        <c:axId val="201644608"/>
        <c:scaling>
          <c:orientation val="minMax"/>
        </c:scaling>
        <c:delete val="0"/>
        <c:axPos val="b"/>
        <c:numFmt formatCode="mmm\-yy"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sk-SK"/>
          </a:p>
        </c:txPr>
        <c:crossAx val="201645000"/>
        <c:crosses val="autoZero"/>
        <c:auto val="1"/>
        <c:lblOffset val="100"/>
        <c:baseTimeUnit val="months"/>
      </c:dateAx>
      <c:valAx>
        <c:axId val="201645000"/>
        <c:scaling>
          <c:orientation val="minMax"/>
          <c:max val="5"/>
          <c:min val="-0.5"/>
        </c:scaling>
        <c:delete val="0"/>
        <c:axPos val="l"/>
        <c:majorGridlines>
          <c:spPr>
            <a:ln w="9525" cap="flat" cmpd="sng" algn="ctr">
              <a:solidFill>
                <a:schemeClr val="bg1">
                  <a:lumMod val="75000"/>
                </a:schemeClr>
              </a:solidFill>
              <a:prstDash val="dash"/>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sk-SK"/>
          </a:p>
        </c:txPr>
        <c:crossAx val="201644608"/>
        <c:crosses val="autoZero"/>
        <c:crossBetween val="between"/>
      </c:valAx>
      <c:spPr>
        <a:noFill/>
        <a:ln>
          <a:noFill/>
        </a:ln>
        <a:effectLst/>
      </c:spPr>
    </c:plotArea>
    <c:legend>
      <c:legendPos val="tr"/>
      <c:layout>
        <c:manualLayout>
          <c:xMode val="edge"/>
          <c:yMode val="edge"/>
          <c:x val="0.32906350623697816"/>
          <c:y val="4.6072365954255969E-4"/>
          <c:w val="0.6659876793751297"/>
          <c:h val="0.30026574803149608"/>
        </c:manualLayout>
      </c:layout>
      <c:overlay val="1"/>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sz="1000">
          <a:latin typeface="Arial Narrow" panose="020B0606020202030204" pitchFamily="34" charset="0"/>
        </a:defRPr>
      </a:pPr>
      <a:endParaRPr lang="sk-S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3099679777191692E-2"/>
          <c:y val="8.5242482034935022E-2"/>
          <c:w val="0.89093095636884034"/>
          <c:h val="0.49142430590671576"/>
        </c:manualLayout>
      </c:layout>
      <c:barChart>
        <c:barDir val="col"/>
        <c:grouping val="stacked"/>
        <c:varyColors val="0"/>
        <c:ser>
          <c:idx val="5"/>
          <c:order val="0"/>
          <c:tx>
            <c:strRef>
              <c:f>'BÚ PB'!$A$3</c:f>
              <c:strCache>
                <c:ptCount val="1"/>
                <c:pt idx="0">
                  <c:v>Tovary</c:v>
                </c:pt>
              </c:strCache>
            </c:strRef>
          </c:tx>
          <c:spPr>
            <a:solidFill>
              <a:srgbClr val="2C9ADC"/>
            </a:solidFill>
          </c:spPr>
          <c:invertIfNegative val="0"/>
          <c:cat>
            <c:numRef>
              <c:f>'BÚ PB'!$F$1:$N$1</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'BÚ PB'!$F$3:$N$3</c:f>
              <c:numCache>
                <c:formatCode>0.0</c:formatCode>
                <c:ptCount val="9"/>
                <c:pt idx="0">
                  <c:v>3.4099770022931963</c:v>
                </c:pt>
                <c:pt idx="1">
                  <c:v>3.9103977818274758</c:v>
                </c:pt>
                <c:pt idx="2">
                  <c:v>3.6163613835255668</c:v>
                </c:pt>
                <c:pt idx="3">
                  <c:v>1.0005814649924716</c:v>
                </c:pt>
                <c:pt idx="4">
                  <c:v>1.5474440667326232</c:v>
                </c:pt>
                <c:pt idx="5">
                  <c:v>0.70639637038553038</c:v>
                </c:pt>
                <c:pt idx="6">
                  <c:v>-0.26619870607414231</c:v>
                </c:pt>
                <c:pt idx="7">
                  <c:v>-1.0393183759857254</c:v>
                </c:pt>
                <c:pt idx="8">
                  <c:v>0.68589031327245142</c:v>
                </c:pt>
              </c:numCache>
            </c:numRef>
          </c:val>
          <c:extLst xmlns:c16r2="http://schemas.microsoft.com/office/drawing/2015/06/chart">
            <c:ext xmlns:c16="http://schemas.microsoft.com/office/drawing/2014/chart" uri="{C3380CC4-5D6E-409C-BE32-E72D297353CC}">
              <c16:uniqueId val="{00000000-0C41-4A74-ABAA-2D8DE9753D29}"/>
            </c:ext>
          </c:extLst>
        </c:ser>
        <c:ser>
          <c:idx val="8"/>
          <c:order val="1"/>
          <c:tx>
            <c:strRef>
              <c:f>'BÚ PB'!$A$4</c:f>
              <c:strCache>
                <c:ptCount val="1"/>
                <c:pt idx="0">
                  <c:v>Služby</c:v>
                </c:pt>
              </c:strCache>
            </c:strRef>
          </c:tx>
          <c:spPr>
            <a:solidFill>
              <a:schemeClr val="tx2">
                <a:lumMod val="20000"/>
                <a:lumOff val="80000"/>
              </a:schemeClr>
            </a:solidFill>
            <a:ln>
              <a:noFill/>
            </a:ln>
          </c:spPr>
          <c:invertIfNegative val="0"/>
          <c:cat>
            <c:numRef>
              <c:f>'BÚ PB'!$F$1:$N$1</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'BÚ PB'!$F$4:$N$4</c:f>
              <c:numCache>
                <c:formatCode>0.0</c:formatCode>
                <c:ptCount val="9"/>
                <c:pt idx="0">
                  <c:v>0.57345551792743377</c:v>
                </c:pt>
                <c:pt idx="1">
                  <c:v>0.65074837907982785</c:v>
                </c:pt>
                <c:pt idx="2">
                  <c:v>0.23050033036151524</c:v>
                </c:pt>
                <c:pt idx="3">
                  <c:v>0.1603665209314144</c:v>
                </c:pt>
                <c:pt idx="4">
                  <c:v>0.47310425422972474</c:v>
                </c:pt>
                <c:pt idx="5">
                  <c:v>1.0440568627453535</c:v>
                </c:pt>
                <c:pt idx="6">
                  <c:v>1.0354425629551425</c:v>
                </c:pt>
                <c:pt idx="7">
                  <c:v>1.3022188886496826</c:v>
                </c:pt>
                <c:pt idx="8">
                  <c:v>1.2195416066777427</c:v>
                </c:pt>
              </c:numCache>
            </c:numRef>
          </c:val>
          <c:extLst xmlns:c16r2="http://schemas.microsoft.com/office/drawing/2015/06/chart">
            <c:ext xmlns:c16="http://schemas.microsoft.com/office/drawing/2014/chart" uri="{C3380CC4-5D6E-409C-BE32-E72D297353CC}">
              <c16:uniqueId val="{00000001-0C41-4A74-ABAA-2D8DE9753D29}"/>
            </c:ext>
          </c:extLst>
        </c:ser>
        <c:ser>
          <c:idx val="0"/>
          <c:order val="2"/>
          <c:tx>
            <c:strRef>
              <c:f>'BÚ PB'!$A$5</c:f>
              <c:strCache>
                <c:ptCount val="1"/>
                <c:pt idx="0">
                  <c:v>Primárne výnosy</c:v>
                </c:pt>
              </c:strCache>
            </c:strRef>
          </c:tx>
          <c:invertIfNegative val="0"/>
          <c:cat>
            <c:numRef>
              <c:f>'BÚ PB'!$F$1:$N$1</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'BÚ PB'!$F$5:$N$5</c:f>
              <c:numCache>
                <c:formatCode>0.0</c:formatCode>
                <c:ptCount val="9"/>
                <c:pt idx="0">
                  <c:v>-1.6463534365338719</c:v>
                </c:pt>
                <c:pt idx="1">
                  <c:v>-0.6691818788592957</c:v>
                </c:pt>
                <c:pt idx="2">
                  <c:v>-0.98379805742394388</c:v>
                </c:pt>
                <c:pt idx="3">
                  <c:v>-1.7130765567195998</c:v>
                </c:pt>
                <c:pt idx="4">
                  <c:v>-3.0771302959838662</c:v>
                </c:pt>
                <c:pt idx="5">
                  <c:v>-2.1455477479764253</c:v>
                </c:pt>
                <c:pt idx="6">
                  <c:v>-1.78922354527364</c:v>
                </c:pt>
                <c:pt idx="7">
                  <c:v>-2.0478487593908974</c:v>
                </c:pt>
                <c:pt idx="8">
                  <c:v>-1.6516503386249164</c:v>
                </c:pt>
              </c:numCache>
            </c:numRef>
          </c:val>
          <c:extLst xmlns:c16r2="http://schemas.microsoft.com/office/drawing/2015/06/chart">
            <c:ext xmlns:c16="http://schemas.microsoft.com/office/drawing/2014/chart" uri="{C3380CC4-5D6E-409C-BE32-E72D297353CC}">
              <c16:uniqueId val="{00000002-0C41-4A74-ABAA-2D8DE9753D29}"/>
            </c:ext>
          </c:extLst>
        </c:ser>
        <c:ser>
          <c:idx val="1"/>
          <c:order val="3"/>
          <c:tx>
            <c:strRef>
              <c:f>'BÚ PB'!$A$6</c:f>
              <c:strCache>
                <c:ptCount val="1"/>
                <c:pt idx="0">
                  <c:v>Sekundárne výnosy</c:v>
                </c:pt>
              </c:strCache>
            </c:strRef>
          </c:tx>
          <c:invertIfNegative val="0"/>
          <c:cat>
            <c:numRef>
              <c:f>'BÚ PB'!$F$1:$N$1</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'BÚ PB'!$F$6:$N$6</c:f>
              <c:numCache>
                <c:formatCode>0.0</c:formatCode>
                <c:ptCount val="9"/>
                <c:pt idx="0">
                  <c:v>-1.4066845505212917</c:v>
                </c:pt>
                <c:pt idx="1">
                  <c:v>-2.0375063618330223</c:v>
                </c:pt>
                <c:pt idx="2">
                  <c:v>-1.7215701204639289</c:v>
                </c:pt>
                <c:pt idx="3">
                  <c:v>-1.5402071044784638</c:v>
                </c:pt>
                <c:pt idx="4">
                  <c:v>-1.6843277470917259</c:v>
                </c:pt>
                <c:pt idx="5">
                  <c:v>-1.5196195915595236</c:v>
                </c:pt>
                <c:pt idx="6">
                  <c:v>-1.181870406155255</c:v>
                </c:pt>
                <c:pt idx="7">
                  <c:v>-0.91995295761311113</c:v>
                </c:pt>
                <c:pt idx="8">
                  <c:v>-0.59588069757051654</c:v>
                </c:pt>
              </c:numCache>
            </c:numRef>
          </c:val>
          <c:extLst xmlns:c16r2="http://schemas.microsoft.com/office/drawing/2015/06/chart">
            <c:ext xmlns:c16="http://schemas.microsoft.com/office/drawing/2014/chart" uri="{C3380CC4-5D6E-409C-BE32-E72D297353CC}">
              <c16:uniqueId val="{00000003-0C41-4A74-ABAA-2D8DE9753D29}"/>
            </c:ext>
          </c:extLst>
        </c:ser>
        <c:dLbls>
          <c:showLegendKey val="0"/>
          <c:showVal val="0"/>
          <c:showCatName val="0"/>
          <c:showSerName val="0"/>
          <c:showPercent val="0"/>
          <c:showBubbleSize val="0"/>
        </c:dLbls>
        <c:gapWidth val="150"/>
        <c:overlap val="100"/>
        <c:axId val="201645392"/>
        <c:axId val="201645784"/>
      </c:barChart>
      <c:lineChart>
        <c:grouping val="standard"/>
        <c:varyColors val="0"/>
        <c:ser>
          <c:idx val="3"/>
          <c:order val="4"/>
          <c:tx>
            <c:strRef>
              <c:f>'BÚ PB'!$A$2</c:f>
              <c:strCache>
                <c:ptCount val="1"/>
                <c:pt idx="0">
                  <c:v>BÚ PB</c:v>
                </c:pt>
              </c:strCache>
            </c:strRef>
          </c:tx>
          <c:spPr>
            <a:ln w="19050">
              <a:solidFill>
                <a:sysClr val="windowText" lastClr="000000"/>
              </a:solidFill>
            </a:ln>
          </c:spPr>
          <c:marker>
            <c:symbol val="none"/>
          </c:marker>
          <c:val>
            <c:numRef>
              <c:f>'BÚ PB'!$F$2:$N$2</c:f>
              <c:numCache>
                <c:formatCode>0.0</c:formatCode>
                <c:ptCount val="9"/>
                <c:pt idx="0">
                  <c:v>0.9303945331654665</c:v>
                </c:pt>
                <c:pt idx="1">
                  <c:v>1.8544579202149858</c:v>
                </c:pt>
                <c:pt idx="2">
                  <c:v>1.1414935359992089</c:v>
                </c:pt>
                <c:pt idx="3">
                  <c:v>-2.0923356752741773</c:v>
                </c:pt>
                <c:pt idx="4">
                  <c:v>-2.7409097221132446</c:v>
                </c:pt>
                <c:pt idx="5">
                  <c:v>-1.914714106405065</c:v>
                </c:pt>
                <c:pt idx="6">
                  <c:v>-2.2018500945478947</c:v>
                </c:pt>
                <c:pt idx="7">
                  <c:v>-2.7049012043400511</c:v>
                </c:pt>
                <c:pt idx="8">
                  <c:v>-0.34209911624523892</c:v>
                </c:pt>
              </c:numCache>
            </c:numRef>
          </c:val>
          <c:smooth val="0"/>
          <c:extLst xmlns:c16r2="http://schemas.microsoft.com/office/drawing/2015/06/chart">
            <c:ext xmlns:c16="http://schemas.microsoft.com/office/drawing/2014/chart" uri="{C3380CC4-5D6E-409C-BE32-E72D297353CC}">
              <c16:uniqueId val="{00000004-0C41-4A74-ABAA-2D8DE9753D29}"/>
            </c:ext>
          </c:extLst>
        </c:ser>
        <c:dLbls>
          <c:showLegendKey val="0"/>
          <c:showVal val="0"/>
          <c:showCatName val="0"/>
          <c:showSerName val="0"/>
          <c:showPercent val="0"/>
          <c:showBubbleSize val="0"/>
        </c:dLbls>
        <c:marker val="1"/>
        <c:smooth val="0"/>
        <c:axId val="201645392"/>
        <c:axId val="201645784"/>
      </c:lineChart>
      <c:catAx>
        <c:axId val="201645392"/>
        <c:scaling>
          <c:orientation val="minMax"/>
        </c:scaling>
        <c:delete val="0"/>
        <c:axPos val="b"/>
        <c:numFmt formatCode="General" sourceLinked="1"/>
        <c:majorTickMark val="out"/>
        <c:minorTickMark val="none"/>
        <c:tickLblPos val="low"/>
        <c:txPr>
          <a:bodyPr/>
          <a:lstStyle/>
          <a:p>
            <a:pPr>
              <a:defRPr sz="900" baseline="0">
                <a:latin typeface="Times New Roman" panose="02020603050405020304" pitchFamily="18" charset="0"/>
              </a:defRPr>
            </a:pPr>
            <a:endParaRPr lang="sk-SK"/>
          </a:p>
        </c:txPr>
        <c:crossAx val="201645784"/>
        <c:crosses val="autoZero"/>
        <c:auto val="1"/>
        <c:lblAlgn val="ctr"/>
        <c:lblOffset val="100"/>
        <c:noMultiLvlLbl val="0"/>
      </c:catAx>
      <c:valAx>
        <c:axId val="201645784"/>
        <c:scaling>
          <c:orientation val="minMax"/>
          <c:max val="8"/>
          <c:min val="-6"/>
        </c:scaling>
        <c:delete val="0"/>
        <c:axPos val="l"/>
        <c:majorGridlines>
          <c:spPr>
            <a:ln>
              <a:solidFill>
                <a:schemeClr val="bg1">
                  <a:lumMod val="75000"/>
                </a:schemeClr>
              </a:solidFill>
              <a:prstDash val="dash"/>
            </a:ln>
          </c:spPr>
        </c:majorGridlines>
        <c:numFmt formatCode="0.0" sourceLinked="0"/>
        <c:majorTickMark val="out"/>
        <c:minorTickMark val="none"/>
        <c:tickLblPos val="nextTo"/>
        <c:txPr>
          <a:bodyPr/>
          <a:lstStyle/>
          <a:p>
            <a:pPr>
              <a:defRPr sz="900" baseline="0">
                <a:latin typeface="Times New Roman" panose="02020603050405020304" pitchFamily="18" charset="0"/>
              </a:defRPr>
            </a:pPr>
            <a:endParaRPr lang="sk-SK"/>
          </a:p>
        </c:txPr>
        <c:crossAx val="201645392"/>
        <c:crosses val="autoZero"/>
        <c:crossBetween val="between"/>
      </c:valAx>
    </c:plotArea>
    <c:legend>
      <c:legendPos val="b"/>
      <c:layout>
        <c:manualLayout>
          <c:xMode val="edge"/>
          <c:yMode val="edge"/>
          <c:x val="5.7451772901010958E-2"/>
          <c:y val="0.75165595126297291"/>
          <c:w val="0.9104445974671419"/>
          <c:h val="0.2116468010306051"/>
        </c:manualLayout>
      </c:layout>
      <c:overlay val="0"/>
      <c:txPr>
        <a:bodyPr/>
        <a:lstStyle/>
        <a:p>
          <a:pPr>
            <a:defRPr sz="700" baseline="0"/>
          </a:pPr>
          <a:endParaRPr lang="sk-SK"/>
        </a:p>
      </c:txPr>
    </c:legend>
    <c:plotVisOnly val="1"/>
    <c:dispBlanksAs val="gap"/>
    <c:showDLblsOverMax val="0"/>
  </c:chart>
  <c:spPr>
    <a:ln>
      <a:noFill/>
    </a:ln>
  </c:spPr>
  <c:txPr>
    <a:bodyPr/>
    <a:lstStyle/>
    <a:p>
      <a:pPr>
        <a:defRPr>
          <a:latin typeface="Arial Narrow" pitchFamily="34" charset="0"/>
        </a:defRPr>
      </a:pPr>
      <a:endParaRPr lang="sk-SK"/>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196B9-6F4E-414D-A58C-FB239059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3878</TotalTime>
  <Pages>114</Pages>
  <Words>54193</Words>
  <Characters>308902</Characters>
  <Application>Microsoft Office Word</Application>
  <DocSecurity>0</DocSecurity>
  <Lines>2574</Lines>
  <Paragraphs>724</Paragraphs>
  <ScaleCrop>false</ScaleCrop>
  <HeadingPairs>
    <vt:vector size="2" baseType="variant">
      <vt:variant>
        <vt:lpstr>Názov</vt:lpstr>
      </vt:variant>
      <vt:variant>
        <vt:i4>1</vt:i4>
      </vt:variant>
    </vt:vector>
  </HeadingPairs>
  <TitlesOfParts>
    <vt:vector size="1" baseType="lpstr">
      <vt:lpstr/>
    </vt:vector>
  </TitlesOfParts>
  <Company>MF SR</Company>
  <LinksUpToDate>false</LinksUpToDate>
  <CharactersWithSpaces>362371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Suttova Jana</dc:creator>
  <cp:keywords/>
  <dc:description/>
  <cp:lastModifiedBy>Ivanek Peter</cp:lastModifiedBy>
  <cp:revision>646</cp:revision>
  <cp:lastPrinted>2021-05-05T14:59:00Z</cp:lastPrinted>
  <dcterms:created xsi:type="dcterms:W3CDTF">2021-03-08T16:23:00Z</dcterms:created>
  <dcterms:modified xsi:type="dcterms:W3CDTF">2021-05-05T14:59:00Z</dcterms:modified>
</cp:coreProperties>
</file>