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3331" w14:textId="77777777" w:rsidR="001E1F77" w:rsidRPr="00B62388" w:rsidRDefault="00C07284" w:rsidP="00925E87">
      <w:pPr>
        <w:spacing w:line="276" w:lineRule="auto"/>
        <w:jc w:val="center"/>
        <w:rPr>
          <w:b/>
          <w:bCs/>
          <w:sz w:val="28"/>
          <w:szCs w:val="28"/>
        </w:rPr>
      </w:pPr>
      <w:r w:rsidRPr="00B62388">
        <w:rPr>
          <w:b/>
          <w:bCs/>
          <w:sz w:val="28"/>
          <w:szCs w:val="28"/>
        </w:rPr>
        <w:t xml:space="preserve">Dôvodová správa </w:t>
      </w:r>
    </w:p>
    <w:p w14:paraId="1C08BBC2" w14:textId="77777777" w:rsidR="001E1F77" w:rsidRPr="00400880" w:rsidRDefault="00544D26" w:rsidP="00925E87">
      <w:pPr>
        <w:spacing w:line="276" w:lineRule="auto"/>
        <w:jc w:val="both"/>
        <w:rPr>
          <w:b/>
          <w:bCs/>
        </w:rPr>
      </w:pPr>
      <w:r w:rsidRPr="00400880">
        <w:rPr>
          <w:b/>
          <w:bCs/>
        </w:rPr>
        <w:t xml:space="preserve">A. </w:t>
      </w:r>
      <w:r w:rsidR="00C07284" w:rsidRPr="00400880">
        <w:rPr>
          <w:b/>
          <w:bCs/>
        </w:rPr>
        <w:t>Všeobecná časť</w:t>
      </w:r>
    </w:p>
    <w:p w14:paraId="1617BB66" w14:textId="77777777" w:rsidR="001E1F77" w:rsidRPr="00B62388" w:rsidRDefault="001E1F77" w:rsidP="00925E87">
      <w:pPr>
        <w:spacing w:line="276" w:lineRule="auto"/>
        <w:jc w:val="both"/>
      </w:pPr>
    </w:p>
    <w:p w14:paraId="277CFB31" w14:textId="21FD008D" w:rsidR="00DC0C8D" w:rsidRDefault="00DC0C8D" w:rsidP="00400880">
      <w:pPr>
        <w:spacing w:after="240"/>
        <w:jc w:val="both"/>
        <w:rPr>
          <w:color w:val="000000" w:themeColor="text1"/>
          <w:lang w:bidi="sk-SK"/>
        </w:rPr>
      </w:pPr>
      <w:r>
        <w:rPr>
          <w:b/>
          <w:bCs/>
          <w:color w:val="000000" w:themeColor="text1"/>
          <w:lang w:bidi="sk-SK"/>
        </w:rPr>
        <w:tab/>
      </w:r>
      <w:r w:rsidRPr="00A96452">
        <w:rPr>
          <w:color w:val="000000" w:themeColor="text1"/>
          <w:lang w:bidi="sk-SK"/>
        </w:rPr>
        <w:t>Návrh zákona, ktorým sa mení a dopĺňa zákon č. 179/2011 Z. z., o hospodárskej mobilizácii a o zmene a doplnení zákona č. 387/2002 Z. z. o riadení štátu v krízových situáciách mimo času vojny a vojnového stavu v znení neskorších predpisov</w:t>
      </w:r>
      <w:r w:rsidR="00DE745E">
        <w:rPr>
          <w:color w:val="000000" w:themeColor="text1"/>
          <w:lang w:bidi="sk-SK"/>
        </w:rPr>
        <w:t xml:space="preserve"> v znení neskorších predpisov</w:t>
      </w:r>
      <w:r w:rsidR="009436C3">
        <w:rPr>
          <w:color w:val="000000" w:themeColor="text1"/>
          <w:lang w:bidi="sk-SK"/>
        </w:rPr>
        <w:t xml:space="preserve"> a ktorým sa </w:t>
      </w:r>
      <w:r w:rsidR="009436C3" w:rsidRPr="009436C3">
        <w:rPr>
          <w:color w:val="000000" w:themeColor="text1"/>
          <w:lang w:bidi="sk-SK"/>
        </w:rPr>
        <w:t>dopĺňa zákon Národnej rady Slovenskej republiky č. 42/1994 Z. z. o civilnej ochrane obyvateľstva v znení neskorších predpisov</w:t>
      </w:r>
      <w:r>
        <w:rPr>
          <w:color w:val="000000" w:themeColor="text1"/>
          <w:lang w:bidi="sk-SK"/>
        </w:rPr>
        <w:t>, predkladajú na rokovanie Národnej rady Slovenskej republiky poslanci NR SR</w:t>
      </w:r>
      <w:r w:rsidR="009436C3">
        <w:rPr>
          <w:color w:val="000000" w:themeColor="text1"/>
          <w:lang w:bidi="sk-SK"/>
        </w:rPr>
        <w:t xml:space="preserve"> Ondrej Dostál, Ján Benčík,</w:t>
      </w:r>
      <w:r>
        <w:rPr>
          <w:color w:val="000000" w:themeColor="text1"/>
          <w:lang w:bidi="sk-SK"/>
        </w:rPr>
        <w:t xml:space="preserve"> </w:t>
      </w:r>
      <w:r w:rsidR="00CB6BCF" w:rsidRPr="00CB6BCF">
        <w:rPr>
          <w:color w:val="000000" w:themeColor="text1"/>
          <w:lang w:bidi="sk-SK"/>
        </w:rPr>
        <w:t>Petra Hajšelová</w:t>
      </w:r>
      <w:r w:rsidR="00CB6BCF">
        <w:rPr>
          <w:color w:val="000000" w:themeColor="text1"/>
          <w:lang w:bidi="sk-SK"/>
        </w:rPr>
        <w:t xml:space="preserve">, </w:t>
      </w:r>
      <w:r w:rsidR="00CB6BCF" w:rsidRPr="00CB6BCF">
        <w:rPr>
          <w:color w:val="000000" w:themeColor="text1"/>
          <w:lang w:bidi="sk-SK"/>
        </w:rPr>
        <w:t>Jana Bittó Cigániková</w:t>
      </w:r>
      <w:r w:rsidR="00CB6BCF">
        <w:rPr>
          <w:color w:val="000000" w:themeColor="text1"/>
          <w:lang w:bidi="sk-SK"/>
        </w:rPr>
        <w:t xml:space="preserve">, </w:t>
      </w:r>
      <w:r w:rsidR="00CB6BCF" w:rsidRPr="00CB6BCF">
        <w:rPr>
          <w:color w:val="000000" w:themeColor="text1"/>
          <w:lang w:bidi="sk-SK"/>
        </w:rPr>
        <w:t>Juraj Šeliga</w:t>
      </w:r>
      <w:r w:rsidR="00CB6BCF">
        <w:rPr>
          <w:color w:val="000000" w:themeColor="text1"/>
          <w:lang w:bidi="sk-SK"/>
        </w:rPr>
        <w:t xml:space="preserve">, </w:t>
      </w:r>
      <w:r w:rsidR="00CB6BCF" w:rsidRPr="00CB6BCF">
        <w:rPr>
          <w:color w:val="000000" w:themeColor="text1"/>
          <w:lang w:bidi="sk-SK"/>
        </w:rPr>
        <w:t>Milan Vetrák</w:t>
      </w:r>
      <w:r w:rsidR="00CB6BCF">
        <w:rPr>
          <w:color w:val="000000" w:themeColor="text1"/>
          <w:lang w:bidi="sk-SK"/>
        </w:rPr>
        <w:t xml:space="preserve">, </w:t>
      </w:r>
      <w:r w:rsidR="00CB6BCF" w:rsidRPr="00CB6BCF">
        <w:rPr>
          <w:color w:val="000000" w:themeColor="text1"/>
          <w:lang w:bidi="sk-SK"/>
        </w:rPr>
        <w:t>Miloš Svrček</w:t>
      </w:r>
      <w:r w:rsidR="00CB6BCF">
        <w:rPr>
          <w:color w:val="000000" w:themeColor="text1"/>
          <w:lang w:bidi="sk-SK"/>
        </w:rPr>
        <w:t>.</w:t>
      </w:r>
      <w:r>
        <w:rPr>
          <w:color w:val="000000" w:themeColor="text1"/>
          <w:lang w:bidi="sk-SK"/>
        </w:rPr>
        <w:t xml:space="preserve"> </w:t>
      </w:r>
    </w:p>
    <w:p w14:paraId="7AC155CD" w14:textId="77777777" w:rsidR="00DC0C8D" w:rsidRDefault="00DC0C8D" w:rsidP="00400880">
      <w:pPr>
        <w:spacing w:after="240"/>
        <w:jc w:val="both"/>
        <w:rPr>
          <w:b/>
          <w:bCs/>
          <w:color w:val="000000" w:themeColor="text1"/>
          <w:lang w:bidi="sk-SK"/>
        </w:rPr>
      </w:pPr>
      <w:r w:rsidRPr="00A96452">
        <w:rPr>
          <w:b/>
          <w:bCs/>
          <w:color w:val="000000" w:themeColor="text1"/>
          <w:lang w:bidi="sk-SK"/>
        </w:rPr>
        <w:tab/>
        <w:t xml:space="preserve">Cieľom návrhu </w:t>
      </w:r>
      <w:r w:rsidR="00DE745E">
        <w:rPr>
          <w:b/>
          <w:bCs/>
          <w:color w:val="000000" w:themeColor="text1"/>
          <w:lang w:bidi="sk-SK"/>
        </w:rPr>
        <w:t xml:space="preserve">zákona </w:t>
      </w:r>
      <w:r w:rsidRPr="00A96452">
        <w:rPr>
          <w:b/>
          <w:bCs/>
          <w:color w:val="000000" w:themeColor="text1"/>
          <w:lang w:bidi="sk-SK"/>
        </w:rPr>
        <w:t xml:space="preserve">je </w:t>
      </w:r>
      <w:r w:rsidR="009436C3">
        <w:rPr>
          <w:b/>
          <w:bCs/>
          <w:color w:val="000000" w:themeColor="text1"/>
          <w:lang w:bidi="sk-SK"/>
        </w:rPr>
        <w:t>legislatívne upraviť možnosť prijímania niektorých opatrení</w:t>
      </w:r>
      <w:r w:rsidRPr="00A96452">
        <w:rPr>
          <w:b/>
          <w:bCs/>
          <w:color w:val="000000" w:themeColor="text1"/>
          <w:lang w:bidi="sk-SK"/>
        </w:rPr>
        <w:t xml:space="preserve"> hospodárskej mobilizácie nielen vo výnimočnom stave a v núdzovom stave, ale aj v mimoriadnej situácii. </w:t>
      </w:r>
    </w:p>
    <w:p w14:paraId="7E643076" w14:textId="77777777" w:rsidR="00DC0C8D" w:rsidRDefault="00DC0C8D" w:rsidP="00400880">
      <w:pPr>
        <w:spacing w:after="240"/>
        <w:jc w:val="both"/>
        <w:rPr>
          <w:color w:val="000000" w:themeColor="text1"/>
          <w:lang w:bidi="sk-SK"/>
        </w:rPr>
      </w:pPr>
      <w:r w:rsidRPr="009376ED">
        <w:rPr>
          <w:color w:val="000000" w:themeColor="text1"/>
          <w:lang w:bidi="sk-SK"/>
        </w:rPr>
        <w:tab/>
        <w:t>Núdzový stav predstavuje výrazný zásah do základných práv a slobôd. Na Slovensku bol opakovane vyhlásený s účinnosťou od 1. októbra 2020</w:t>
      </w:r>
      <w:r>
        <w:rPr>
          <w:color w:val="000000" w:themeColor="text1"/>
          <w:lang w:bidi="sk-SK"/>
        </w:rPr>
        <w:t xml:space="preserve"> a trvá teda súvisle už viac </w:t>
      </w:r>
      <w:r w:rsidR="009436C3">
        <w:rPr>
          <w:color w:val="000000" w:themeColor="text1"/>
          <w:lang w:bidi="sk-SK"/>
        </w:rPr>
        <w:t>ako sedem mesiacov</w:t>
      </w:r>
      <w:r>
        <w:rPr>
          <w:color w:val="000000" w:themeColor="text1"/>
          <w:lang w:bidi="sk-SK"/>
        </w:rPr>
        <w:t xml:space="preserve">. Novelou ústavného zákona č. 414/2020 Z. z. účinnou od 29. 12. 2020 došlo k zmene úpravy núdzového stavu obsiahnutej v ústavnom zákone č. 227/2002 Z. z. </w:t>
      </w:r>
      <w:r w:rsidRPr="00072A0F">
        <w:rPr>
          <w:color w:val="000000" w:themeColor="text1"/>
          <w:lang w:bidi="sk-SK"/>
        </w:rPr>
        <w:t>o bezpečnosti štátu v čase vojny, vojnového stavu, výnimočného stavu a núdzového sta</w:t>
      </w:r>
      <w:r>
        <w:rPr>
          <w:color w:val="000000" w:themeColor="text1"/>
          <w:lang w:bidi="sk-SK"/>
        </w:rPr>
        <w:t xml:space="preserve">vu v tom zmysle, že s predĺžením núdzového stavu musí vysloviť súhlas Národná rada Slovenskej republiky.  Národná rada Slovenskej republiky na základe tejto právnej úpravy doposiaľ trikrát vyslovovala súhlas s predĺžením núdzového stavu. </w:t>
      </w:r>
      <w:r w:rsidR="00DE745E">
        <w:rPr>
          <w:color w:val="000000" w:themeColor="text1"/>
          <w:lang w:bidi="sk-SK"/>
        </w:rPr>
        <w:t>Vláda odôvodňovala</w:t>
      </w:r>
      <w:r>
        <w:rPr>
          <w:color w:val="000000" w:themeColor="text1"/>
          <w:lang w:bidi="sk-SK"/>
        </w:rPr>
        <w:t xml:space="preserve"> potrebu predĺžiť núdzový stav aj tým, že je nutné zachovať už realizované opatrenia hospodárskej mobilizácie. </w:t>
      </w:r>
    </w:p>
    <w:p w14:paraId="3664BDB3" w14:textId="18BB9018" w:rsidR="007108BC" w:rsidRDefault="00DC0C8D" w:rsidP="00400880">
      <w:pPr>
        <w:spacing w:after="240"/>
        <w:ind w:firstLine="708"/>
        <w:jc w:val="both"/>
        <w:rPr>
          <w:color w:val="000000" w:themeColor="text1"/>
          <w:lang w:bidi="sk-SK"/>
        </w:rPr>
      </w:pPr>
      <w:r>
        <w:rPr>
          <w:color w:val="000000" w:themeColor="text1"/>
          <w:lang w:bidi="sk-SK"/>
        </w:rPr>
        <w:t xml:space="preserve">Analýzou právneho poriadku Slovenskej republiky bolo zistené, že opatrenia v súvislosti s bojom proti pandémii COVID-19 sú obvykle viazané nielen na núdzový stav, ale aj na mimoriadnu situáciu. Táto úprava je obsiahnutá napríklad v zákone </w:t>
      </w:r>
      <w:r w:rsidRPr="008670EE">
        <w:rPr>
          <w:color w:val="000000" w:themeColor="text1"/>
          <w:lang w:bidi="sk-SK"/>
        </w:rPr>
        <w:t>č. 355/2007 Z. z. o ochrane, podpore a rozvoji verejného zdravia</w:t>
      </w:r>
      <w:r>
        <w:rPr>
          <w:color w:val="000000" w:themeColor="text1"/>
          <w:lang w:bidi="sk-SK"/>
        </w:rPr>
        <w:t xml:space="preserve"> </w:t>
      </w:r>
      <w:r w:rsidRPr="008670EE">
        <w:rPr>
          <w:color w:val="000000" w:themeColor="text1"/>
          <w:lang w:bidi="sk-SK"/>
        </w:rPr>
        <w:t>a o zmene a doplnení niektorých zákonov</w:t>
      </w:r>
      <w:r>
        <w:rPr>
          <w:color w:val="000000" w:themeColor="text1"/>
          <w:lang w:bidi="sk-SK"/>
        </w:rPr>
        <w:t xml:space="preserve">, zákone č. </w:t>
      </w:r>
      <w:r w:rsidRPr="008670EE">
        <w:rPr>
          <w:color w:val="000000" w:themeColor="text1"/>
          <w:lang w:bidi="sk-SK"/>
        </w:rPr>
        <w:t>42/1994 Z. z.</w:t>
      </w:r>
      <w:r>
        <w:rPr>
          <w:color w:val="000000" w:themeColor="text1"/>
          <w:lang w:bidi="sk-SK"/>
        </w:rPr>
        <w:t xml:space="preserve"> </w:t>
      </w:r>
      <w:r w:rsidRPr="008670EE">
        <w:rPr>
          <w:color w:val="000000" w:themeColor="text1"/>
          <w:lang w:bidi="sk-SK"/>
        </w:rPr>
        <w:t>o civilnej ochrane obyvateľstva</w:t>
      </w:r>
      <w:r>
        <w:rPr>
          <w:color w:val="000000" w:themeColor="text1"/>
          <w:lang w:bidi="sk-SK"/>
        </w:rPr>
        <w:t xml:space="preserve">, zákone č. </w:t>
      </w:r>
      <w:r w:rsidRPr="008670EE">
        <w:rPr>
          <w:color w:val="000000" w:themeColor="text1"/>
          <w:lang w:bidi="sk-SK"/>
        </w:rPr>
        <w:t>311/2001 Z. z.</w:t>
      </w:r>
      <w:r>
        <w:rPr>
          <w:color w:val="000000" w:themeColor="text1"/>
          <w:lang w:bidi="sk-SK"/>
        </w:rPr>
        <w:t xml:space="preserve"> Zákonník práce, zákone č. </w:t>
      </w:r>
      <w:r w:rsidRPr="008670EE">
        <w:rPr>
          <w:color w:val="000000" w:themeColor="text1"/>
          <w:lang w:bidi="sk-SK"/>
        </w:rPr>
        <w:t>576/2004 Z. z.</w:t>
      </w:r>
      <w:r>
        <w:rPr>
          <w:color w:val="000000" w:themeColor="text1"/>
          <w:lang w:bidi="sk-SK"/>
        </w:rPr>
        <w:t xml:space="preserve"> </w:t>
      </w:r>
      <w:r w:rsidRPr="00D57139">
        <w:rPr>
          <w:color w:val="000000" w:themeColor="text1"/>
          <w:lang w:bidi="sk-SK"/>
        </w:rPr>
        <w:t>o zdravotnej starostlivosti, službách súvisiacich s poskytovaním zdravotnej starostlivosti a o zmene a doplnení niektorých zákonov</w:t>
      </w:r>
      <w:r>
        <w:rPr>
          <w:color w:val="000000" w:themeColor="text1"/>
          <w:lang w:bidi="sk-SK"/>
        </w:rPr>
        <w:t xml:space="preserve">, zákone </w:t>
      </w:r>
      <w:r w:rsidR="00E11B0E">
        <w:rPr>
          <w:color w:val="000000" w:themeColor="text1"/>
          <w:lang w:bidi="sk-SK"/>
        </w:rPr>
        <w:br/>
      </w:r>
      <w:r>
        <w:rPr>
          <w:color w:val="000000" w:themeColor="text1"/>
          <w:lang w:bidi="sk-SK"/>
        </w:rPr>
        <w:t xml:space="preserve">č. </w:t>
      </w:r>
      <w:r w:rsidRPr="00D57139">
        <w:rPr>
          <w:color w:val="000000" w:themeColor="text1"/>
          <w:lang w:bidi="sk-SK"/>
        </w:rPr>
        <w:t>578/2004</w:t>
      </w:r>
      <w:r>
        <w:rPr>
          <w:color w:val="000000" w:themeColor="text1"/>
          <w:lang w:bidi="sk-SK"/>
        </w:rPr>
        <w:t xml:space="preserve"> Z. z. </w:t>
      </w:r>
      <w:r w:rsidRPr="00D57139">
        <w:rPr>
          <w:color w:val="000000" w:themeColor="text1"/>
          <w:lang w:bidi="sk-SK"/>
        </w:rPr>
        <w:t>o poskytovateľoch zdravotnej starostlivosti, zdravotníckych pracovníkoch, stavovských organizáciách v zdravotníctve a o zmene a doplnení niektorých zákonov</w:t>
      </w:r>
      <w:r w:rsidR="00F95956">
        <w:rPr>
          <w:color w:val="000000" w:themeColor="text1"/>
          <w:lang w:bidi="sk-SK"/>
        </w:rPr>
        <w:t xml:space="preserve">, v zákone č. 351/2011 Z. z. o elektronických komunikáciách či v zákone č. 343/2015 Z. z. o verejnom obstarávaní </w:t>
      </w:r>
      <w:r w:rsidR="00F95956" w:rsidRPr="00F4077D">
        <w:rPr>
          <w:color w:val="000000" w:themeColor="text1"/>
          <w:lang w:bidi="sk-SK"/>
        </w:rPr>
        <w:t>a o zmene a doplnení niektorých zákonov</w:t>
      </w:r>
      <w:r w:rsidR="00F95956">
        <w:rPr>
          <w:color w:val="000000" w:themeColor="text1"/>
          <w:lang w:bidi="sk-SK"/>
        </w:rPr>
        <w:t>.</w:t>
      </w:r>
    </w:p>
    <w:p w14:paraId="049F8604" w14:textId="1B4EAB95" w:rsidR="00DE745E" w:rsidRDefault="00DC0C8D" w:rsidP="00400880">
      <w:pPr>
        <w:spacing w:after="240"/>
        <w:ind w:firstLine="708"/>
        <w:jc w:val="both"/>
        <w:rPr>
          <w:color w:val="000000" w:themeColor="text1"/>
          <w:lang w:bidi="sk-SK"/>
        </w:rPr>
      </w:pPr>
      <w:r>
        <w:rPr>
          <w:color w:val="000000" w:themeColor="text1"/>
          <w:lang w:bidi="sk-SK"/>
        </w:rPr>
        <w:t xml:space="preserve">S účinnosťou od 12. marca 2020 je na Slovensku vyhlásená mimoriadna situácia. </w:t>
      </w:r>
      <w:r w:rsidR="007108BC">
        <w:rPr>
          <w:color w:val="000000" w:themeColor="text1"/>
          <w:lang w:bidi="sk-SK"/>
        </w:rPr>
        <w:t>P</w:t>
      </w:r>
      <w:r>
        <w:rPr>
          <w:color w:val="000000" w:themeColor="text1"/>
          <w:lang w:bidi="sk-SK"/>
        </w:rPr>
        <w:t>andémia COVID-19 v najbližšej dobe</w:t>
      </w:r>
      <w:r w:rsidR="007108BC">
        <w:rPr>
          <w:color w:val="000000" w:themeColor="text1"/>
          <w:lang w:bidi="sk-SK"/>
        </w:rPr>
        <w:t xml:space="preserve"> i tak</w:t>
      </w:r>
      <w:r>
        <w:rPr>
          <w:color w:val="000000" w:themeColor="text1"/>
          <w:lang w:bidi="sk-SK"/>
        </w:rPr>
        <w:t xml:space="preserve"> </w:t>
      </w:r>
      <w:r w:rsidR="002F7D05">
        <w:rPr>
          <w:color w:val="000000" w:themeColor="text1"/>
          <w:lang w:bidi="sk-SK"/>
        </w:rPr>
        <w:t xml:space="preserve">úplne </w:t>
      </w:r>
      <w:r>
        <w:rPr>
          <w:color w:val="000000" w:themeColor="text1"/>
          <w:lang w:bidi="sk-SK"/>
        </w:rPr>
        <w:t xml:space="preserve">nezmizne a </w:t>
      </w:r>
      <w:r w:rsidR="00E11B0E">
        <w:rPr>
          <w:color w:val="000000" w:themeColor="text1"/>
          <w:lang w:bidi="sk-SK"/>
        </w:rPr>
        <w:t xml:space="preserve">s najväčšou pravdepodobnosťou </w:t>
      </w:r>
      <w:r>
        <w:rPr>
          <w:color w:val="000000" w:themeColor="text1"/>
          <w:lang w:bidi="sk-SK"/>
        </w:rPr>
        <w:t>bud</w:t>
      </w:r>
      <w:r w:rsidR="00E11B0E">
        <w:rPr>
          <w:color w:val="000000" w:themeColor="text1"/>
          <w:lang w:bidi="sk-SK"/>
        </w:rPr>
        <w:t>e</w:t>
      </w:r>
      <w:r>
        <w:rPr>
          <w:color w:val="000000" w:themeColor="text1"/>
          <w:lang w:bidi="sk-SK"/>
        </w:rPr>
        <w:t xml:space="preserve"> naďalej potrebné </w:t>
      </w:r>
      <w:r w:rsidR="00E11B0E">
        <w:rPr>
          <w:color w:val="000000" w:themeColor="text1"/>
          <w:lang w:bidi="sk-SK"/>
        </w:rPr>
        <w:t xml:space="preserve">v boji s touto pandémiou prijímanie rôznych </w:t>
      </w:r>
      <w:r>
        <w:rPr>
          <w:color w:val="000000" w:themeColor="text1"/>
          <w:lang w:bidi="sk-SK"/>
        </w:rPr>
        <w:t>opatren</w:t>
      </w:r>
      <w:r w:rsidR="00E11B0E">
        <w:rPr>
          <w:color w:val="000000" w:themeColor="text1"/>
          <w:lang w:bidi="sk-SK"/>
        </w:rPr>
        <w:t>í</w:t>
      </w:r>
      <w:r>
        <w:rPr>
          <w:color w:val="000000" w:themeColor="text1"/>
          <w:lang w:bidi="sk-SK"/>
        </w:rPr>
        <w:t xml:space="preserve">. Podľa aktuálne platného nariadenia vlády č. 269/2020 Z. z. sa v súčasnosti realizujú mnohé opatrenia hospodárskej mobilizácie ako napr. </w:t>
      </w:r>
      <w:r w:rsidRPr="00D57139">
        <w:rPr>
          <w:color w:val="000000" w:themeColor="text1"/>
          <w:lang w:bidi="sk-SK"/>
        </w:rPr>
        <w:t>organizácia výroby a organizácia služieb</w:t>
      </w:r>
      <w:r>
        <w:rPr>
          <w:color w:val="000000" w:themeColor="text1"/>
          <w:lang w:bidi="sk-SK"/>
        </w:rPr>
        <w:t xml:space="preserve">, </w:t>
      </w:r>
      <w:r w:rsidRPr="00D57139">
        <w:rPr>
          <w:color w:val="000000" w:themeColor="text1"/>
          <w:lang w:bidi="sk-SK"/>
        </w:rPr>
        <w:t>použitie štátnych hmotných rezerv</w:t>
      </w:r>
      <w:r>
        <w:rPr>
          <w:color w:val="000000" w:themeColor="text1"/>
          <w:lang w:bidi="sk-SK"/>
        </w:rPr>
        <w:t xml:space="preserve">, pracovná povinnosť </w:t>
      </w:r>
      <w:r w:rsidR="00DE745E">
        <w:rPr>
          <w:color w:val="000000" w:themeColor="text1"/>
          <w:lang w:bidi="sk-SK"/>
        </w:rPr>
        <w:t>a podobne</w:t>
      </w:r>
      <w:r>
        <w:rPr>
          <w:color w:val="000000" w:themeColor="text1"/>
          <w:lang w:bidi="sk-SK"/>
        </w:rPr>
        <w:t xml:space="preserve">. Vláda ako štátny orgán v prvom rade zodpovedný za riadenie boja proti pandémii a prijímanie opatrení trvá opakovane pri predlžovaní núdzového stavu na tom, že opatrenia hospodárskej mobilizácie sú na jej zvládnutie nevyhnutné. </w:t>
      </w:r>
    </w:p>
    <w:p w14:paraId="76E4F3A8" w14:textId="341940FB" w:rsidR="009436C3" w:rsidRDefault="00DC0C8D" w:rsidP="00400880">
      <w:pPr>
        <w:spacing w:after="240"/>
        <w:ind w:firstLine="708"/>
        <w:jc w:val="both"/>
        <w:rPr>
          <w:color w:val="000000" w:themeColor="text1"/>
          <w:lang w:bidi="sk-SK"/>
        </w:rPr>
      </w:pPr>
      <w:r>
        <w:rPr>
          <w:color w:val="000000" w:themeColor="text1"/>
          <w:lang w:bidi="sk-SK"/>
        </w:rPr>
        <w:t xml:space="preserve">Predkladaný návrh zákona umožňuje </w:t>
      </w:r>
      <w:r w:rsidR="009436C3">
        <w:rPr>
          <w:color w:val="000000" w:themeColor="text1"/>
          <w:lang w:bidi="sk-SK"/>
        </w:rPr>
        <w:t>väčšinu z opatrení</w:t>
      </w:r>
      <w:r w:rsidR="00863509">
        <w:rPr>
          <w:color w:val="000000" w:themeColor="text1"/>
          <w:lang w:bidi="sk-SK"/>
        </w:rPr>
        <w:t xml:space="preserve"> hospodárskej mobilizácie</w:t>
      </w:r>
      <w:r>
        <w:rPr>
          <w:color w:val="000000" w:themeColor="text1"/>
          <w:lang w:bidi="sk-SK"/>
        </w:rPr>
        <w:t xml:space="preserve"> zachovať aj v prípade, že by núdzový stav </w:t>
      </w:r>
      <w:r w:rsidR="00DE745E">
        <w:rPr>
          <w:color w:val="000000" w:themeColor="text1"/>
          <w:lang w:bidi="sk-SK"/>
        </w:rPr>
        <w:t>skončil</w:t>
      </w:r>
      <w:r>
        <w:rPr>
          <w:color w:val="000000" w:themeColor="text1"/>
          <w:lang w:bidi="sk-SK"/>
        </w:rPr>
        <w:t>.</w:t>
      </w:r>
      <w:r w:rsidR="00DE745E">
        <w:rPr>
          <w:color w:val="000000" w:themeColor="text1"/>
          <w:lang w:bidi="sk-SK"/>
        </w:rPr>
        <w:t xml:space="preserve"> </w:t>
      </w:r>
      <w:r w:rsidR="009436C3">
        <w:rPr>
          <w:color w:val="000000" w:themeColor="text1"/>
          <w:lang w:bidi="sk-SK"/>
        </w:rPr>
        <w:t xml:space="preserve">Postačujúca pre ich pokračovanie by bola mimoriadna situácia. </w:t>
      </w:r>
      <w:r w:rsidR="000838E7">
        <w:rPr>
          <w:color w:val="000000" w:themeColor="text1"/>
          <w:lang w:bidi="sk-SK"/>
        </w:rPr>
        <w:t xml:space="preserve">Z toho dôvodu sa navrhuje v príslušných ustanoveniach zákona </w:t>
      </w:r>
      <w:r w:rsidR="000838E7">
        <w:rPr>
          <w:color w:val="000000" w:themeColor="text1"/>
          <w:lang w:bidi="sk-SK"/>
        </w:rPr>
        <w:lastRenderedPageBreak/>
        <w:t xml:space="preserve">o hospodárskej mobilizácii, ktoré sú dosiaľ viazané na núdzový stav alebo výnimočný stav, doplniť viazanosť aj na mimoriadnu situáciu. </w:t>
      </w:r>
      <w:r w:rsidR="009436C3">
        <w:rPr>
          <w:color w:val="000000" w:themeColor="text1"/>
          <w:lang w:bidi="sk-SK"/>
        </w:rPr>
        <w:t xml:space="preserve">Výnimkou </w:t>
      </w:r>
      <w:r w:rsidR="000838E7">
        <w:rPr>
          <w:color w:val="000000" w:themeColor="text1"/>
          <w:lang w:bidi="sk-SK"/>
        </w:rPr>
        <w:t xml:space="preserve">z doteraz realizovaných opatrení </w:t>
      </w:r>
      <w:r w:rsidR="009436C3">
        <w:rPr>
          <w:color w:val="000000" w:themeColor="text1"/>
          <w:lang w:bidi="sk-SK"/>
        </w:rPr>
        <w:t>je pracovná povinnosť</w:t>
      </w:r>
      <w:r w:rsidR="000838E7">
        <w:rPr>
          <w:color w:val="000000" w:themeColor="text1"/>
          <w:lang w:bidi="sk-SK"/>
        </w:rPr>
        <w:t xml:space="preserve">, tá bude naďalej viazaná aspoň na núdzový stav. Taktiež sa navrhuje zachovať realizáciu </w:t>
      </w:r>
      <w:r w:rsidR="00F95956" w:rsidRPr="00BA7300">
        <w:rPr>
          <w:shd w:val="clear" w:color="auto" w:fill="FFFFFF"/>
        </w:rPr>
        <w:t>organizáci</w:t>
      </w:r>
      <w:r w:rsidR="000838E7">
        <w:rPr>
          <w:shd w:val="clear" w:color="auto" w:fill="FFFFFF"/>
        </w:rPr>
        <w:t>e</w:t>
      </w:r>
      <w:r w:rsidR="00F95956" w:rsidRPr="00BA7300">
        <w:rPr>
          <w:shd w:val="clear" w:color="auto" w:fill="FFFFFF"/>
        </w:rPr>
        <w:t xml:space="preserve"> dodávok životne dôležitých tovarov a ich predaj</w:t>
      </w:r>
      <w:r w:rsidR="000838E7">
        <w:rPr>
          <w:shd w:val="clear" w:color="auto" w:fill="FFFFFF"/>
        </w:rPr>
        <w:t>a</w:t>
      </w:r>
      <w:r w:rsidR="00F95956" w:rsidRPr="00BA7300">
        <w:rPr>
          <w:shd w:val="clear" w:color="auto" w:fill="FFFFFF"/>
        </w:rPr>
        <w:t xml:space="preserve"> s využitím mimoriadnych regulačných opatrení</w:t>
      </w:r>
      <w:r w:rsidR="00F95956">
        <w:rPr>
          <w:shd w:val="clear" w:color="auto" w:fill="FFFFFF"/>
        </w:rPr>
        <w:t xml:space="preserve">, </w:t>
      </w:r>
      <w:r w:rsidR="00F95956" w:rsidRPr="00BA7300">
        <w:rPr>
          <w:shd w:val="clear" w:color="auto" w:fill="FFFFFF"/>
        </w:rPr>
        <w:t>ochran</w:t>
      </w:r>
      <w:r w:rsidR="000838E7">
        <w:rPr>
          <w:shd w:val="clear" w:color="auto" w:fill="FFFFFF"/>
        </w:rPr>
        <w:t>y</w:t>
      </w:r>
      <w:r w:rsidR="00F95956" w:rsidRPr="00BA7300">
        <w:rPr>
          <w:shd w:val="clear" w:color="auto" w:fill="FFFFFF"/>
        </w:rPr>
        <w:t xml:space="preserve"> životne dôležitých zdrojov</w:t>
      </w:r>
      <w:r w:rsidR="00F95956">
        <w:rPr>
          <w:shd w:val="clear" w:color="auto" w:fill="FFFFFF"/>
        </w:rPr>
        <w:t xml:space="preserve"> a</w:t>
      </w:r>
      <w:r w:rsidR="00F95956" w:rsidRPr="00BA7300">
        <w:t xml:space="preserve"> </w:t>
      </w:r>
      <w:r w:rsidR="00F95956" w:rsidRPr="00BA7300">
        <w:rPr>
          <w:shd w:val="clear" w:color="auto" w:fill="FFFFFF"/>
        </w:rPr>
        <w:t>ochran</w:t>
      </w:r>
      <w:r w:rsidR="000838E7">
        <w:rPr>
          <w:shd w:val="clear" w:color="auto" w:fill="FFFFFF"/>
        </w:rPr>
        <w:t>y</w:t>
      </w:r>
      <w:r w:rsidR="00F95956" w:rsidRPr="00BA7300">
        <w:rPr>
          <w:shd w:val="clear" w:color="auto" w:fill="FFFFFF"/>
        </w:rPr>
        <w:t xml:space="preserve"> objektov osobitnej dôležitosti a ďalších dôležitých objekto</w:t>
      </w:r>
      <w:r w:rsidR="000838E7">
        <w:rPr>
          <w:color w:val="000000" w:themeColor="text1"/>
          <w:lang w:bidi="sk-SK"/>
        </w:rPr>
        <w:t xml:space="preserve">v </w:t>
      </w:r>
      <w:r w:rsidR="002F7D05">
        <w:rPr>
          <w:color w:val="000000" w:themeColor="text1"/>
          <w:lang w:bidi="sk-SK"/>
        </w:rPr>
        <w:t xml:space="preserve">aspoň </w:t>
      </w:r>
      <w:r w:rsidR="000838E7">
        <w:rPr>
          <w:color w:val="000000" w:themeColor="text1"/>
          <w:lang w:bidi="sk-SK"/>
        </w:rPr>
        <w:t>v</w:t>
      </w:r>
      <w:r w:rsidR="009436C3">
        <w:rPr>
          <w:color w:val="000000" w:themeColor="text1"/>
          <w:lang w:bidi="sk-SK"/>
        </w:rPr>
        <w:t xml:space="preserve"> núdzov</w:t>
      </w:r>
      <w:r w:rsidR="000838E7">
        <w:rPr>
          <w:color w:val="000000" w:themeColor="text1"/>
          <w:lang w:bidi="sk-SK"/>
        </w:rPr>
        <w:t>om</w:t>
      </w:r>
      <w:r w:rsidR="009436C3">
        <w:rPr>
          <w:color w:val="000000" w:themeColor="text1"/>
          <w:lang w:bidi="sk-SK"/>
        </w:rPr>
        <w:t xml:space="preserve"> stav</w:t>
      </w:r>
      <w:r w:rsidR="000838E7">
        <w:rPr>
          <w:color w:val="000000" w:themeColor="text1"/>
          <w:lang w:bidi="sk-SK"/>
        </w:rPr>
        <w:t>e, teda nie v mimoriadnej situácii</w:t>
      </w:r>
      <w:r w:rsidR="009436C3">
        <w:rPr>
          <w:color w:val="000000" w:themeColor="text1"/>
          <w:lang w:bidi="sk-SK"/>
        </w:rPr>
        <w:t xml:space="preserve">. </w:t>
      </w:r>
    </w:p>
    <w:p w14:paraId="48647AAD" w14:textId="47DEAC75" w:rsidR="00AA12B7" w:rsidRDefault="00AA12B7" w:rsidP="00400880">
      <w:pPr>
        <w:spacing w:after="240"/>
        <w:ind w:firstLine="708"/>
        <w:jc w:val="both"/>
      </w:pPr>
      <w:r>
        <w:t>Mimoriadna situácia je už v súčasnosti súčasťou zákona o hospodárskej mobilizácii a je obsiahnutá v pojme krízovej situácie. Pojem krízovej situácie je vymedzený v § 1 zákona o hospodárskej mobilizácii prostredníctvom odkazov na č</w:t>
      </w:r>
      <w:r w:rsidRPr="00DB723F">
        <w:t xml:space="preserve">l. 1 ods. 2 a 4 ústavného zákona </w:t>
      </w:r>
      <w:r w:rsidR="00E11B0E">
        <w:br/>
      </w:r>
      <w:r w:rsidRPr="00DB723F">
        <w:t>č. 227/2002 Z. z. o bezpečnosti štátu v čase vojny, vojnového stavu, výnimočného stavu a núdzového stavu</w:t>
      </w:r>
      <w:r>
        <w:t xml:space="preserve"> a na </w:t>
      </w:r>
      <w:r w:rsidRPr="00DB723F">
        <w:t>§ 2 písm. a) zákona č. 387/2002 Z. z. o riadení štátu v krízových situáciách mimo času vojny a vojnového stavu.</w:t>
      </w:r>
      <w:r>
        <w:t xml:space="preserve"> </w:t>
      </w:r>
    </w:p>
    <w:p w14:paraId="51C3286C" w14:textId="448AE516" w:rsidR="00AA12B7" w:rsidRDefault="00AA12B7" w:rsidP="00400880">
      <w:pPr>
        <w:spacing w:after="240"/>
        <w:jc w:val="both"/>
      </w:pPr>
      <w:r>
        <w:tab/>
        <w:t xml:space="preserve">V čl. 1 ods. 2 ústavného zákona o bezpečnosti štátu sa vymedzujú základné úlohy verejnej moci </w:t>
      </w:r>
      <w:r w:rsidRPr="00DB723F">
        <w:t>v čase vojny, vojnového stavu, výnimočného stavu a núdzového stavu</w:t>
      </w:r>
      <w:r>
        <w:t>. Podľa čl. 2 ods. 4 ústavného zákona o bezpečnosti štátu je krízovou situáciou „</w:t>
      </w:r>
      <w:r w:rsidRPr="00DB723F">
        <w:t>obdobie, počas ktorého je bezprostredne ohrozená alebo narušená bezpečnosť štátu a ústavné orgány môžu po splnení podmienok ustanovených v tomto ústavnom zákone na jej riešenie vypovedať vojnu, vyhlásiť vojnový stav alebo výnimočný stav alebo núdzový stav</w:t>
      </w:r>
      <w:r>
        <w:t>“.</w:t>
      </w:r>
    </w:p>
    <w:p w14:paraId="46F28E73" w14:textId="77777777" w:rsidR="00AA12B7" w:rsidRDefault="00AA12B7" w:rsidP="00400880">
      <w:pPr>
        <w:spacing w:after="240"/>
        <w:jc w:val="both"/>
      </w:pPr>
      <w:r>
        <w:tab/>
        <w:t>Podľa § 2 písm. a) zákona o riadení štátu v situáciách mimo vojny a vojnového stavu sa na účely tohto zákona krízovou situáciou mimo vojny a vojnového stavu rozumie „</w:t>
      </w:r>
      <w:r w:rsidRPr="00DB723F">
        <w:t>obdobie, počas ktorého je bezprostredne ohrozená alebo narušená bezpečnosť štátu a ústavné orgány môžu po splnení podmienok ustanovených v ústavnom zákone alebo osobitnom zákone1) na jej riešenie vyhlásiť výnimočný stav,2) núdzový stav3) alebo mimoriadnu situáciu,4)</w:t>
      </w:r>
      <w:r>
        <w:t>“. Poznámka pod čiarou k odkazu 4 obsahuje odkaz na zákon Národnej rady Slovenskej republiky č. 42/1994 Z. z o civilnej ochrane obyvateľstva, v ktorom je upravená mimoriadna situácia.</w:t>
      </w:r>
    </w:p>
    <w:p w14:paraId="624FBC19" w14:textId="77777777" w:rsidR="00AA12B7" w:rsidRDefault="00AA12B7" w:rsidP="00400880">
      <w:pPr>
        <w:spacing w:after="240"/>
        <w:jc w:val="both"/>
      </w:pPr>
      <w:r>
        <w:tab/>
        <w:t xml:space="preserve">Z vyššie uvedeného je zrejmé, že krízovou situáciou sa na účely zákona o hospodárskej mobilizácii rozumie obdobie vojny, vojnového stavu, výnimočného stavu, núdzového stavu alebo mimoriadnej situácie a keď sa v zákone používa pojem krízová situácia, tak zahŕňa týchto päť stavov alebo situácií. </w:t>
      </w:r>
    </w:p>
    <w:p w14:paraId="3D7AF1E0" w14:textId="5BDC204F" w:rsidR="00DC0C8D" w:rsidRDefault="00AA12B7" w:rsidP="00400880">
      <w:pPr>
        <w:spacing w:after="240"/>
        <w:jc w:val="both"/>
        <w:rPr>
          <w:color w:val="000000" w:themeColor="text1"/>
          <w:lang w:bidi="sk-SK"/>
        </w:rPr>
      </w:pPr>
      <w:r>
        <w:tab/>
      </w:r>
      <w:r w:rsidR="00DE745E">
        <w:rPr>
          <w:color w:val="000000" w:themeColor="text1"/>
          <w:lang w:bidi="sk-SK"/>
        </w:rPr>
        <w:t xml:space="preserve">Schválenie predkladaného návrhu zákona vytvorí predpoklady pre skoršie skončenie núdzového stavu, lebo vykonávanie opatrení hospodárskej mobilizácie prestane byť viazané na jeho trvanie. </w:t>
      </w:r>
      <w:r w:rsidR="00F95956">
        <w:rPr>
          <w:color w:val="000000" w:themeColor="text1"/>
          <w:lang w:bidi="sk-SK"/>
        </w:rPr>
        <w:t xml:space="preserve">Zároveň bude možné teraz aj do budúcna realizovať opatrenia hospodárskej mobilizácie aj mimo núdzový stav a nebude preto nutné len kvôli ním vyhlasovanie núdzového stavu. </w:t>
      </w:r>
      <w:r w:rsidR="00725500">
        <w:rPr>
          <w:color w:val="000000" w:themeColor="text1"/>
          <w:lang w:bidi="sk-SK"/>
        </w:rPr>
        <w:t xml:space="preserve">Návrh taktiež odstraňuje niektoré </w:t>
      </w:r>
      <w:r w:rsidR="00F95956">
        <w:rPr>
          <w:color w:val="000000" w:themeColor="text1"/>
          <w:lang w:bidi="sk-SK"/>
        </w:rPr>
        <w:t xml:space="preserve">zrejmé </w:t>
      </w:r>
      <w:r w:rsidR="00725500">
        <w:rPr>
          <w:color w:val="000000" w:themeColor="text1"/>
          <w:lang w:bidi="sk-SK"/>
        </w:rPr>
        <w:t xml:space="preserve">legislatívne nedostatky a reaguje na </w:t>
      </w:r>
      <w:r w:rsidR="00F95956">
        <w:rPr>
          <w:color w:val="000000" w:themeColor="text1"/>
          <w:lang w:bidi="sk-SK"/>
        </w:rPr>
        <w:t xml:space="preserve">niektoré </w:t>
      </w:r>
      <w:r w:rsidR="00725500">
        <w:rPr>
          <w:color w:val="000000" w:themeColor="text1"/>
          <w:lang w:bidi="sk-SK"/>
        </w:rPr>
        <w:t>aplikačné problémy.</w:t>
      </w:r>
    </w:p>
    <w:p w14:paraId="366511DF" w14:textId="4D5DCC14" w:rsidR="00DC0C8D" w:rsidRDefault="00DC0C8D" w:rsidP="00400880">
      <w:pPr>
        <w:spacing w:after="240"/>
        <w:jc w:val="both"/>
        <w:rPr>
          <w:color w:val="000000" w:themeColor="text1"/>
          <w:lang w:bidi="sk-SK"/>
        </w:rPr>
      </w:pPr>
      <w:r>
        <w:rPr>
          <w:b/>
          <w:bCs/>
          <w:color w:val="000000" w:themeColor="text1"/>
          <w:lang w:bidi="sk-SK"/>
        </w:rPr>
        <w:tab/>
      </w:r>
      <w:r w:rsidRPr="009376ED">
        <w:rPr>
          <w:color w:val="000000" w:themeColor="text1"/>
          <w:lang w:bidi="sk-SK"/>
        </w:rPr>
        <w:t xml:space="preserve">Návrh zákona nebude mať priamy </w:t>
      </w:r>
      <w:r w:rsidR="00E11B0E">
        <w:rPr>
          <w:color w:val="000000" w:themeColor="text1"/>
          <w:lang w:bidi="sk-SK"/>
        </w:rPr>
        <w:t>vplyv</w:t>
      </w:r>
      <w:r w:rsidRPr="009376ED">
        <w:rPr>
          <w:color w:val="000000" w:themeColor="text1"/>
          <w:lang w:bidi="sk-SK"/>
        </w:rPr>
        <w:t xml:space="preserve"> na verejné rozpočty, neprináša nárok na pracovné sily a nemá vplyv na zamestnanosť a tvorbu pracovných miest, na životné prostredie, na podnikateľské prostredie, ani na manželstvo, rodičovstvo a rodinu. </w:t>
      </w:r>
    </w:p>
    <w:p w14:paraId="5E6B5DB2" w14:textId="77777777" w:rsidR="00DE745E" w:rsidRDefault="00DC0C8D" w:rsidP="00400880">
      <w:pPr>
        <w:spacing w:after="240"/>
        <w:jc w:val="both"/>
        <w:rPr>
          <w:color w:val="000000" w:themeColor="text1"/>
          <w:lang w:bidi="sk-SK"/>
        </w:rPr>
      </w:pPr>
      <w:r w:rsidRPr="009376ED">
        <w:rPr>
          <w:color w:val="000000" w:themeColor="text1"/>
          <w:lang w:bidi="sk-SK"/>
        </w:rPr>
        <w:tab/>
        <w:t>Návrh zákona je v  súlade s  Ústavou Slovenskej republiky, jej zákonmi a medzinárodnými zmluvami, ktorými je Slovenská republika viazaná.</w:t>
      </w:r>
    </w:p>
    <w:p w14:paraId="36B67E51" w14:textId="3FC14EFD" w:rsidR="001F3091" w:rsidRPr="00400880" w:rsidRDefault="00DE745E" w:rsidP="00400880">
      <w:pPr>
        <w:jc w:val="center"/>
        <w:rPr>
          <w:b/>
          <w:bCs/>
          <w:sz w:val="22"/>
          <w:szCs w:val="22"/>
        </w:rPr>
      </w:pPr>
      <w:r>
        <w:rPr>
          <w:color w:val="000000" w:themeColor="text1"/>
          <w:lang w:bidi="sk-SK"/>
        </w:rPr>
        <w:br w:type="page"/>
      </w:r>
      <w:r w:rsidR="00C07284" w:rsidRPr="00400880">
        <w:rPr>
          <w:b/>
          <w:bCs/>
          <w:sz w:val="22"/>
          <w:szCs w:val="22"/>
        </w:rPr>
        <w:lastRenderedPageBreak/>
        <w:t>DOLOŽKA  ZLUČITEĽNOSTI</w:t>
      </w:r>
    </w:p>
    <w:p w14:paraId="1218A96B" w14:textId="77777777" w:rsidR="001F3091" w:rsidRPr="00400880" w:rsidRDefault="00C07284" w:rsidP="00400880">
      <w:pPr>
        <w:jc w:val="center"/>
        <w:rPr>
          <w:b/>
          <w:bCs/>
          <w:sz w:val="22"/>
          <w:szCs w:val="22"/>
        </w:rPr>
      </w:pPr>
      <w:r w:rsidRPr="00400880">
        <w:rPr>
          <w:b/>
          <w:bCs/>
          <w:sz w:val="22"/>
          <w:szCs w:val="22"/>
        </w:rPr>
        <w:t>právneho predpisu s právom Európskej únie</w:t>
      </w:r>
    </w:p>
    <w:p w14:paraId="572825FE" w14:textId="77777777" w:rsidR="001F3091" w:rsidRPr="00400880" w:rsidRDefault="001F3091" w:rsidP="00925E87">
      <w:pPr>
        <w:jc w:val="center"/>
        <w:rPr>
          <w:sz w:val="22"/>
          <w:szCs w:val="22"/>
        </w:rPr>
      </w:pPr>
    </w:p>
    <w:p w14:paraId="3A465CFD" w14:textId="4477785F" w:rsidR="001F3091" w:rsidRPr="00400880" w:rsidRDefault="00C07284" w:rsidP="00925E87">
      <w:pPr>
        <w:jc w:val="both"/>
        <w:rPr>
          <w:sz w:val="22"/>
          <w:szCs w:val="22"/>
        </w:rPr>
      </w:pPr>
      <w:r w:rsidRPr="00400880">
        <w:rPr>
          <w:b/>
          <w:sz w:val="22"/>
          <w:szCs w:val="22"/>
        </w:rPr>
        <w:t>1. Predkladateľ</w:t>
      </w:r>
      <w:r w:rsidR="001D6B23" w:rsidRPr="00400880">
        <w:rPr>
          <w:b/>
          <w:sz w:val="22"/>
          <w:szCs w:val="22"/>
        </w:rPr>
        <w:t xml:space="preserve"> návrhu</w:t>
      </w:r>
      <w:r w:rsidRPr="00400880">
        <w:rPr>
          <w:b/>
          <w:sz w:val="22"/>
          <w:szCs w:val="22"/>
        </w:rPr>
        <w:t xml:space="preserve"> právneho predpisu:</w:t>
      </w:r>
      <w:r w:rsidRPr="00400880">
        <w:rPr>
          <w:sz w:val="22"/>
          <w:szCs w:val="22"/>
        </w:rPr>
        <w:t xml:space="preserve"> </w:t>
      </w:r>
      <w:r w:rsidR="00B759C2" w:rsidRPr="00400880">
        <w:rPr>
          <w:sz w:val="22"/>
          <w:szCs w:val="22"/>
        </w:rPr>
        <w:t>poslan</w:t>
      </w:r>
      <w:r w:rsidR="00710E27" w:rsidRPr="00400880">
        <w:rPr>
          <w:sz w:val="22"/>
          <w:szCs w:val="22"/>
        </w:rPr>
        <w:t>c</w:t>
      </w:r>
      <w:r w:rsidR="00B759C2" w:rsidRPr="00400880">
        <w:rPr>
          <w:sz w:val="22"/>
          <w:szCs w:val="22"/>
        </w:rPr>
        <w:t>i</w:t>
      </w:r>
      <w:r w:rsidRPr="00400880">
        <w:rPr>
          <w:sz w:val="22"/>
          <w:szCs w:val="22"/>
        </w:rPr>
        <w:t xml:space="preserve"> Národnej rady Slovenskej republiky</w:t>
      </w:r>
      <w:r w:rsidR="009436C3" w:rsidRPr="00400880">
        <w:rPr>
          <w:sz w:val="22"/>
          <w:szCs w:val="22"/>
        </w:rPr>
        <w:t xml:space="preserve"> </w:t>
      </w:r>
      <w:r w:rsidR="00CB6BCF" w:rsidRPr="00400880">
        <w:rPr>
          <w:color w:val="000000" w:themeColor="text1"/>
          <w:sz w:val="22"/>
          <w:szCs w:val="22"/>
          <w:lang w:bidi="sk-SK"/>
        </w:rPr>
        <w:t>Ondrej Dostál, Ján Benčík, Petra Hajšelová, Jana Bittó Cigániková, Juraj Šeliga, Milan Vetrák, Miloš Svrček.</w:t>
      </w:r>
    </w:p>
    <w:p w14:paraId="386A15FA" w14:textId="77777777" w:rsidR="001F3091" w:rsidRPr="00400880" w:rsidRDefault="001F3091" w:rsidP="00925E87">
      <w:pPr>
        <w:jc w:val="both"/>
        <w:rPr>
          <w:sz w:val="22"/>
          <w:szCs w:val="22"/>
        </w:rPr>
      </w:pPr>
    </w:p>
    <w:p w14:paraId="58D9D6E9" w14:textId="226B06CA" w:rsidR="00097D9D" w:rsidRPr="00400880" w:rsidRDefault="001F3091" w:rsidP="00925E87">
      <w:pPr>
        <w:jc w:val="both"/>
        <w:rPr>
          <w:sz w:val="22"/>
          <w:szCs w:val="22"/>
        </w:rPr>
      </w:pPr>
      <w:r w:rsidRPr="00400880">
        <w:rPr>
          <w:b/>
          <w:sz w:val="22"/>
          <w:szCs w:val="22"/>
        </w:rPr>
        <w:t>2. Názov návrhu právneho predpisu:</w:t>
      </w:r>
      <w:r w:rsidR="00C07284" w:rsidRPr="00400880">
        <w:rPr>
          <w:sz w:val="22"/>
          <w:szCs w:val="22"/>
        </w:rPr>
        <w:t xml:space="preserve"> </w:t>
      </w:r>
      <w:r w:rsidR="009436C3" w:rsidRPr="00400880">
        <w:rPr>
          <w:color w:val="000000" w:themeColor="text1"/>
          <w:sz w:val="22"/>
          <w:szCs w:val="22"/>
          <w:lang w:bidi="sk-SK"/>
        </w:rPr>
        <w:t xml:space="preserve">Návrh zákona, ktorým sa mení a dopĺňa zákon </w:t>
      </w:r>
      <w:r w:rsidR="00E11B0E" w:rsidRPr="00400880">
        <w:rPr>
          <w:color w:val="000000" w:themeColor="text1"/>
          <w:sz w:val="22"/>
          <w:szCs w:val="22"/>
          <w:lang w:bidi="sk-SK"/>
        </w:rPr>
        <w:br/>
      </w:r>
      <w:r w:rsidR="009436C3" w:rsidRPr="00400880">
        <w:rPr>
          <w:color w:val="000000" w:themeColor="text1"/>
          <w:sz w:val="22"/>
          <w:szCs w:val="22"/>
          <w:lang w:bidi="sk-SK"/>
        </w:rPr>
        <w:t>č. 179/2011 Z. z., o hospodárskej mobilizácii a o zmene a doplnení zákona č. 387/2002 Z. z. o riadení štátu v krízových situáciách mimo času vojny a vojnového stavu v znení neskorších predpisov v znení neskorších predpisov a ktorým sa dopĺňa zákon Národnej rady Slovenskej republiky č. 42/1994 Z. z. o civilnej ochrane obyvateľstva v znení neskorších predpisov</w:t>
      </w:r>
    </w:p>
    <w:p w14:paraId="3816803D" w14:textId="77777777" w:rsidR="001F3091" w:rsidRPr="00400880" w:rsidRDefault="001F3091" w:rsidP="00925E87">
      <w:pPr>
        <w:jc w:val="both"/>
        <w:rPr>
          <w:sz w:val="22"/>
          <w:szCs w:val="22"/>
        </w:rPr>
      </w:pPr>
    </w:p>
    <w:p w14:paraId="52426499" w14:textId="77777777" w:rsidR="001F3091" w:rsidRPr="00400880" w:rsidRDefault="00C07284" w:rsidP="00925E87">
      <w:pPr>
        <w:jc w:val="both"/>
        <w:rPr>
          <w:b/>
          <w:sz w:val="22"/>
          <w:szCs w:val="22"/>
        </w:rPr>
      </w:pPr>
      <w:r w:rsidRPr="00400880">
        <w:rPr>
          <w:b/>
          <w:sz w:val="22"/>
          <w:szCs w:val="22"/>
        </w:rPr>
        <w:t>3. Problematika návrhu právneho predpisu:</w:t>
      </w:r>
    </w:p>
    <w:p w14:paraId="581A2383" w14:textId="77777777" w:rsidR="001F3091" w:rsidRPr="00400880" w:rsidRDefault="00C07284" w:rsidP="00925E87">
      <w:pPr>
        <w:pStyle w:val="listparagraph"/>
        <w:numPr>
          <w:ilvl w:val="1"/>
          <w:numId w:val="3"/>
        </w:numPr>
        <w:ind w:left="360"/>
        <w:jc w:val="both"/>
        <w:rPr>
          <w:sz w:val="22"/>
          <w:szCs w:val="22"/>
        </w:rPr>
      </w:pPr>
      <w:r w:rsidRPr="00400880">
        <w:rPr>
          <w:sz w:val="22"/>
          <w:szCs w:val="22"/>
        </w:rPr>
        <w:t>nie je upravená v práve Európskej únie.</w:t>
      </w:r>
    </w:p>
    <w:p w14:paraId="7DD141F0" w14:textId="77777777" w:rsidR="001F3091" w:rsidRPr="00400880" w:rsidRDefault="00B62388" w:rsidP="00925E87">
      <w:pPr>
        <w:numPr>
          <w:ilvl w:val="1"/>
          <w:numId w:val="3"/>
        </w:numPr>
        <w:spacing w:before="100" w:beforeAutospacing="1" w:after="100" w:afterAutospacing="1"/>
        <w:ind w:left="360"/>
        <w:jc w:val="both"/>
        <w:rPr>
          <w:sz w:val="22"/>
          <w:szCs w:val="22"/>
        </w:rPr>
      </w:pPr>
      <w:r w:rsidRPr="00400880">
        <w:rPr>
          <w:sz w:val="22"/>
          <w:szCs w:val="22"/>
        </w:rPr>
        <w:t xml:space="preserve">nie </w:t>
      </w:r>
      <w:r w:rsidR="00C07284" w:rsidRPr="00400880">
        <w:rPr>
          <w:sz w:val="22"/>
          <w:szCs w:val="22"/>
        </w:rPr>
        <w:t>je obsiahnutá v judikatúre Súdneho dvora Európskej únie.</w:t>
      </w:r>
    </w:p>
    <w:p w14:paraId="5FDB7CDC" w14:textId="77777777" w:rsidR="001F3091" w:rsidRPr="00400880" w:rsidRDefault="00C07284" w:rsidP="00925E87">
      <w:pPr>
        <w:ind w:firstLine="360"/>
        <w:jc w:val="both"/>
        <w:rPr>
          <w:b/>
          <w:bCs/>
          <w:sz w:val="22"/>
          <w:szCs w:val="22"/>
        </w:rPr>
      </w:pPr>
      <w:r w:rsidRPr="00400880">
        <w:rPr>
          <w:b/>
          <w:bCs/>
          <w:sz w:val="22"/>
          <w:szCs w:val="22"/>
        </w:rPr>
        <w:t>Vzhľadom na to, že problematika návrhu zákona nie je upravená v práve Európskej únie, je bezpredmetné vyjadrovať sa k bodom 4., 5. a 6.</w:t>
      </w:r>
    </w:p>
    <w:p w14:paraId="0251FAB0" w14:textId="77777777" w:rsidR="001F3091" w:rsidRPr="00400880" w:rsidRDefault="001F3091" w:rsidP="00925E87">
      <w:pPr>
        <w:jc w:val="both"/>
        <w:rPr>
          <w:rFonts w:ascii="Arial" w:hAnsi="Arial" w:cs="Arial"/>
          <w:color w:val="000080"/>
          <w:sz w:val="22"/>
          <w:szCs w:val="22"/>
        </w:rPr>
      </w:pPr>
    </w:p>
    <w:p w14:paraId="1E0AE198" w14:textId="77777777" w:rsidR="001F3091" w:rsidRPr="00400880" w:rsidRDefault="00C07284" w:rsidP="00925E87">
      <w:pPr>
        <w:pStyle w:val="Normlnywebov"/>
        <w:spacing w:before="0" w:beforeAutospacing="0" w:after="0" w:afterAutospacing="0"/>
        <w:ind w:right="-108"/>
        <w:jc w:val="center"/>
        <w:rPr>
          <w:sz w:val="22"/>
          <w:szCs w:val="22"/>
        </w:rPr>
      </w:pPr>
      <w:r w:rsidRPr="00400880">
        <w:rPr>
          <w:b/>
          <w:bCs/>
          <w:sz w:val="22"/>
          <w:szCs w:val="22"/>
        </w:rPr>
        <w:t>DOLOŽKA VYBRANÝCH VPLYVOV</w:t>
      </w:r>
    </w:p>
    <w:p w14:paraId="227D4BC8" w14:textId="77777777" w:rsidR="001F3091" w:rsidRPr="00400880" w:rsidRDefault="001F3091" w:rsidP="00925E87">
      <w:pPr>
        <w:pStyle w:val="Normlnywebov"/>
        <w:spacing w:before="0" w:beforeAutospacing="0" w:after="0" w:afterAutospacing="0"/>
        <w:ind w:right="-108"/>
        <w:jc w:val="center"/>
        <w:rPr>
          <w:sz w:val="22"/>
          <w:szCs w:val="22"/>
        </w:rPr>
      </w:pPr>
    </w:p>
    <w:p w14:paraId="3BD0EDAE" w14:textId="77777777" w:rsidR="001F3091" w:rsidRPr="00400880" w:rsidRDefault="00C07284" w:rsidP="00925E87">
      <w:pPr>
        <w:rPr>
          <w:b/>
          <w:bCs/>
          <w:sz w:val="22"/>
          <w:szCs w:val="22"/>
        </w:rPr>
      </w:pPr>
      <w:r w:rsidRPr="00400880">
        <w:rPr>
          <w:b/>
          <w:bCs/>
          <w:sz w:val="22"/>
          <w:szCs w:val="22"/>
        </w:rPr>
        <w:t xml:space="preserve">A.1. Názov materiálu: </w:t>
      </w:r>
    </w:p>
    <w:p w14:paraId="593B04A0" w14:textId="77777777" w:rsidR="00B62388" w:rsidRPr="00400880" w:rsidRDefault="009436C3" w:rsidP="00925E87">
      <w:pPr>
        <w:jc w:val="both"/>
        <w:rPr>
          <w:color w:val="000000" w:themeColor="text1"/>
          <w:sz w:val="22"/>
          <w:szCs w:val="22"/>
          <w:lang w:bidi="sk-SK"/>
        </w:rPr>
      </w:pPr>
      <w:r w:rsidRPr="00400880">
        <w:rPr>
          <w:color w:val="000000" w:themeColor="text1"/>
          <w:sz w:val="22"/>
          <w:szCs w:val="22"/>
          <w:lang w:bidi="sk-SK"/>
        </w:rPr>
        <w:t>Návrh zákona, ktorým sa mení a dopĺňa zákon č. 179/2011 Z. z., o hospodárskej mobilizácii a o zmene a doplnení zákona č. 387/2002 Z. z. o riadení štátu v krízových situáciách mimo času vojny a vojnového stavu v znení neskorších predpisov v znení neskorších predpisov a ktorým sa dopĺňa zákon Národnej rady Slovenskej republiky č. 42/1994 Z. z. o civilnej ochrane obyvateľstva v znení neskorších predpisov</w:t>
      </w:r>
    </w:p>
    <w:p w14:paraId="482D54DA" w14:textId="77777777" w:rsidR="009436C3" w:rsidRPr="00400880" w:rsidRDefault="009436C3" w:rsidP="00925E87">
      <w:pPr>
        <w:jc w:val="both"/>
        <w:rPr>
          <w:sz w:val="22"/>
          <w:szCs w:val="22"/>
        </w:rPr>
      </w:pPr>
    </w:p>
    <w:p w14:paraId="2C1BBA31" w14:textId="77777777" w:rsidR="001F6BA8" w:rsidRDefault="00C07284" w:rsidP="001F6BA8">
      <w:pPr>
        <w:pStyle w:val="Normlnywebov"/>
        <w:spacing w:before="0" w:beforeAutospacing="0" w:after="0" w:afterAutospacing="0"/>
        <w:rPr>
          <w:b/>
          <w:bCs/>
        </w:rPr>
      </w:pPr>
      <w:r w:rsidRPr="00B62388">
        <w:rPr>
          <w:b/>
          <w:bCs/>
        </w:rPr>
        <w:t>A.2. Vplyvy:</w:t>
      </w:r>
    </w:p>
    <w:p w14:paraId="79946D98" w14:textId="77777777" w:rsidR="001F6BA8" w:rsidRDefault="001F6BA8" w:rsidP="001F6BA8">
      <w:pPr>
        <w:outlineLvl w:val="0"/>
        <w:rPr>
          <w:b/>
          <w:bCs/>
        </w:rPr>
      </w:pPr>
    </w:p>
    <w:tbl>
      <w:tblPr>
        <w:tblW w:w="7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919"/>
        <w:gridCol w:w="1305"/>
        <w:gridCol w:w="1323"/>
        <w:gridCol w:w="1405"/>
      </w:tblGrid>
      <w:tr w:rsidR="001F6BA8" w14:paraId="1C302642" w14:textId="77777777" w:rsidTr="001F6BA8">
        <w:trPr>
          <w:trHeight w:val="26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945" w14:textId="77777777" w:rsidR="001F6BA8" w:rsidRDefault="001F6BA8" w:rsidP="00E77A68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905" w14:textId="77777777" w:rsidR="001F6BA8" w:rsidRDefault="001F6BA8" w:rsidP="00E77A68">
            <w:pPr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ED33" w14:textId="77777777" w:rsidR="001F6BA8" w:rsidRDefault="001F6BA8" w:rsidP="00E77A68">
            <w:pPr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82D6" w14:textId="77777777" w:rsidR="001F6BA8" w:rsidRDefault="001F6BA8" w:rsidP="00E77A68">
            <w:pPr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1F6BA8" w14:paraId="27CC2598" w14:textId="77777777" w:rsidTr="001F6BA8">
        <w:trPr>
          <w:trHeight w:val="50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5A2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5705C8E1" w14:textId="77777777" w:rsidR="001F6BA8" w:rsidRDefault="001F6BA8" w:rsidP="00E77A6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17D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4268" w14:textId="693D36A9" w:rsidR="001F6BA8" w:rsidRDefault="001F6BA8" w:rsidP="00E7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9E3" w14:textId="6C66EA40" w:rsidR="001F6BA8" w:rsidRDefault="001F6BA8" w:rsidP="00E77A68">
            <w:pPr>
              <w:jc w:val="center"/>
            </w:pPr>
          </w:p>
        </w:tc>
      </w:tr>
      <w:tr w:rsidR="001F6BA8" w14:paraId="16FEE857" w14:textId="77777777" w:rsidTr="001F6BA8">
        <w:trPr>
          <w:trHeight w:val="529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00AC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B920" w14:textId="5BACF7CD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D705" w14:textId="15AB5735" w:rsidR="001F6BA8" w:rsidRDefault="001F6BA8" w:rsidP="00E7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ED9" w14:textId="77777777" w:rsidR="001F6BA8" w:rsidRDefault="001F6BA8" w:rsidP="00E77A68">
            <w:pPr>
              <w:jc w:val="center"/>
            </w:pPr>
          </w:p>
        </w:tc>
      </w:tr>
      <w:tr w:rsidR="001F6BA8" w14:paraId="40DD309B" w14:textId="77777777" w:rsidTr="001F6BA8">
        <w:trPr>
          <w:trHeight w:val="115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0E99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 Sociálne vplyvy </w:t>
            </w:r>
          </w:p>
          <w:p w14:paraId="1E50D7E1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1E76937B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-sociálnu exklúziu,</w:t>
            </w:r>
          </w:p>
          <w:p w14:paraId="460486C3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FB5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  <w:p w14:paraId="02714691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  <w:p w14:paraId="4EACEAE9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DC5D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5F6" w14:textId="77777777" w:rsidR="001F6BA8" w:rsidRDefault="001F6BA8" w:rsidP="00E77A68">
            <w:pPr>
              <w:jc w:val="center"/>
            </w:pPr>
          </w:p>
        </w:tc>
      </w:tr>
      <w:tr w:rsidR="001F6BA8" w14:paraId="602832D4" w14:textId="77777777" w:rsidTr="001F6BA8">
        <w:trPr>
          <w:trHeight w:val="26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73AB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3ED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5CC3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F33" w14:textId="77777777" w:rsidR="001F6BA8" w:rsidRDefault="001F6BA8" w:rsidP="00E77A68">
            <w:pPr>
              <w:jc w:val="center"/>
            </w:pPr>
          </w:p>
        </w:tc>
      </w:tr>
      <w:tr w:rsidR="001F6BA8" w14:paraId="62C00970" w14:textId="77777777" w:rsidTr="001F6BA8">
        <w:trPr>
          <w:trHeight w:val="33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DDEA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6E5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2B19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45A" w14:textId="77777777" w:rsidR="001F6BA8" w:rsidRDefault="001F6BA8" w:rsidP="00E77A68">
            <w:pPr>
              <w:jc w:val="center"/>
            </w:pPr>
          </w:p>
        </w:tc>
      </w:tr>
      <w:tr w:rsidR="001F6BA8" w14:paraId="104454A4" w14:textId="77777777" w:rsidTr="001F6BA8">
        <w:trPr>
          <w:trHeight w:val="4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FA8E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6DD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111A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CBE" w14:textId="77777777" w:rsidR="001F6BA8" w:rsidRDefault="001F6BA8" w:rsidP="00E77A68">
            <w:pPr>
              <w:jc w:val="center"/>
            </w:pPr>
          </w:p>
        </w:tc>
      </w:tr>
      <w:tr w:rsidR="001F6BA8" w14:paraId="29876A5A" w14:textId="77777777" w:rsidTr="001F6BA8">
        <w:trPr>
          <w:trHeight w:val="1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339" w14:textId="77777777" w:rsidR="001F6BA8" w:rsidRDefault="001F6BA8" w:rsidP="00E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BA9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6F2" w14:textId="77777777" w:rsidR="001F6BA8" w:rsidRDefault="001F6BA8" w:rsidP="00E7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8F9" w14:textId="77777777" w:rsidR="001F6BA8" w:rsidRDefault="001F6BA8" w:rsidP="00E77A68">
            <w:pPr>
              <w:jc w:val="center"/>
            </w:pPr>
          </w:p>
        </w:tc>
      </w:tr>
    </w:tbl>
    <w:p w14:paraId="4D0CA7F6" w14:textId="77777777" w:rsidR="001F6BA8" w:rsidRDefault="001F6BA8" w:rsidP="001F6BA8">
      <w:pPr>
        <w:pStyle w:val="Normlnywebov"/>
        <w:spacing w:before="0" w:beforeAutospacing="0" w:after="0" w:afterAutospacing="0"/>
        <w:rPr>
          <w:b/>
          <w:bCs/>
        </w:rPr>
      </w:pPr>
    </w:p>
    <w:p w14:paraId="609DB89B" w14:textId="3EC2AA50" w:rsidR="001F3091" w:rsidRPr="00B62388" w:rsidRDefault="001F6BA8" w:rsidP="001F6BA8">
      <w:pPr>
        <w:pStyle w:val="Normlnywebov"/>
        <w:spacing w:before="0" w:beforeAutospacing="0" w:after="0" w:afterAutospacing="0"/>
      </w:pPr>
      <w:r w:rsidRPr="00B62388">
        <w:rPr>
          <w:b/>
          <w:bCs/>
          <w:sz w:val="16"/>
          <w:szCs w:val="16"/>
        </w:rPr>
        <w:t xml:space="preserve"> </w:t>
      </w:r>
      <w:r w:rsidR="00C07284" w:rsidRPr="00B62388">
        <w:rPr>
          <w:b/>
          <w:bCs/>
          <w:sz w:val="16"/>
          <w:szCs w:val="16"/>
        </w:rPr>
        <w:t>*</w:t>
      </w:r>
      <w:r w:rsidR="00C07284" w:rsidRPr="00B62388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DBFFC09" w14:textId="5A1CDBE9" w:rsidR="001F3091" w:rsidRDefault="001F3091" w:rsidP="00925E87">
      <w:pPr>
        <w:spacing w:line="276" w:lineRule="auto"/>
      </w:pPr>
    </w:p>
    <w:p w14:paraId="6934A40F" w14:textId="77777777" w:rsidR="001D6B23" w:rsidRPr="00B62388" w:rsidRDefault="00544D26" w:rsidP="001F6BA8">
      <w:pPr>
        <w:jc w:val="both"/>
        <w:rPr>
          <w:b/>
          <w:bCs/>
          <w:u w:val="single"/>
        </w:rPr>
      </w:pPr>
      <w:r w:rsidRPr="00B62388">
        <w:rPr>
          <w:b/>
          <w:bCs/>
          <w:u w:val="single"/>
        </w:rPr>
        <w:lastRenderedPageBreak/>
        <w:t xml:space="preserve">B. </w:t>
      </w:r>
      <w:r w:rsidR="00C07284" w:rsidRPr="00B62388">
        <w:rPr>
          <w:b/>
          <w:bCs/>
          <w:u w:val="single"/>
        </w:rPr>
        <w:t>Osobitná časť</w:t>
      </w:r>
    </w:p>
    <w:p w14:paraId="2386B588" w14:textId="77777777" w:rsidR="001D6B23" w:rsidRPr="00B62388" w:rsidRDefault="001D6B23" w:rsidP="001F6BA8">
      <w:pPr>
        <w:jc w:val="both"/>
        <w:rPr>
          <w:b/>
        </w:rPr>
      </w:pPr>
    </w:p>
    <w:p w14:paraId="01EEF355" w14:textId="77777777" w:rsidR="001D6B23" w:rsidRPr="00B62388" w:rsidRDefault="00C07284" w:rsidP="001F6BA8">
      <w:pPr>
        <w:ind w:firstLine="708"/>
        <w:jc w:val="both"/>
        <w:rPr>
          <w:b/>
        </w:rPr>
      </w:pPr>
      <w:r w:rsidRPr="00B62388">
        <w:rPr>
          <w:b/>
        </w:rPr>
        <w:t>K čl. I</w:t>
      </w:r>
    </w:p>
    <w:p w14:paraId="46F9BDF3" w14:textId="77777777" w:rsidR="001D6B23" w:rsidRDefault="001D6B23" w:rsidP="001F6BA8">
      <w:pPr>
        <w:jc w:val="both"/>
        <w:rPr>
          <w:b/>
          <w:u w:val="single"/>
        </w:rPr>
      </w:pPr>
    </w:p>
    <w:p w14:paraId="75F8E459" w14:textId="77777777" w:rsidR="004E7DC0" w:rsidRPr="004E7DC0" w:rsidRDefault="004E7DC0" w:rsidP="001F6BA8">
      <w:pPr>
        <w:ind w:firstLine="708"/>
        <w:jc w:val="both"/>
        <w:rPr>
          <w:b/>
        </w:rPr>
      </w:pPr>
      <w:r w:rsidRPr="00925E87">
        <w:rPr>
          <w:b/>
        </w:rPr>
        <w:t>K bodu 1</w:t>
      </w:r>
    </w:p>
    <w:p w14:paraId="685D2FB4" w14:textId="66FE4B35" w:rsidR="003C612E" w:rsidRDefault="00B759C2" w:rsidP="001F6BA8">
      <w:pPr>
        <w:jc w:val="both"/>
      </w:pPr>
      <w:r>
        <w:tab/>
      </w:r>
      <w:r w:rsidR="005A150A">
        <w:t xml:space="preserve">Navrhuje sa doplniť do ustanovenia § 3 písm. l) zákona o hospodárskej mobilizácii mimoriadnu situáciu. V § 3 sa </w:t>
      </w:r>
      <w:r w:rsidR="00F930FF">
        <w:t>upravuje</w:t>
      </w:r>
      <w:r w:rsidR="005A150A">
        <w:t xml:space="preserve"> vymedzenie základných pojmov</w:t>
      </w:r>
      <w:r w:rsidR="00F930FF">
        <w:t xml:space="preserve"> používaných v zákone</w:t>
      </w:r>
      <w:r w:rsidR="005A150A">
        <w:t>. V písm. l) sa uvádza, že na účely tohto zákona sa rozumie „</w:t>
      </w:r>
      <w:r w:rsidR="005A150A" w:rsidRPr="005A150A">
        <w:t>uchovaním výrobných schopností sústavné udržiavanie prevádzkyschopnosti výrobných, opravárenských a iných zariadení nevyhnutných na zabezpečenie výroby na náhradu spotreby, strát a opráv výzbroje a techniky ozbrojených síl, ozbrojených bezpečnostných zborov a záchranných zložiek v čase vojny, vojnového stavu, výnimočn</w:t>
      </w:r>
      <w:r w:rsidR="005A150A">
        <w:t xml:space="preserve">ého stavu alebo núdzového stavu“. </w:t>
      </w:r>
      <w:r w:rsidR="008B260B">
        <w:t xml:space="preserve">Vymedzenie štyroch stavov v závere ustanovenia (vojna, vojnový stav, výnimočný stav, núdzový stav) sa navrhuje nahradiť pojmom krízovej situácie, ktorý v zmysle vymedzenia v § 1 zákona o hospodárskej mobilizácii okrem týchto štyroch stavov obsahuje aj mimoriadnu situáciu </w:t>
      </w:r>
      <w:r w:rsidR="00E11B0E">
        <w:t>podľa</w:t>
      </w:r>
      <w:r w:rsidR="008B260B">
        <w:t xml:space="preserve"> zákon</w:t>
      </w:r>
      <w:r w:rsidR="0029566F">
        <w:t>a</w:t>
      </w:r>
      <w:r w:rsidR="008B260B">
        <w:t xml:space="preserve"> Národnej rady Slovenskej republiky č. 42/1994 Z. z o civilnej ochrane obyvateľstva (viď Všeobecná časť dôvodovej správy). </w:t>
      </w:r>
    </w:p>
    <w:p w14:paraId="59FBF284" w14:textId="77777777" w:rsidR="004E7DC0" w:rsidRDefault="004E7DC0" w:rsidP="001F6BA8">
      <w:pPr>
        <w:jc w:val="both"/>
      </w:pPr>
    </w:p>
    <w:p w14:paraId="3193A1E6" w14:textId="77777777" w:rsidR="004E7DC0" w:rsidRPr="00725500" w:rsidRDefault="004E7DC0" w:rsidP="001F6BA8">
      <w:pPr>
        <w:ind w:firstLine="708"/>
        <w:jc w:val="both"/>
        <w:rPr>
          <w:b/>
        </w:rPr>
      </w:pPr>
      <w:r w:rsidRPr="00925E87">
        <w:rPr>
          <w:b/>
        </w:rPr>
        <w:t>K bodu 2</w:t>
      </w:r>
    </w:p>
    <w:p w14:paraId="07B6B645" w14:textId="7FA4F1D5" w:rsidR="003C612E" w:rsidRPr="00925E87" w:rsidRDefault="005A150A" w:rsidP="001F6BA8">
      <w:pPr>
        <w:jc w:val="both"/>
      </w:pPr>
      <w:r w:rsidRPr="002F7D05">
        <w:tab/>
      </w:r>
      <w:r w:rsidR="0075626E" w:rsidRPr="002F7D05">
        <w:t xml:space="preserve"> </w:t>
      </w:r>
      <w:r w:rsidR="0029566F" w:rsidRPr="00F95956">
        <w:t>V</w:t>
      </w:r>
      <w:r w:rsidR="0029566F" w:rsidRPr="000838E7">
        <w:t xml:space="preserve"> súčasnom </w:t>
      </w:r>
      <w:r w:rsidR="0029566F" w:rsidRPr="00925E87">
        <w:t xml:space="preserve">znení ustanovenia </w:t>
      </w:r>
      <w:r w:rsidR="008B260B" w:rsidRPr="00925E87">
        <w:t>§ 3 písm. r</w:t>
      </w:r>
      <w:r w:rsidR="0029566F" w:rsidRPr="00925E87">
        <w:t xml:space="preserve">) sa v prvom aj druhom bode navrhuje vypustiť </w:t>
      </w:r>
      <w:r w:rsidR="00E11B0E">
        <w:t xml:space="preserve">slovné </w:t>
      </w:r>
      <w:r w:rsidR="0029566F" w:rsidRPr="00925E87">
        <w:t xml:space="preserve">spojenie „v období krízovej situácie“, pretože ide o vnútorný rozpor zákona, konkrétne </w:t>
      </w:r>
      <w:r w:rsidR="000838E7">
        <w:t xml:space="preserve">rozpor </w:t>
      </w:r>
      <w:r w:rsidR="0029566F" w:rsidRPr="000838E7">
        <w:t>s § 7 ods</w:t>
      </w:r>
      <w:r w:rsidR="00E11B0E">
        <w:t>.</w:t>
      </w:r>
      <w:r w:rsidR="0029566F" w:rsidRPr="000838E7">
        <w:t xml:space="preserve"> 1.</w:t>
      </w:r>
      <w:r w:rsidR="00E11B0E">
        <w:t>.</w:t>
      </w:r>
      <w:r w:rsidR="0029566F" w:rsidRPr="000838E7">
        <w:t xml:space="preserve"> Organizácia zdravotníckeho zabezpečenia je opatrením hospodárskej mobilizácie pod</w:t>
      </w:r>
      <w:r w:rsidR="0029566F" w:rsidRPr="00925E87">
        <w:t xml:space="preserve">ľa § 5 písm. g). Podľa § 7 ods. 1 sa toto opatrenie vykonáva už v stave bezpečnosti. Uvádzanie obdobia krízovej situácie v § 3 písm. r) je tak legislatívnou chybou, ktorá sa týmto odstraňuje. </w:t>
      </w:r>
    </w:p>
    <w:p w14:paraId="077B3403" w14:textId="77777777" w:rsidR="004E7DC0" w:rsidRPr="00925E87" w:rsidRDefault="004E7DC0" w:rsidP="001F6BA8">
      <w:pPr>
        <w:jc w:val="both"/>
      </w:pPr>
    </w:p>
    <w:p w14:paraId="1C86FA62" w14:textId="77777777" w:rsidR="004E7DC0" w:rsidRPr="00725500" w:rsidRDefault="004E7DC0" w:rsidP="001F6BA8">
      <w:pPr>
        <w:ind w:firstLine="708"/>
        <w:jc w:val="both"/>
        <w:rPr>
          <w:b/>
        </w:rPr>
      </w:pPr>
      <w:r w:rsidRPr="00925E87">
        <w:rPr>
          <w:b/>
        </w:rPr>
        <w:t>K bodu 3</w:t>
      </w:r>
    </w:p>
    <w:p w14:paraId="01404A49" w14:textId="04836798" w:rsidR="008B260B" w:rsidRPr="00925E87" w:rsidRDefault="000B6031" w:rsidP="001F6BA8">
      <w:pPr>
        <w:jc w:val="both"/>
      </w:pPr>
      <w:r w:rsidRPr="002F7D05">
        <w:tab/>
      </w:r>
      <w:r w:rsidR="00725500" w:rsidRPr="002F7D05">
        <w:t xml:space="preserve">Ustanovenie </w:t>
      </w:r>
      <w:r w:rsidR="00725500" w:rsidRPr="00F95956">
        <w:t xml:space="preserve">§ 11 písm. d) </w:t>
      </w:r>
      <w:r w:rsidR="00725500" w:rsidRPr="000838E7">
        <w:t>počíta s </w:t>
      </w:r>
      <w:r w:rsidR="00725500" w:rsidRPr="00925E87">
        <w:t>koordináciou organizácie zdravotníckeho zabezpečenia zo strany ministerstva obrany</w:t>
      </w:r>
      <w:r w:rsidR="00E11B0E">
        <w:t>, u</w:t>
      </w:r>
      <w:r w:rsidR="00725500" w:rsidRPr="00925E87">
        <w:t>stanovenie § 12 písm. e) zase s koordináciou zdravotníckeho zabezpečenia zo strany ministerstva vnútra, pričom v oboch prípadoch ide o zdravotnícke zariadenia, ktoré sú určenými subjektmi hospodárskej mobilizácie daným ministerstvom. V rámci aplikačnej praxe v súvislosti s financovaním opatrení hospodárskej mobilizácie v pandémii COVID-19 sa ukázalo, že v dôsledku súčasného znenia zákona bola finančná zodpovednosť za realizáciu daného opatrenia hospodárskej mobilizácie výlučne na ministerstve zdravotníctva na</w:t>
      </w:r>
      <w:r w:rsidR="00E11B0E">
        <w:t>priek</w:t>
      </w:r>
      <w:r w:rsidR="00725500" w:rsidRPr="00925E87">
        <w:t xml:space="preserve"> tomu, že dané opatrenie zastrešovali aj ostatné dve ministerstvá a museli tak jeho financovanie riešiť skrz ministerstvo zdravotníctva, čo v aplikačnej praxi spôsobilo problémy. Návrh uvedeného bodu tento problém do budúcna odstraňuje. </w:t>
      </w:r>
    </w:p>
    <w:p w14:paraId="1A6E8D57" w14:textId="77777777" w:rsidR="008B260B" w:rsidRPr="00925E87" w:rsidRDefault="008B260B" w:rsidP="001F6BA8">
      <w:pPr>
        <w:jc w:val="both"/>
      </w:pPr>
    </w:p>
    <w:p w14:paraId="1E310CA3" w14:textId="77777777" w:rsidR="008B260B" w:rsidRPr="008B260B" w:rsidRDefault="008B260B" w:rsidP="001F6BA8">
      <w:pPr>
        <w:ind w:firstLine="708"/>
        <w:jc w:val="both"/>
        <w:rPr>
          <w:b/>
        </w:rPr>
      </w:pPr>
      <w:r w:rsidRPr="00925E87">
        <w:rPr>
          <w:b/>
        </w:rPr>
        <w:t>K bodu 4</w:t>
      </w:r>
    </w:p>
    <w:p w14:paraId="5ABE99E0" w14:textId="77777777" w:rsidR="004E7DC0" w:rsidRDefault="008B260B" w:rsidP="001F6BA8">
      <w:pPr>
        <w:ind w:firstLine="708"/>
        <w:jc w:val="both"/>
      </w:pPr>
      <w:r>
        <w:t>Navrhuje sa v ustanovení</w:t>
      </w:r>
      <w:r w:rsidR="000B6031">
        <w:t xml:space="preserve"> § 7 ods. 4 </w:t>
      </w:r>
      <w:r>
        <w:t xml:space="preserve">umožniť vykonávanie opatrení hospodárskej mobilizácie s výnimkou pracovnej povinnosti aj počas núdzového stavu. </w:t>
      </w:r>
      <w:r w:rsidR="00B85D3E">
        <w:t>V § 7 je</w:t>
      </w:r>
      <w:r w:rsidR="000B6031">
        <w:t xml:space="preserve"> upravené vykonávanie opatrení hospodárskej mobilizácie. </w:t>
      </w:r>
    </w:p>
    <w:p w14:paraId="5D220199" w14:textId="64F893CF" w:rsidR="000B6031" w:rsidRDefault="000B6031" w:rsidP="001F6BA8">
      <w:pPr>
        <w:jc w:val="both"/>
      </w:pPr>
      <w:r>
        <w:tab/>
      </w:r>
      <w:r w:rsidR="00A3520F">
        <w:t xml:space="preserve">Ustanovenie </w:t>
      </w:r>
      <w:r>
        <w:t>§ 7 ods. 4 umožňuje vláde na návrh ministerstva hospodárstva „</w:t>
      </w:r>
      <w:r w:rsidRPr="000B6031">
        <w:t>nariadiť na celom území alebo na časti územia Slovenskej republiky, okrem opatrení hospodárskej mobilizácie podľa § 5, ktoré sa vykonávajú už v stave bezpečnosti, aj vykonávanie opatrení hospodárskej mobilizácie podľa § 5 písm. b), c), h), k), o), p), r), t), v) a § 5 písm. e) na účely vyhlásenia konkrétnych mimoriadnych regulačných opatrení</w:t>
      </w:r>
      <w:r>
        <w:t>“. Ide konkrétne o tieto opatrenia hospodárskej mobilizácie podľa § 5:</w:t>
      </w:r>
    </w:p>
    <w:p w14:paraId="7CA43D38" w14:textId="77777777" w:rsidR="000B6031" w:rsidRDefault="000B6031" w:rsidP="001F6BA8">
      <w:pPr>
        <w:ind w:left="708"/>
        <w:jc w:val="both"/>
      </w:pPr>
      <w:r>
        <w:t>b) organizácia výroby a organizácia služieb,</w:t>
      </w:r>
    </w:p>
    <w:p w14:paraId="43CD8A19" w14:textId="77777777" w:rsidR="000B6031" w:rsidRDefault="000B6031" w:rsidP="001F6BA8">
      <w:pPr>
        <w:ind w:left="708"/>
        <w:jc w:val="both"/>
      </w:pPr>
      <w:r>
        <w:lastRenderedPageBreak/>
        <w:t>c) regulácia rozvodu a spotreby elektriny a tepla a regulácia distribúcie a spotreby plynu,</w:t>
      </w:r>
    </w:p>
    <w:p w14:paraId="3F37CB8E" w14:textId="77777777" w:rsidR="000B6031" w:rsidRDefault="000B6031" w:rsidP="001F6BA8">
      <w:pPr>
        <w:ind w:left="708"/>
        <w:jc w:val="both"/>
      </w:pPr>
      <w:r w:rsidRPr="000B6031">
        <w:t>e) organizácia dodávok životne dôležitých tovarov a ich predaj s využitím mimoriadnych regulačných opatrení,</w:t>
      </w:r>
    </w:p>
    <w:p w14:paraId="5A88E4B2" w14:textId="77777777" w:rsidR="000B6031" w:rsidRDefault="000B6031" w:rsidP="001F6BA8">
      <w:pPr>
        <w:ind w:left="708"/>
        <w:jc w:val="both"/>
      </w:pPr>
      <w:r>
        <w:t>h) organizácia dopravného zabezpečenia,</w:t>
      </w:r>
    </w:p>
    <w:p w14:paraId="50BA5FE6" w14:textId="77777777" w:rsidR="000B6031" w:rsidRDefault="000B6031" w:rsidP="001F6BA8">
      <w:pPr>
        <w:ind w:left="708"/>
        <w:jc w:val="both"/>
      </w:pPr>
      <w:r>
        <w:t>k) organizácia veterinárnej starostlivosti,</w:t>
      </w:r>
    </w:p>
    <w:p w14:paraId="18FDCF3A" w14:textId="77777777" w:rsidR="000B6031" w:rsidRDefault="000B6031" w:rsidP="001F6BA8">
      <w:pPr>
        <w:ind w:left="708"/>
        <w:jc w:val="both"/>
      </w:pPr>
      <w:r>
        <w:t>o) použitie štátnych hmotných rezerv, ak osobit</w:t>
      </w:r>
      <w:r w:rsidR="00412EB7">
        <w:t>ný predpis neustanovuje inak,</w:t>
      </w:r>
    </w:p>
    <w:p w14:paraId="5C03A149" w14:textId="77777777" w:rsidR="000B6031" w:rsidRDefault="000B6031" w:rsidP="001F6BA8">
      <w:pPr>
        <w:ind w:left="708"/>
        <w:jc w:val="both"/>
      </w:pPr>
      <w:r>
        <w:t>p) riešenie stavu ropnej núdze, ak osobit</w:t>
      </w:r>
      <w:r w:rsidR="00412EB7">
        <w:t>ný predpis neustanovuje inak,</w:t>
      </w:r>
    </w:p>
    <w:p w14:paraId="124F56B9" w14:textId="77777777" w:rsidR="000B6031" w:rsidRDefault="000B6031" w:rsidP="001F6BA8">
      <w:pPr>
        <w:ind w:left="708"/>
        <w:jc w:val="both"/>
      </w:pPr>
      <w:r>
        <w:t>r) pracovná povinnosť,</w:t>
      </w:r>
    </w:p>
    <w:p w14:paraId="08BEAB96" w14:textId="77777777" w:rsidR="000B6031" w:rsidRDefault="000B6031" w:rsidP="001F6BA8">
      <w:pPr>
        <w:ind w:left="708"/>
        <w:jc w:val="both"/>
      </w:pPr>
      <w:r>
        <w:t>t) vecné plnenie,</w:t>
      </w:r>
    </w:p>
    <w:p w14:paraId="15C94BB2" w14:textId="7983F206" w:rsidR="000B6031" w:rsidRDefault="000B6031" w:rsidP="001F6BA8">
      <w:pPr>
        <w:ind w:left="708"/>
        <w:jc w:val="both"/>
      </w:pPr>
      <w:r>
        <w:t>v) poskytnutie vysielacieho času potrebného na informovanie verejnosti o krízovej situácii a o opatreniach potrebných na riešenie krízovej situácie ministerstvu tak, aby bola informácia dostupná všetkým osobám vrátane osôb</w:t>
      </w:r>
      <w:r w:rsidR="00412EB7">
        <w:t xml:space="preserve"> odkázaných na posunkovú reč</w:t>
      </w:r>
      <w:r w:rsidR="0029566F">
        <w:t>.</w:t>
      </w:r>
    </w:p>
    <w:p w14:paraId="6669B9F6" w14:textId="31662A2F" w:rsidR="008B260B" w:rsidRDefault="00717A43" w:rsidP="001F6BA8">
      <w:pPr>
        <w:ind w:firstLine="708"/>
        <w:jc w:val="both"/>
      </w:pPr>
      <w:r>
        <w:t>Podľa súčasne</w:t>
      </w:r>
      <w:r w:rsidR="00412EB7">
        <w:t xml:space="preserve"> platného </w:t>
      </w:r>
      <w:r>
        <w:t xml:space="preserve">právneho </w:t>
      </w:r>
      <w:r w:rsidR="00412EB7">
        <w:t xml:space="preserve">stavu môže vláda tieto opatrenia </w:t>
      </w:r>
      <w:r>
        <w:t xml:space="preserve">hospodárskej mobilizácie </w:t>
      </w:r>
      <w:r w:rsidR="00412EB7">
        <w:t>nariadiť iba v čase výnimočného stavu alebo núdzového stavu</w:t>
      </w:r>
      <w:r w:rsidR="008B260B">
        <w:t>. Navrhuje sa doplniť ustanovenie § 7 ods.</w:t>
      </w:r>
      <w:r w:rsidR="00987527">
        <w:t xml:space="preserve"> 4 druhou vetou, ktorá umožní vláde nariadiť počas mimoriadnej situácie rovnaké opatrenia hospodárskej mobilizácie, ktoré sú v súčasnom znení § 7 ods. 4 vymedzené pre núdzový stav a výnimočný stav. Výnimkou je pracovná povinnosť, ktorá sa podľa návrhu bude naďalej viazať len na núdzový stav alebo výnimočný stav a nebude ju možné nariadiť počas mimoriadnej situácie.</w:t>
      </w:r>
    </w:p>
    <w:p w14:paraId="01100B75" w14:textId="4029DAD5" w:rsidR="00987527" w:rsidRDefault="00412EB7" w:rsidP="001F6BA8">
      <w:pPr>
        <w:ind w:firstLine="708"/>
        <w:jc w:val="both"/>
      </w:pPr>
      <w:r>
        <w:t>Niektoré z opatrení hospodárskej mobilizácie možno vykonávať aj v čase bezpečnosti, nie sú viaza</w:t>
      </w:r>
      <w:r w:rsidR="00963A01">
        <w:t>né na núdzový stav</w:t>
      </w:r>
      <w:r>
        <w:t>, ani na mimoriadnu situáciu</w:t>
      </w:r>
      <w:r w:rsidR="00104458">
        <w:t>, ani na žiadny iný stav krízovej situácie</w:t>
      </w:r>
      <w:r>
        <w:t xml:space="preserve">. </w:t>
      </w:r>
      <w:r w:rsidR="00104458">
        <w:t xml:space="preserve">Vláda teda aj podľa súčasného právneho stavu môže v čase bezpečnosti uznesením uložiť subjektom hospodárskej mobilizácie napr. krízové plánovanie (§ 5 písm. a)), uchovávanie výrobných schopností (§ 5 písm. d)), organizáciu zdravotníckeho zabezpečenia (§ 5 písm. g)), finančné zabezpečenie (§ 5 písm. l)), organizáciu sociálneho zabezpečenia (§ 5 písm. m)), tvorbu štátnych hmotných rezerv (§ 5 písm. n)), </w:t>
      </w:r>
      <w:r w:rsidR="00E11B0E">
        <w:t xml:space="preserve">či </w:t>
      </w:r>
      <w:r w:rsidR="00104458">
        <w:t xml:space="preserve">evidenciu </w:t>
      </w:r>
      <w:r w:rsidR="00104458" w:rsidRPr="00104458">
        <w:t>ľudských zdrojov pre potreby plnenia pracovných úloh podľa osobitného predpisu</w:t>
      </w:r>
      <w:r w:rsidR="00104458">
        <w:t xml:space="preserve"> (§ 5 písm. q)</w:t>
      </w:r>
      <w:r w:rsidR="00987527">
        <w:t>)</w:t>
      </w:r>
      <w:r w:rsidR="00104458">
        <w:t>.</w:t>
      </w:r>
    </w:p>
    <w:p w14:paraId="5F9428FF" w14:textId="77777777" w:rsidR="00987527" w:rsidRDefault="00987527" w:rsidP="001F6BA8">
      <w:pPr>
        <w:ind w:firstLine="708"/>
        <w:jc w:val="both"/>
      </w:pPr>
    </w:p>
    <w:p w14:paraId="51F59FE5" w14:textId="77777777" w:rsidR="00412EB7" w:rsidRPr="00987527" w:rsidRDefault="00987527" w:rsidP="001F6BA8">
      <w:pPr>
        <w:ind w:firstLine="708"/>
        <w:jc w:val="both"/>
        <w:rPr>
          <w:b/>
        </w:rPr>
      </w:pPr>
      <w:r>
        <w:rPr>
          <w:b/>
        </w:rPr>
        <w:t>K bodu 5</w:t>
      </w:r>
    </w:p>
    <w:p w14:paraId="5703F0A7" w14:textId="093A557D" w:rsidR="00104458" w:rsidRDefault="00104458" w:rsidP="001F6BA8">
      <w:pPr>
        <w:jc w:val="both"/>
      </w:pPr>
      <w:r>
        <w:tab/>
      </w:r>
      <w:r w:rsidR="00BA42C7">
        <w:t xml:space="preserve">Ustanovenie </w:t>
      </w:r>
      <w:r>
        <w:t>§ 7 ods. 5</w:t>
      </w:r>
      <w:r w:rsidR="0082000D">
        <w:t xml:space="preserve"> umožňuje okresnému úradu v čase núdzového stavu alebo výnimočného stavu nariadiť vykonávanie niektorých opatrení hospodárskej mobilizácie, konkrétne organizáciu</w:t>
      </w:r>
      <w:r w:rsidR="0082000D" w:rsidRPr="0082000D">
        <w:t xml:space="preserve"> dodávok životne dôležitých tovarov a ich predaj s využitím mimoriadnych regulačných opatrení</w:t>
      </w:r>
      <w:r w:rsidR="0082000D">
        <w:t xml:space="preserve"> (§ 5 písm. e)), pracovnú povinnosť (§ 5 písm. r)), vecné plnenie (§ 5 písm. t)), </w:t>
      </w:r>
      <w:r w:rsidR="00560C50">
        <w:t>organizáciu výroby a organizáci</w:t>
      </w:r>
      <w:r w:rsidR="00E11B0E">
        <w:t>u</w:t>
      </w:r>
      <w:r w:rsidR="00560C50">
        <w:t xml:space="preserve"> služieb  </w:t>
      </w:r>
      <w:r w:rsidR="0082000D">
        <w:t xml:space="preserve">(§ 5 písm. b)) a môže Správe štátnych hmotných rezerv odporučiť použitie štátnych hmotných rezerv. Po schválení predkladaného návrhu zákona bude môcť okresný úrad nariaďovať tieto opatrenia </w:t>
      </w:r>
      <w:r w:rsidR="00863C4D">
        <w:t xml:space="preserve">hospodárskej mobilizácie </w:t>
      </w:r>
      <w:r w:rsidR="0082000D">
        <w:t>aj v čase mimoriadnej situácie</w:t>
      </w:r>
      <w:r w:rsidR="00BA42C7">
        <w:t xml:space="preserve"> s výnimkou pracovnej povinnosti, ktorú nie je možné ukladať v mimoriadnej situácii.</w:t>
      </w:r>
    </w:p>
    <w:p w14:paraId="4D34160D" w14:textId="77777777" w:rsidR="000B6031" w:rsidRDefault="000B6031" w:rsidP="001F6BA8">
      <w:pPr>
        <w:jc w:val="both"/>
      </w:pPr>
    </w:p>
    <w:p w14:paraId="623ED354" w14:textId="5EC01AA9" w:rsidR="004E7DC0" w:rsidRPr="00925E87" w:rsidRDefault="004E7DC0" w:rsidP="001F6BA8">
      <w:pPr>
        <w:ind w:firstLine="708"/>
        <w:jc w:val="both"/>
        <w:rPr>
          <w:b/>
        </w:rPr>
      </w:pPr>
      <w:r w:rsidRPr="00925E87">
        <w:rPr>
          <w:b/>
        </w:rPr>
        <w:t xml:space="preserve">K bodu </w:t>
      </w:r>
      <w:r w:rsidR="00404C94" w:rsidRPr="00925E87">
        <w:rPr>
          <w:b/>
        </w:rPr>
        <w:t>6</w:t>
      </w:r>
    </w:p>
    <w:p w14:paraId="1F3E18DB" w14:textId="1DEE5AAE" w:rsidR="004E7DC0" w:rsidRPr="00987527" w:rsidRDefault="0082000D" w:rsidP="001F6BA8">
      <w:pPr>
        <w:jc w:val="both"/>
        <w:rPr>
          <w:highlight w:val="yellow"/>
        </w:rPr>
      </w:pPr>
      <w:r w:rsidRPr="00925E87">
        <w:tab/>
        <w:t>Navrhuje sa viazať vykonávanie opatrení podľa § 7 ods. 6 nielen na núdzový stav a výnimočný stav, ale aj na mimoriadnu situáciu</w:t>
      </w:r>
      <w:r w:rsidR="00BB570B" w:rsidRPr="00925E87">
        <w:t>. V ustanovení § 7 ods. 6 sa vymedzuje, ktoré z opatrení hospodárskej mobilizácie vykonávajú subjekty hospodárskej mobilizácie v stave bezpečnosti a v období krízovej situácie po vyhlásení núdzového stavu alebo výnimočného stavu bez toho, aby vláda tieto opatrenia nariadila a ktoré opatrenia hospodárskej mobilizácie môže vláda v čase núdzového stavu alebo výnimočného stavu nariadiť</w:t>
      </w:r>
      <w:r w:rsidR="00BA7300" w:rsidRPr="00925E87">
        <w:t>. Po schválení navrhovanej novely</w:t>
      </w:r>
      <w:r w:rsidR="00863C4D" w:rsidRPr="00925E87">
        <w:t xml:space="preserve"> </w:t>
      </w:r>
      <w:r w:rsidR="00BB570B" w:rsidRPr="00925E87">
        <w:t xml:space="preserve">bude </w:t>
      </w:r>
      <w:r w:rsidR="00381907" w:rsidRPr="00925E87">
        <w:t>úpr</w:t>
      </w:r>
      <w:r w:rsidR="00863C4D" w:rsidRPr="00925E87">
        <w:t>ava vykonávania</w:t>
      </w:r>
      <w:r w:rsidR="00BB570B" w:rsidRPr="00925E87">
        <w:t xml:space="preserve"> tý</w:t>
      </w:r>
      <w:r w:rsidR="00863C4D" w:rsidRPr="00925E87">
        <w:t>chto opatrení rozšírená</w:t>
      </w:r>
      <w:r w:rsidR="00BB570B" w:rsidRPr="00925E87">
        <w:t xml:space="preserve"> z núdzového stavu a výnimočného stavu aj o čas mimoriadnej situácie</w:t>
      </w:r>
      <w:r w:rsidR="00BA7300">
        <w:t xml:space="preserve"> s výnimkou opatrenia podľa </w:t>
      </w:r>
      <w:r w:rsidR="00BA7300" w:rsidRPr="00F15DFC">
        <w:rPr>
          <w:shd w:val="clear" w:color="auto" w:fill="FFFFFF"/>
        </w:rPr>
        <w:t>§ 5 písm</w:t>
      </w:r>
      <w:r w:rsidR="00BA7300">
        <w:rPr>
          <w:shd w:val="clear" w:color="auto" w:fill="FFFFFF"/>
        </w:rPr>
        <w:t>. e) (</w:t>
      </w:r>
      <w:r w:rsidR="00BA7300" w:rsidRPr="00BA7300">
        <w:rPr>
          <w:shd w:val="clear" w:color="auto" w:fill="FFFFFF"/>
        </w:rPr>
        <w:t>organizácia dodávok životne dôležitých tovarov a ich predaj s využitím mimoriadnych regulačných opatrení</w:t>
      </w:r>
      <w:r w:rsidR="00BA7300">
        <w:rPr>
          <w:shd w:val="clear" w:color="auto" w:fill="FFFFFF"/>
        </w:rPr>
        <w:t xml:space="preserve">), </w:t>
      </w:r>
      <w:r w:rsidR="00BA7300" w:rsidRPr="00F15DFC">
        <w:rPr>
          <w:shd w:val="clear" w:color="auto" w:fill="FFFFFF"/>
        </w:rPr>
        <w:t>§ 5 písm</w:t>
      </w:r>
      <w:r w:rsidR="00BA7300">
        <w:rPr>
          <w:shd w:val="clear" w:color="auto" w:fill="FFFFFF"/>
        </w:rPr>
        <w:t>. i) (</w:t>
      </w:r>
      <w:r w:rsidR="00BA7300" w:rsidRPr="00BA7300">
        <w:rPr>
          <w:shd w:val="clear" w:color="auto" w:fill="FFFFFF"/>
        </w:rPr>
        <w:t>ochrana životne dôležitých zdrojov</w:t>
      </w:r>
      <w:r w:rsidR="00BA7300">
        <w:rPr>
          <w:shd w:val="clear" w:color="auto" w:fill="FFFFFF"/>
        </w:rPr>
        <w:t xml:space="preserve">) a </w:t>
      </w:r>
      <w:r w:rsidR="00BA7300" w:rsidRPr="00F15DFC">
        <w:rPr>
          <w:shd w:val="clear" w:color="auto" w:fill="FFFFFF"/>
        </w:rPr>
        <w:t>§ 5 písm</w:t>
      </w:r>
      <w:r w:rsidR="00BA7300">
        <w:rPr>
          <w:shd w:val="clear" w:color="auto" w:fill="FFFFFF"/>
        </w:rPr>
        <w:t>. y)</w:t>
      </w:r>
      <w:r w:rsidR="008C48CB">
        <w:rPr>
          <w:shd w:val="clear" w:color="auto" w:fill="FFFFFF"/>
        </w:rPr>
        <w:t xml:space="preserve"> </w:t>
      </w:r>
      <w:r w:rsidR="00BA7300">
        <w:rPr>
          <w:shd w:val="clear" w:color="auto" w:fill="FFFFFF"/>
        </w:rPr>
        <w:t>(</w:t>
      </w:r>
      <w:r w:rsidR="00BA7300" w:rsidRPr="00BA7300">
        <w:rPr>
          <w:shd w:val="clear" w:color="auto" w:fill="FFFFFF"/>
        </w:rPr>
        <w:t xml:space="preserve">ochrana </w:t>
      </w:r>
      <w:r w:rsidR="00BA7300" w:rsidRPr="00BA7300">
        <w:rPr>
          <w:shd w:val="clear" w:color="auto" w:fill="FFFFFF"/>
        </w:rPr>
        <w:lastRenderedPageBreak/>
        <w:t>objektov osobitnej dôležitosti a ďalších dôležitých objektov</w:t>
      </w:r>
      <w:r w:rsidR="00BA7300">
        <w:rPr>
          <w:shd w:val="clear" w:color="auto" w:fill="FFFFFF"/>
        </w:rPr>
        <w:t>), ktoré sa majú a aj budú naďalej nariaďovať až v núdzovom stave alebo výnimočnom stave.</w:t>
      </w:r>
    </w:p>
    <w:p w14:paraId="2C4C4D25" w14:textId="77777777" w:rsidR="00BB570B" w:rsidRPr="00987527" w:rsidRDefault="00BB570B" w:rsidP="001F6BA8">
      <w:pPr>
        <w:jc w:val="both"/>
        <w:rPr>
          <w:highlight w:val="yellow"/>
        </w:rPr>
      </w:pPr>
    </w:p>
    <w:p w14:paraId="06385824" w14:textId="0D66DDD7" w:rsidR="004E7DC0" w:rsidRPr="00925E87" w:rsidRDefault="004E7DC0" w:rsidP="001F6BA8">
      <w:pPr>
        <w:ind w:firstLine="708"/>
        <w:jc w:val="both"/>
        <w:rPr>
          <w:b/>
        </w:rPr>
      </w:pPr>
      <w:r w:rsidRPr="00925E87">
        <w:rPr>
          <w:b/>
        </w:rPr>
        <w:t xml:space="preserve">K bodu </w:t>
      </w:r>
      <w:r w:rsidR="00404C94" w:rsidRPr="00925E87">
        <w:rPr>
          <w:b/>
        </w:rPr>
        <w:t>7</w:t>
      </w:r>
    </w:p>
    <w:p w14:paraId="3A9A0C6F" w14:textId="57E46D5C" w:rsidR="00BB570B" w:rsidRPr="00925E87" w:rsidRDefault="004E7DC0" w:rsidP="001F6BA8">
      <w:pPr>
        <w:jc w:val="both"/>
      </w:pPr>
      <w:r w:rsidRPr="00925E87">
        <w:tab/>
      </w:r>
      <w:r w:rsidR="00BA7300">
        <w:t xml:space="preserve">Ustanovenie </w:t>
      </w:r>
      <w:r w:rsidR="00BB570B" w:rsidRPr="00925E87">
        <w:t xml:space="preserve">§ 7 ods. 10 zákona upravuje získavanie, spracovanie a uchovávanie osobných údajov na účely vykonávania opatrení hospodárskej mobilizácie vrátane vyrozumenia subjektu hospodárskej mobilizácie o vyhlásení núdzového stavu, výnimočného stavu, vojnového stavu a vypovedaní vojny alebo o nariadení vykonávania opatrení hospodárskej mobilizácie. Navrhovaným </w:t>
      </w:r>
      <w:r w:rsidR="00BA7300">
        <w:t>ustanovením</w:t>
      </w:r>
      <w:r w:rsidR="00BB570B" w:rsidRPr="00925E87">
        <w:t xml:space="preserve"> sa bude toto ustanovenie vzťahovať a</w:t>
      </w:r>
      <w:r w:rsidR="00E11B0E">
        <w:t>j</w:t>
      </w:r>
      <w:r w:rsidR="00BB570B" w:rsidRPr="00925E87">
        <w:t xml:space="preserve"> na vyhlásenie mimoriadnej situácie.  </w:t>
      </w:r>
    </w:p>
    <w:p w14:paraId="42DBD05F" w14:textId="77777777" w:rsidR="004E7DC0" w:rsidRPr="00987527" w:rsidRDefault="004E7DC0" w:rsidP="001F6BA8">
      <w:pPr>
        <w:jc w:val="both"/>
        <w:rPr>
          <w:highlight w:val="yellow"/>
        </w:rPr>
      </w:pPr>
    </w:p>
    <w:p w14:paraId="05D5A262" w14:textId="4D7B125D" w:rsidR="004E7DC0" w:rsidRPr="00925E87" w:rsidRDefault="004E7DC0" w:rsidP="001F6BA8">
      <w:pPr>
        <w:ind w:firstLine="708"/>
        <w:jc w:val="both"/>
        <w:rPr>
          <w:b/>
        </w:rPr>
      </w:pPr>
      <w:r w:rsidRPr="00925E87">
        <w:rPr>
          <w:b/>
        </w:rPr>
        <w:t xml:space="preserve">K bodu </w:t>
      </w:r>
      <w:r w:rsidR="00404C94" w:rsidRPr="00925E87">
        <w:rPr>
          <w:b/>
        </w:rPr>
        <w:t>8</w:t>
      </w:r>
    </w:p>
    <w:p w14:paraId="6FC34338" w14:textId="423FD705" w:rsidR="004E7DC0" w:rsidRDefault="004E7DC0" w:rsidP="001F6BA8">
      <w:pPr>
        <w:jc w:val="both"/>
      </w:pPr>
      <w:r w:rsidRPr="00925E87">
        <w:tab/>
      </w:r>
      <w:r w:rsidR="00BA7300">
        <w:t xml:space="preserve">Ustanovenie </w:t>
      </w:r>
      <w:r w:rsidR="004B7A9F" w:rsidRPr="00925E87">
        <w:t>§ 11 písm. a) zákona umožňuje ministerstvu obrany uplatňovať požiadavky ozbrojených síl na dopĺňanie strát a spotreby v čase vojny, vojnového stavu, výnimočného stavu alebo núdzového stavu na subjektoch hospodárskej mobilizácie. Navrhuje sa, aby sa takáto možnosť vzťahovala aj na mimoriadnu situáciu.</w:t>
      </w:r>
    </w:p>
    <w:p w14:paraId="02B1309E" w14:textId="77777777" w:rsidR="003C2CF3" w:rsidRDefault="003C2CF3" w:rsidP="001F6BA8">
      <w:pPr>
        <w:jc w:val="both"/>
      </w:pPr>
    </w:p>
    <w:p w14:paraId="62A2BD9E" w14:textId="02FB1B7F" w:rsidR="003C2CF3" w:rsidRDefault="003C2CF3" w:rsidP="001F6BA8">
      <w:pPr>
        <w:ind w:firstLine="708"/>
        <w:jc w:val="both"/>
        <w:rPr>
          <w:b/>
        </w:rPr>
      </w:pPr>
      <w:r w:rsidRPr="00925E87">
        <w:rPr>
          <w:b/>
        </w:rPr>
        <w:t>K čl. II</w:t>
      </w:r>
    </w:p>
    <w:p w14:paraId="765A8584" w14:textId="3E7640C3" w:rsidR="002F7D05" w:rsidRPr="00925E87" w:rsidRDefault="002F7D05" w:rsidP="001F6BA8">
      <w:pPr>
        <w:jc w:val="both"/>
        <w:rPr>
          <w:bCs/>
        </w:rPr>
      </w:pPr>
      <w:r>
        <w:rPr>
          <w:b/>
        </w:rPr>
        <w:tab/>
      </w:r>
      <w:r w:rsidRPr="00925E87">
        <w:rPr>
          <w:bCs/>
        </w:rPr>
        <w:t xml:space="preserve">V súvislosti so zmenou zákona </w:t>
      </w:r>
      <w:r>
        <w:rPr>
          <w:bCs/>
        </w:rPr>
        <w:t xml:space="preserve">č. 179/2011 Z. z. </w:t>
      </w:r>
      <w:r w:rsidRPr="00925E87">
        <w:rPr>
          <w:bCs/>
        </w:rPr>
        <w:t xml:space="preserve">o hospodárskej mobilizácii </w:t>
      </w:r>
      <w:r w:rsidRPr="002F7D05">
        <w:rPr>
          <w:bCs/>
        </w:rPr>
        <w:t>a o zmene a doplnení zákona č. 387/2002 Z. z. o riadení štátu v krízových situáciách mimo času vojny a vojnového stavu v znení neskorších predpisov</w:t>
      </w:r>
      <w:r>
        <w:rPr>
          <w:bCs/>
        </w:rPr>
        <w:t xml:space="preserve"> </w:t>
      </w:r>
      <w:r w:rsidRPr="00925E87">
        <w:rPr>
          <w:bCs/>
        </w:rPr>
        <w:t xml:space="preserve">sa navrhuje aj zmena zákona </w:t>
      </w:r>
      <w:r w:rsidRPr="00DC6B41">
        <w:rPr>
          <w:lang w:bidi="sk-SK"/>
        </w:rPr>
        <w:t>č</w:t>
      </w:r>
      <w:r w:rsidRPr="00F15DFC">
        <w:rPr>
          <w:lang w:bidi="sk-SK"/>
        </w:rPr>
        <w:t>. 42/1994 Z. z.</w:t>
      </w:r>
      <w:r>
        <w:rPr>
          <w:lang w:bidi="sk-SK"/>
        </w:rPr>
        <w:t xml:space="preserve"> </w:t>
      </w:r>
      <w:r w:rsidRPr="00925E87">
        <w:rPr>
          <w:bCs/>
        </w:rPr>
        <w:t>o civilnej ochrane</w:t>
      </w:r>
      <w:r>
        <w:rPr>
          <w:bCs/>
        </w:rPr>
        <w:t xml:space="preserve"> obyvateľstva</w:t>
      </w:r>
      <w:r w:rsidRPr="00925E87">
        <w:rPr>
          <w:bCs/>
        </w:rPr>
        <w:t xml:space="preserve">. </w:t>
      </w:r>
      <w:r>
        <w:rPr>
          <w:bCs/>
        </w:rPr>
        <w:t xml:space="preserve">Navrhuje sa doplniť ustanovenie § 3b odsek 2 písmenom e) a explicitne aj v tomto zákone určiť, že sa po vyhlásení mimoriadnej situácie vykonávajú niektoré opatrenia hospodárskej mobilizácie, avšak len vtedy, ak je to vzhľadom na povahu mimoriadnej udalosti potrebné a odkázať v poznámke pod čiarou na zákon č. 179/2011 Z. z. o hospodárskej mobilizácii </w:t>
      </w:r>
      <w:r w:rsidRPr="002F7D05">
        <w:rPr>
          <w:bCs/>
        </w:rPr>
        <w:t>a o zmene a doplnení zákona č. 387/2002 Z. z. o riadení štátu v krízových situáciách mimo času vojny a vojnového stavu v znení neskorších predpisov</w:t>
      </w:r>
      <w:r>
        <w:rPr>
          <w:bCs/>
        </w:rPr>
        <w:t xml:space="preserve">. </w:t>
      </w:r>
    </w:p>
    <w:p w14:paraId="7E4FB5D9" w14:textId="77777777" w:rsidR="00B759C2" w:rsidRPr="00B802B9" w:rsidRDefault="00B759C2" w:rsidP="001F6BA8">
      <w:pPr>
        <w:jc w:val="both"/>
      </w:pPr>
    </w:p>
    <w:p w14:paraId="53004429" w14:textId="77777777" w:rsidR="001D6B23" w:rsidRPr="00F76DEE" w:rsidRDefault="00183AFA" w:rsidP="001F6BA8">
      <w:pPr>
        <w:ind w:firstLine="708"/>
        <w:jc w:val="both"/>
        <w:rPr>
          <w:b/>
        </w:rPr>
      </w:pPr>
      <w:r w:rsidRPr="00F76DEE">
        <w:rPr>
          <w:b/>
        </w:rPr>
        <w:t>K č</w:t>
      </w:r>
      <w:r w:rsidR="00B62388" w:rsidRPr="00F76DEE">
        <w:rPr>
          <w:b/>
        </w:rPr>
        <w:t>l. II</w:t>
      </w:r>
      <w:r w:rsidR="003C2CF3">
        <w:rPr>
          <w:b/>
        </w:rPr>
        <w:t>I</w:t>
      </w:r>
    </w:p>
    <w:p w14:paraId="5D9C976A" w14:textId="77777777" w:rsidR="00E54538" w:rsidRDefault="00C07284" w:rsidP="001F6BA8">
      <w:pPr>
        <w:ind w:firstLine="708"/>
        <w:jc w:val="both"/>
      </w:pPr>
      <w:r w:rsidRPr="00B918C6">
        <w:t>Navrhuje sa stanoviť účinnosť zákona dňom zverejnenia v Zbierke zákonov Slovenskej republiky.</w:t>
      </w:r>
      <w:r>
        <w:t xml:space="preserve"> </w:t>
      </w:r>
    </w:p>
    <w:p w14:paraId="5B69A07D" w14:textId="77777777" w:rsidR="001D6B23" w:rsidRDefault="001D6B23" w:rsidP="00925E87">
      <w:pPr>
        <w:spacing w:line="276" w:lineRule="auto"/>
        <w:ind w:firstLine="708"/>
        <w:jc w:val="both"/>
      </w:pPr>
    </w:p>
    <w:sectPr w:rsidR="001D6B23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5E0"/>
    <w:multiLevelType w:val="hybridMultilevel"/>
    <w:tmpl w:val="A71A07D8"/>
    <w:lvl w:ilvl="0" w:tplc="1CA8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5086BA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1068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E785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20CA9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19A4B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B7AD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E2E33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612D6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4034D4F"/>
    <w:multiLevelType w:val="hybridMultilevel"/>
    <w:tmpl w:val="F21EF5BE"/>
    <w:lvl w:ilvl="0" w:tplc="AE8CE0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42B6BA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11ED3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2300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87AF2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E0E63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4467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E02E5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44C1D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0C0347C"/>
    <w:multiLevelType w:val="hybridMultilevel"/>
    <w:tmpl w:val="482629E6"/>
    <w:lvl w:ilvl="0" w:tplc="33745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548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C0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3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AA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05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68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86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E2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241A9"/>
    <w:multiLevelType w:val="hybridMultilevel"/>
    <w:tmpl w:val="9C5C1C1C"/>
    <w:lvl w:ilvl="0" w:tplc="57864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7827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AC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A7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85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0E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48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C6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02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45C37"/>
    <w:multiLevelType w:val="hybridMultilevel"/>
    <w:tmpl w:val="35F080D8"/>
    <w:lvl w:ilvl="0" w:tplc="FF7E47C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B310DD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F014F6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1365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8724E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7AAAD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871A7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964E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EB4A1B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3C"/>
    <w:rsid w:val="00007346"/>
    <w:rsid w:val="00014ED6"/>
    <w:rsid w:val="00050159"/>
    <w:rsid w:val="00072B24"/>
    <w:rsid w:val="000838E7"/>
    <w:rsid w:val="00097D9D"/>
    <w:rsid w:val="000A5CFF"/>
    <w:rsid w:val="000B3E0C"/>
    <w:rsid w:val="000B6031"/>
    <w:rsid w:val="000F0E29"/>
    <w:rsid w:val="00104458"/>
    <w:rsid w:val="00141D1D"/>
    <w:rsid w:val="00147003"/>
    <w:rsid w:val="00161291"/>
    <w:rsid w:val="001659B2"/>
    <w:rsid w:val="00174D48"/>
    <w:rsid w:val="00177F33"/>
    <w:rsid w:val="00183AFA"/>
    <w:rsid w:val="00185F9C"/>
    <w:rsid w:val="00195C3C"/>
    <w:rsid w:val="001B1D0D"/>
    <w:rsid w:val="001B7FEC"/>
    <w:rsid w:val="001C167E"/>
    <w:rsid w:val="001D2D9F"/>
    <w:rsid w:val="001D68BF"/>
    <w:rsid w:val="001D6B23"/>
    <w:rsid w:val="001E1570"/>
    <w:rsid w:val="001E1F77"/>
    <w:rsid w:val="001E20C0"/>
    <w:rsid w:val="001F0864"/>
    <w:rsid w:val="001F277A"/>
    <w:rsid w:val="001F3091"/>
    <w:rsid w:val="001F6BA8"/>
    <w:rsid w:val="00206245"/>
    <w:rsid w:val="00211D1C"/>
    <w:rsid w:val="00213144"/>
    <w:rsid w:val="002278CF"/>
    <w:rsid w:val="0023751B"/>
    <w:rsid w:val="00244912"/>
    <w:rsid w:val="00244D16"/>
    <w:rsid w:val="002708BA"/>
    <w:rsid w:val="0029566F"/>
    <w:rsid w:val="00296758"/>
    <w:rsid w:val="002973EB"/>
    <w:rsid w:val="002B6F82"/>
    <w:rsid w:val="002E7617"/>
    <w:rsid w:val="002F7D05"/>
    <w:rsid w:val="0030411D"/>
    <w:rsid w:val="00315F76"/>
    <w:rsid w:val="00316C3B"/>
    <w:rsid w:val="00317100"/>
    <w:rsid w:val="003234A8"/>
    <w:rsid w:val="0032685A"/>
    <w:rsid w:val="00347D82"/>
    <w:rsid w:val="003524BA"/>
    <w:rsid w:val="0035486F"/>
    <w:rsid w:val="00377EAC"/>
    <w:rsid w:val="00381907"/>
    <w:rsid w:val="00382101"/>
    <w:rsid w:val="00386598"/>
    <w:rsid w:val="0039271D"/>
    <w:rsid w:val="003C2CF3"/>
    <w:rsid w:val="003C612E"/>
    <w:rsid w:val="003D51ED"/>
    <w:rsid w:val="003D6A37"/>
    <w:rsid w:val="003E7E2D"/>
    <w:rsid w:val="003F5985"/>
    <w:rsid w:val="00400880"/>
    <w:rsid w:val="00402495"/>
    <w:rsid w:val="00402BF8"/>
    <w:rsid w:val="00403CFB"/>
    <w:rsid w:val="00404C94"/>
    <w:rsid w:val="00407BFC"/>
    <w:rsid w:val="00412EB7"/>
    <w:rsid w:val="00451E12"/>
    <w:rsid w:val="00452013"/>
    <w:rsid w:val="00472E9E"/>
    <w:rsid w:val="00494166"/>
    <w:rsid w:val="004B4897"/>
    <w:rsid w:val="004B7A9F"/>
    <w:rsid w:val="004C16D2"/>
    <w:rsid w:val="004D62F1"/>
    <w:rsid w:val="004E7DC0"/>
    <w:rsid w:val="004F3431"/>
    <w:rsid w:val="00500260"/>
    <w:rsid w:val="00544D26"/>
    <w:rsid w:val="00560C50"/>
    <w:rsid w:val="00560F42"/>
    <w:rsid w:val="005954F8"/>
    <w:rsid w:val="005A150A"/>
    <w:rsid w:val="005A189A"/>
    <w:rsid w:val="005A20EF"/>
    <w:rsid w:val="005A358A"/>
    <w:rsid w:val="005A63AE"/>
    <w:rsid w:val="005E54A0"/>
    <w:rsid w:val="005F7245"/>
    <w:rsid w:val="00601431"/>
    <w:rsid w:val="00632F87"/>
    <w:rsid w:val="00637C74"/>
    <w:rsid w:val="00661D10"/>
    <w:rsid w:val="006E7BDA"/>
    <w:rsid w:val="006F6F38"/>
    <w:rsid w:val="007066A3"/>
    <w:rsid w:val="007108BC"/>
    <w:rsid w:val="00710E27"/>
    <w:rsid w:val="00711853"/>
    <w:rsid w:val="00717A43"/>
    <w:rsid w:val="00717A7E"/>
    <w:rsid w:val="00725500"/>
    <w:rsid w:val="007370C7"/>
    <w:rsid w:val="0075626E"/>
    <w:rsid w:val="00756DA4"/>
    <w:rsid w:val="00761784"/>
    <w:rsid w:val="00780E14"/>
    <w:rsid w:val="007819BF"/>
    <w:rsid w:val="007B019B"/>
    <w:rsid w:val="0082000D"/>
    <w:rsid w:val="008321A4"/>
    <w:rsid w:val="0084334D"/>
    <w:rsid w:val="008447AD"/>
    <w:rsid w:val="008455A9"/>
    <w:rsid w:val="00863509"/>
    <w:rsid w:val="00863C4D"/>
    <w:rsid w:val="008A1E82"/>
    <w:rsid w:val="008B260B"/>
    <w:rsid w:val="008C48CB"/>
    <w:rsid w:val="008D7B03"/>
    <w:rsid w:val="008E33F8"/>
    <w:rsid w:val="008F7430"/>
    <w:rsid w:val="009005AE"/>
    <w:rsid w:val="00925E87"/>
    <w:rsid w:val="009303B3"/>
    <w:rsid w:val="00933C5C"/>
    <w:rsid w:val="00934CF9"/>
    <w:rsid w:val="009436C3"/>
    <w:rsid w:val="0095221D"/>
    <w:rsid w:val="009526CF"/>
    <w:rsid w:val="00963A01"/>
    <w:rsid w:val="00967992"/>
    <w:rsid w:val="009874E5"/>
    <w:rsid w:val="00987527"/>
    <w:rsid w:val="009A35DB"/>
    <w:rsid w:val="009B4837"/>
    <w:rsid w:val="009B7793"/>
    <w:rsid w:val="009C0F18"/>
    <w:rsid w:val="009E7660"/>
    <w:rsid w:val="00A1133B"/>
    <w:rsid w:val="00A20E8D"/>
    <w:rsid w:val="00A30C39"/>
    <w:rsid w:val="00A3520F"/>
    <w:rsid w:val="00A84EDB"/>
    <w:rsid w:val="00AA0F62"/>
    <w:rsid w:val="00AA12B7"/>
    <w:rsid w:val="00AA1D2A"/>
    <w:rsid w:val="00AB6CF7"/>
    <w:rsid w:val="00AD3DDF"/>
    <w:rsid w:val="00AE645A"/>
    <w:rsid w:val="00AE7640"/>
    <w:rsid w:val="00B03D3D"/>
    <w:rsid w:val="00B12C46"/>
    <w:rsid w:val="00B24E2E"/>
    <w:rsid w:val="00B31CF4"/>
    <w:rsid w:val="00B3281A"/>
    <w:rsid w:val="00B331F8"/>
    <w:rsid w:val="00B346F2"/>
    <w:rsid w:val="00B45510"/>
    <w:rsid w:val="00B45834"/>
    <w:rsid w:val="00B53C4C"/>
    <w:rsid w:val="00B62388"/>
    <w:rsid w:val="00B709FB"/>
    <w:rsid w:val="00B759C2"/>
    <w:rsid w:val="00B802B9"/>
    <w:rsid w:val="00B80A26"/>
    <w:rsid w:val="00B85D3E"/>
    <w:rsid w:val="00B86A75"/>
    <w:rsid w:val="00B918C6"/>
    <w:rsid w:val="00B95024"/>
    <w:rsid w:val="00BA42C7"/>
    <w:rsid w:val="00BA7300"/>
    <w:rsid w:val="00BB5497"/>
    <w:rsid w:val="00BB570B"/>
    <w:rsid w:val="00BC3BDF"/>
    <w:rsid w:val="00C07284"/>
    <w:rsid w:val="00C456E0"/>
    <w:rsid w:val="00C53849"/>
    <w:rsid w:val="00C57B58"/>
    <w:rsid w:val="00C72868"/>
    <w:rsid w:val="00C8349B"/>
    <w:rsid w:val="00C845C5"/>
    <w:rsid w:val="00C900AE"/>
    <w:rsid w:val="00C96EE6"/>
    <w:rsid w:val="00CB6BCF"/>
    <w:rsid w:val="00CD578F"/>
    <w:rsid w:val="00CE6FCD"/>
    <w:rsid w:val="00D200D8"/>
    <w:rsid w:val="00D26EF0"/>
    <w:rsid w:val="00D37C1B"/>
    <w:rsid w:val="00D42644"/>
    <w:rsid w:val="00D4525A"/>
    <w:rsid w:val="00D50934"/>
    <w:rsid w:val="00D74EE2"/>
    <w:rsid w:val="00D879D1"/>
    <w:rsid w:val="00DA2BF8"/>
    <w:rsid w:val="00DB723F"/>
    <w:rsid w:val="00DC0C8D"/>
    <w:rsid w:val="00DE745E"/>
    <w:rsid w:val="00DF0BAE"/>
    <w:rsid w:val="00DF752E"/>
    <w:rsid w:val="00E0274C"/>
    <w:rsid w:val="00E02B7F"/>
    <w:rsid w:val="00E11B0E"/>
    <w:rsid w:val="00E1510A"/>
    <w:rsid w:val="00E20247"/>
    <w:rsid w:val="00E2410F"/>
    <w:rsid w:val="00E54538"/>
    <w:rsid w:val="00E64599"/>
    <w:rsid w:val="00E7037B"/>
    <w:rsid w:val="00E70805"/>
    <w:rsid w:val="00E803B8"/>
    <w:rsid w:val="00E85DC6"/>
    <w:rsid w:val="00E93632"/>
    <w:rsid w:val="00E93CA7"/>
    <w:rsid w:val="00E97946"/>
    <w:rsid w:val="00EB048F"/>
    <w:rsid w:val="00EB0893"/>
    <w:rsid w:val="00EB1B2C"/>
    <w:rsid w:val="00EB36D2"/>
    <w:rsid w:val="00ED1F9E"/>
    <w:rsid w:val="00EE6D9E"/>
    <w:rsid w:val="00F12022"/>
    <w:rsid w:val="00F46F26"/>
    <w:rsid w:val="00F54259"/>
    <w:rsid w:val="00F71F6B"/>
    <w:rsid w:val="00F76DEE"/>
    <w:rsid w:val="00F930FF"/>
    <w:rsid w:val="00F95956"/>
    <w:rsid w:val="00FB29FB"/>
    <w:rsid w:val="00FC14AE"/>
    <w:rsid w:val="00FC7C43"/>
    <w:rsid w:val="00FD0B43"/>
    <w:rsid w:val="00FE0F18"/>
    <w:rsid w:val="00FF2C69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8D6A"/>
  <w15:docId w15:val="{5E5BD28A-3E49-4AF8-ACCF-9CF8709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Predvolenpsmoodseku"/>
    <w:link w:val="Nzov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Nzov">
    <w:name w:val="Title"/>
    <w:basedOn w:val="Normlny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Dostál, Ondrej</dc:creator>
  <cp:lastModifiedBy>Andrej Pitonak</cp:lastModifiedBy>
  <cp:revision>14</cp:revision>
  <cp:lastPrinted>2010-08-16T14:49:00Z</cp:lastPrinted>
  <dcterms:created xsi:type="dcterms:W3CDTF">2021-05-11T12:37:00Z</dcterms:created>
  <dcterms:modified xsi:type="dcterms:W3CDTF">2021-05-11T13:13:00Z</dcterms:modified>
</cp:coreProperties>
</file>