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45300">
        <w:t>54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69520B">
        <w:rPr>
          <w:rFonts w:ascii="Times New Roman" w:hAnsi="Times New Roman"/>
          <w:color w:val="auto"/>
          <w:lang w:val="sk-SK"/>
        </w:rPr>
        <w:t>325</w:t>
      </w:r>
      <w:r w:rsidR="0069520B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CE088D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163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345300">
        <w:t>9</w:t>
      </w:r>
      <w:r w:rsidR="00720E42" w:rsidRPr="00B152E7">
        <w:t xml:space="preserve">. </w:t>
      </w:r>
      <w:r w:rsidR="00345300">
        <w:t xml:space="preserve">apríla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69520B" w:rsidRDefault="00720E42" w:rsidP="00901424">
      <w:pPr>
        <w:pStyle w:val="Zarkazkladnhotextu"/>
        <w:ind w:firstLine="360"/>
        <w:rPr>
          <w:rFonts w:ascii="Times New Roman" w:hAnsi="Times New Roman"/>
          <w:b/>
          <w:color w:val="000000" w:themeColor="text1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69520B" w:rsidRPr="0069520B">
        <w:rPr>
          <w:color w:val="000000" w:themeColor="text1"/>
        </w:rPr>
        <w:t xml:space="preserve">zákona, </w:t>
      </w:r>
      <w:proofErr w:type="spellStart"/>
      <w:r w:rsidR="0069520B" w:rsidRPr="0069520B">
        <w:rPr>
          <w:color w:val="000000" w:themeColor="text1"/>
        </w:rPr>
        <w:t>ktorým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sa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mení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dopĺňa</w:t>
      </w:r>
      <w:proofErr w:type="spellEnd"/>
      <w:r w:rsidR="0069520B" w:rsidRPr="0069520B">
        <w:rPr>
          <w:color w:val="000000" w:themeColor="text1"/>
        </w:rPr>
        <w:t xml:space="preserve"> zákon č. </w:t>
      </w:r>
      <w:proofErr w:type="gramStart"/>
      <w:r w:rsidR="0069520B" w:rsidRPr="0069520B">
        <w:rPr>
          <w:color w:val="000000" w:themeColor="text1"/>
        </w:rPr>
        <w:t>566/2001 Z. z. o cenných</w:t>
      </w:r>
      <w:proofErr w:type="gram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papieroch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investičných</w:t>
      </w:r>
      <w:proofErr w:type="spellEnd"/>
      <w:r w:rsidR="0069520B" w:rsidRPr="0069520B">
        <w:rPr>
          <w:color w:val="000000" w:themeColor="text1"/>
        </w:rPr>
        <w:t xml:space="preserve"> službách a o </w:t>
      </w:r>
      <w:proofErr w:type="spellStart"/>
      <w:r w:rsidR="0069520B" w:rsidRPr="0069520B">
        <w:rPr>
          <w:color w:val="000000" w:themeColor="text1"/>
        </w:rPr>
        <w:t>zmene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doplnení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niektorých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zákonov</w:t>
      </w:r>
      <w:proofErr w:type="spellEnd"/>
      <w:r w:rsidR="0069520B" w:rsidRPr="0069520B">
        <w:rPr>
          <w:color w:val="000000" w:themeColor="text1"/>
        </w:rPr>
        <w:t xml:space="preserve"> (zákon o cenných </w:t>
      </w:r>
      <w:proofErr w:type="spellStart"/>
      <w:r w:rsidR="0069520B" w:rsidRPr="0069520B">
        <w:rPr>
          <w:color w:val="000000" w:themeColor="text1"/>
        </w:rPr>
        <w:t>papieroch</w:t>
      </w:r>
      <w:proofErr w:type="spellEnd"/>
      <w:r w:rsidR="0069520B" w:rsidRPr="0069520B">
        <w:rPr>
          <w:color w:val="000000" w:themeColor="text1"/>
        </w:rPr>
        <w:t xml:space="preserve">) v </w:t>
      </w:r>
      <w:proofErr w:type="spellStart"/>
      <w:r w:rsidR="0069520B" w:rsidRPr="0069520B">
        <w:rPr>
          <w:color w:val="000000" w:themeColor="text1"/>
        </w:rPr>
        <w:t>znení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neskorších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predpisov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ktorým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sa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menia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dopĺňajú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niektoré</w:t>
      </w:r>
      <w:proofErr w:type="spellEnd"/>
      <w:r w:rsidR="0069520B" w:rsidRPr="0069520B">
        <w:rPr>
          <w:color w:val="000000" w:themeColor="text1"/>
        </w:rPr>
        <w:t xml:space="preserve"> zákony</w:t>
      </w:r>
      <w:r w:rsidR="0069520B" w:rsidRPr="0069520B">
        <w:rPr>
          <w:b/>
          <w:color w:val="000000" w:themeColor="text1"/>
        </w:rPr>
        <w:t xml:space="preserve"> (tlač 435)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69520B" w:rsidRDefault="00720E42" w:rsidP="00992331">
      <w:pPr>
        <w:pStyle w:val="Zarkazkladnhotextu"/>
        <w:ind w:firstLine="708"/>
        <w:rPr>
          <w:rFonts w:ascii="Times New Roman" w:hAnsi="Times New Roman"/>
          <w:color w:val="000000" w:themeColor="text1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</w:t>
      </w:r>
      <w:r w:rsidR="00215D21" w:rsidRPr="0069520B">
        <w:rPr>
          <w:rFonts w:ascii="Times New Roman" w:hAnsi="Times New Roman"/>
          <w:color w:val="000000" w:themeColor="text1"/>
          <w:lang w:val="sk-SK"/>
        </w:rPr>
        <w:t xml:space="preserve">návrhom </w:t>
      </w:r>
      <w:r w:rsidR="0069520B" w:rsidRPr="0069520B">
        <w:rPr>
          <w:color w:val="000000" w:themeColor="text1"/>
        </w:rPr>
        <w:t xml:space="preserve">zákona, </w:t>
      </w:r>
      <w:proofErr w:type="spellStart"/>
      <w:r w:rsidR="0069520B" w:rsidRPr="0069520B">
        <w:rPr>
          <w:color w:val="000000" w:themeColor="text1"/>
        </w:rPr>
        <w:t>ktorým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sa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mení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dopĺňa</w:t>
      </w:r>
      <w:proofErr w:type="spellEnd"/>
      <w:r w:rsidR="0069520B" w:rsidRPr="0069520B">
        <w:rPr>
          <w:color w:val="000000" w:themeColor="text1"/>
        </w:rPr>
        <w:t xml:space="preserve"> zákon č. </w:t>
      </w:r>
      <w:proofErr w:type="gramStart"/>
      <w:r w:rsidR="0069520B" w:rsidRPr="0069520B">
        <w:rPr>
          <w:color w:val="000000" w:themeColor="text1"/>
        </w:rPr>
        <w:t>566/2001 Z. z. o cenných</w:t>
      </w:r>
      <w:proofErr w:type="gram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papieroch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investičných</w:t>
      </w:r>
      <w:proofErr w:type="spellEnd"/>
      <w:r w:rsidR="0069520B" w:rsidRPr="0069520B">
        <w:rPr>
          <w:color w:val="000000" w:themeColor="text1"/>
        </w:rPr>
        <w:t xml:space="preserve"> službách a o </w:t>
      </w:r>
      <w:proofErr w:type="spellStart"/>
      <w:r w:rsidR="0069520B" w:rsidRPr="0069520B">
        <w:rPr>
          <w:color w:val="000000" w:themeColor="text1"/>
        </w:rPr>
        <w:t>zmene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doplnení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niektorých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zákonov</w:t>
      </w:r>
      <w:proofErr w:type="spellEnd"/>
      <w:r w:rsidR="0069520B" w:rsidRPr="0069520B">
        <w:rPr>
          <w:color w:val="000000" w:themeColor="text1"/>
        </w:rPr>
        <w:t xml:space="preserve"> (zákon o cenných </w:t>
      </w:r>
      <w:proofErr w:type="spellStart"/>
      <w:r w:rsidR="0069520B" w:rsidRPr="0069520B">
        <w:rPr>
          <w:color w:val="000000" w:themeColor="text1"/>
        </w:rPr>
        <w:t>papieroch</w:t>
      </w:r>
      <w:proofErr w:type="spellEnd"/>
      <w:r w:rsidR="0069520B" w:rsidRPr="0069520B">
        <w:rPr>
          <w:color w:val="000000" w:themeColor="text1"/>
        </w:rPr>
        <w:t xml:space="preserve">) v </w:t>
      </w:r>
      <w:proofErr w:type="spellStart"/>
      <w:r w:rsidR="0069520B" w:rsidRPr="0069520B">
        <w:rPr>
          <w:color w:val="000000" w:themeColor="text1"/>
        </w:rPr>
        <w:t>znení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neskorších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predpisov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ktorým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sa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menia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dopĺňajú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niektoré</w:t>
      </w:r>
      <w:proofErr w:type="spellEnd"/>
      <w:r w:rsidR="0069520B" w:rsidRPr="0069520B">
        <w:rPr>
          <w:color w:val="000000" w:themeColor="text1"/>
        </w:rPr>
        <w:t xml:space="preserve"> zákony</w:t>
      </w:r>
      <w:r w:rsidR="0069520B" w:rsidRPr="0069520B">
        <w:rPr>
          <w:b/>
          <w:color w:val="000000" w:themeColor="text1"/>
        </w:rPr>
        <w:t xml:space="preserve"> (tlač 435)</w:t>
      </w:r>
      <w:r w:rsidR="00901424" w:rsidRPr="0069520B">
        <w:rPr>
          <w:rFonts w:ascii="Times New Roman" w:hAnsi="Times New Roman"/>
          <w:b/>
          <w:color w:val="000000" w:themeColor="text1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69520B" w:rsidRPr="0069520B">
        <w:rPr>
          <w:color w:val="000000" w:themeColor="text1"/>
        </w:rPr>
        <w:t xml:space="preserve">zákona, </w:t>
      </w:r>
      <w:proofErr w:type="spellStart"/>
      <w:r w:rsidR="0069520B" w:rsidRPr="0069520B">
        <w:rPr>
          <w:color w:val="000000" w:themeColor="text1"/>
        </w:rPr>
        <w:t>ktorým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sa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mení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dopĺňa</w:t>
      </w:r>
      <w:proofErr w:type="spellEnd"/>
      <w:r w:rsidR="0069520B" w:rsidRPr="0069520B">
        <w:rPr>
          <w:color w:val="000000" w:themeColor="text1"/>
        </w:rPr>
        <w:t xml:space="preserve"> zákon č. </w:t>
      </w:r>
      <w:proofErr w:type="gramStart"/>
      <w:r w:rsidR="0069520B" w:rsidRPr="0069520B">
        <w:rPr>
          <w:color w:val="000000" w:themeColor="text1"/>
        </w:rPr>
        <w:t>566/2001 Z. z. o cenných</w:t>
      </w:r>
      <w:proofErr w:type="gram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papieroch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investičných</w:t>
      </w:r>
      <w:proofErr w:type="spellEnd"/>
      <w:r w:rsidR="0069520B" w:rsidRPr="0069520B">
        <w:rPr>
          <w:color w:val="000000" w:themeColor="text1"/>
        </w:rPr>
        <w:t xml:space="preserve"> službách a o </w:t>
      </w:r>
      <w:proofErr w:type="spellStart"/>
      <w:r w:rsidR="0069520B" w:rsidRPr="0069520B">
        <w:rPr>
          <w:color w:val="000000" w:themeColor="text1"/>
        </w:rPr>
        <w:t>zmene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doplnení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niektorých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zákonov</w:t>
      </w:r>
      <w:proofErr w:type="spellEnd"/>
      <w:r w:rsidR="0069520B" w:rsidRPr="0069520B">
        <w:rPr>
          <w:color w:val="000000" w:themeColor="text1"/>
        </w:rPr>
        <w:t xml:space="preserve"> (zákon o cenných </w:t>
      </w:r>
      <w:proofErr w:type="spellStart"/>
      <w:r w:rsidR="0069520B" w:rsidRPr="0069520B">
        <w:rPr>
          <w:color w:val="000000" w:themeColor="text1"/>
        </w:rPr>
        <w:t>papieroch</w:t>
      </w:r>
      <w:proofErr w:type="spellEnd"/>
      <w:r w:rsidR="0069520B" w:rsidRPr="0069520B">
        <w:rPr>
          <w:color w:val="000000" w:themeColor="text1"/>
        </w:rPr>
        <w:t xml:space="preserve">) v </w:t>
      </w:r>
      <w:proofErr w:type="spellStart"/>
      <w:r w:rsidR="0069520B" w:rsidRPr="0069520B">
        <w:rPr>
          <w:color w:val="000000" w:themeColor="text1"/>
        </w:rPr>
        <w:t>znení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neskorších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predpisov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ktorým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sa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menia</w:t>
      </w:r>
      <w:proofErr w:type="spellEnd"/>
      <w:r w:rsidR="0069520B" w:rsidRPr="0069520B">
        <w:rPr>
          <w:color w:val="000000" w:themeColor="text1"/>
        </w:rPr>
        <w:t xml:space="preserve"> a </w:t>
      </w:r>
      <w:proofErr w:type="spellStart"/>
      <w:r w:rsidR="0069520B" w:rsidRPr="0069520B">
        <w:rPr>
          <w:color w:val="000000" w:themeColor="text1"/>
        </w:rPr>
        <w:t>dopĺňajú</w:t>
      </w:r>
      <w:proofErr w:type="spellEnd"/>
      <w:r w:rsidR="0069520B" w:rsidRPr="0069520B">
        <w:rPr>
          <w:color w:val="000000" w:themeColor="text1"/>
        </w:rPr>
        <w:t xml:space="preserve"> </w:t>
      </w:r>
      <w:proofErr w:type="spellStart"/>
      <w:r w:rsidR="0069520B" w:rsidRPr="0069520B">
        <w:rPr>
          <w:color w:val="000000" w:themeColor="text1"/>
        </w:rPr>
        <w:t>niektoré</w:t>
      </w:r>
      <w:proofErr w:type="spellEnd"/>
      <w:r w:rsidR="0069520B" w:rsidRPr="0069520B">
        <w:rPr>
          <w:color w:val="000000" w:themeColor="text1"/>
        </w:rPr>
        <w:t xml:space="preserve"> zákony</w:t>
      </w:r>
      <w:r w:rsidR="0069520B" w:rsidRPr="0069520B">
        <w:rPr>
          <w:b/>
          <w:color w:val="000000" w:themeColor="text1"/>
        </w:rPr>
        <w:t xml:space="preserve"> (tlač 435)</w:t>
      </w:r>
      <w:r w:rsidR="00345300">
        <w:rPr>
          <w:b/>
          <w:color w:val="000000" w:themeColor="text1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69520B">
        <w:t>financie a rozpočet</w:t>
      </w:r>
      <w:r>
        <w:t>.</w:t>
      </w: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401F57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012701" w:rsidRDefault="00012701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F13D29">
        <w:rPr>
          <w:bCs/>
          <w:i/>
          <w:iCs/>
        </w:rPr>
        <w:t xml:space="preserve">   </w:t>
      </w:r>
      <w:bookmarkStart w:id="0" w:name="_GoBack"/>
      <w:bookmarkEnd w:id="0"/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345300" w:rsidP="00012701">
      <w:pPr>
        <w:ind w:left="5672" w:firstLine="709"/>
        <w:jc w:val="both"/>
      </w:pPr>
      <w:r>
        <w:t xml:space="preserve"> 54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CE088D">
        <w:rPr>
          <w:bCs/>
        </w:rPr>
        <w:t>Príloha k uzneseniu č. 163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12701" w:rsidRDefault="00012701" w:rsidP="00012701">
      <w:pPr>
        <w:jc w:val="center"/>
        <w:rPr>
          <w:b/>
          <w:sz w:val="32"/>
          <w:szCs w:val="28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012701" w:rsidRDefault="00012701" w:rsidP="0001270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69520B">
        <w:t>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="0069520B">
        <w:rPr>
          <w:b/>
        </w:rPr>
        <w:t xml:space="preserve"> (tlač 435)</w:t>
      </w: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797054" w:rsidRDefault="00797054" w:rsidP="00012701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97054" w:rsidRPr="00BB15A8" w:rsidRDefault="00797054" w:rsidP="00797054">
      <w:pPr>
        <w:pStyle w:val="Odsekzoznamu"/>
        <w:numPr>
          <w:ilvl w:val="0"/>
          <w:numId w:val="31"/>
        </w:numPr>
        <w:spacing w:line="360" w:lineRule="auto"/>
        <w:contextualSpacing/>
        <w:rPr>
          <w:b/>
        </w:rPr>
      </w:pPr>
      <w:r w:rsidRPr="00BB15A8">
        <w:rPr>
          <w:b/>
        </w:rPr>
        <w:t xml:space="preserve">K čl. I, 106. bodu </w:t>
      </w:r>
    </w:p>
    <w:p w:rsidR="00797054" w:rsidRDefault="00797054" w:rsidP="00797054">
      <w:pPr>
        <w:pStyle w:val="Odsekzoznamu"/>
        <w:spacing w:line="360" w:lineRule="auto"/>
        <w:jc w:val="both"/>
      </w:pPr>
      <w:r>
        <w:t xml:space="preserve">V čl. I, 106. bode sa pod označenie § 173zf vkladá nadpis, ktorý znie: „Prechodné ustanovenie k úprave účinnej od 26. júna 2021“. </w:t>
      </w:r>
    </w:p>
    <w:p w:rsidR="00797054" w:rsidRDefault="00797054" w:rsidP="00797054">
      <w:pPr>
        <w:pStyle w:val="Odsekzoznamu"/>
        <w:ind w:left="3969"/>
        <w:jc w:val="both"/>
      </w:pPr>
    </w:p>
    <w:p w:rsidR="00797054" w:rsidRDefault="00797054" w:rsidP="00797054">
      <w:pPr>
        <w:pStyle w:val="Odsekzoznamu"/>
        <w:ind w:left="3969"/>
        <w:jc w:val="both"/>
      </w:pPr>
      <w:r>
        <w:t xml:space="preserve">Pozmeňujúci návrh legislatívno-technicky koriguje novelizované ustanovenie doplnením vhodného nadpisu v zmysle úvodnej vety. </w:t>
      </w:r>
    </w:p>
    <w:p w:rsidR="00797054" w:rsidRDefault="00797054" w:rsidP="00797054">
      <w:pPr>
        <w:pStyle w:val="Odsekzoznamu"/>
        <w:ind w:left="3969"/>
        <w:jc w:val="both"/>
      </w:pPr>
    </w:p>
    <w:p w:rsidR="00797054" w:rsidRDefault="00797054" w:rsidP="00797054">
      <w:pPr>
        <w:pStyle w:val="Odsekzoznamu"/>
        <w:ind w:left="3969"/>
        <w:jc w:val="both"/>
      </w:pPr>
    </w:p>
    <w:p w:rsidR="00797054" w:rsidRPr="00BB15A8" w:rsidRDefault="00797054" w:rsidP="00797054">
      <w:pPr>
        <w:pStyle w:val="Odsekzoznamu"/>
        <w:numPr>
          <w:ilvl w:val="0"/>
          <w:numId w:val="31"/>
        </w:numPr>
        <w:spacing w:line="360" w:lineRule="auto"/>
        <w:contextualSpacing/>
        <w:rPr>
          <w:b/>
        </w:rPr>
      </w:pPr>
      <w:r w:rsidRPr="00BB15A8">
        <w:rPr>
          <w:b/>
        </w:rPr>
        <w:t xml:space="preserve">K čl. II, 3. bodu </w:t>
      </w:r>
    </w:p>
    <w:p w:rsidR="00797054" w:rsidRDefault="00797054" w:rsidP="00797054">
      <w:pPr>
        <w:pStyle w:val="Odsekzoznamu"/>
        <w:spacing w:line="360" w:lineRule="auto"/>
        <w:jc w:val="both"/>
      </w:pPr>
      <w:r w:rsidRPr="006402F0">
        <w:t>V čl. II, 3. bode, § 2 ods. 16 sa slová „jeho preklad“ nahrádzajú slovami „jeho cudzojazyčný preklad“.</w:t>
      </w:r>
    </w:p>
    <w:p w:rsidR="00797054" w:rsidRDefault="00797054" w:rsidP="00797054">
      <w:pPr>
        <w:pStyle w:val="Odsekzoznamu"/>
        <w:ind w:left="3969"/>
        <w:jc w:val="both"/>
      </w:pPr>
    </w:p>
    <w:p w:rsidR="00797054" w:rsidRDefault="00797054" w:rsidP="00797054">
      <w:pPr>
        <w:tabs>
          <w:tab w:val="left" w:pos="-1985"/>
          <w:tab w:val="left" w:pos="709"/>
          <w:tab w:val="left" w:pos="1077"/>
        </w:tabs>
        <w:ind w:left="3969"/>
        <w:jc w:val="both"/>
        <w:rPr>
          <w:rFonts w:cs="Arial"/>
        </w:rPr>
      </w:pPr>
      <w:r>
        <w:t>Pozmeňujúci návrh terminologicky precizuje navrhované znenie v zmysle znenia § 4 ods. 1 platného znenia zákona.</w:t>
      </w:r>
    </w:p>
    <w:sectPr w:rsidR="0079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F90340"/>
    <w:multiLevelType w:val="hybridMultilevel"/>
    <w:tmpl w:val="ACAE0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"/>
  </w:num>
  <w:num w:numId="7">
    <w:abstractNumId w:val="22"/>
  </w:num>
  <w:num w:numId="8">
    <w:abstractNumId w:val="2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5"/>
  </w:num>
  <w:num w:numId="13">
    <w:abstractNumId w:val="3"/>
  </w:num>
  <w:num w:numId="14">
    <w:abstractNumId w:val="8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45300"/>
    <w:rsid w:val="0035162D"/>
    <w:rsid w:val="00353C60"/>
    <w:rsid w:val="00357D74"/>
    <w:rsid w:val="003847E8"/>
    <w:rsid w:val="00395AC3"/>
    <w:rsid w:val="00396086"/>
    <w:rsid w:val="003B14DF"/>
    <w:rsid w:val="003C78C9"/>
    <w:rsid w:val="003F1276"/>
    <w:rsid w:val="00401F57"/>
    <w:rsid w:val="00403133"/>
    <w:rsid w:val="00404374"/>
    <w:rsid w:val="00406D6E"/>
    <w:rsid w:val="0045719B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9520B"/>
    <w:rsid w:val="006B6D45"/>
    <w:rsid w:val="006E1DB4"/>
    <w:rsid w:val="00720E42"/>
    <w:rsid w:val="007739C1"/>
    <w:rsid w:val="00797054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CE088D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13D29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4ED5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379A-DD6C-47D5-AE8E-8A211C58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</cp:revision>
  <cp:lastPrinted>2021-04-28T07:29:00Z</cp:lastPrinted>
  <dcterms:created xsi:type="dcterms:W3CDTF">2021-04-19T07:34:00Z</dcterms:created>
  <dcterms:modified xsi:type="dcterms:W3CDTF">2021-04-29T13:30:00Z</dcterms:modified>
</cp:coreProperties>
</file>