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7387" w14:textId="77777777" w:rsidR="0020565B" w:rsidRPr="00D73AB5" w:rsidRDefault="00010A92" w:rsidP="001F6FD3">
      <w:pPr>
        <w:spacing w:before="120" w:line="276" w:lineRule="auto"/>
        <w:rPr>
          <w:rFonts w:ascii="Book Antiqua" w:hAnsi="Book Antiqua" w:cs="Times New Roman"/>
          <w:b/>
          <w:bCs/>
          <w:sz w:val="22"/>
          <w:szCs w:val="22"/>
        </w:rPr>
      </w:pPr>
      <w:bookmarkStart w:id="0" w:name="_GoBack"/>
      <w:bookmarkEnd w:id="0"/>
      <w:r w:rsidRPr="00D73AB5">
        <w:rPr>
          <w:rFonts w:ascii="Book Antiqua" w:hAnsi="Book Antiqua" w:cs="Times New Roman"/>
          <w:b/>
          <w:bCs/>
          <w:sz w:val="22"/>
          <w:szCs w:val="22"/>
        </w:rPr>
        <w:tab/>
      </w:r>
      <w:r w:rsidRPr="00D73AB5">
        <w:rPr>
          <w:rFonts w:ascii="Book Antiqua" w:hAnsi="Book Antiqua" w:cs="Times New Roman"/>
          <w:b/>
          <w:bCs/>
          <w:sz w:val="22"/>
          <w:szCs w:val="22"/>
        </w:rPr>
        <w:tab/>
      </w:r>
      <w:r w:rsidRPr="00D73AB5">
        <w:rPr>
          <w:rFonts w:ascii="Book Antiqua" w:hAnsi="Book Antiqua" w:cs="Times New Roman"/>
          <w:b/>
          <w:bCs/>
          <w:sz w:val="22"/>
          <w:szCs w:val="22"/>
        </w:rPr>
        <w:tab/>
      </w:r>
      <w:r w:rsidRPr="00D73AB5">
        <w:rPr>
          <w:rFonts w:ascii="Book Antiqua" w:hAnsi="Book Antiqua" w:cs="Times New Roman"/>
          <w:b/>
          <w:bCs/>
          <w:sz w:val="22"/>
          <w:szCs w:val="22"/>
        </w:rPr>
        <w:tab/>
        <w:t>D Ô V O D O V Á   S P R Á V</w:t>
      </w:r>
      <w:r w:rsidR="003209CF" w:rsidRPr="00D73AB5">
        <w:rPr>
          <w:rFonts w:ascii="Book Antiqua" w:hAnsi="Book Antiqua" w:cs="Times New Roman"/>
          <w:b/>
          <w:bCs/>
          <w:sz w:val="22"/>
          <w:szCs w:val="22"/>
        </w:rPr>
        <w:t> </w:t>
      </w:r>
      <w:r w:rsidRPr="00D73AB5">
        <w:rPr>
          <w:rFonts w:ascii="Book Antiqua" w:hAnsi="Book Antiqua" w:cs="Times New Roman"/>
          <w:b/>
          <w:bCs/>
          <w:sz w:val="22"/>
          <w:szCs w:val="22"/>
        </w:rPr>
        <w:t>A</w:t>
      </w:r>
    </w:p>
    <w:p w14:paraId="17F5C688" w14:textId="77777777" w:rsidR="003209CF" w:rsidRPr="00D73AB5" w:rsidRDefault="003209CF" w:rsidP="001F6FD3">
      <w:pPr>
        <w:spacing w:before="120" w:line="276" w:lineRule="auto"/>
        <w:rPr>
          <w:rFonts w:ascii="Book Antiqua" w:hAnsi="Book Antiqua" w:cs="Times New Roman"/>
          <w:b/>
          <w:bCs/>
          <w:sz w:val="22"/>
          <w:szCs w:val="22"/>
        </w:rPr>
      </w:pPr>
    </w:p>
    <w:p w14:paraId="4ACE03A2" w14:textId="77777777" w:rsidR="007E6D14" w:rsidRPr="00D73AB5" w:rsidRDefault="00010A92" w:rsidP="001F6FD3">
      <w:pPr>
        <w:spacing w:before="120" w:line="276" w:lineRule="auto"/>
        <w:rPr>
          <w:rFonts w:ascii="Book Antiqua" w:hAnsi="Book Antiqua" w:cs="Times New Roman"/>
          <w:b/>
          <w:bCs/>
          <w:sz w:val="22"/>
          <w:szCs w:val="22"/>
        </w:rPr>
      </w:pPr>
      <w:r w:rsidRPr="00D73AB5">
        <w:rPr>
          <w:rFonts w:ascii="Book Antiqua" w:hAnsi="Book Antiqua" w:cs="Times New Roman"/>
          <w:b/>
          <w:bCs/>
          <w:sz w:val="22"/>
          <w:szCs w:val="22"/>
        </w:rPr>
        <w:t>A. Všeobecná časť</w:t>
      </w:r>
    </w:p>
    <w:p w14:paraId="5C6E287B" w14:textId="02384B14" w:rsidR="0020565B" w:rsidRPr="00D73AB5" w:rsidRDefault="00010A92"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ab/>
        <w:t>Návrh zákona, ktorým sa mení a dopĺňa zákon č. 657/2004 Z. z. o tepelnej energetike</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v</w:t>
      </w:r>
      <w:r w:rsidR="00153618" w:rsidRPr="00D73AB5">
        <w:rPr>
          <w:rFonts w:ascii="Book Antiqua" w:hAnsi="Book Antiqua" w:cs="Times New Roman"/>
          <w:sz w:val="22"/>
          <w:szCs w:val="22"/>
        </w:rPr>
        <w:t> </w:t>
      </w:r>
      <w:r w:rsidRPr="00D73AB5">
        <w:rPr>
          <w:rFonts w:ascii="Book Antiqua" w:hAnsi="Book Antiqua" w:cs="Times New Roman"/>
          <w:sz w:val="22"/>
          <w:szCs w:val="22"/>
        </w:rPr>
        <w:t>zne</w:t>
      </w:r>
      <w:r w:rsidR="00153618" w:rsidRPr="00D73AB5">
        <w:rPr>
          <w:rFonts w:ascii="Book Antiqua" w:hAnsi="Book Antiqua" w:cs="Times New Roman"/>
          <w:sz w:val="22"/>
          <w:szCs w:val="22"/>
        </w:rPr>
        <w:t xml:space="preserve">ní </w:t>
      </w:r>
      <w:r w:rsidRPr="00D73AB5">
        <w:rPr>
          <w:rFonts w:ascii="Book Antiqua" w:hAnsi="Book Antiqua" w:cs="Times New Roman"/>
          <w:sz w:val="22"/>
          <w:szCs w:val="22"/>
        </w:rPr>
        <w:t>nesko</w:t>
      </w:r>
      <w:r w:rsidR="00153618" w:rsidRPr="00D73AB5">
        <w:rPr>
          <w:rFonts w:ascii="Book Antiqua" w:hAnsi="Book Antiqua" w:cs="Times New Roman"/>
          <w:sz w:val="22"/>
          <w:szCs w:val="22"/>
        </w:rPr>
        <w:t>rších</w:t>
      </w:r>
      <w:r w:rsidRPr="00D73AB5">
        <w:rPr>
          <w:rFonts w:ascii="Book Antiqua" w:hAnsi="Book Antiqua" w:cs="Times New Roman"/>
          <w:sz w:val="22"/>
          <w:szCs w:val="22"/>
        </w:rPr>
        <w:t xml:space="preserve"> predpisov (ďalej len „návrh zákona“) predklad</w:t>
      </w:r>
      <w:r w:rsidR="00492D51" w:rsidRPr="00D73AB5">
        <w:rPr>
          <w:rFonts w:ascii="Book Antiqua" w:hAnsi="Book Antiqua" w:cs="Times New Roman"/>
          <w:sz w:val="22"/>
          <w:szCs w:val="22"/>
        </w:rPr>
        <w:t>ajú</w:t>
      </w:r>
      <w:r w:rsidR="00880709" w:rsidRPr="00D73AB5">
        <w:rPr>
          <w:rFonts w:ascii="Book Antiqua" w:hAnsi="Book Antiqua" w:cs="Times New Roman"/>
          <w:sz w:val="22"/>
          <w:szCs w:val="22"/>
        </w:rPr>
        <w:t xml:space="preserve"> na rokovanie Národnej rady Slovenskej republiky </w:t>
      </w:r>
      <w:r w:rsidR="00630FB6">
        <w:rPr>
          <w:rFonts w:ascii="Book Antiqua" w:hAnsi="Book Antiqua" w:cs="Times New Roman"/>
          <w:sz w:val="22"/>
          <w:szCs w:val="22"/>
        </w:rPr>
        <w:t>skupina poslancov Národnej rady</w:t>
      </w:r>
      <w:r w:rsidR="00880709" w:rsidRPr="00D73AB5">
        <w:rPr>
          <w:rFonts w:ascii="Book Antiqua" w:hAnsi="Book Antiqua" w:cs="Times New Roman"/>
          <w:sz w:val="22"/>
          <w:szCs w:val="22"/>
        </w:rPr>
        <w:t xml:space="preserve"> Slovenskej republiky.</w:t>
      </w:r>
    </w:p>
    <w:p w14:paraId="0913CD3B" w14:textId="2191A9A3" w:rsidR="00CF1F3A" w:rsidRPr="00D73AB5" w:rsidRDefault="00010A92"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ab/>
      </w:r>
      <w:r w:rsidRPr="00D73AB5">
        <w:rPr>
          <w:rFonts w:ascii="Book Antiqua" w:hAnsi="Book Antiqua" w:cs="Times New Roman"/>
          <w:b/>
          <w:sz w:val="22"/>
          <w:szCs w:val="22"/>
        </w:rPr>
        <w:t>Hlavným cieľom návrhu zákona je</w:t>
      </w:r>
      <w:r w:rsidR="00880709" w:rsidRPr="00D73AB5">
        <w:rPr>
          <w:rFonts w:ascii="Book Antiqua" w:hAnsi="Book Antiqua" w:cs="Times New Roman"/>
          <w:b/>
          <w:sz w:val="22"/>
          <w:szCs w:val="22"/>
        </w:rPr>
        <w:t xml:space="preserve"> naplniť Programové vyhlásenie vlády SR na roky 2020 – 2024, ktoré v časti s názvom „Energetika“ ako súčasti kapitoly s názvom „Zvýšenie konkurencieschopnosti – zlepšenie podnikateľského prostredia – zvýšenie životnej úrovne občanov“ uvádza</w:t>
      </w:r>
      <w:r w:rsidR="0066651D" w:rsidRPr="00D73AB5">
        <w:rPr>
          <w:rFonts w:ascii="Book Antiqua" w:hAnsi="Book Antiqua" w:cs="Times New Roman"/>
          <w:b/>
          <w:sz w:val="22"/>
          <w:szCs w:val="22"/>
        </w:rPr>
        <w:t>:</w:t>
      </w:r>
      <w:r w:rsidR="00880709" w:rsidRPr="00D73AB5">
        <w:rPr>
          <w:rFonts w:ascii="Book Antiqua" w:hAnsi="Book Antiqua" w:cs="Times New Roman"/>
          <w:b/>
          <w:sz w:val="22"/>
          <w:szCs w:val="22"/>
        </w:rPr>
        <w:t xml:space="preserve">, že: </w:t>
      </w:r>
      <w:r w:rsidR="0066651D" w:rsidRPr="00D73AB5">
        <w:rPr>
          <w:rFonts w:ascii="Book Antiqua" w:hAnsi="Book Antiqua" w:cs="Times New Roman"/>
          <w:b/>
          <w:sz w:val="22"/>
          <w:szCs w:val="22"/>
        </w:rPr>
        <w:t>„</w:t>
      </w:r>
      <w:r w:rsidR="0066651D" w:rsidRPr="00D73AB5">
        <w:rPr>
          <w:rFonts w:ascii="Book Antiqua" w:hAnsi="Book Antiqua" w:cs="Times New Roman"/>
          <w:b/>
          <w:i/>
          <w:iCs/>
          <w:sz w:val="22"/>
          <w:szCs w:val="22"/>
        </w:rPr>
        <w:t>Zameriame sa na riešenia, ktoré povedú k transparentným a férovým trhovým pravidlám a cenám energií</w:t>
      </w:r>
      <w:r w:rsidR="00630FB6">
        <w:rPr>
          <w:rFonts w:ascii="Book Antiqua" w:hAnsi="Book Antiqua" w:cs="Times New Roman"/>
          <w:b/>
          <w:i/>
          <w:iCs/>
          <w:sz w:val="22"/>
          <w:szCs w:val="22"/>
        </w:rPr>
        <w:t xml:space="preserve"> [</w:t>
      </w:r>
      <w:r w:rsidR="0066651D" w:rsidRPr="00D73AB5">
        <w:rPr>
          <w:rFonts w:ascii="Book Antiqua" w:hAnsi="Book Antiqua" w:cs="Times New Roman"/>
          <w:b/>
          <w:i/>
          <w:iCs/>
          <w:sz w:val="22"/>
          <w:szCs w:val="22"/>
        </w:rPr>
        <w:t>...</w:t>
      </w:r>
      <w:r w:rsidR="00630FB6">
        <w:rPr>
          <w:rFonts w:ascii="Book Antiqua" w:hAnsi="Book Antiqua" w:cs="Times New Roman"/>
          <w:b/>
          <w:i/>
          <w:iCs/>
          <w:sz w:val="22"/>
          <w:szCs w:val="22"/>
        </w:rPr>
        <w:t>].</w:t>
      </w:r>
      <w:r w:rsidR="0066651D" w:rsidRPr="00D73AB5">
        <w:rPr>
          <w:rFonts w:ascii="Book Antiqua" w:hAnsi="Book Antiqua" w:cs="Times New Roman"/>
          <w:b/>
          <w:i/>
          <w:iCs/>
          <w:sz w:val="22"/>
          <w:szCs w:val="22"/>
        </w:rPr>
        <w:t xml:space="preserve"> Zvýšením transparentnosti a zapojením verejnosti do tvorby trhových </w:t>
      </w:r>
      <w:r w:rsidR="00CE49FA">
        <w:rPr>
          <w:rFonts w:ascii="Book Antiqua" w:hAnsi="Book Antiqua" w:cs="Times New Roman"/>
          <w:b/>
          <w:i/>
          <w:iCs/>
          <w:sz w:val="22"/>
          <w:szCs w:val="22"/>
        </w:rPr>
        <w:t>pravidiel a cenotvorby docieli v</w:t>
      </w:r>
      <w:r w:rsidR="0066651D" w:rsidRPr="00D73AB5">
        <w:rPr>
          <w:rFonts w:ascii="Book Antiqua" w:hAnsi="Book Antiqua" w:cs="Times New Roman"/>
          <w:b/>
          <w:i/>
          <w:iCs/>
          <w:sz w:val="22"/>
          <w:szCs w:val="22"/>
        </w:rPr>
        <w:t>láda SR vyššiu mieru spoločenskej zodpovednosti podnikov a zlepšenie konkurencie na trhoch s energiami.</w:t>
      </w:r>
      <w:r w:rsidR="0066651D" w:rsidRPr="00D73AB5">
        <w:rPr>
          <w:rFonts w:ascii="Book Antiqua" w:hAnsi="Book Antiqua" w:cs="Times New Roman"/>
          <w:b/>
          <w:sz w:val="22"/>
          <w:szCs w:val="22"/>
        </w:rPr>
        <w:t>“</w:t>
      </w:r>
      <w:r w:rsidR="00CE49FA">
        <w:rPr>
          <w:rFonts w:ascii="Book Antiqua" w:hAnsi="Book Antiqua" w:cs="Times New Roman"/>
          <w:b/>
          <w:sz w:val="22"/>
          <w:szCs w:val="22"/>
        </w:rPr>
        <w:t>.</w:t>
      </w:r>
      <w:r w:rsidR="0066651D" w:rsidRPr="00D73AB5">
        <w:rPr>
          <w:rFonts w:ascii="Book Antiqua" w:hAnsi="Book Antiqua" w:cs="Times New Roman"/>
          <w:b/>
          <w:sz w:val="22"/>
          <w:szCs w:val="22"/>
        </w:rPr>
        <w:t xml:space="preserve"> </w:t>
      </w:r>
    </w:p>
    <w:p w14:paraId="527B533D" w14:textId="1494B560" w:rsidR="002842A1" w:rsidRDefault="00186663" w:rsidP="001F6FD3">
      <w:pPr>
        <w:spacing w:before="120" w:line="276" w:lineRule="auto"/>
        <w:ind w:firstLine="720"/>
        <w:jc w:val="both"/>
        <w:rPr>
          <w:rFonts w:ascii="Book Antiqua" w:hAnsi="Book Antiqua" w:cs="Times New Roman"/>
          <w:sz w:val="22"/>
          <w:szCs w:val="22"/>
        </w:rPr>
      </w:pPr>
      <w:r>
        <w:rPr>
          <w:rFonts w:ascii="Book Antiqua" w:hAnsi="Book Antiqua" w:cs="Times New Roman"/>
          <w:sz w:val="22"/>
          <w:szCs w:val="22"/>
        </w:rPr>
        <w:t xml:space="preserve">Správna terminológia určujúca zákonné pojmy </w:t>
      </w:r>
      <w:r w:rsidR="00B95C2E">
        <w:rPr>
          <w:rFonts w:ascii="Book Antiqua" w:hAnsi="Book Antiqua" w:cs="Times New Roman"/>
          <w:sz w:val="22"/>
          <w:szCs w:val="22"/>
        </w:rPr>
        <w:t xml:space="preserve">jednotlivých teplárenských zariadení slúžiacich na výrobu a rozvod tepla, ako na pripojenie </w:t>
      </w:r>
      <w:r w:rsidR="00C33685">
        <w:rPr>
          <w:rFonts w:ascii="Book Antiqua" w:hAnsi="Book Antiqua" w:cs="Times New Roman"/>
          <w:sz w:val="22"/>
          <w:szCs w:val="22"/>
        </w:rPr>
        <w:t>koncového odberateľa k verejnému rozvodu predstavu</w:t>
      </w:r>
      <w:r>
        <w:rPr>
          <w:rFonts w:ascii="Book Antiqua" w:hAnsi="Book Antiqua" w:cs="Times New Roman"/>
          <w:sz w:val="22"/>
          <w:szCs w:val="22"/>
        </w:rPr>
        <w:t>je základ</w:t>
      </w:r>
      <w:r w:rsidR="009968C4">
        <w:rPr>
          <w:rFonts w:ascii="Book Antiqua" w:hAnsi="Book Antiqua" w:cs="Times New Roman"/>
          <w:sz w:val="22"/>
          <w:szCs w:val="22"/>
        </w:rPr>
        <w:t xml:space="preserve"> pre správne nastavenie pravidiel cenovej regulácie v tepelnej energetike. </w:t>
      </w:r>
      <w:r w:rsidR="00010F3D">
        <w:rPr>
          <w:rFonts w:ascii="Book Antiqua" w:hAnsi="Book Antiqua" w:cs="Times New Roman"/>
          <w:sz w:val="22"/>
          <w:szCs w:val="22"/>
        </w:rPr>
        <w:t>V praxi sa totiž vyskytujú prípady vedúce k nežiaducemu navyšovaniu koncových cien tepla v dôsledku tzv. reťazeni</w:t>
      </w:r>
      <w:r w:rsidR="003B6B32">
        <w:rPr>
          <w:rFonts w:ascii="Book Antiqua" w:hAnsi="Book Antiqua" w:cs="Times New Roman"/>
          <w:sz w:val="22"/>
          <w:szCs w:val="22"/>
        </w:rPr>
        <w:t>a</w:t>
      </w:r>
      <w:r w:rsidR="00010F3D">
        <w:rPr>
          <w:rFonts w:ascii="Book Antiqua" w:hAnsi="Book Antiqua" w:cs="Times New Roman"/>
          <w:sz w:val="22"/>
          <w:szCs w:val="22"/>
        </w:rPr>
        <w:t xml:space="preserve"> dodávateľov </w:t>
      </w:r>
      <w:r w:rsidR="00B971A4" w:rsidRPr="00D73AB5">
        <w:rPr>
          <w:rFonts w:ascii="Book Antiqua" w:hAnsi="Book Antiqua" w:cs="Times New Roman"/>
          <w:sz w:val="22"/>
          <w:szCs w:val="22"/>
        </w:rPr>
        <w:t>v reťazci dodávky tepla od výroby až po koncový odber</w:t>
      </w:r>
      <w:r w:rsidR="00B971A4">
        <w:rPr>
          <w:rFonts w:ascii="Book Antiqua" w:hAnsi="Book Antiqua" w:cs="Times New Roman"/>
          <w:sz w:val="22"/>
          <w:szCs w:val="22"/>
        </w:rPr>
        <w:t xml:space="preserve">, ktoré je vyvolané aj absenciou </w:t>
      </w:r>
      <w:r w:rsidR="00185F52">
        <w:rPr>
          <w:rFonts w:ascii="Book Antiqua" w:hAnsi="Book Antiqua" w:cs="Times New Roman"/>
          <w:sz w:val="22"/>
          <w:szCs w:val="22"/>
        </w:rPr>
        <w:t xml:space="preserve">vhodnej </w:t>
      </w:r>
      <w:r w:rsidR="0017390C">
        <w:rPr>
          <w:rFonts w:ascii="Book Antiqua" w:hAnsi="Book Antiqua" w:cs="Times New Roman"/>
          <w:sz w:val="22"/>
          <w:szCs w:val="22"/>
        </w:rPr>
        <w:t xml:space="preserve">zákonnej úpravy v oblasti </w:t>
      </w:r>
      <w:r w:rsidR="00185F52">
        <w:rPr>
          <w:rFonts w:ascii="Book Antiqua" w:hAnsi="Book Antiqua" w:cs="Times New Roman"/>
          <w:sz w:val="22"/>
          <w:szCs w:val="22"/>
        </w:rPr>
        <w:t xml:space="preserve">definícií </w:t>
      </w:r>
      <w:r w:rsidR="0017390C">
        <w:rPr>
          <w:rFonts w:ascii="Book Antiqua" w:hAnsi="Book Antiqua" w:cs="Times New Roman"/>
          <w:sz w:val="22"/>
          <w:szCs w:val="22"/>
        </w:rPr>
        <w:t xml:space="preserve">zariadení na rozvod tepla, jej primárnej a sekundárnej časti. </w:t>
      </w:r>
      <w:r w:rsidR="00185F52">
        <w:rPr>
          <w:rFonts w:ascii="Book Antiqua" w:hAnsi="Book Antiqua" w:cs="Times New Roman"/>
          <w:sz w:val="22"/>
          <w:szCs w:val="22"/>
        </w:rPr>
        <w:t xml:space="preserve">Len </w:t>
      </w:r>
      <w:r w:rsidR="002A3647">
        <w:rPr>
          <w:rFonts w:ascii="Book Antiqua" w:hAnsi="Book Antiqua" w:cs="Times New Roman"/>
          <w:sz w:val="22"/>
          <w:szCs w:val="22"/>
        </w:rPr>
        <w:t>za predpokladu</w:t>
      </w:r>
      <w:r w:rsidR="00185F52">
        <w:rPr>
          <w:rFonts w:ascii="Book Antiqua" w:hAnsi="Book Antiqua" w:cs="Times New Roman"/>
          <w:sz w:val="22"/>
          <w:szCs w:val="22"/>
        </w:rPr>
        <w:t xml:space="preserve">, že zákon jednoznačne vymedzí typy zariadení slúžiacich na </w:t>
      </w:r>
      <w:r w:rsidR="00DB328B">
        <w:rPr>
          <w:rFonts w:ascii="Book Antiqua" w:hAnsi="Book Antiqua" w:cs="Times New Roman"/>
          <w:sz w:val="22"/>
          <w:szCs w:val="22"/>
        </w:rPr>
        <w:t xml:space="preserve">výrobu, </w:t>
      </w:r>
      <w:r w:rsidR="00185F52">
        <w:rPr>
          <w:rFonts w:ascii="Book Antiqua" w:hAnsi="Book Antiqua" w:cs="Times New Roman"/>
          <w:sz w:val="22"/>
          <w:szCs w:val="22"/>
        </w:rPr>
        <w:t xml:space="preserve">rozvod </w:t>
      </w:r>
      <w:r w:rsidR="00DB328B">
        <w:rPr>
          <w:rFonts w:ascii="Book Antiqua" w:hAnsi="Book Antiqua" w:cs="Times New Roman"/>
          <w:sz w:val="22"/>
          <w:szCs w:val="22"/>
        </w:rPr>
        <w:t xml:space="preserve">a spotrebu </w:t>
      </w:r>
      <w:r w:rsidR="00185F52">
        <w:rPr>
          <w:rFonts w:ascii="Book Antiqua" w:hAnsi="Book Antiqua" w:cs="Times New Roman"/>
          <w:sz w:val="22"/>
          <w:szCs w:val="22"/>
        </w:rPr>
        <w:t>tepla</w:t>
      </w:r>
      <w:r w:rsidR="002A3647">
        <w:rPr>
          <w:rFonts w:ascii="Book Antiqua" w:hAnsi="Book Antiqua" w:cs="Times New Roman"/>
          <w:sz w:val="22"/>
          <w:szCs w:val="22"/>
        </w:rPr>
        <w:t xml:space="preserve"> môže Úrad pre reguláciu sieťových odvetví</w:t>
      </w:r>
      <w:r w:rsidR="009968C4">
        <w:rPr>
          <w:rFonts w:ascii="Book Antiqua" w:hAnsi="Book Antiqua" w:cs="Times New Roman"/>
          <w:sz w:val="22"/>
          <w:szCs w:val="22"/>
        </w:rPr>
        <w:t xml:space="preserve"> </w:t>
      </w:r>
      <w:r w:rsidR="002A3647">
        <w:rPr>
          <w:rFonts w:ascii="Book Antiqua" w:hAnsi="Book Antiqua" w:cs="Times New Roman"/>
          <w:sz w:val="22"/>
          <w:szCs w:val="22"/>
        </w:rPr>
        <w:t xml:space="preserve">pristúpiť k nastaveniu pravidiel cenovej regulácie tak, </w:t>
      </w:r>
      <w:r w:rsidR="00DB328B">
        <w:rPr>
          <w:rFonts w:ascii="Book Antiqua" w:hAnsi="Book Antiqua" w:cs="Times New Roman"/>
          <w:sz w:val="22"/>
          <w:szCs w:val="22"/>
        </w:rPr>
        <w:t xml:space="preserve">aby k prípadom </w:t>
      </w:r>
      <w:r w:rsidR="00765347">
        <w:rPr>
          <w:rFonts w:ascii="Book Antiqua" w:hAnsi="Book Antiqua" w:cs="Times New Roman"/>
          <w:sz w:val="22"/>
          <w:szCs w:val="22"/>
        </w:rPr>
        <w:t>nežiaduceho reťazenia nedochádzalo alebo aby takéto reťazenie nemalo vplyv na stabilitu koncových cien tepla.</w:t>
      </w:r>
    </w:p>
    <w:p w14:paraId="79DCA83E" w14:textId="769E291B" w:rsidR="00560B2E" w:rsidRPr="00D73AB5" w:rsidRDefault="00401EA3" w:rsidP="001F6FD3">
      <w:pPr>
        <w:spacing w:before="120" w:line="276" w:lineRule="auto"/>
        <w:ind w:firstLine="720"/>
        <w:jc w:val="both"/>
        <w:rPr>
          <w:rFonts w:ascii="Book Antiqua" w:hAnsi="Book Antiqua" w:cs="Times New Roman"/>
          <w:sz w:val="22"/>
          <w:szCs w:val="22"/>
        </w:rPr>
      </w:pPr>
      <w:r w:rsidRPr="00D73AB5">
        <w:rPr>
          <w:rFonts w:ascii="Book Antiqua" w:hAnsi="Book Antiqua" w:cs="Times New Roman"/>
          <w:sz w:val="22"/>
          <w:szCs w:val="22"/>
        </w:rPr>
        <w:t>Z tohto dôvodu sa navrhuj</w:t>
      </w:r>
      <w:r w:rsidR="00685E56">
        <w:rPr>
          <w:rFonts w:ascii="Book Antiqua" w:hAnsi="Book Antiqua" w:cs="Times New Roman"/>
          <w:sz w:val="22"/>
          <w:szCs w:val="22"/>
        </w:rPr>
        <w:t>ú</w:t>
      </w:r>
      <w:r w:rsidRPr="00D73AB5">
        <w:rPr>
          <w:rFonts w:ascii="Book Antiqua" w:hAnsi="Book Antiqua" w:cs="Times New Roman"/>
          <w:sz w:val="22"/>
          <w:szCs w:val="22"/>
        </w:rPr>
        <w:t xml:space="preserve"> zaradiť do zákona potrebné definície pojmov zariadenie na rozvod tepla, odovzdávacia stanica tepla a odberné tepelné zariadenie. Ide o pojmy zaužívané v praxi, v minulosti tvoriace integrálnu súčasť zákona ustanovujúceho podmienky výkonu regulovaných činností v teplárenstve (viď zákon č. 89/1987 Zb. o výrobe, rozvode a spotrebe tepla). Definície pojmov vzťahujúcich sa k jednotlivým prvkom sústavy a siete sú takisto súčasťou právnej úpravy vzťahujúcej sa na elektroenergetiku a plynárenstvo (zákon č. 251/2012 Z. z. o energetike a o zmena a doplnení niektorých zákonov</w:t>
      </w:r>
      <w:r w:rsidR="00560B2E" w:rsidRPr="00D73AB5">
        <w:rPr>
          <w:rFonts w:ascii="Book Antiqua" w:hAnsi="Book Antiqua" w:cs="Times New Roman"/>
          <w:sz w:val="22"/>
          <w:szCs w:val="22"/>
        </w:rPr>
        <w:t xml:space="preserve"> v znení neskorších predpisov</w:t>
      </w:r>
      <w:r w:rsidRPr="00D73AB5">
        <w:rPr>
          <w:rFonts w:ascii="Book Antiqua" w:hAnsi="Book Antiqua" w:cs="Times New Roman"/>
          <w:sz w:val="22"/>
          <w:szCs w:val="22"/>
        </w:rPr>
        <w:t>).</w:t>
      </w:r>
      <w:r w:rsidR="00560B2E" w:rsidRPr="00D73AB5">
        <w:rPr>
          <w:rFonts w:ascii="Book Antiqua" w:hAnsi="Book Antiqua" w:cs="Times New Roman"/>
          <w:sz w:val="22"/>
          <w:szCs w:val="22"/>
        </w:rPr>
        <w:t xml:space="preserve"> </w:t>
      </w:r>
    </w:p>
    <w:p w14:paraId="751133C0" w14:textId="60B5BAF6" w:rsidR="00560B2E" w:rsidRPr="00D73AB5" w:rsidRDefault="00560B2E" w:rsidP="001F6FD3">
      <w:pPr>
        <w:spacing w:before="120" w:line="276" w:lineRule="auto"/>
        <w:ind w:firstLine="720"/>
        <w:jc w:val="both"/>
        <w:rPr>
          <w:rFonts w:ascii="Book Antiqua" w:hAnsi="Book Antiqua" w:cs="Times New Roman"/>
          <w:sz w:val="22"/>
          <w:szCs w:val="22"/>
        </w:rPr>
      </w:pPr>
      <w:r w:rsidRPr="00D73AB5">
        <w:rPr>
          <w:rFonts w:ascii="Book Antiqua" w:hAnsi="Book Antiqua" w:cs="Times New Roman"/>
          <w:b/>
          <w:sz w:val="22"/>
          <w:szCs w:val="22"/>
        </w:rPr>
        <w:t>Ďalej sa v Programovom vyhlásení vlády na roky 2020-2024 uvádza, že: „</w:t>
      </w:r>
      <w:r w:rsidRPr="00D73AB5">
        <w:rPr>
          <w:rFonts w:ascii="Book Antiqua" w:hAnsi="Book Antiqua" w:cs="Times New Roman"/>
          <w:b/>
          <w:i/>
          <w:sz w:val="22"/>
          <w:szCs w:val="22"/>
        </w:rPr>
        <w:t>Vláda SR prijme opatrenia aj na odstránenie znevýhodnenia individuálneho vykurovania oproti centralizovanému zásobovaniu teplom, rešpektujúc pritom hľadisko ekonomicky udržateľnej prevádzky teplárenskej infraštruktúry.</w:t>
      </w:r>
      <w:r w:rsidRPr="00D73AB5">
        <w:rPr>
          <w:rFonts w:ascii="Book Antiqua" w:hAnsi="Book Antiqua" w:cs="Times New Roman"/>
          <w:b/>
          <w:sz w:val="22"/>
          <w:szCs w:val="22"/>
        </w:rPr>
        <w:t>“.</w:t>
      </w:r>
    </w:p>
    <w:p w14:paraId="428271DC" w14:textId="3DE2A9C8" w:rsidR="0020565B" w:rsidRPr="00D73AB5" w:rsidRDefault="00CE49FA" w:rsidP="001F6FD3">
      <w:pPr>
        <w:spacing w:before="120" w:line="276" w:lineRule="auto"/>
        <w:ind w:firstLine="720"/>
        <w:jc w:val="both"/>
        <w:rPr>
          <w:rFonts w:ascii="Book Antiqua" w:hAnsi="Book Antiqua" w:cs="Times New Roman"/>
          <w:sz w:val="22"/>
          <w:szCs w:val="22"/>
        </w:rPr>
      </w:pPr>
      <w:r>
        <w:rPr>
          <w:rFonts w:ascii="Book Antiqua" w:hAnsi="Book Antiqua" w:cs="Times New Roman"/>
          <w:sz w:val="22"/>
          <w:szCs w:val="22"/>
        </w:rPr>
        <w:t>Správne vymedzenie skutočností, ku ktorým sa má dotknutý orgán (v zmysle stavebného zákona) vyjadrovať v rámci záväzného stanoviska, ako aj legislatívne spresnenie niektorých ustanovení s cieľom ich jednoznačného výkladu a uplatňovaniu predstavujú základ pre odstránenie znevýhodnenia</w:t>
      </w:r>
      <w:r w:rsidRPr="00CE49FA">
        <w:rPr>
          <w:rFonts w:ascii="Book Antiqua" w:hAnsi="Book Antiqua" w:cs="Times New Roman"/>
          <w:b/>
          <w:i/>
          <w:sz w:val="22"/>
          <w:szCs w:val="22"/>
        </w:rPr>
        <w:t xml:space="preserve"> </w:t>
      </w:r>
      <w:r w:rsidRPr="00CE49FA">
        <w:rPr>
          <w:rFonts w:ascii="Book Antiqua" w:hAnsi="Book Antiqua" w:cs="Times New Roman"/>
          <w:sz w:val="22"/>
          <w:szCs w:val="22"/>
        </w:rPr>
        <w:t>individuálneho vykurovania oproti centralizovanému zásobovaniu teplom, rešpektujúc pritom hľadisko ekonomicky udržateľnej prevádzky teplárenskej infraštruktúry.</w:t>
      </w:r>
      <w:r>
        <w:rPr>
          <w:rFonts w:ascii="Book Antiqua" w:hAnsi="Book Antiqua" w:cs="Times New Roman"/>
          <w:b/>
          <w:i/>
          <w:sz w:val="22"/>
          <w:szCs w:val="22"/>
        </w:rPr>
        <w:t xml:space="preserve"> </w:t>
      </w:r>
      <w:r>
        <w:rPr>
          <w:rFonts w:ascii="Book Antiqua" w:hAnsi="Book Antiqua" w:cs="Times New Roman"/>
          <w:sz w:val="22"/>
          <w:szCs w:val="22"/>
        </w:rPr>
        <w:t xml:space="preserve">Takéto spresnenia sú plne v súlade so </w:t>
      </w:r>
      <w:r w:rsidR="004003D4" w:rsidRPr="00D73AB5">
        <w:rPr>
          <w:rFonts w:ascii="Book Antiqua" w:hAnsi="Book Antiqua" w:cs="Times New Roman"/>
          <w:sz w:val="22"/>
          <w:szCs w:val="22"/>
        </w:rPr>
        <w:t>s</w:t>
      </w:r>
      <w:r w:rsidR="00010A92" w:rsidRPr="00D73AB5">
        <w:rPr>
          <w:rFonts w:ascii="Book Antiqua" w:hAnsi="Book Antiqua" w:cs="Times New Roman"/>
          <w:sz w:val="22"/>
          <w:szCs w:val="22"/>
        </w:rPr>
        <w:t xml:space="preserve">mernicou Európskeho parlamentu a rady </w:t>
      </w:r>
      <w:r>
        <w:rPr>
          <w:rFonts w:ascii="Book Antiqua" w:hAnsi="Book Antiqua" w:cs="Times New Roman"/>
          <w:sz w:val="22"/>
          <w:szCs w:val="22"/>
        </w:rPr>
        <w:t xml:space="preserve">     </w:t>
      </w:r>
      <w:r w:rsidR="00010A92" w:rsidRPr="00D73AB5">
        <w:rPr>
          <w:rFonts w:ascii="Book Antiqua" w:hAnsi="Book Antiqua" w:cs="Times New Roman"/>
          <w:sz w:val="22"/>
          <w:szCs w:val="22"/>
        </w:rPr>
        <w:t>č. 2012/27/EÚ z 25. 10. 2012 o energeticke</w:t>
      </w:r>
      <w:r>
        <w:rPr>
          <w:rFonts w:ascii="Book Antiqua" w:hAnsi="Book Antiqua" w:cs="Times New Roman"/>
          <w:sz w:val="22"/>
          <w:szCs w:val="22"/>
        </w:rPr>
        <w:t xml:space="preserve">j efektívnosti, ako aj s najnovšou judikatúrou Ústavného súdu Slovenskej republiky v tejto oblasti (sp. zn. PL ÚS 6/2019-78), ktorý konštatoval, že dotknutý </w:t>
      </w:r>
      <w:r>
        <w:rPr>
          <w:rFonts w:ascii="Book Antiqua" w:hAnsi="Book Antiqua" w:cs="Times New Roman"/>
          <w:sz w:val="22"/>
          <w:szCs w:val="22"/>
        </w:rPr>
        <w:lastRenderedPageBreak/>
        <w:t>orgán sa v rámci záväzného stanoviska môže vyjadrovať výlučne k skutočnostiam podľa § 22 ods. 3 (nežiaduci zásah do sústavy tepelných zariadení) a § 36 ods. 7 (zásahy v ochrannom pásme) zákona č. 657/2004 Z. z. V praxi by sa malo týmto legislatívnym spresnením zamedziť tomu, aby sa dotknutý orgán vyjadroval k ďalším skutočnostiam nad rámec zákonných oprávnení</w:t>
      </w:r>
      <w:r w:rsidR="001F6FD3">
        <w:rPr>
          <w:rFonts w:ascii="Book Antiqua" w:hAnsi="Book Antiqua" w:cs="Times New Roman"/>
          <w:sz w:val="22"/>
          <w:szCs w:val="22"/>
        </w:rPr>
        <w:t xml:space="preserve"> a zneužíval tak svoje postavenie v územnom, resp. stavebnom konaní.</w:t>
      </w:r>
    </w:p>
    <w:p w14:paraId="2156E92E" w14:textId="43492F30" w:rsidR="007E6D14" w:rsidRPr="00D73AB5" w:rsidRDefault="00010A92"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ab/>
        <w:t>Predložený návrh zákona nezakladá žiadne vplyvy na rozpočet verejnej správy, na</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 xml:space="preserve">životné prostredie ani na informatizáciu spoločnosti. Návrh zákona </w:t>
      </w:r>
      <w:r w:rsidR="00CE49FA">
        <w:rPr>
          <w:rFonts w:ascii="Book Antiqua" w:hAnsi="Book Antiqua" w:cs="Times New Roman"/>
          <w:sz w:val="22"/>
          <w:szCs w:val="22"/>
        </w:rPr>
        <w:t xml:space="preserve">nevyvoláva sociálne vplyvy a nemá vplyv </w:t>
      </w:r>
      <w:r w:rsidRPr="00D73AB5">
        <w:rPr>
          <w:rFonts w:ascii="Book Antiqua" w:hAnsi="Book Antiqua" w:cs="Times New Roman"/>
          <w:sz w:val="22"/>
          <w:szCs w:val="22"/>
        </w:rPr>
        <w:t>na podnikateľské</w:t>
      </w:r>
      <w:r w:rsidR="007E6D14" w:rsidRPr="00D73AB5">
        <w:rPr>
          <w:rFonts w:ascii="Book Antiqua" w:hAnsi="Book Antiqua" w:cs="Times New Roman"/>
          <w:sz w:val="22"/>
          <w:szCs w:val="22"/>
        </w:rPr>
        <w:t xml:space="preserve"> </w:t>
      </w:r>
      <w:r w:rsidR="00492D51" w:rsidRPr="00D73AB5">
        <w:rPr>
          <w:rFonts w:ascii="Book Antiqua" w:hAnsi="Book Antiqua" w:cs="Times New Roman"/>
          <w:sz w:val="22"/>
          <w:szCs w:val="22"/>
        </w:rPr>
        <w:t>prostredie.</w:t>
      </w:r>
      <w:r w:rsidR="007E6D14" w:rsidRPr="00D73AB5">
        <w:rPr>
          <w:rFonts w:ascii="Book Antiqua" w:hAnsi="Book Antiqua" w:cs="Times New Roman"/>
          <w:sz w:val="22"/>
          <w:szCs w:val="22"/>
        </w:rPr>
        <w:t xml:space="preserve"> </w:t>
      </w:r>
    </w:p>
    <w:p w14:paraId="1E3C3E8A" w14:textId="77777777" w:rsidR="0020565B" w:rsidRPr="00D73AB5" w:rsidRDefault="00010A92"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ab/>
        <w:t>Návrh zákona je v súlade s Ústavou Slovenskej republiky, ústavnými zákonmi</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a ostatnými všeobecne záväznými právnymi predpismi Slovenskej republiky,</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medzinárodnými zmluvami a inými medzinárodnými dokumentmi, ktorými je Slovenská</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republika viazaná, ako aj s právom Európskej únie.</w:t>
      </w:r>
    </w:p>
    <w:p w14:paraId="0837E9C9" w14:textId="77777777" w:rsidR="0020565B" w:rsidRPr="00D73AB5" w:rsidRDefault="0020565B" w:rsidP="001F6FD3">
      <w:pPr>
        <w:spacing w:before="120" w:line="276" w:lineRule="auto"/>
        <w:rPr>
          <w:rFonts w:ascii="Book Antiqua" w:hAnsi="Book Antiqua" w:cs="Times New Roman"/>
          <w:sz w:val="22"/>
          <w:szCs w:val="22"/>
        </w:rPr>
      </w:pPr>
    </w:p>
    <w:p w14:paraId="29C582A2" w14:textId="77777777" w:rsidR="00560B2E" w:rsidRPr="00D73AB5" w:rsidRDefault="00560B2E" w:rsidP="001F6FD3">
      <w:pPr>
        <w:spacing w:before="120" w:line="276" w:lineRule="auto"/>
        <w:rPr>
          <w:rFonts w:ascii="Book Antiqua" w:hAnsi="Book Antiqua" w:cs="Times New Roman"/>
          <w:sz w:val="22"/>
          <w:szCs w:val="22"/>
        </w:rPr>
      </w:pPr>
      <w:r w:rsidRPr="00D73AB5">
        <w:rPr>
          <w:rFonts w:ascii="Book Antiqua" w:hAnsi="Book Antiqua" w:cs="Times New Roman"/>
          <w:sz w:val="22"/>
          <w:szCs w:val="22"/>
        </w:rPr>
        <w:br w:type="page"/>
      </w:r>
    </w:p>
    <w:p w14:paraId="6A833720" w14:textId="77777777" w:rsidR="001F6FD3" w:rsidRDefault="00010A92" w:rsidP="001F6FD3">
      <w:pPr>
        <w:spacing w:before="120" w:line="276" w:lineRule="auto"/>
        <w:rPr>
          <w:rFonts w:ascii="Book Antiqua" w:hAnsi="Book Antiqua" w:cs="Times New Roman"/>
          <w:sz w:val="22"/>
          <w:szCs w:val="22"/>
        </w:rPr>
      </w:pPr>
      <w:r w:rsidRPr="00D73AB5">
        <w:rPr>
          <w:rFonts w:ascii="Book Antiqua" w:hAnsi="Book Antiqua" w:cs="Times New Roman"/>
          <w:b/>
          <w:bCs/>
          <w:sz w:val="22"/>
          <w:szCs w:val="22"/>
        </w:rPr>
        <w:lastRenderedPageBreak/>
        <w:t>B. Osobitná časť</w:t>
      </w:r>
    </w:p>
    <w:p w14:paraId="1C05201B" w14:textId="77777777" w:rsidR="001F6FD3" w:rsidRDefault="001F6FD3" w:rsidP="001F6FD3">
      <w:pPr>
        <w:spacing w:before="120" w:line="276" w:lineRule="auto"/>
        <w:rPr>
          <w:rFonts w:ascii="Book Antiqua" w:hAnsi="Book Antiqua" w:cs="Times New Roman"/>
          <w:sz w:val="22"/>
          <w:szCs w:val="22"/>
        </w:rPr>
      </w:pPr>
    </w:p>
    <w:p w14:paraId="4E54E96A" w14:textId="77777777" w:rsidR="001F6FD3" w:rsidRDefault="00010A92" w:rsidP="001F6FD3">
      <w:pPr>
        <w:spacing w:before="120" w:line="276" w:lineRule="auto"/>
        <w:rPr>
          <w:rFonts w:ascii="Book Antiqua" w:hAnsi="Book Antiqua" w:cs="Times New Roman"/>
          <w:sz w:val="22"/>
          <w:szCs w:val="22"/>
        </w:rPr>
      </w:pPr>
      <w:r w:rsidRPr="00D73AB5">
        <w:rPr>
          <w:rFonts w:ascii="Book Antiqua" w:hAnsi="Book Antiqua" w:cs="Times New Roman"/>
          <w:b/>
          <w:bCs/>
          <w:sz w:val="22"/>
          <w:szCs w:val="22"/>
        </w:rPr>
        <w:t>K Čl. I</w:t>
      </w:r>
    </w:p>
    <w:p w14:paraId="10E5BB64" w14:textId="77777777" w:rsidR="001F6FD3" w:rsidRDefault="00010A92" w:rsidP="001F6FD3">
      <w:pPr>
        <w:spacing w:before="120" w:line="276" w:lineRule="auto"/>
        <w:rPr>
          <w:rFonts w:ascii="Book Antiqua" w:hAnsi="Book Antiqua" w:cs="Times New Roman"/>
          <w:sz w:val="22"/>
          <w:szCs w:val="22"/>
        </w:rPr>
      </w:pPr>
      <w:r w:rsidRPr="00D73AB5">
        <w:rPr>
          <w:rFonts w:ascii="Book Antiqua" w:hAnsi="Book Antiqua" w:cs="Times New Roman"/>
          <w:bCs/>
          <w:sz w:val="22"/>
          <w:szCs w:val="22"/>
          <w:u w:val="single"/>
        </w:rPr>
        <w:t>K bod</w:t>
      </w:r>
      <w:r w:rsidR="00B408CE" w:rsidRPr="00D73AB5">
        <w:rPr>
          <w:rFonts w:ascii="Book Antiqua" w:hAnsi="Book Antiqua" w:cs="Times New Roman"/>
          <w:bCs/>
          <w:sz w:val="22"/>
          <w:szCs w:val="22"/>
          <w:u w:val="single"/>
        </w:rPr>
        <w:t>om</w:t>
      </w:r>
      <w:r w:rsidRPr="00D73AB5">
        <w:rPr>
          <w:rFonts w:ascii="Book Antiqua" w:hAnsi="Book Antiqua" w:cs="Times New Roman"/>
          <w:bCs/>
          <w:sz w:val="22"/>
          <w:szCs w:val="22"/>
          <w:u w:val="single"/>
        </w:rPr>
        <w:t xml:space="preserve"> 1</w:t>
      </w:r>
      <w:r w:rsidR="00B408CE" w:rsidRPr="00D73AB5">
        <w:rPr>
          <w:rFonts w:ascii="Book Antiqua" w:hAnsi="Book Antiqua" w:cs="Times New Roman"/>
          <w:bCs/>
          <w:sz w:val="22"/>
          <w:szCs w:val="22"/>
          <w:u w:val="single"/>
        </w:rPr>
        <w:t xml:space="preserve"> až 3</w:t>
      </w:r>
    </w:p>
    <w:p w14:paraId="6FFB331C" w14:textId="77777777" w:rsidR="001F6FD3" w:rsidRDefault="007D7880" w:rsidP="001F6FD3">
      <w:pPr>
        <w:spacing w:before="120" w:line="276" w:lineRule="auto"/>
        <w:ind w:firstLine="720"/>
        <w:jc w:val="both"/>
        <w:rPr>
          <w:rFonts w:ascii="Book Antiqua" w:hAnsi="Book Antiqua" w:cs="Times New Roman"/>
          <w:sz w:val="22"/>
          <w:szCs w:val="22"/>
        </w:rPr>
      </w:pPr>
      <w:r w:rsidRPr="00D73AB5">
        <w:rPr>
          <w:rFonts w:ascii="Book Antiqua" w:hAnsi="Book Antiqua" w:cs="Times New Roman"/>
          <w:sz w:val="22"/>
          <w:szCs w:val="22"/>
        </w:rPr>
        <w:t>V bode 3 sa ustanovujú nové definície pojmov zariadenie na rozvod tepla, odovzdávacia stanica tepla a odberné tepelné zariadenie. V bode 1 a 2 sa v nadväznosti na tieto nové pojmy modifikujú existujúce pojmy sústava tepelných zariadení a tepelná prípojka.</w:t>
      </w:r>
    </w:p>
    <w:p w14:paraId="6D05C961" w14:textId="77777777" w:rsidR="001F6FD3" w:rsidRDefault="006001D7"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u w:val="single"/>
        </w:rPr>
        <w:t xml:space="preserve">K bodom </w:t>
      </w:r>
      <w:r w:rsidR="00C26609">
        <w:rPr>
          <w:rFonts w:ascii="Book Antiqua" w:hAnsi="Book Antiqua" w:cs="Times New Roman"/>
          <w:sz w:val="22"/>
          <w:szCs w:val="22"/>
          <w:u w:val="single"/>
        </w:rPr>
        <w:t>4</w:t>
      </w:r>
      <w:r w:rsidRPr="00D73AB5">
        <w:rPr>
          <w:rFonts w:ascii="Book Antiqua" w:hAnsi="Book Antiqua" w:cs="Times New Roman"/>
          <w:sz w:val="22"/>
          <w:szCs w:val="22"/>
          <w:u w:val="single"/>
        </w:rPr>
        <w:t xml:space="preserve"> a </w:t>
      </w:r>
      <w:r w:rsidR="00C26609">
        <w:rPr>
          <w:rFonts w:ascii="Book Antiqua" w:hAnsi="Book Antiqua" w:cs="Times New Roman"/>
          <w:sz w:val="22"/>
          <w:szCs w:val="22"/>
          <w:u w:val="single"/>
        </w:rPr>
        <w:t>5</w:t>
      </w:r>
      <w:r w:rsidRPr="00D73AB5">
        <w:rPr>
          <w:rFonts w:ascii="Book Antiqua" w:hAnsi="Book Antiqua" w:cs="Times New Roman"/>
          <w:sz w:val="22"/>
          <w:szCs w:val="22"/>
          <w:u w:val="single"/>
        </w:rPr>
        <w:t xml:space="preserve">  </w:t>
      </w:r>
    </w:p>
    <w:p w14:paraId="029DC963" w14:textId="77777777" w:rsidR="001F6FD3" w:rsidRDefault="00F635B9"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 xml:space="preserve">V nadväznosti na zavedenie </w:t>
      </w:r>
      <w:r w:rsidR="00C26609">
        <w:rPr>
          <w:rFonts w:ascii="Book Antiqua" w:hAnsi="Book Antiqua" w:cs="Times New Roman"/>
          <w:sz w:val="22"/>
          <w:szCs w:val="22"/>
        </w:rPr>
        <w:t>nových definícií pojmov</w:t>
      </w:r>
      <w:r w:rsidRPr="00D73AB5">
        <w:rPr>
          <w:rFonts w:ascii="Book Antiqua" w:hAnsi="Book Antiqua" w:cs="Times New Roman"/>
          <w:sz w:val="22"/>
          <w:szCs w:val="22"/>
        </w:rPr>
        <w:t xml:space="preserve"> </w:t>
      </w:r>
      <w:r w:rsidR="00C26609">
        <w:rPr>
          <w:rFonts w:ascii="Book Antiqua" w:hAnsi="Book Antiqua" w:cs="Times New Roman"/>
          <w:sz w:val="22"/>
          <w:szCs w:val="22"/>
        </w:rPr>
        <w:t xml:space="preserve">sa navrhuje </w:t>
      </w:r>
      <w:r w:rsidRPr="00D73AB5">
        <w:rPr>
          <w:rFonts w:ascii="Book Antiqua" w:hAnsi="Book Antiqua" w:cs="Times New Roman"/>
          <w:sz w:val="22"/>
          <w:szCs w:val="22"/>
        </w:rPr>
        <w:t xml:space="preserve">rozšíriť náležitosti povolenia na podnikanie v tepelnej energetike o presnú špecifikáciu primárnej časti alebo sekundárnej časti, na ktorej sa </w:t>
      </w:r>
      <w:r w:rsidR="00374DC1">
        <w:rPr>
          <w:rFonts w:ascii="Book Antiqua" w:hAnsi="Book Antiqua" w:cs="Times New Roman"/>
          <w:sz w:val="22"/>
          <w:szCs w:val="22"/>
        </w:rPr>
        <w:t xml:space="preserve">má </w:t>
      </w:r>
      <w:r w:rsidRPr="00D73AB5">
        <w:rPr>
          <w:rFonts w:ascii="Book Antiqua" w:hAnsi="Book Antiqua" w:cs="Times New Roman"/>
          <w:sz w:val="22"/>
          <w:szCs w:val="22"/>
        </w:rPr>
        <w:t>podnik</w:t>
      </w:r>
      <w:r w:rsidR="00374DC1">
        <w:rPr>
          <w:rFonts w:ascii="Book Antiqua" w:hAnsi="Book Antiqua" w:cs="Times New Roman"/>
          <w:sz w:val="22"/>
          <w:szCs w:val="22"/>
        </w:rPr>
        <w:t>ať</w:t>
      </w:r>
      <w:r w:rsidRPr="00D73AB5">
        <w:rPr>
          <w:rFonts w:ascii="Book Antiqua" w:hAnsi="Book Antiqua" w:cs="Times New Roman"/>
          <w:sz w:val="22"/>
          <w:szCs w:val="22"/>
        </w:rPr>
        <w:t>.</w:t>
      </w:r>
    </w:p>
    <w:p w14:paraId="0D612FE3" w14:textId="77777777" w:rsidR="001F6FD3" w:rsidRDefault="00F635B9"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u w:val="single"/>
        </w:rPr>
        <w:t xml:space="preserve">K bodu </w:t>
      </w:r>
      <w:r w:rsidR="00C26609">
        <w:rPr>
          <w:rFonts w:ascii="Book Antiqua" w:hAnsi="Book Antiqua" w:cs="Times New Roman"/>
          <w:sz w:val="22"/>
          <w:szCs w:val="22"/>
          <w:u w:val="single"/>
        </w:rPr>
        <w:t>6</w:t>
      </w:r>
    </w:p>
    <w:p w14:paraId="7B763714" w14:textId="77777777" w:rsidR="001F6FD3" w:rsidRDefault="00010A92" w:rsidP="001F6FD3">
      <w:pPr>
        <w:spacing w:before="120" w:line="276" w:lineRule="auto"/>
        <w:ind w:firstLine="720"/>
        <w:jc w:val="both"/>
        <w:rPr>
          <w:rFonts w:ascii="Book Antiqua" w:hAnsi="Book Antiqua" w:cs="Times New Roman"/>
          <w:sz w:val="22"/>
          <w:szCs w:val="22"/>
        </w:rPr>
      </w:pPr>
      <w:r w:rsidRPr="00D73AB5">
        <w:rPr>
          <w:rFonts w:ascii="Book Antiqua" w:hAnsi="Book Antiqua" w:cs="Times New Roman"/>
          <w:sz w:val="22"/>
          <w:szCs w:val="22"/>
        </w:rPr>
        <w:t>Ide o odstránenie nedostatku nejednoznačnej platnej právnej úpravy 12 ods. 9 zákona</w:t>
      </w:r>
      <w:r w:rsidR="00F635B9" w:rsidRPr="00D73AB5">
        <w:rPr>
          <w:rFonts w:ascii="Book Antiqua" w:hAnsi="Book Antiqua" w:cs="Times New Roman"/>
          <w:sz w:val="22"/>
          <w:szCs w:val="22"/>
        </w:rPr>
        <w:t xml:space="preserve"> </w:t>
      </w:r>
      <w:r w:rsidR="001F6FD3">
        <w:rPr>
          <w:rFonts w:ascii="Book Antiqua" w:hAnsi="Book Antiqua" w:cs="Times New Roman"/>
          <w:sz w:val="22"/>
          <w:szCs w:val="22"/>
        </w:rPr>
        <w:t xml:space="preserve">          </w:t>
      </w:r>
      <w:r w:rsidRPr="00D73AB5">
        <w:rPr>
          <w:rFonts w:ascii="Book Antiqua" w:hAnsi="Book Antiqua" w:cs="Times New Roman"/>
          <w:sz w:val="22"/>
          <w:szCs w:val="22"/>
        </w:rPr>
        <w:t>č. 657/2004 Z. z., keďže platné znenie tohto zákona neuvádza, či má obec pri vydávaní záväzného stanoviska podľa odseku 8 postupovať podľa odsekov 2 až 7 rovnako alebo primerane. Právna úprava platná do prijatia novely zákona č. 657/2004 Z. z. z roku 2014 (zákon č. 100/2014 Z. z.) ustanovovala, že obec ma pri vydávaní záväzného stanoviska postupovať primerane a keďže tento postup obce je v súčasnosti nejasný, v praxi dochád</w:t>
      </w:r>
      <w:r w:rsidR="001F6FD3">
        <w:rPr>
          <w:rFonts w:ascii="Book Antiqua" w:hAnsi="Book Antiqua" w:cs="Times New Roman"/>
          <w:sz w:val="22"/>
          <w:szCs w:val="22"/>
        </w:rPr>
        <w:t>za k rozdielnym výkladom zákona. Legislatívnym spresnením textu zákona sa jednoznačne uvedie, že v danej veci má príslušný orgán postupovať primerane, čo je nakoniec logické vzhľadom na to, že sústava tepelných zariadení s celkovým inštalovaným tepelným výkonom od 100 kW vrátane do 10 MW nie je identická so sústavou tepelných zariadení s celkovým inštalovaným tepelným výkonom nad 10 MW, a preto nie je objektívne možné uplatňovať tie isté ustanovenia zákona na oba typy týchto sústav rovnako.</w:t>
      </w:r>
    </w:p>
    <w:p w14:paraId="45A6B341" w14:textId="77777777" w:rsidR="001F6FD3" w:rsidRDefault="00010A92" w:rsidP="001F6FD3">
      <w:pPr>
        <w:spacing w:before="120" w:line="276" w:lineRule="auto"/>
        <w:ind w:firstLine="720"/>
        <w:jc w:val="both"/>
        <w:rPr>
          <w:rFonts w:ascii="Book Antiqua" w:hAnsi="Book Antiqua" w:cs="Times New Roman"/>
          <w:sz w:val="22"/>
          <w:szCs w:val="22"/>
        </w:rPr>
      </w:pPr>
      <w:r w:rsidRPr="00D73AB5">
        <w:rPr>
          <w:rFonts w:ascii="Book Antiqua" w:hAnsi="Book Antiqua" w:cs="Times New Roman"/>
          <w:sz w:val="22"/>
          <w:szCs w:val="22"/>
        </w:rPr>
        <w:t>Navrhovaná legislatívno-te</w:t>
      </w:r>
      <w:r w:rsidR="001F6FD3">
        <w:rPr>
          <w:rFonts w:ascii="Book Antiqua" w:hAnsi="Book Antiqua" w:cs="Times New Roman"/>
          <w:sz w:val="22"/>
          <w:szCs w:val="22"/>
        </w:rPr>
        <w:t xml:space="preserve">chnická úprava je tiež plne </w:t>
      </w:r>
      <w:r w:rsidRPr="00D73AB5">
        <w:rPr>
          <w:rFonts w:ascii="Book Antiqua" w:hAnsi="Book Antiqua" w:cs="Times New Roman"/>
          <w:sz w:val="22"/>
          <w:szCs w:val="22"/>
        </w:rPr>
        <w:t>v súlade s legislatívnymi pravidlami tvorby zákonov vydanými Národnou radou Slovenskej</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republiky. Podľa týchto pravidiel, ktoré sú v zmysle § 69 ods. 2 zákona Nár</w:t>
      </w:r>
      <w:r w:rsidR="001F6FD3">
        <w:rPr>
          <w:rFonts w:ascii="Book Antiqua" w:hAnsi="Book Antiqua" w:cs="Times New Roman"/>
          <w:sz w:val="22"/>
          <w:szCs w:val="22"/>
        </w:rPr>
        <w:t xml:space="preserve">odnej rady Slovenskej republiky </w:t>
      </w:r>
      <w:r w:rsidRPr="00D73AB5">
        <w:rPr>
          <w:rFonts w:ascii="Book Antiqua" w:hAnsi="Book Antiqua" w:cs="Times New Roman"/>
          <w:sz w:val="22"/>
          <w:szCs w:val="22"/>
        </w:rPr>
        <w:t xml:space="preserve">č. 350/1996 Z. z. o rokovacom poriadku Národnej rady Slovenskej republiky pre navrhovateľa zákona záväzné, totiž platí nasledovné: </w:t>
      </w:r>
      <w:r w:rsidRPr="00D73AB5">
        <w:rPr>
          <w:rFonts w:ascii="Book Antiqua" w:hAnsi="Book Antiqua" w:cs="Times New Roman"/>
          <w:i/>
          <w:iCs/>
          <w:sz w:val="22"/>
          <w:szCs w:val="22"/>
        </w:rPr>
        <w:t>„Ak sa majú novoupravované právne vzťahy v celom rozsahu podrobiť už jestvujúcej právnej úprave, používa sa slovo „rovnako“. Ak sa majú na tieto vzťahy uplatňovať len niektoré časti jestvujúcej právnej úpravy, používa sa slovo „primerane“.</w:t>
      </w:r>
      <w:r w:rsidRPr="00D73AB5">
        <w:rPr>
          <w:rFonts w:ascii="Book Antiqua" w:hAnsi="Book Antiqua" w:cs="Times New Roman"/>
          <w:sz w:val="22"/>
          <w:szCs w:val="22"/>
        </w:rPr>
        <w:t xml:space="preserve"> Tieto pravidlá ne</w:t>
      </w:r>
      <w:r w:rsidR="001F6FD3">
        <w:rPr>
          <w:rFonts w:ascii="Book Antiqua" w:hAnsi="Book Antiqua" w:cs="Times New Roman"/>
          <w:sz w:val="22"/>
          <w:szCs w:val="22"/>
        </w:rPr>
        <w:t xml:space="preserve">boli v pozmeňujúcom návrhu k vládnemu návrhu novely zákona </w:t>
      </w:r>
      <w:r w:rsidRPr="00D73AB5">
        <w:rPr>
          <w:rFonts w:ascii="Book Antiqua" w:hAnsi="Book Antiqua" w:cs="Times New Roman"/>
          <w:sz w:val="22"/>
          <w:szCs w:val="22"/>
        </w:rPr>
        <w:t>č. 657/2004 Z. z. v roku 2014 dodržané (zákon č. 100/2014 Z. z.), čo sa týmto návrhom zákona uvádza do súladu.</w:t>
      </w:r>
    </w:p>
    <w:p w14:paraId="41EC03F4" w14:textId="77777777" w:rsidR="001F6FD3" w:rsidRDefault="00010A92" w:rsidP="001F6FD3">
      <w:pPr>
        <w:spacing w:before="120" w:line="276" w:lineRule="auto"/>
        <w:jc w:val="both"/>
        <w:rPr>
          <w:rFonts w:ascii="Book Antiqua" w:hAnsi="Book Antiqua" w:cs="Times New Roman"/>
          <w:sz w:val="22"/>
          <w:szCs w:val="22"/>
        </w:rPr>
      </w:pPr>
      <w:r w:rsidRPr="00D73AB5">
        <w:rPr>
          <w:rFonts w:ascii="Book Antiqua" w:hAnsi="Book Antiqua" w:cs="Times New Roman"/>
          <w:bCs/>
          <w:sz w:val="22"/>
          <w:szCs w:val="22"/>
          <w:u w:val="single"/>
        </w:rPr>
        <w:t xml:space="preserve">K </w:t>
      </w:r>
      <w:r w:rsidR="00B573A7" w:rsidRPr="00D73AB5">
        <w:rPr>
          <w:rFonts w:ascii="Book Antiqua" w:hAnsi="Book Antiqua" w:cs="Times New Roman"/>
          <w:bCs/>
          <w:sz w:val="22"/>
          <w:szCs w:val="22"/>
          <w:u w:val="single"/>
        </w:rPr>
        <w:t>bod</w:t>
      </w:r>
      <w:r w:rsidR="00F56D42">
        <w:rPr>
          <w:rFonts w:ascii="Book Antiqua" w:hAnsi="Book Antiqua" w:cs="Times New Roman"/>
          <w:bCs/>
          <w:sz w:val="22"/>
          <w:szCs w:val="22"/>
          <w:u w:val="single"/>
        </w:rPr>
        <w:t>u</w:t>
      </w:r>
      <w:r w:rsidR="00B573A7" w:rsidRPr="00D73AB5">
        <w:rPr>
          <w:rFonts w:ascii="Book Antiqua" w:hAnsi="Book Antiqua" w:cs="Times New Roman"/>
          <w:bCs/>
          <w:sz w:val="22"/>
          <w:szCs w:val="22"/>
          <w:u w:val="single"/>
        </w:rPr>
        <w:t xml:space="preserve"> </w:t>
      </w:r>
      <w:r w:rsidR="00F56D42">
        <w:rPr>
          <w:rFonts w:ascii="Book Antiqua" w:hAnsi="Book Antiqua" w:cs="Times New Roman"/>
          <w:bCs/>
          <w:sz w:val="22"/>
          <w:szCs w:val="22"/>
          <w:u w:val="single"/>
        </w:rPr>
        <w:t>7</w:t>
      </w:r>
    </w:p>
    <w:p w14:paraId="5335DB20" w14:textId="44FDED53" w:rsidR="0020565B" w:rsidRPr="001F6FD3" w:rsidRDefault="00010A92" w:rsidP="001F6FD3">
      <w:pPr>
        <w:spacing w:before="120" w:line="276" w:lineRule="auto"/>
        <w:ind w:firstLine="720"/>
        <w:jc w:val="both"/>
        <w:rPr>
          <w:rFonts w:ascii="Book Antiqua" w:hAnsi="Book Antiqua" w:cs="Times New Roman"/>
          <w:sz w:val="22"/>
          <w:szCs w:val="22"/>
        </w:rPr>
      </w:pPr>
      <w:r w:rsidRPr="00D73AB5">
        <w:rPr>
          <w:rFonts w:ascii="Book Antiqua" w:hAnsi="Book Antiqua" w:cs="Times New Roman"/>
          <w:sz w:val="22"/>
          <w:szCs w:val="22"/>
        </w:rPr>
        <w:t>Z § 12 zákona č. 657/2004 Z. z. sa najmä v záujme odberateľov a následne aj konečných</w:t>
      </w:r>
      <w:r w:rsidR="007E6D14" w:rsidRPr="00D73AB5">
        <w:rPr>
          <w:rFonts w:ascii="Book Antiqua" w:hAnsi="Book Antiqua" w:cs="Times New Roman"/>
          <w:sz w:val="22"/>
          <w:szCs w:val="22"/>
        </w:rPr>
        <w:t xml:space="preserve"> s</w:t>
      </w:r>
      <w:r w:rsidRPr="00D73AB5">
        <w:rPr>
          <w:rFonts w:ascii="Book Antiqua" w:hAnsi="Book Antiqua" w:cs="Times New Roman"/>
          <w:sz w:val="22"/>
          <w:szCs w:val="22"/>
        </w:rPr>
        <w:t>potrebiteľov vypúšťa problematická prvá veta z odseku 10</w:t>
      </w:r>
      <w:r w:rsidRPr="00D73AB5">
        <w:rPr>
          <w:rFonts w:ascii="Book Antiqua" w:hAnsi="Book Antiqua" w:cs="Times New Roman"/>
          <w:b/>
          <w:bCs/>
          <w:i/>
          <w:iCs/>
          <w:sz w:val="22"/>
          <w:szCs w:val="22"/>
        </w:rPr>
        <w:t xml:space="preserve"> </w:t>
      </w:r>
      <w:r w:rsidRPr="00D73AB5">
        <w:rPr>
          <w:rFonts w:ascii="Book Antiqua" w:hAnsi="Book Antiqua" w:cs="Times New Roman"/>
          <w:sz w:val="22"/>
          <w:szCs w:val="22"/>
        </w:rPr>
        <w:t>účinného od 1. mája 2014, ktorý bol do predmetného zák</w:t>
      </w:r>
      <w:r w:rsidR="001F6FD3">
        <w:rPr>
          <w:rFonts w:ascii="Book Antiqua" w:hAnsi="Book Antiqua" w:cs="Times New Roman"/>
          <w:sz w:val="22"/>
          <w:szCs w:val="22"/>
        </w:rPr>
        <w:t xml:space="preserve">ona doplnený jeho </w:t>
      </w:r>
      <w:r w:rsidRPr="00D73AB5">
        <w:rPr>
          <w:rFonts w:ascii="Book Antiqua" w:hAnsi="Book Antiqua" w:cs="Times New Roman"/>
          <w:sz w:val="22"/>
          <w:szCs w:val="22"/>
        </w:rPr>
        <w:t>novelou</w:t>
      </w:r>
      <w:r w:rsidR="001F6FD3">
        <w:rPr>
          <w:rFonts w:ascii="Book Antiqua" w:hAnsi="Book Antiqua" w:cs="Times New Roman"/>
          <w:sz w:val="22"/>
          <w:szCs w:val="22"/>
        </w:rPr>
        <w:t xml:space="preserve"> z roku 2014</w:t>
      </w:r>
      <w:r w:rsidRPr="00D73AB5">
        <w:rPr>
          <w:rFonts w:ascii="Book Antiqua" w:hAnsi="Book Antiqua" w:cs="Times New Roman"/>
          <w:sz w:val="22"/>
          <w:szCs w:val="22"/>
        </w:rPr>
        <w:t xml:space="preserve"> (zákonom č. 100/2014 Z. z.). </w:t>
      </w:r>
      <w:r w:rsidR="007E6D14" w:rsidRPr="00D73AB5">
        <w:rPr>
          <w:rFonts w:ascii="Book Antiqua" w:hAnsi="Book Antiqua" w:cs="Times New Roman"/>
          <w:iCs/>
          <w:sz w:val="22"/>
          <w:szCs w:val="22"/>
        </w:rPr>
        <w:t>D</w:t>
      </w:r>
      <w:r w:rsidRPr="00D73AB5">
        <w:rPr>
          <w:rFonts w:ascii="Book Antiqua" w:hAnsi="Book Antiqua" w:cs="Times New Roman"/>
          <w:iCs/>
          <w:sz w:val="22"/>
          <w:szCs w:val="22"/>
        </w:rPr>
        <w:t>odávateľ je v súčasnosti pri výstavbe sústavy tepelných zariadení na vymedzenom území (t. j. na území, na ktorom sa dodávateľovi ukladá povinnosť distribúcie a dodávky tepla) v konaní podľa stavebného zákona dotknutým orgánom podľa osob</w:t>
      </w:r>
      <w:r w:rsidR="006B7BD0" w:rsidRPr="00D73AB5">
        <w:rPr>
          <w:rFonts w:ascii="Book Antiqua" w:hAnsi="Book Antiqua" w:cs="Times New Roman"/>
          <w:iCs/>
          <w:sz w:val="22"/>
          <w:szCs w:val="22"/>
        </w:rPr>
        <w:t xml:space="preserve">itného zákona č. 657/2004 Z. z. </w:t>
      </w:r>
      <w:r w:rsidRPr="00D73AB5">
        <w:rPr>
          <w:rFonts w:ascii="Book Antiqua" w:hAnsi="Book Antiqua" w:cs="Times New Roman"/>
          <w:iCs/>
          <w:sz w:val="22"/>
          <w:szCs w:val="22"/>
        </w:rPr>
        <w:t>a jeho stanovisko je v zmysle tohto osobitného zákona č. 657/2004 Z. z. v spojení s dikciou § 140b stavebného zákona záväzné.</w:t>
      </w:r>
      <w:r w:rsidRPr="00D73AB5">
        <w:rPr>
          <w:rFonts w:ascii="Book Antiqua" w:hAnsi="Book Antiqua" w:cs="Times New Roman"/>
          <w:sz w:val="22"/>
          <w:szCs w:val="22"/>
        </w:rPr>
        <w:t xml:space="preserve"> Obsah záväzného stanoviska je pre správny orgán v konaní podľa</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stavebného zákona záväzný a bez zosúladenia záväzného stanoviska s inými záväznými stanoviskami nemôže rozhodnúť vo veci. Dôvodová správa k zákonu č</w:t>
      </w:r>
      <w:r w:rsidR="006B7BD0" w:rsidRPr="00D73AB5">
        <w:rPr>
          <w:rFonts w:ascii="Book Antiqua" w:hAnsi="Book Antiqua" w:cs="Times New Roman"/>
          <w:sz w:val="22"/>
          <w:szCs w:val="22"/>
        </w:rPr>
        <w:t>.</w:t>
      </w:r>
      <w:r w:rsidRPr="00D73AB5">
        <w:rPr>
          <w:rFonts w:ascii="Book Antiqua" w:hAnsi="Book Antiqua" w:cs="Times New Roman"/>
          <w:sz w:val="22"/>
          <w:szCs w:val="22"/>
        </w:rPr>
        <w:t xml:space="preserve"> 100/2014 Z. z. pritom</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k prijatiu predmetnej úpravy veľmi nejasne (bez náležitého odôvodnenia) uviedla, že odseky</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 xml:space="preserve">10 a 11 sa dopĺňajú do § 12 z toho dôvodu, že </w:t>
      </w:r>
      <w:r w:rsidRPr="00D73AB5">
        <w:rPr>
          <w:rFonts w:ascii="Book Antiqua" w:hAnsi="Book Antiqua" w:cs="Times New Roman"/>
          <w:i/>
          <w:iCs/>
          <w:sz w:val="22"/>
          <w:szCs w:val="22"/>
        </w:rPr>
        <w:t>„niektoré stavby môžu ovplyvniť sústavu</w:t>
      </w:r>
      <w:r w:rsidR="007E6D14" w:rsidRPr="00D73AB5">
        <w:rPr>
          <w:rFonts w:ascii="Book Antiqua" w:hAnsi="Book Antiqua" w:cs="Times New Roman"/>
          <w:i/>
          <w:iCs/>
          <w:sz w:val="22"/>
          <w:szCs w:val="22"/>
        </w:rPr>
        <w:t xml:space="preserve"> </w:t>
      </w:r>
      <w:r w:rsidRPr="00D73AB5">
        <w:rPr>
          <w:rFonts w:ascii="Book Antiqua" w:hAnsi="Book Antiqua" w:cs="Times New Roman"/>
          <w:i/>
          <w:iCs/>
          <w:sz w:val="22"/>
          <w:szCs w:val="22"/>
        </w:rPr>
        <w:t>tepelno-technic</w:t>
      </w:r>
      <w:r w:rsidR="006B7BD0" w:rsidRPr="00D73AB5">
        <w:rPr>
          <w:rFonts w:ascii="Book Antiqua" w:hAnsi="Book Antiqua" w:cs="Times New Roman"/>
          <w:i/>
          <w:iCs/>
          <w:sz w:val="22"/>
          <w:szCs w:val="22"/>
        </w:rPr>
        <w:t>kých zariadení dodávateľa tepla.</w:t>
      </w:r>
      <w:r w:rsidRPr="00D73AB5">
        <w:rPr>
          <w:rFonts w:ascii="Book Antiqua" w:hAnsi="Book Antiqua" w:cs="Times New Roman"/>
          <w:i/>
          <w:iCs/>
          <w:sz w:val="22"/>
          <w:szCs w:val="22"/>
        </w:rPr>
        <w:t>“</w:t>
      </w:r>
      <w:r w:rsidR="006B7BD0" w:rsidRPr="00D73AB5">
        <w:rPr>
          <w:rFonts w:ascii="Book Antiqua" w:hAnsi="Book Antiqua" w:cs="Times New Roman"/>
          <w:i/>
          <w:iCs/>
          <w:sz w:val="22"/>
          <w:szCs w:val="22"/>
        </w:rPr>
        <w:t>.</w:t>
      </w:r>
    </w:p>
    <w:p w14:paraId="6A0547E7" w14:textId="61DD1253" w:rsidR="00C8579F" w:rsidRPr="00D73AB5" w:rsidRDefault="00010A92" w:rsidP="00BD7CDB">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ab/>
        <w:t xml:space="preserve">V dôsledku uvedeného dochádza v praxi k situáciám, keď je výstavba novej sústavy </w:t>
      </w:r>
      <w:r w:rsidR="007E6D14" w:rsidRPr="00D73AB5">
        <w:rPr>
          <w:rFonts w:ascii="Book Antiqua" w:hAnsi="Book Antiqua" w:cs="Times New Roman"/>
          <w:sz w:val="22"/>
          <w:szCs w:val="22"/>
        </w:rPr>
        <w:t>t</w:t>
      </w:r>
      <w:r w:rsidRPr="00D73AB5">
        <w:rPr>
          <w:rFonts w:ascii="Book Antiqua" w:hAnsi="Book Antiqua" w:cs="Times New Roman"/>
          <w:sz w:val="22"/>
          <w:szCs w:val="22"/>
        </w:rPr>
        <w:t xml:space="preserve">epelných zariadení na vymedzenom území znemožnená výlučne na základe nesúhlasného záväzného stanoviska aktuálneho dodávateľa. Sústavou tepelných zariadení sa na účely zákona </w:t>
      </w:r>
      <w:r w:rsidR="001B7CFF" w:rsidRPr="00D73AB5">
        <w:rPr>
          <w:rFonts w:ascii="Book Antiqua" w:hAnsi="Book Antiqua" w:cs="Times New Roman"/>
          <w:sz w:val="22"/>
          <w:szCs w:val="22"/>
        </w:rPr>
        <w:t xml:space="preserve">      </w:t>
      </w:r>
      <w:r w:rsidRPr="00D73AB5">
        <w:rPr>
          <w:rFonts w:ascii="Book Antiqua" w:hAnsi="Book Antiqua" w:cs="Times New Roman"/>
          <w:sz w:val="22"/>
          <w:szCs w:val="22"/>
        </w:rPr>
        <w:t>č. 657/2004 Z. z. rozumejú zariadenia na výrobu, rozvod alebo spotrebu tepla. Odberateľom a v konečnom dôsledku aj konečným spotrebiteľom tak nemusí byť umožnené zvoliť si pre nich čo najvýhodnejšiu dodávku tepla. Aplikačná prax ukazuje, že niektorí dodávatelia tepla využívajú predmetné ustanovenia na ochranu svojich súkromných a nie verejných záujmov</w:t>
      </w:r>
      <w:r w:rsidR="006B7BD0" w:rsidRPr="00D73AB5">
        <w:rPr>
          <w:rFonts w:ascii="Book Antiqua" w:hAnsi="Book Antiqua" w:cs="Times New Roman"/>
          <w:sz w:val="22"/>
          <w:szCs w:val="22"/>
        </w:rPr>
        <w:t xml:space="preserve">, a teda sa pri vydávaní záväzného stanoviska </w:t>
      </w:r>
      <w:r w:rsidR="00BD7CDB">
        <w:rPr>
          <w:rFonts w:ascii="Book Antiqua" w:hAnsi="Book Antiqua" w:cs="Times New Roman"/>
          <w:sz w:val="22"/>
          <w:szCs w:val="22"/>
        </w:rPr>
        <w:t>nesprávajú ako dotknuté orgány v zmysle stavebného zákona</w:t>
      </w:r>
      <w:r w:rsidR="006B7BD0" w:rsidRPr="00D73AB5">
        <w:rPr>
          <w:rFonts w:ascii="Book Antiqua" w:hAnsi="Book Antiqua" w:cs="Times New Roman"/>
          <w:sz w:val="22"/>
          <w:szCs w:val="22"/>
        </w:rPr>
        <w:t>, ale ako účastníci konania</w:t>
      </w:r>
      <w:r w:rsidR="00BD7CDB">
        <w:rPr>
          <w:rFonts w:ascii="Book Antiqua" w:hAnsi="Book Antiqua" w:cs="Times New Roman"/>
          <w:sz w:val="22"/>
          <w:szCs w:val="22"/>
        </w:rPr>
        <w:t>; pritom ako dotknuté orgány</w:t>
      </w:r>
      <w:r w:rsidR="006835BB" w:rsidRPr="00D73AB5">
        <w:rPr>
          <w:rFonts w:ascii="Book Antiqua" w:hAnsi="Book Antiqua" w:cs="Times New Roman"/>
          <w:sz w:val="22"/>
          <w:szCs w:val="22"/>
        </w:rPr>
        <w:t xml:space="preserve"> by sa dodávatelia tepla mali v záväznom stanovisku vyjadrovať len k veciam podľa ustanovenia § 22 a § 36 zákona č. 657/2004 Z. z.</w:t>
      </w:r>
      <w:r w:rsidR="00BD7CDB">
        <w:rPr>
          <w:rFonts w:ascii="Book Antiqua" w:hAnsi="Book Antiqua" w:cs="Times New Roman"/>
          <w:sz w:val="22"/>
          <w:szCs w:val="22"/>
        </w:rPr>
        <w:t>, čo nakoniec konštatoval aj Ústavný súd Slovenskej republiky vo svojom aktuálnom náleze (sp. zn. PL ÚS 6/2019-78). Návrh zákona preto zosúlaďuje ustanovenia zákona č. 657/2004 Z. z. s uvedeným nálezom Ústavného súdu Slovenskej republiky, a to tak, že záväzné stanovisko dotknutému orgánu naďalej ponecháva, ale upravuje ho v novom odseku 11 v § 36 (bod 11 tohto návrhu zákona), čo zodpovedá systematike tohto zákona.</w:t>
      </w:r>
    </w:p>
    <w:p w14:paraId="7F10A782" w14:textId="62343FAB" w:rsidR="00B71463" w:rsidRPr="00D73AB5" w:rsidRDefault="003A38C4" w:rsidP="001F6FD3">
      <w:pPr>
        <w:spacing w:before="120" w:line="276" w:lineRule="auto"/>
        <w:rPr>
          <w:rFonts w:ascii="Book Antiqua" w:hAnsi="Book Antiqua" w:cs="Times New Roman"/>
          <w:bCs/>
          <w:sz w:val="22"/>
          <w:szCs w:val="22"/>
          <w:u w:val="single"/>
        </w:rPr>
      </w:pPr>
      <w:r w:rsidRPr="00D73AB5">
        <w:rPr>
          <w:rFonts w:ascii="Book Antiqua" w:hAnsi="Book Antiqua" w:cs="Times New Roman"/>
          <w:bCs/>
          <w:sz w:val="22"/>
          <w:szCs w:val="22"/>
          <w:u w:val="single"/>
        </w:rPr>
        <w:t xml:space="preserve">K </w:t>
      </w:r>
      <w:r w:rsidR="001F7B66" w:rsidRPr="00D73AB5">
        <w:rPr>
          <w:rFonts w:ascii="Book Antiqua" w:hAnsi="Book Antiqua" w:cs="Times New Roman"/>
          <w:bCs/>
          <w:sz w:val="22"/>
          <w:szCs w:val="22"/>
          <w:u w:val="single"/>
        </w:rPr>
        <w:t>bod</w:t>
      </w:r>
      <w:r w:rsidR="00BD7CDB">
        <w:rPr>
          <w:rFonts w:ascii="Book Antiqua" w:hAnsi="Book Antiqua" w:cs="Times New Roman"/>
          <w:bCs/>
          <w:sz w:val="22"/>
          <w:szCs w:val="22"/>
          <w:u w:val="single"/>
        </w:rPr>
        <w:t>om</w:t>
      </w:r>
      <w:r w:rsidR="001F7B66" w:rsidRPr="00D73AB5">
        <w:rPr>
          <w:rFonts w:ascii="Book Antiqua" w:hAnsi="Book Antiqua" w:cs="Times New Roman"/>
          <w:bCs/>
          <w:sz w:val="22"/>
          <w:szCs w:val="22"/>
          <w:u w:val="single"/>
        </w:rPr>
        <w:t xml:space="preserve"> </w:t>
      </w:r>
      <w:r w:rsidR="004B0FA4">
        <w:rPr>
          <w:rFonts w:ascii="Book Antiqua" w:hAnsi="Book Antiqua" w:cs="Times New Roman"/>
          <w:bCs/>
          <w:sz w:val="22"/>
          <w:szCs w:val="22"/>
          <w:u w:val="single"/>
        </w:rPr>
        <w:t xml:space="preserve">8 a </w:t>
      </w:r>
      <w:r w:rsidR="00B71463">
        <w:rPr>
          <w:rFonts w:ascii="Book Antiqua" w:hAnsi="Book Antiqua" w:cs="Times New Roman"/>
          <w:bCs/>
          <w:sz w:val="22"/>
          <w:szCs w:val="22"/>
          <w:u w:val="single"/>
        </w:rPr>
        <w:t>9</w:t>
      </w:r>
    </w:p>
    <w:p w14:paraId="21105DE7" w14:textId="29662E38" w:rsidR="00F635B9" w:rsidRPr="00D73AB5" w:rsidRDefault="00F635B9" w:rsidP="001F6FD3">
      <w:pPr>
        <w:spacing w:before="120" w:line="276" w:lineRule="auto"/>
        <w:contextualSpacing/>
        <w:jc w:val="both"/>
        <w:rPr>
          <w:rFonts w:ascii="Book Antiqua" w:hAnsi="Book Antiqua" w:cs="Times New Roman"/>
          <w:bCs/>
          <w:sz w:val="22"/>
          <w:szCs w:val="22"/>
        </w:rPr>
      </w:pPr>
      <w:r w:rsidRPr="00D73AB5">
        <w:rPr>
          <w:rFonts w:ascii="Book Antiqua" w:hAnsi="Book Antiqua" w:cs="Times New Roman"/>
          <w:bCs/>
          <w:sz w:val="22"/>
          <w:szCs w:val="22"/>
        </w:rPr>
        <w:tab/>
        <w:t xml:space="preserve">V nadväznosti na zavedenie nových pojmov a modifikáciu existujúcich sa navrhuje úprava § </w:t>
      </w:r>
      <w:r w:rsidR="004B0FA4">
        <w:rPr>
          <w:rFonts w:ascii="Book Antiqua" w:hAnsi="Book Antiqua" w:cs="Times New Roman"/>
          <w:bCs/>
          <w:sz w:val="22"/>
          <w:szCs w:val="22"/>
        </w:rPr>
        <w:t xml:space="preserve">22 ods. 3 </w:t>
      </w:r>
      <w:r w:rsidR="003D3F64">
        <w:rPr>
          <w:rFonts w:ascii="Book Antiqua" w:hAnsi="Book Antiqua" w:cs="Times New Roman"/>
          <w:bCs/>
          <w:sz w:val="22"/>
          <w:szCs w:val="22"/>
        </w:rPr>
        <w:t xml:space="preserve">tak, aby sa vzťahovalo aj na tepelnú prípojku. Ďalej sa navrhuje doplnenie § </w:t>
      </w:r>
      <w:r w:rsidRPr="00D73AB5">
        <w:rPr>
          <w:rFonts w:ascii="Book Antiqua" w:hAnsi="Book Antiqua" w:cs="Times New Roman"/>
          <w:bCs/>
          <w:sz w:val="22"/>
          <w:szCs w:val="22"/>
        </w:rPr>
        <w:t>24 ods. 3 tak, aby sa toto ustanovenie vzťahovalo nielen na tepelnú prípojku, ale aj na odovzdávaciu stanicu tepla, ktorá je umiestn</w:t>
      </w:r>
      <w:r w:rsidR="00D73AB5" w:rsidRPr="00D73AB5">
        <w:rPr>
          <w:rFonts w:ascii="Book Antiqua" w:hAnsi="Book Antiqua" w:cs="Times New Roman"/>
          <w:bCs/>
          <w:sz w:val="22"/>
          <w:szCs w:val="22"/>
        </w:rPr>
        <w:t>e</w:t>
      </w:r>
      <w:r w:rsidRPr="00D73AB5">
        <w:rPr>
          <w:rFonts w:ascii="Book Antiqua" w:hAnsi="Book Antiqua" w:cs="Times New Roman"/>
          <w:bCs/>
          <w:sz w:val="22"/>
          <w:szCs w:val="22"/>
        </w:rPr>
        <w:t>ná v</w:t>
      </w:r>
      <w:r w:rsidR="00D73AB5" w:rsidRPr="00D73AB5">
        <w:rPr>
          <w:rFonts w:ascii="Book Antiqua" w:hAnsi="Book Antiqua" w:cs="Times New Roman"/>
          <w:bCs/>
          <w:sz w:val="22"/>
          <w:szCs w:val="22"/>
        </w:rPr>
        <w:t> objekte spotreby tepla. Súčasne sa navrhuje, po vzore elektroenergetiky, zaviesť pravidlo, že vlastníkom tepelnej prípojky a odovzdávacej stanice tepla je ten, kto uhradil náklady na ich zriadenie, pričom platí, že dohodou dodávateľa s odberateľom možno otázku vlastníctva týchto zariadení usporiadať aj inak.</w:t>
      </w:r>
      <w:r w:rsidRPr="00D73AB5">
        <w:rPr>
          <w:rFonts w:ascii="Book Antiqua" w:hAnsi="Book Antiqua" w:cs="Times New Roman"/>
          <w:bCs/>
          <w:sz w:val="22"/>
          <w:szCs w:val="22"/>
        </w:rPr>
        <w:t xml:space="preserve">  </w:t>
      </w:r>
    </w:p>
    <w:p w14:paraId="750E4E6E" w14:textId="31E848DF" w:rsidR="00F635B9" w:rsidRPr="00D73AB5" w:rsidRDefault="00F635B9" w:rsidP="001F6FD3">
      <w:pPr>
        <w:spacing w:before="120" w:line="276" w:lineRule="auto"/>
        <w:rPr>
          <w:rFonts w:ascii="Book Antiqua" w:hAnsi="Book Antiqua" w:cs="Times New Roman"/>
          <w:bCs/>
          <w:sz w:val="22"/>
          <w:szCs w:val="22"/>
          <w:u w:val="single"/>
        </w:rPr>
      </w:pPr>
      <w:r w:rsidRPr="00D73AB5">
        <w:rPr>
          <w:rFonts w:ascii="Book Antiqua" w:hAnsi="Book Antiqua" w:cs="Times New Roman"/>
          <w:bCs/>
          <w:sz w:val="22"/>
          <w:szCs w:val="22"/>
          <w:u w:val="single"/>
        </w:rPr>
        <w:t>K bodu 1</w:t>
      </w:r>
      <w:r w:rsidR="00B71463">
        <w:rPr>
          <w:rFonts w:ascii="Book Antiqua" w:hAnsi="Book Antiqua" w:cs="Times New Roman"/>
          <w:bCs/>
          <w:sz w:val="22"/>
          <w:szCs w:val="22"/>
          <w:u w:val="single"/>
        </w:rPr>
        <w:t>0</w:t>
      </w:r>
    </w:p>
    <w:p w14:paraId="4FE49155" w14:textId="7B6D5E95" w:rsidR="00D73AB5" w:rsidRPr="00D73AB5" w:rsidRDefault="00D73AB5" w:rsidP="001F6FD3">
      <w:pPr>
        <w:spacing w:before="120" w:line="276" w:lineRule="auto"/>
        <w:contextualSpacing/>
        <w:jc w:val="both"/>
        <w:rPr>
          <w:rFonts w:ascii="Book Antiqua" w:hAnsi="Book Antiqua" w:cs="Times New Roman"/>
          <w:bCs/>
          <w:sz w:val="22"/>
          <w:szCs w:val="22"/>
        </w:rPr>
      </w:pPr>
      <w:r w:rsidRPr="00D73AB5">
        <w:rPr>
          <w:rFonts w:ascii="Book Antiqua" w:hAnsi="Book Antiqua" w:cs="Times New Roman"/>
          <w:bCs/>
          <w:sz w:val="22"/>
          <w:szCs w:val="22"/>
        </w:rPr>
        <w:tab/>
        <w:t xml:space="preserve">Definícia pojmu odovzdávacia stanica tepla sa presúva do § 2, kde z hľadiska korektnej systematiky zákona patrí. </w:t>
      </w:r>
    </w:p>
    <w:p w14:paraId="545F763D" w14:textId="21E3DE1D" w:rsidR="00F635B9" w:rsidRPr="00D73AB5" w:rsidRDefault="00F635B9" w:rsidP="001F6FD3">
      <w:pPr>
        <w:spacing w:before="120" w:line="276" w:lineRule="auto"/>
        <w:rPr>
          <w:rFonts w:ascii="Book Antiqua" w:hAnsi="Book Antiqua" w:cs="Times New Roman"/>
          <w:bCs/>
          <w:sz w:val="22"/>
          <w:szCs w:val="22"/>
          <w:u w:val="single"/>
        </w:rPr>
      </w:pPr>
      <w:r w:rsidRPr="00D73AB5">
        <w:rPr>
          <w:rFonts w:ascii="Book Antiqua" w:hAnsi="Book Antiqua" w:cs="Times New Roman"/>
          <w:bCs/>
          <w:sz w:val="22"/>
          <w:szCs w:val="22"/>
          <w:u w:val="single"/>
        </w:rPr>
        <w:t>K bodu 1</w:t>
      </w:r>
      <w:r w:rsidR="00C004D4">
        <w:rPr>
          <w:rFonts w:ascii="Book Antiqua" w:hAnsi="Book Antiqua" w:cs="Times New Roman"/>
          <w:bCs/>
          <w:sz w:val="22"/>
          <w:szCs w:val="22"/>
          <w:u w:val="single"/>
        </w:rPr>
        <w:t>1</w:t>
      </w:r>
    </w:p>
    <w:p w14:paraId="078D097A" w14:textId="4059800E" w:rsidR="00D73AB5" w:rsidRPr="00D73AB5" w:rsidRDefault="00D73AB5" w:rsidP="001F6FD3">
      <w:pPr>
        <w:spacing w:before="120" w:line="276" w:lineRule="auto"/>
        <w:contextualSpacing/>
        <w:jc w:val="both"/>
        <w:rPr>
          <w:rFonts w:ascii="Book Antiqua" w:hAnsi="Book Antiqua" w:cs="Times New Roman"/>
          <w:bCs/>
          <w:sz w:val="22"/>
          <w:szCs w:val="22"/>
        </w:rPr>
      </w:pPr>
      <w:r w:rsidRPr="00D73AB5">
        <w:rPr>
          <w:rFonts w:ascii="Book Antiqua" w:hAnsi="Book Antiqua" w:cs="Times New Roman"/>
          <w:bCs/>
          <w:sz w:val="22"/>
          <w:szCs w:val="22"/>
        </w:rPr>
        <w:tab/>
        <w:t>V zmysle stavebného zákona je vlastník sietí a zariadení technického vybavenia územia</w:t>
      </w:r>
      <w:r>
        <w:rPr>
          <w:rFonts w:ascii="Book Antiqua" w:hAnsi="Book Antiqua" w:cs="Times New Roman"/>
          <w:bCs/>
          <w:sz w:val="22"/>
          <w:szCs w:val="22"/>
        </w:rPr>
        <w:t xml:space="preserve"> </w:t>
      </w:r>
      <w:r w:rsidR="00C2677C">
        <w:rPr>
          <w:rFonts w:ascii="Book Antiqua" w:hAnsi="Book Antiqua" w:cs="Times New Roman"/>
          <w:bCs/>
          <w:sz w:val="22"/>
          <w:szCs w:val="22"/>
        </w:rPr>
        <w:t xml:space="preserve">alebo právnická osoba, o ktorej tak ustanovuje osobitný zákon </w:t>
      </w:r>
      <w:r>
        <w:rPr>
          <w:rFonts w:ascii="Book Antiqua" w:hAnsi="Book Antiqua" w:cs="Times New Roman"/>
          <w:bCs/>
          <w:sz w:val="22"/>
          <w:szCs w:val="22"/>
        </w:rPr>
        <w:t xml:space="preserve">dotknutým orgánom. Ust. § 22 ods. 3 a § 36 ods. 7 predpokladajú súhlas </w:t>
      </w:r>
      <w:r w:rsidR="002479E5">
        <w:rPr>
          <w:rFonts w:ascii="Book Antiqua" w:hAnsi="Book Antiqua" w:cs="Times New Roman"/>
          <w:bCs/>
          <w:sz w:val="22"/>
          <w:szCs w:val="22"/>
        </w:rPr>
        <w:t xml:space="preserve">držiteľa povolenia na rozvod tepla </w:t>
      </w:r>
      <w:r>
        <w:rPr>
          <w:rFonts w:ascii="Book Antiqua" w:hAnsi="Book Antiqua" w:cs="Times New Roman"/>
          <w:bCs/>
          <w:sz w:val="22"/>
          <w:szCs w:val="22"/>
        </w:rPr>
        <w:t>so zásahom do sústavy tepelných zariadení a predchádzajúci súhlas s činnosťou v ochranných pásmach tepelných zariadení. Uvedené oprávnenia možno v konaniach podľa stavebného zákona charakterizovať ako vydávanie záväzných stanovísk dotknutých orgánov, a preto sa (z dôvodu právnej istoty) navrhuje uvedené pravidlo explicitne ustanoviť aj v zákone.</w:t>
      </w:r>
    </w:p>
    <w:p w14:paraId="60C23675" w14:textId="77777777" w:rsidR="0020565B" w:rsidRPr="00D73AB5" w:rsidRDefault="0020565B" w:rsidP="001F6FD3">
      <w:pPr>
        <w:spacing w:before="120" w:line="276" w:lineRule="auto"/>
        <w:jc w:val="both"/>
        <w:rPr>
          <w:rFonts w:ascii="Book Antiqua" w:hAnsi="Book Antiqua" w:cs="Times New Roman"/>
          <w:sz w:val="22"/>
          <w:szCs w:val="22"/>
        </w:rPr>
      </w:pPr>
    </w:p>
    <w:p w14:paraId="15B00CB6" w14:textId="77777777" w:rsidR="007E6D14" w:rsidRPr="00D73AB5" w:rsidRDefault="00010A92" w:rsidP="001F6FD3">
      <w:pPr>
        <w:spacing w:before="120" w:line="276" w:lineRule="auto"/>
        <w:jc w:val="both"/>
        <w:rPr>
          <w:rFonts w:ascii="Book Antiqua" w:hAnsi="Book Antiqua" w:cs="Times New Roman"/>
          <w:b/>
          <w:bCs/>
          <w:sz w:val="22"/>
          <w:szCs w:val="22"/>
        </w:rPr>
      </w:pPr>
      <w:r w:rsidRPr="00D73AB5">
        <w:rPr>
          <w:rFonts w:ascii="Book Antiqua" w:hAnsi="Book Antiqua" w:cs="Times New Roman"/>
          <w:b/>
          <w:bCs/>
          <w:sz w:val="22"/>
          <w:szCs w:val="22"/>
        </w:rPr>
        <w:t>K Čl. II</w:t>
      </w:r>
    </w:p>
    <w:p w14:paraId="1DE44C4E" w14:textId="77777777" w:rsidR="0020565B" w:rsidRPr="00D73AB5" w:rsidRDefault="00010A92" w:rsidP="001F6FD3">
      <w:pPr>
        <w:spacing w:before="120" w:line="276" w:lineRule="auto"/>
        <w:jc w:val="both"/>
        <w:rPr>
          <w:rFonts w:ascii="Book Antiqua" w:hAnsi="Book Antiqua" w:cs="Times New Roman"/>
          <w:sz w:val="22"/>
          <w:szCs w:val="22"/>
        </w:rPr>
      </w:pPr>
      <w:r w:rsidRPr="00D73AB5">
        <w:rPr>
          <w:rFonts w:ascii="Book Antiqua" w:hAnsi="Book Antiqua" w:cs="Times New Roman"/>
          <w:sz w:val="22"/>
          <w:szCs w:val="22"/>
        </w:rPr>
        <w:tab/>
        <w:t>Vzhľadom na predpokladanú dĺžku legislatívneho procesu sa účinnosť predkladanej</w:t>
      </w:r>
      <w:r w:rsidR="007E6D14" w:rsidRPr="00D73AB5">
        <w:rPr>
          <w:rFonts w:ascii="Book Antiqua" w:hAnsi="Book Antiqua" w:cs="Times New Roman"/>
          <w:sz w:val="22"/>
          <w:szCs w:val="22"/>
        </w:rPr>
        <w:t xml:space="preserve"> </w:t>
      </w:r>
      <w:r w:rsidRPr="00D73AB5">
        <w:rPr>
          <w:rFonts w:ascii="Book Antiqua" w:hAnsi="Book Antiqua" w:cs="Times New Roman"/>
          <w:sz w:val="22"/>
          <w:szCs w:val="22"/>
        </w:rPr>
        <w:t xml:space="preserve">právnej úpravy navrhuje od 1. </w:t>
      </w:r>
      <w:r w:rsidR="00AD143F" w:rsidRPr="00D73AB5">
        <w:rPr>
          <w:rFonts w:ascii="Book Antiqua" w:hAnsi="Book Antiqua" w:cs="Times New Roman"/>
          <w:sz w:val="22"/>
          <w:szCs w:val="22"/>
        </w:rPr>
        <w:t>augusta 2021</w:t>
      </w:r>
      <w:r w:rsidRPr="00D73AB5">
        <w:rPr>
          <w:rFonts w:ascii="Book Antiqua" w:hAnsi="Book Antiqua" w:cs="Times New Roman"/>
          <w:sz w:val="22"/>
          <w:szCs w:val="22"/>
        </w:rPr>
        <w:t>.</w:t>
      </w:r>
    </w:p>
    <w:p w14:paraId="5A5009ED" w14:textId="77777777" w:rsidR="00F3639C" w:rsidRPr="00D73AB5" w:rsidRDefault="00F3639C" w:rsidP="001F6FD3">
      <w:pPr>
        <w:spacing w:before="120" w:line="276" w:lineRule="auto"/>
        <w:ind w:firstLine="708"/>
        <w:jc w:val="center"/>
        <w:rPr>
          <w:rFonts w:ascii="Book Antiqua" w:hAnsi="Book Antiqua"/>
          <w:b/>
          <w:bCs/>
          <w:caps/>
          <w:spacing w:val="30"/>
        </w:rPr>
      </w:pPr>
    </w:p>
    <w:p w14:paraId="4B99AEC6" w14:textId="7914E140" w:rsidR="00F3639C" w:rsidRPr="00BD7CDB" w:rsidRDefault="00D73AB5" w:rsidP="00BD7CDB">
      <w:pPr>
        <w:spacing w:before="120" w:line="276" w:lineRule="auto"/>
        <w:jc w:val="center"/>
        <w:rPr>
          <w:rFonts w:ascii="Book Antiqua" w:hAnsi="Book Antiqua"/>
          <w:b/>
          <w:bCs/>
          <w:caps/>
          <w:spacing w:val="30"/>
          <w:sz w:val="22"/>
          <w:szCs w:val="22"/>
        </w:rPr>
      </w:pPr>
      <w:r>
        <w:rPr>
          <w:rFonts w:ascii="Book Antiqua" w:hAnsi="Book Antiqua"/>
          <w:b/>
          <w:bCs/>
          <w:caps/>
          <w:spacing w:val="30"/>
          <w:sz w:val="22"/>
          <w:szCs w:val="22"/>
        </w:rPr>
        <w:br w:type="page"/>
      </w:r>
      <w:r w:rsidR="00F3639C" w:rsidRPr="00D73AB5">
        <w:rPr>
          <w:rFonts w:ascii="Book Antiqua" w:hAnsi="Book Antiqua"/>
          <w:b/>
          <w:bCs/>
          <w:caps/>
          <w:spacing w:val="30"/>
          <w:sz w:val="22"/>
          <w:szCs w:val="22"/>
        </w:rPr>
        <w:t>DOLOŽKA ZLUČITEĽNOSTI</w:t>
      </w:r>
    </w:p>
    <w:p w14:paraId="61D2CE6D" w14:textId="77777777" w:rsidR="00F3639C" w:rsidRPr="00D73AB5" w:rsidRDefault="00F3639C" w:rsidP="001F6FD3">
      <w:pPr>
        <w:pStyle w:val="Normlnywebov"/>
        <w:spacing w:before="120" w:beforeAutospacing="0" w:after="0" w:afterAutospacing="0" w:line="276" w:lineRule="auto"/>
        <w:jc w:val="center"/>
        <w:rPr>
          <w:rFonts w:ascii="Book Antiqua" w:hAnsi="Book Antiqua"/>
          <w:sz w:val="22"/>
          <w:szCs w:val="22"/>
        </w:rPr>
      </w:pPr>
      <w:r w:rsidRPr="00D73AB5">
        <w:rPr>
          <w:rFonts w:ascii="Book Antiqua" w:hAnsi="Book Antiqua"/>
          <w:b/>
          <w:bCs/>
          <w:sz w:val="22"/>
          <w:szCs w:val="22"/>
        </w:rPr>
        <w:t xml:space="preserve">           návrhu zákona</w:t>
      </w:r>
      <w:r w:rsidRPr="00D73AB5">
        <w:rPr>
          <w:rFonts w:ascii="Book Antiqua" w:hAnsi="Book Antiqua"/>
          <w:sz w:val="22"/>
          <w:szCs w:val="22"/>
        </w:rPr>
        <w:t xml:space="preserve"> </w:t>
      </w:r>
      <w:r w:rsidRPr="00D73AB5">
        <w:rPr>
          <w:rFonts w:ascii="Book Antiqua" w:hAnsi="Book Antiqua"/>
          <w:b/>
          <w:bCs/>
          <w:sz w:val="22"/>
          <w:szCs w:val="22"/>
        </w:rPr>
        <w:t>s právom Európskej únie</w:t>
      </w:r>
    </w:p>
    <w:p w14:paraId="6F460609" w14:textId="77777777" w:rsidR="00F3639C" w:rsidRPr="00D73AB5" w:rsidRDefault="00F3639C" w:rsidP="001F6FD3">
      <w:pPr>
        <w:pStyle w:val="Normlnywebov"/>
        <w:spacing w:before="120" w:beforeAutospacing="0" w:after="0" w:afterAutospacing="0" w:line="276" w:lineRule="auto"/>
        <w:jc w:val="both"/>
        <w:rPr>
          <w:rFonts w:ascii="Book Antiqua" w:hAnsi="Book Antiqua"/>
          <w:sz w:val="22"/>
          <w:szCs w:val="22"/>
        </w:rPr>
      </w:pPr>
      <w:r w:rsidRPr="00D73AB5">
        <w:rPr>
          <w:rFonts w:ascii="Book Antiqua" w:hAnsi="Book Antiqua"/>
          <w:sz w:val="22"/>
          <w:szCs w:val="22"/>
        </w:rPr>
        <w:t> </w:t>
      </w:r>
    </w:p>
    <w:p w14:paraId="6C626A53" w14:textId="1234E357" w:rsidR="00F3639C" w:rsidRPr="00D73AB5" w:rsidRDefault="00F3639C" w:rsidP="001F6FD3">
      <w:pPr>
        <w:spacing w:before="120" w:line="276" w:lineRule="auto"/>
        <w:jc w:val="both"/>
        <w:rPr>
          <w:rFonts w:ascii="Book Antiqua" w:hAnsi="Book Antiqua"/>
          <w:sz w:val="22"/>
          <w:szCs w:val="22"/>
        </w:rPr>
      </w:pPr>
      <w:r w:rsidRPr="00D73AB5">
        <w:rPr>
          <w:rFonts w:ascii="Book Antiqua" w:hAnsi="Book Antiqua"/>
          <w:b/>
          <w:bCs/>
          <w:sz w:val="22"/>
          <w:szCs w:val="22"/>
        </w:rPr>
        <w:t>1. Navrhovatelia zákona:</w:t>
      </w:r>
      <w:r w:rsidRPr="00D73AB5">
        <w:rPr>
          <w:rFonts w:ascii="Book Antiqua" w:hAnsi="Book Antiqua"/>
          <w:sz w:val="22"/>
          <w:szCs w:val="22"/>
        </w:rPr>
        <w:t xml:space="preserve"> </w:t>
      </w:r>
      <w:r w:rsidR="00BD7CDB">
        <w:rPr>
          <w:rFonts w:ascii="Book Antiqua" w:hAnsi="Book Antiqua"/>
          <w:sz w:val="22"/>
          <w:szCs w:val="22"/>
        </w:rPr>
        <w:t>skupina poslancov</w:t>
      </w:r>
      <w:r w:rsidRPr="00D73AB5">
        <w:rPr>
          <w:rFonts w:ascii="Book Antiqua" w:hAnsi="Book Antiqua"/>
          <w:sz w:val="22"/>
          <w:szCs w:val="22"/>
        </w:rPr>
        <w:t xml:space="preserve"> Národnej rady Slovenskej rep</w:t>
      </w:r>
      <w:r w:rsidR="00BD7CDB">
        <w:rPr>
          <w:rFonts w:ascii="Book Antiqua" w:hAnsi="Book Antiqua"/>
          <w:sz w:val="22"/>
          <w:szCs w:val="22"/>
        </w:rPr>
        <w:t>ubliky</w:t>
      </w:r>
    </w:p>
    <w:p w14:paraId="1695D117" w14:textId="77777777" w:rsidR="00F3639C" w:rsidRPr="00D73AB5" w:rsidRDefault="00F3639C" w:rsidP="001F6FD3">
      <w:pPr>
        <w:spacing w:before="120" w:line="276" w:lineRule="auto"/>
        <w:ind w:firstLine="708"/>
        <w:jc w:val="both"/>
        <w:rPr>
          <w:rFonts w:ascii="Book Antiqua" w:hAnsi="Book Antiqua"/>
          <w:sz w:val="22"/>
          <w:szCs w:val="22"/>
        </w:rPr>
      </w:pPr>
    </w:p>
    <w:p w14:paraId="0C83183B" w14:textId="77777777" w:rsidR="00F3639C" w:rsidRPr="00D73AB5" w:rsidRDefault="00F3639C" w:rsidP="001F6FD3">
      <w:pPr>
        <w:pStyle w:val="Normlnywebov"/>
        <w:spacing w:before="120" w:beforeAutospacing="0" w:after="0" w:afterAutospacing="0" w:line="276" w:lineRule="auto"/>
        <w:jc w:val="both"/>
        <w:rPr>
          <w:rFonts w:ascii="Book Antiqua" w:hAnsi="Book Antiqua"/>
          <w:bCs/>
          <w:sz w:val="22"/>
          <w:szCs w:val="22"/>
        </w:rPr>
      </w:pPr>
      <w:r w:rsidRPr="00D73AB5">
        <w:rPr>
          <w:rFonts w:ascii="Book Antiqua" w:hAnsi="Book Antiqua"/>
          <w:b/>
          <w:bCs/>
          <w:sz w:val="22"/>
          <w:szCs w:val="22"/>
        </w:rPr>
        <w:t>2. Názov návrhu zákona:</w:t>
      </w:r>
      <w:r w:rsidRPr="00D73AB5">
        <w:rPr>
          <w:rFonts w:ascii="Book Antiqua" w:hAnsi="Book Antiqua"/>
          <w:sz w:val="22"/>
          <w:szCs w:val="22"/>
        </w:rPr>
        <w:t xml:space="preserve"> návrh zákona, </w:t>
      </w:r>
      <w:r w:rsidRPr="00D73AB5">
        <w:rPr>
          <w:rFonts w:ascii="Book Antiqua" w:hAnsi="Book Antiqua"/>
          <w:bCs/>
          <w:sz w:val="22"/>
          <w:szCs w:val="22"/>
        </w:rPr>
        <w:t>ktorým sa mení a dopĺňa zákon č. 657/2004 Z. z. o tepelnej energetike v znení neskorších predpisov</w:t>
      </w:r>
    </w:p>
    <w:p w14:paraId="1C453DBE" w14:textId="77777777" w:rsidR="00F3639C" w:rsidRPr="00D73AB5" w:rsidRDefault="00F3639C" w:rsidP="001F6FD3">
      <w:pPr>
        <w:pStyle w:val="Normlnywebov"/>
        <w:spacing w:before="120" w:beforeAutospacing="0" w:after="0" w:afterAutospacing="0" w:line="276" w:lineRule="auto"/>
        <w:jc w:val="both"/>
        <w:rPr>
          <w:rFonts w:ascii="Book Antiqua" w:hAnsi="Book Antiqua"/>
          <w:sz w:val="22"/>
          <w:szCs w:val="22"/>
        </w:rPr>
      </w:pPr>
    </w:p>
    <w:p w14:paraId="275E5F3E" w14:textId="77777777" w:rsidR="00904CFF" w:rsidRPr="00D73AB5" w:rsidRDefault="00904CFF" w:rsidP="001F6FD3">
      <w:pPr>
        <w:pStyle w:val="Normlnywebov"/>
        <w:spacing w:before="120" w:beforeAutospacing="0" w:after="0" w:afterAutospacing="0" w:line="276" w:lineRule="auto"/>
        <w:jc w:val="both"/>
        <w:rPr>
          <w:rFonts w:ascii="Book Antiqua" w:hAnsi="Book Antiqua"/>
          <w:b/>
          <w:bCs/>
          <w:sz w:val="22"/>
          <w:szCs w:val="22"/>
        </w:rPr>
      </w:pPr>
      <w:r w:rsidRPr="00D73AB5">
        <w:rPr>
          <w:rFonts w:ascii="Book Antiqua" w:hAnsi="Book Antiqua"/>
          <w:b/>
          <w:bCs/>
          <w:sz w:val="22"/>
          <w:szCs w:val="22"/>
        </w:rPr>
        <w:t>3. Predmet návrhu zákona:</w:t>
      </w:r>
    </w:p>
    <w:p w14:paraId="6A78905B" w14:textId="77777777" w:rsidR="00904CFF" w:rsidRPr="00D73AB5" w:rsidRDefault="00904CFF" w:rsidP="001F6FD3">
      <w:pPr>
        <w:pStyle w:val="Normlnywebov"/>
        <w:numPr>
          <w:ilvl w:val="0"/>
          <w:numId w:val="1"/>
        </w:numPr>
        <w:spacing w:before="120" w:beforeAutospacing="0" w:after="0" w:afterAutospacing="0" w:line="276" w:lineRule="auto"/>
        <w:jc w:val="both"/>
        <w:rPr>
          <w:rFonts w:ascii="Book Antiqua" w:hAnsi="Book Antiqua"/>
          <w:bCs/>
          <w:sz w:val="22"/>
          <w:szCs w:val="22"/>
        </w:rPr>
      </w:pPr>
      <w:r w:rsidRPr="00D73AB5">
        <w:rPr>
          <w:rFonts w:ascii="Book Antiqua" w:hAnsi="Book Antiqua"/>
          <w:bCs/>
          <w:sz w:val="22"/>
          <w:szCs w:val="22"/>
        </w:rPr>
        <w:t>je upravený v primárnom práve Európskej únie, a to v čl. 194 (energetika) Zmluvy o fungovaní Európskej únie a v článku 17 (vlastnícke právo) Charty základných práv Európskej únie,</w:t>
      </w:r>
    </w:p>
    <w:p w14:paraId="2E46F429" w14:textId="77777777" w:rsidR="00904CFF" w:rsidRPr="00D73AB5" w:rsidRDefault="00904CFF" w:rsidP="001F6FD3">
      <w:pPr>
        <w:pStyle w:val="Normlnywebov"/>
        <w:numPr>
          <w:ilvl w:val="0"/>
          <w:numId w:val="1"/>
        </w:numPr>
        <w:spacing w:before="120" w:beforeAutospacing="0" w:after="0" w:afterAutospacing="0" w:line="276" w:lineRule="auto"/>
        <w:jc w:val="both"/>
        <w:rPr>
          <w:rFonts w:ascii="Book Antiqua" w:hAnsi="Book Antiqua"/>
          <w:bCs/>
          <w:sz w:val="22"/>
          <w:szCs w:val="22"/>
        </w:rPr>
      </w:pPr>
      <w:r w:rsidRPr="00D73AB5">
        <w:rPr>
          <w:rFonts w:ascii="Book Antiqua" w:hAnsi="Book Antiqua"/>
          <w:bCs/>
          <w:sz w:val="22"/>
          <w:szCs w:val="22"/>
        </w:rPr>
        <w:t xml:space="preserve">je upravený v sekundárnom práve Európskej únie, a to v smernici Európskeho parlamentu a Rady </w:t>
      </w:r>
      <w:r w:rsidR="00362DBB" w:rsidRPr="00D73AB5">
        <w:rPr>
          <w:rFonts w:ascii="Book Antiqua" w:hAnsi="Book Antiqua"/>
          <w:bCs/>
          <w:sz w:val="22"/>
          <w:szCs w:val="22"/>
        </w:rPr>
        <w:t>(EÚ) 2018/2001 z 11. decembra 2018</w:t>
      </w:r>
      <w:r w:rsidRPr="00D73AB5">
        <w:rPr>
          <w:rFonts w:ascii="Book Antiqua" w:hAnsi="Book Antiqua"/>
          <w:bCs/>
          <w:sz w:val="22"/>
          <w:szCs w:val="22"/>
        </w:rPr>
        <w:t xml:space="preserve"> o</w:t>
      </w:r>
      <w:r w:rsidR="00362DBB" w:rsidRPr="00D73AB5">
        <w:rPr>
          <w:rFonts w:ascii="Book Antiqua" w:hAnsi="Book Antiqua"/>
          <w:bCs/>
          <w:sz w:val="22"/>
          <w:szCs w:val="22"/>
        </w:rPr>
        <w:t> podpore využívania energie z obnoviteľných zdrojov (prepracované znenie)</w:t>
      </w:r>
      <w:r w:rsidRPr="00D73AB5">
        <w:rPr>
          <w:rFonts w:ascii="Book Antiqua" w:hAnsi="Book Antiqua"/>
          <w:bCs/>
          <w:sz w:val="22"/>
          <w:szCs w:val="22"/>
        </w:rPr>
        <w:t xml:space="preserve"> (Ú. v. EÚ </w:t>
      </w:r>
      <w:r w:rsidR="00362DBB" w:rsidRPr="00D73AB5">
        <w:rPr>
          <w:rFonts w:ascii="Book Antiqua" w:hAnsi="Book Antiqua"/>
          <w:bCs/>
          <w:iCs/>
          <w:sz w:val="22"/>
          <w:szCs w:val="22"/>
        </w:rPr>
        <w:t>L 328, 21.12.2018, s. 83</w:t>
      </w:r>
      <w:r w:rsidR="00362DBB" w:rsidRPr="00D73AB5">
        <w:rPr>
          <w:rFonts w:ascii="Book Antiqua" w:hAnsi="Book Antiqua"/>
          <w:bCs/>
          <w:sz w:val="22"/>
          <w:szCs w:val="22"/>
        </w:rPr>
        <w:t>), najmä čl. 24</w:t>
      </w:r>
      <w:r w:rsidRPr="00D73AB5">
        <w:rPr>
          <w:rFonts w:ascii="Book Antiqua" w:hAnsi="Book Antiqua"/>
          <w:bCs/>
          <w:sz w:val="22"/>
          <w:szCs w:val="22"/>
        </w:rPr>
        <w:t xml:space="preserve"> (</w:t>
      </w:r>
      <w:r w:rsidR="00362DBB" w:rsidRPr="00D73AB5">
        <w:rPr>
          <w:rFonts w:ascii="Book Antiqua" w:hAnsi="Book Antiqua"/>
          <w:bCs/>
          <w:sz w:val="22"/>
          <w:szCs w:val="22"/>
        </w:rPr>
        <w:t>diaľkové vykurovanie a chladenie vrátane podmienok odpojenia sa od sústavy CZT, a to aj v bytových domoch)</w:t>
      </w:r>
      <w:r w:rsidRPr="00D73AB5">
        <w:rPr>
          <w:rFonts w:ascii="Book Antiqua" w:hAnsi="Book Antiqua"/>
          <w:bCs/>
          <w:sz w:val="22"/>
          <w:szCs w:val="22"/>
        </w:rPr>
        <w:t>,</w:t>
      </w:r>
    </w:p>
    <w:p w14:paraId="7311A175" w14:textId="77777777" w:rsidR="00904CFF" w:rsidRPr="00D73AB5" w:rsidRDefault="00904CFF" w:rsidP="001F6FD3">
      <w:pPr>
        <w:pStyle w:val="Normlnywebov"/>
        <w:numPr>
          <w:ilvl w:val="0"/>
          <w:numId w:val="1"/>
        </w:numPr>
        <w:spacing w:before="120" w:beforeAutospacing="0" w:after="0" w:afterAutospacing="0" w:line="276" w:lineRule="auto"/>
        <w:jc w:val="both"/>
        <w:rPr>
          <w:rFonts w:ascii="Book Antiqua" w:hAnsi="Book Antiqua"/>
          <w:bCs/>
          <w:sz w:val="22"/>
          <w:szCs w:val="22"/>
        </w:rPr>
      </w:pPr>
      <w:r w:rsidRPr="00D73AB5">
        <w:rPr>
          <w:rFonts w:ascii="Book Antiqua" w:hAnsi="Book Antiqua"/>
          <w:bCs/>
          <w:sz w:val="22"/>
          <w:szCs w:val="22"/>
        </w:rPr>
        <w:t>nie je obsiahnutý v judikatúre Súdneho dvora Európskej únie.</w:t>
      </w:r>
      <w:r w:rsidRPr="00D73AB5">
        <w:rPr>
          <w:rFonts w:ascii="Book Antiqua" w:hAnsi="Book Antiqua"/>
          <w:sz w:val="22"/>
          <w:szCs w:val="22"/>
        </w:rPr>
        <w:t> </w:t>
      </w:r>
    </w:p>
    <w:p w14:paraId="066BFA2C" w14:textId="77777777" w:rsidR="00904CFF" w:rsidRPr="00D73AB5" w:rsidRDefault="00904CFF" w:rsidP="001F6FD3">
      <w:pPr>
        <w:pStyle w:val="Normlnywebov"/>
        <w:spacing w:before="120" w:beforeAutospacing="0" w:after="0" w:afterAutospacing="0" w:line="276" w:lineRule="auto"/>
        <w:jc w:val="both"/>
        <w:rPr>
          <w:rFonts w:ascii="Book Antiqua" w:hAnsi="Book Antiqua"/>
          <w:b/>
          <w:bCs/>
          <w:sz w:val="22"/>
          <w:szCs w:val="22"/>
        </w:rPr>
      </w:pPr>
    </w:p>
    <w:p w14:paraId="7769166A" w14:textId="77777777" w:rsidR="00904CFF" w:rsidRPr="00D73AB5" w:rsidRDefault="00904CFF" w:rsidP="001F6FD3">
      <w:pPr>
        <w:pStyle w:val="Normlnywebov"/>
        <w:spacing w:before="120" w:beforeAutospacing="0" w:after="0" w:afterAutospacing="0" w:line="276" w:lineRule="auto"/>
        <w:jc w:val="both"/>
        <w:rPr>
          <w:rFonts w:ascii="Book Antiqua" w:hAnsi="Book Antiqua"/>
          <w:b/>
          <w:sz w:val="22"/>
          <w:szCs w:val="22"/>
        </w:rPr>
      </w:pPr>
      <w:r w:rsidRPr="00D73AB5">
        <w:rPr>
          <w:rFonts w:ascii="Book Antiqua" w:hAnsi="Book Antiqua"/>
          <w:b/>
          <w:sz w:val="22"/>
          <w:szCs w:val="22"/>
        </w:rPr>
        <w:t>4. Záväzky Slovenskej republiky vo vzťahu k Európskej únii:</w:t>
      </w:r>
    </w:p>
    <w:p w14:paraId="158DD5B3" w14:textId="77777777" w:rsidR="00904CFF" w:rsidRPr="00D73AB5" w:rsidRDefault="00904CFF" w:rsidP="001F6FD3">
      <w:pPr>
        <w:pStyle w:val="Normlnywebov"/>
        <w:numPr>
          <w:ilvl w:val="0"/>
          <w:numId w:val="2"/>
        </w:numPr>
        <w:spacing w:before="120" w:beforeAutospacing="0" w:after="0" w:afterAutospacing="0" w:line="276" w:lineRule="auto"/>
        <w:jc w:val="both"/>
        <w:rPr>
          <w:rFonts w:ascii="Book Antiqua" w:hAnsi="Book Antiqua"/>
          <w:sz w:val="22"/>
          <w:szCs w:val="22"/>
        </w:rPr>
      </w:pPr>
      <w:r w:rsidRPr="00D73AB5">
        <w:rPr>
          <w:rFonts w:ascii="Book Antiqua" w:hAnsi="Book Antiqua"/>
          <w:bCs/>
          <w:sz w:val="22"/>
          <w:szCs w:val="22"/>
        </w:rPr>
        <w:t xml:space="preserve">lehota na transpozíciu smernice </w:t>
      </w:r>
      <w:r w:rsidR="00362DBB" w:rsidRPr="00D73AB5">
        <w:rPr>
          <w:rFonts w:ascii="Book Antiqua" w:hAnsi="Book Antiqua"/>
          <w:bCs/>
          <w:sz w:val="22"/>
          <w:szCs w:val="22"/>
        </w:rPr>
        <w:t>Európskeho parlamentu a Rady (EÚ) 2018/2001 uplynie v zmysle jej článku 36 ods. 1 až 30. 6. 2021</w:t>
      </w:r>
      <w:r w:rsidRPr="00D73AB5">
        <w:rPr>
          <w:rFonts w:ascii="Book Antiqua" w:hAnsi="Book Antiqua"/>
          <w:sz w:val="22"/>
          <w:szCs w:val="22"/>
        </w:rPr>
        <w:t>,</w:t>
      </w:r>
    </w:p>
    <w:p w14:paraId="7D4BEACC" w14:textId="77777777" w:rsidR="00904CFF" w:rsidRPr="00D73AB5" w:rsidRDefault="00904CFF" w:rsidP="001F6FD3">
      <w:pPr>
        <w:pStyle w:val="Normlnywebov"/>
        <w:numPr>
          <w:ilvl w:val="0"/>
          <w:numId w:val="2"/>
        </w:numPr>
        <w:spacing w:before="120" w:beforeAutospacing="0" w:after="0" w:afterAutospacing="0" w:line="276" w:lineRule="auto"/>
        <w:jc w:val="both"/>
        <w:rPr>
          <w:rFonts w:ascii="Book Antiqua" w:hAnsi="Book Antiqua"/>
          <w:sz w:val="22"/>
          <w:szCs w:val="22"/>
        </w:rPr>
      </w:pPr>
      <w:r w:rsidRPr="00D73AB5">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14:paraId="647B8BD8" w14:textId="77777777" w:rsidR="00904CFF" w:rsidRPr="00D73AB5" w:rsidRDefault="00904CFF" w:rsidP="001F6FD3">
      <w:pPr>
        <w:pStyle w:val="Normlnywebov"/>
        <w:numPr>
          <w:ilvl w:val="0"/>
          <w:numId w:val="2"/>
        </w:numPr>
        <w:spacing w:before="120" w:beforeAutospacing="0" w:after="0" w:afterAutospacing="0" w:line="276" w:lineRule="auto"/>
        <w:jc w:val="both"/>
        <w:rPr>
          <w:rFonts w:ascii="Book Antiqua" w:hAnsi="Book Antiqua"/>
          <w:sz w:val="22"/>
          <w:szCs w:val="22"/>
        </w:rPr>
      </w:pPr>
      <w:r w:rsidRPr="00D73AB5">
        <w:rPr>
          <w:rFonts w:ascii="Book Antiqua" w:hAnsi="Book Antiqua"/>
          <w:sz w:val="22"/>
          <w:szCs w:val="22"/>
        </w:rPr>
        <w:t xml:space="preserve">smernica </w:t>
      </w:r>
      <w:r w:rsidR="00362DBB" w:rsidRPr="00D73AB5">
        <w:rPr>
          <w:rFonts w:ascii="Book Antiqua" w:hAnsi="Book Antiqua"/>
          <w:bCs/>
          <w:sz w:val="22"/>
          <w:szCs w:val="22"/>
        </w:rPr>
        <w:t>Európskeho parlamentu a Rady (EÚ) 2018/2001 zatiaľ ne</w:t>
      </w:r>
      <w:r w:rsidR="00362DBB" w:rsidRPr="00D73AB5">
        <w:rPr>
          <w:rFonts w:ascii="Book Antiqua" w:hAnsi="Book Antiqua"/>
          <w:sz w:val="22"/>
          <w:szCs w:val="22"/>
        </w:rPr>
        <w:t>bola prebratá do žiadnych vnútroštátnych právnych predpisov.</w:t>
      </w:r>
    </w:p>
    <w:p w14:paraId="72B0C17F" w14:textId="77777777" w:rsidR="00362DBB" w:rsidRPr="00D73AB5" w:rsidRDefault="00362DBB" w:rsidP="001F6FD3">
      <w:pPr>
        <w:pStyle w:val="Normlnywebov"/>
        <w:spacing w:before="120" w:beforeAutospacing="0" w:after="0" w:afterAutospacing="0" w:line="276" w:lineRule="auto"/>
        <w:jc w:val="both"/>
        <w:rPr>
          <w:rFonts w:ascii="Book Antiqua" w:hAnsi="Book Antiqua"/>
          <w:sz w:val="22"/>
          <w:szCs w:val="22"/>
        </w:rPr>
      </w:pPr>
    </w:p>
    <w:p w14:paraId="01FC11C9" w14:textId="77777777" w:rsidR="00904CFF" w:rsidRPr="00D73AB5" w:rsidRDefault="00904CFF" w:rsidP="001F6FD3">
      <w:pPr>
        <w:pStyle w:val="Normlnywebov"/>
        <w:spacing w:before="120" w:beforeAutospacing="0" w:after="0" w:afterAutospacing="0" w:line="276" w:lineRule="auto"/>
        <w:jc w:val="both"/>
        <w:rPr>
          <w:rFonts w:ascii="Book Antiqua" w:hAnsi="Book Antiqua"/>
          <w:b/>
          <w:sz w:val="22"/>
          <w:szCs w:val="22"/>
        </w:rPr>
      </w:pPr>
      <w:r w:rsidRPr="00D73AB5">
        <w:rPr>
          <w:rFonts w:ascii="Book Antiqua" w:hAnsi="Book Antiqua"/>
          <w:b/>
          <w:sz w:val="22"/>
          <w:szCs w:val="22"/>
        </w:rPr>
        <w:t>5.        Návrh zákona je zlučiteľný s právom Európskej únie</w:t>
      </w:r>
    </w:p>
    <w:p w14:paraId="3E430E2F" w14:textId="77777777" w:rsidR="00F3639C" w:rsidRPr="00D73AB5" w:rsidRDefault="00904CFF" w:rsidP="001F6FD3">
      <w:pPr>
        <w:pStyle w:val="Normlnywebov"/>
        <w:spacing w:before="120" w:beforeAutospacing="0" w:after="0" w:afterAutospacing="0" w:line="276" w:lineRule="auto"/>
        <w:jc w:val="both"/>
        <w:rPr>
          <w:rFonts w:ascii="Book Antiqua" w:hAnsi="Book Antiqua"/>
          <w:sz w:val="22"/>
          <w:szCs w:val="22"/>
        </w:rPr>
      </w:pPr>
      <w:r w:rsidRPr="00D73AB5">
        <w:rPr>
          <w:rFonts w:ascii="Book Antiqua" w:hAnsi="Book Antiqua"/>
          <w:sz w:val="22"/>
          <w:szCs w:val="22"/>
        </w:rPr>
        <w:t>- úplne</w:t>
      </w:r>
    </w:p>
    <w:p w14:paraId="2D83E377" w14:textId="77777777" w:rsidR="00F3639C" w:rsidRPr="00D73AB5" w:rsidRDefault="00F3639C" w:rsidP="001F6FD3">
      <w:pPr>
        <w:spacing w:before="120" w:line="276" w:lineRule="auto"/>
        <w:jc w:val="both"/>
        <w:rPr>
          <w:rFonts w:ascii="Book Antiqua" w:hAnsi="Book Antiqua"/>
          <w:b/>
          <w:bCs/>
          <w:sz w:val="22"/>
          <w:szCs w:val="22"/>
        </w:rPr>
      </w:pPr>
      <w:r w:rsidRPr="00D73AB5">
        <w:rPr>
          <w:rFonts w:ascii="Book Antiqua" w:hAnsi="Book Antiqua"/>
          <w:b/>
          <w:bCs/>
          <w:sz w:val="22"/>
          <w:szCs w:val="22"/>
        </w:rPr>
        <w:tab/>
      </w:r>
    </w:p>
    <w:p w14:paraId="37BA142A" w14:textId="77777777" w:rsidR="00F3639C" w:rsidRPr="00D73AB5" w:rsidRDefault="00F3639C" w:rsidP="001F6FD3">
      <w:pPr>
        <w:spacing w:before="120" w:line="276" w:lineRule="auto"/>
        <w:ind w:left="360"/>
        <w:jc w:val="both"/>
        <w:rPr>
          <w:rFonts w:ascii="Book Antiqua" w:hAnsi="Book Antiqua"/>
          <w:b/>
          <w:bCs/>
        </w:rPr>
      </w:pPr>
    </w:p>
    <w:p w14:paraId="78A4511E" w14:textId="77777777" w:rsidR="00F3639C" w:rsidRPr="00D73AB5" w:rsidRDefault="00F3639C" w:rsidP="001F6FD3">
      <w:pPr>
        <w:spacing w:before="120" w:line="276" w:lineRule="auto"/>
        <w:jc w:val="center"/>
        <w:rPr>
          <w:rFonts w:ascii="Book Antiqua" w:hAnsi="Book Antiqua"/>
          <w:b/>
          <w:bCs/>
          <w:caps/>
          <w:color w:val="000000"/>
          <w:spacing w:val="30"/>
        </w:rPr>
      </w:pPr>
    </w:p>
    <w:p w14:paraId="52C8DF23" w14:textId="77777777" w:rsidR="00F3639C" w:rsidRPr="00D73AB5" w:rsidRDefault="00F3639C" w:rsidP="001F6FD3">
      <w:pPr>
        <w:spacing w:before="120" w:line="276" w:lineRule="auto"/>
        <w:jc w:val="center"/>
        <w:rPr>
          <w:rFonts w:ascii="Book Antiqua" w:hAnsi="Book Antiqua"/>
          <w:b/>
          <w:bCs/>
          <w:caps/>
          <w:color w:val="000000"/>
          <w:spacing w:val="30"/>
        </w:rPr>
      </w:pPr>
    </w:p>
    <w:p w14:paraId="7F2529A3" w14:textId="77777777" w:rsidR="00F3639C" w:rsidRPr="00D73AB5" w:rsidRDefault="00F3639C" w:rsidP="001F6FD3">
      <w:pPr>
        <w:spacing w:before="120" w:line="276" w:lineRule="auto"/>
        <w:jc w:val="center"/>
        <w:rPr>
          <w:rFonts w:ascii="Book Antiqua" w:hAnsi="Book Antiqua"/>
          <w:b/>
          <w:bCs/>
          <w:caps/>
          <w:color w:val="000000"/>
          <w:spacing w:val="30"/>
        </w:rPr>
      </w:pPr>
    </w:p>
    <w:p w14:paraId="4FBB4FF2" w14:textId="77777777" w:rsidR="00F3639C" w:rsidRPr="00D73AB5" w:rsidRDefault="00F3639C" w:rsidP="001F6FD3">
      <w:pPr>
        <w:spacing w:before="120" w:line="276" w:lineRule="auto"/>
        <w:rPr>
          <w:rFonts w:ascii="Book Antiqua" w:hAnsi="Book Antiqua"/>
          <w:b/>
          <w:bCs/>
          <w:caps/>
          <w:color w:val="000000"/>
          <w:spacing w:val="30"/>
        </w:rPr>
      </w:pPr>
    </w:p>
    <w:p w14:paraId="5FF6C8F5" w14:textId="12022A58" w:rsidR="00F3639C" w:rsidRPr="00D73AB5" w:rsidRDefault="00D73AB5" w:rsidP="00BD7CDB">
      <w:pPr>
        <w:spacing w:before="120" w:line="276" w:lineRule="auto"/>
        <w:jc w:val="center"/>
        <w:rPr>
          <w:rFonts w:ascii="Book Antiqua" w:hAnsi="Book Antiqua"/>
          <w:b/>
          <w:bCs/>
          <w:caps/>
          <w:color w:val="000000"/>
          <w:spacing w:val="30"/>
          <w:sz w:val="22"/>
          <w:szCs w:val="22"/>
        </w:rPr>
      </w:pPr>
      <w:r>
        <w:rPr>
          <w:rFonts w:ascii="Book Antiqua" w:hAnsi="Book Antiqua"/>
          <w:b/>
          <w:bCs/>
          <w:caps/>
          <w:color w:val="000000"/>
          <w:spacing w:val="30"/>
          <w:sz w:val="22"/>
          <w:szCs w:val="22"/>
        </w:rPr>
        <w:br w:type="page"/>
      </w:r>
      <w:r w:rsidR="00F3639C" w:rsidRPr="00D73AB5">
        <w:rPr>
          <w:rFonts w:ascii="Book Antiqua" w:hAnsi="Book Antiqua"/>
          <w:b/>
          <w:bCs/>
          <w:caps/>
          <w:color w:val="000000"/>
          <w:spacing w:val="30"/>
          <w:sz w:val="22"/>
          <w:szCs w:val="22"/>
        </w:rPr>
        <w:t>Doložka</w:t>
      </w:r>
    </w:p>
    <w:p w14:paraId="19885B3D" w14:textId="77777777" w:rsidR="00F3639C" w:rsidRPr="00D73AB5" w:rsidRDefault="00F3639C" w:rsidP="001F6FD3">
      <w:pPr>
        <w:spacing w:before="120" w:line="276" w:lineRule="auto"/>
        <w:jc w:val="center"/>
        <w:rPr>
          <w:rFonts w:ascii="Book Antiqua" w:hAnsi="Book Antiqua"/>
          <w:b/>
          <w:bCs/>
          <w:color w:val="000000"/>
          <w:sz w:val="22"/>
          <w:szCs w:val="22"/>
        </w:rPr>
      </w:pPr>
      <w:r w:rsidRPr="00D73AB5">
        <w:rPr>
          <w:rFonts w:ascii="Book Antiqua" w:hAnsi="Book Antiqua"/>
          <w:b/>
          <w:bCs/>
          <w:color w:val="000000"/>
          <w:sz w:val="22"/>
          <w:szCs w:val="22"/>
        </w:rPr>
        <w:t>vybraných vplyvov</w:t>
      </w:r>
    </w:p>
    <w:p w14:paraId="1F20ECC8" w14:textId="77777777" w:rsidR="00F3639C" w:rsidRPr="00D73AB5" w:rsidRDefault="00F3639C" w:rsidP="001F6FD3">
      <w:pPr>
        <w:spacing w:before="120" w:line="276" w:lineRule="auto"/>
        <w:jc w:val="both"/>
        <w:rPr>
          <w:rFonts w:ascii="Book Antiqua" w:hAnsi="Book Antiqua"/>
          <w:b/>
          <w:bCs/>
          <w:color w:val="000000"/>
          <w:sz w:val="22"/>
          <w:szCs w:val="22"/>
        </w:rPr>
      </w:pPr>
    </w:p>
    <w:p w14:paraId="4D288248" w14:textId="77777777" w:rsidR="00F3639C" w:rsidRPr="00D73AB5" w:rsidRDefault="00F3639C" w:rsidP="001F6FD3">
      <w:pPr>
        <w:spacing w:before="120" w:line="276" w:lineRule="auto"/>
        <w:jc w:val="both"/>
        <w:rPr>
          <w:rFonts w:ascii="Book Antiqua" w:hAnsi="Book Antiqua"/>
          <w:sz w:val="22"/>
          <w:szCs w:val="22"/>
        </w:rPr>
      </w:pPr>
      <w:r w:rsidRPr="00D73AB5">
        <w:rPr>
          <w:rFonts w:ascii="Book Antiqua" w:hAnsi="Book Antiqua"/>
          <w:b/>
          <w:bCs/>
          <w:color w:val="000000"/>
          <w:sz w:val="22"/>
          <w:szCs w:val="22"/>
        </w:rPr>
        <w:t xml:space="preserve">A.1. Názov materiálu: </w:t>
      </w:r>
      <w:r w:rsidRPr="00D73AB5">
        <w:rPr>
          <w:rFonts w:ascii="Book Antiqua" w:hAnsi="Book Antiqua"/>
          <w:sz w:val="22"/>
          <w:szCs w:val="22"/>
        </w:rPr>
        <w:t xml:space="preserve">návrh zákona, </w:t>
      </w:r>
      <w:r w:rsidRPr="00D73AB5">
        <w:rPr>
          <w:rFonts w:ascii="Book Antiqua" w:hAnsi="Book Antiqua"/>
          <w:bCs/>
          <w:sz w:val="22"/>
          <w:szCs w:val="22"/>
        </w:rPr>
        <w:t>ktorým sa mení a dopĺňa zákon č. 657/2004 Z. z. o tepelnej energetike v znení neskorších predpisov</w:t>
      </w:r>
    </w:p>
    <w:p w14:paraId="261AE4E4" w14:textId="77777777" w:rsidR="0013410F" w:rsidRPr="00D73AB5" w:rsidRDefault="0013410F" w:rsidP="001F6FD3">
      <w:pPr>
        <w:spacing w:before="120" w:line="276" w:lineRule="auto"/>
        <w:jc w:val="both"/>
        <w:rPr>
          <w:rFonts w:ascii="Book Antiqua" w:hAnsi="Book Antiqua"/>
          <w:b/>
          <w:bCs/>
          <w:color w:val="000000"/>
          <w:sz w:val="22"/>
          <w:szCs w:val="22"/>
        </w:rPr>
      </w:pPr>
    </w:p>
    <w:p w14:paraId="70CBC568" w14:textId="77777777" w:rsidR="00F3639C" w:rsidRPr="00D73AB5" w:rsidRDefault="00F3639C" w:rsidP="001F6FD3">
      <w:pPr>
        <w:spacing w:before="120" w:line="276" w:lineRule="auto"/>
        <w:jc w:val="both"/>
        <w:rPr>
          <w:rFonts w:ascii="Book Antiqua" w:hAnsi="Book Antiqua"/>
          <w:i/>
          <w:iCs/>
          <w:color w:val="000000"/>
          <w:sz w:val="22"/>
          <w:szCs w:val="22"/>
        </w:rPr>
      </w:pPr>
      <w:r w:rsidRPr="00D73AB5">
        <w:rPr>
          <w:rFonts w:ascii="Book Antiqua" w:hAnsi="Book Antiqua"/>
          <w:b/>
          <w:bCs/>
          <w:color w:val="000000"/>
          <w:sz w:val="22"/>
          <w:szCs w:val="22"/>
        </w:rPr>
        <w:t>Termín začatia a ukončenia PPK:</w:t>
      </w:r>
      <w:r w:rsidRPr="00D73AB5">
        <w:rPr>
          <w:rFonts w:ascii="Book Antiqua" w:hAnsi="Book Antiqua"/>
          <w:color w:val="000000"/>
          <w:sz w:val="22"/>
          <w:szCs w:val="22"/>
        </w:rPr>
        <w:t xml:space="preserve"> </w:t>
      </w:r>
      <w:r w:rsidRPr="00D73AB5">
        <w:rPr>
          <w:rFonts w:ascii="Book Antiqua" w:hAnsi="Book Antiqua"/>
          <w:i/>
          <w:iCs/>
          <w:color w:val="000000"/>
          <w:sz w:val="22"/>
          <w:szCs w:val="22"/>
        </w:rPr>
        <w:t>bezpredmetné</w:t>
      </w:r>
    </w:p>
    <w:p w14:paraId="54612B07" w14:textId="77777777" w:rsidR="00F3639C" w:rsidRPr="00D73AB5" w:rsidRDefault="00F3639C" w:rsidP="001F6FD3">
      <w:pPr>
        <w:spacing w:before="120" w:line="276" w:lineRule="auto"/>
        <w:jc w:val="both"/>
        <w:rPr>
          <w:rFonts w:ascii="Book Antiqua" w:hAnsi="Book Antiqua"/>
          <w:b/>
          <w:bCs/>
          <w:color w:val="000000"/>
          <w:sz w:val="22"/>
          <w:szCs w:val="22"/>
        </w:rPr>
      </w:pPr>
    </w:p>
    <w:p w14:paraId="2EBC9C50" w14:textId="77777777" w:rsidR="00F3639C" w:rsidRPr="00D73AB5" w:rsidRDefault="00F3639C" w:rsidP="001F6FD3">
      <w:pPr>
        <w:spacing w:before="120" w:line="276" w:lineRule="auto"/>
        <w:jc w:val="both"/>
        <w:rPr>
          <w:rFonts w:ascii="Book Antiqua" w:hAnsi="Book Antiqua"/>
          <w:b/>
          <w:bCs/>
          <w:color w:val="000000"/>
          <w:sz w:val="22"/>
          <w:szCs w:val="22"/>
        </w:rPr>
      </w:pPr>
      <w:r w:rsidRPr="00D73AB5">
        <w:rPr>
          <w:rFonts w:ascii="Book Antiqua" w:hAnsi="Book Antiqua"/>
          <w:b/>
          <w:bCs/>
          <w:color w:val="000000"/>
          <w:sz w:val="22"/>
          <w:szCs w:val="22"/>
        </w:rPr>
        <w:t>A.2. Vplyvy:</w:t>
      </w:r>
    </w:p>
    <w:tbl>
      <w:tblPr>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908"/>
        <w:gridCol w:w="1238"/>
        <w:gridCol w:w="1238"/>
        <w:gridCol w:w="1238"/>
      </w:tblGrid>
      <w:tr w:rsidR="00F3639C" w:rsidRPr="00D73AB5" w14:paraId="28B521D9" w14:textId="77777777" w:rsidTr="004C4B3C">
        <w:tc>
          <w:tcPr>
            <w:tcW w:w="5730" w:type="dxa"/>
            <w:tcBorders>
              <w:top w:val="outset" w:sz="6" w:space="0" w:color="auto"/>
              <w:bottom w:val="outset" w:sz="6" w:space="0" w:color="auto"/>
              <w:right w:val="outset" w:sz="6" w:space="0" w:color="auto"/>
            </w:tcBorders>
            <w:vAlign w:val="center"/>
          </w:tcPr>
          <w:p w14:paraId="14C56AB4" w14:textId="77777777" w:rsidR="00F3639C" w:rsidRPr="00D73AB5" w:rsidRDefault="00F3639C" w:rsidP="001F6FD3">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749B335C"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vAlign w:val="center"/>
          </w:tcPr>
          <w:p w14:paraId="010E4491"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tcBorders>
            <w:vAlign w:val="center"/>
          </w:tcPr>
          <w:p w14:paraId="1B6910C5"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Negatívne</w:t>
            </w:r>
          </w:p>
        </w:tc>
      </w:tr>
      <w:tr w:rsidR="00F3639C" w:rsidRPr="00D73AB5" w14:paraId="4E99E407" w14:textId="77777777" w:rsidTr="004C4B3C">
        <w:tc>
          <w:tcPr>
            <w:tcW w:w="5730" w:type="dxa"/>
            <w:tcBorders>
              <w:top w:val="outset" w:sz="6" w:space="0" w:color="auto"/>
              <w:bottom w:val="outset" w:sz="6" w:space="0" w:color="auto"/>
              <w:right w:val="outset" w:sz="6" w:space="0" w:color="auto"/>
            </w:tcBorders>
            <w:vAlign w:val="center"/>
          </w:tcPr>
          <w:p w14:paraId="47E03D5D"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14:paraId="009EEB79"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6BBC321C"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14:paraId="2DDB3C02" w14:textId="77777777"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03CDF97B" w14:textId="77777777" w:rsidTr="004C4B3C">
        <w:tc>
          <w:tcPr>
            <w:tcW w:w="5730" w:type="dxa"/>
            <w:tcBorders>
              <w:top w:val="outset" w:sz="6" w:space="0" w:color="auto"/>
              <w:bottom w:val="outset" w:sz="6" w:space="0" w:color="auto"/>
              <w:right w:val="outset" w:sz="6" w:space="0" w:color="auto"/>
            </w:tcBorders>
            <w:vAlign w:val="center"/>
          </w:tcPr>
          <w:p w14:paraId="00CDCF71"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vAlign w:val="center"/>
          </w:tcPr>
          <w:p w14:paraId="729BCEEE" w14:textId="2576EDBA"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5E5E7918" w14:textId="781F2C1C" w:rsidR="00F3639C" w:rsidRPr="00D73AB5" w:rsidRDefault="00BD7CDB" w:rsidP="001F6FD3">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14:paraId="69588407" w14:textId="5EEC2C93"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3DB18FE8" w14:textId="77777777" w:rsidTr="004C4B3C">
        <w:tc>
          <w:tcPr>
            <w:tcW w:w="5730" w:type="dxa"/>
            <w:tcBorders>
              <w:top w:val="outset" w:sz="6" w:space="0" w:color="auto"/>
              <w:bottom w:val="outset" w:sz="6" w:space="0" w:color="auto"/>
              <w:right w:val="outset" w:sz="6" w:space="0" w:color="auto"/>
            </w:tcBorders>
            <w:vAlign w:val="center"/>
          </w:tcPr>
          <w:p w14:paraId="0FE89D9B"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vAlign w:val="center"/>
          </w:tcPr>
          <w:p w14:paraId="69F30671"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2B4B13AA"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tcBorders>
            <w:vAlign w:val="center"/>
          </w:tcPr>
          <w:p w14:paraId="7A3E28D6" w14:textId="77777777"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1D6B03F4" w14:textId="77777777" w:rsidTr="004C4B3C">
        <w:tc>
          <w:tcPr>
            <w:tcW w:w="5730" w:type="dxa"/>
            <w:tcBorders>
              <w:top w:val="outset" w:sz="6" w:space="0" w:color="auto"/>
              <w:bottom w:val="outset" w:sz="6" w:space="0" w:color="auto"/>
              <w:right w:val="outset" w:sz="6" w:space="0" w:color="auto"/>
            </w:tcBorders>
            <w:vAlign w:val="center"/>
          </w:tcPr>
          <w:p w14:paraId="5FEA7BFD"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14:paraId="41A38867" w14:textId="0D440881" w:rsidR="00F3639C" w:rsidRPr="00D73AB5" w:rsidRDefault="00F3639C" w:rsidP="001F6FD3">
            <w:pPr>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14:paraId="39B4BC0C" w14:textId="5E8AC8BE" w:rsidR="00F3639C" w:rsidRPr="00D73AB5" w:rsidRDefault="00BD7CDB" w:rsidP="001F6FD3">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tcBorders>
            <w:vAlign w:val="center"/>
          </w:tcPr>
          <w:p w14:paraId="659EF006" w14:textId="77777777"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44475AD2" w14:textId="77777777" w:rsidTr="004C4B3C">
        <w:tc>
          <w:tcPr>
            <w:tcW w:w="5730" w:type="dxa"/>
            <w:tcBorders>
              <w:top w:val="outset" w:sz="6" w:space="0" w:color="auto"/>
              <w:bottom w:val="outset" w:sz="6" w:space="0" w:color="auto"/>
              <w:right w:val="outset" w:sz="6" w:space="0" w:color="auto"/>
            </w:tcBorders>
            <w:vAlign w:val="center"/>
          </w:tcPr>
          <w:p w14:paraId="2D835F17"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14:paraId="23E3B8B8"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723229A2"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14:paraId="09740DF0" w14:textId="77777777"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0AC7E684" w14:textId="77777777" w:rsidTr="004C4B3C">
        <w:tc>
          <w:tcPr>
            <w:tcW w:w="5730" w:type="dxa"/>
            <w:tcBorders>
              <w:top w:val="outset" w:sz="6" w:space="0" w:color="auto"/>
              <w:bottom w:val="outset" w:sz="6" w:space="0" w:color="auto"/>
              <w:right w:val="outset" w:sz="6" w:space="0" w:color="auto"/>
            </w:tcBorders>
            <w:vAlign w:val="center"/>
          </w:tcPr>
          <w:p w14:paraId="007411B2"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14:paraId="7FD78040"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09600600"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14:paraId="43D2D87C" w14:textId="77777777"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4D48FA7F" w14:textId="77777777" w:rsidTr="004C4B3C">
        <w:tc>
          <w:tcPr>
            <w:tcW w:w="5730" w:type="dxa"/>
            <w:tcBorders>
              <w:top w:val="outset" w:sz="6" w:space="0" w:color="auto"/>
              <w:bottom w:val="outset" w:sz="6" w:space="0" w:color="auto"/>
              <w:right w:val="outset" w:sz="6" w:space="0" w:color="auto"/>
            </w:tcBorders>
            <w:vAlign w:val="center"/>
          </w:tcPr>
          <w:p w14:paraId="31E304C9"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14:paraId="6D3B5AA6"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19118506"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14:paraId="5028EE40" w14:textId="77777777" w:rsidR="00F3639C" w:rsidRPr="00D73AB5" w:rsidRDefault="00F3639C" w:rsidP="001F6FD3">
            <w:pPr>
              <w:spacing w:before="120" w:line="276" w:lineRule="auto"/>
              <w:jc w:val="center"/>
              <w:rPr>
                <w:rFonts w:ascii="Book Antiqua" w:hAnsi="Book Antiqua"/>
                <w:color w:val="000000"/>
                <w:sz w:val="22"/>
                <w:szCs w:val="22"/>
              </w:rPr>
            </w:pPr>
          </w:p>
        </w:tc>
      </w:tr>
      <w:tr w:rsidR="00F3639C" w:rsidRPr="00D73AB5" w14:paraId="1BA67A11" w14:textId="77777777" w:rsidTr="004C4B3C">
        <w:tc>
          <w:tcPr>
            <w:tcW w:w="5730" w:type="dxa"/>
            <w:tcBorders>
              <w:top w:val="outset" w:sz="6" w:space="0" w:color="auto"/>
              <w:bottom w:val="outset" w:sz="6" w:space="0" w:color="auto"/>
              <w:right w:val="outset" w:sz="6" w:space="0" w:color="auto"/>
            </w:tcBorders>
            <w:vAlign w:val="center"/>
          </w:tcPr>
          <w:p w14:paraId="03BEAD89"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14:paraId="45141A9D" w14:textId="77777777" w:rsidR="00F3639C" w:rsidRPr="00D73AB5" w:rsidRDefault="00F3639C" w:rsidP="001F6FD3">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14:paraId="2F4DDB91" w14:textId="77777777" w:rsidR="00F3639C" w:rsidRPr="00D73AB5" w:rsidRDefault="00F3639C" w:rsidP="001F6FD3">
            <w:pPr>
              <w:spacing w:before="120" w:line="276" w:lineRule="auto"/>
              <w:jc w:val="center"/>
              <w:rPr>
                <w:rFonts w:ascii="Book Antiqua" w:hAnsi="Book Antiqua"/>
                <w:color w:val="000000"/>
                <w:sz w:val="22"/>
                <w:szCs w:val="22"/>
              </w:rPr>
            </w:pPr>
            <w:r w:rsidRPr="00D73AB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14:paraId="58ED1E0B" w14:textId="77777777" w:rsidR="00F3639C" w:rsidRPr="00D73AB5" w:rsidRDefault="00F3639C" w:rsidP="001F6FD3">
            <w:pPr>
              <w:spacing w:before="120" w:line="276" w:lineRule="auto"/>
              <w:jc w:val="center"/>
              <w:rPr>
                <w:rFonts w:ascii="Book Antiqua" w:hAnsi="Book Antiqua"/>
                <w:color w:val="000000"/>
                <w:sz w:val="22"/>
                <w:szCs w:val="22"/>
              </w:rPr>
            </w:pPr>
          </w:p>
        </w:tc>
      </w:tr>
    </w:tbl>
    <w:p w14:paraId="5CA5B17F" w14:textId="77777777" w:rsidR="00F3639C" w:rsidRPr="00D73AB5" w:rsidRDefault="00F3639C" w:rsidP="001F6FD3">
      <w:pPr>
        <w:spacing w:before="120" w:line="276" w:lineRule="auto"/>
        <w:jc w:val="both"/>
        <w:rPr>
          <w:rFonts w:ascii="Book Antiqua" w:hAnsi="Book Antiqua"/>
          <w:color w:val="000000"/>
          <w:sz w:val="22"/>
          <w:szCs w:val="22"/>
        </w:rPr>
      </w:pPr>
      <w:r w:rsidRPr="00D73AB5">
        <w:rPr>
          <w:rFonts w:ascii="Book Antiqua" w:hAnsi="Book Antiqua"/>
          <w:color w:val="000000"/>
          <w:sz w:val="22"/>
          <w:szCs w:val="22"/>
        </w:rPr>
        <w:t> </w:t>
      </w:r>
    </w:p>
    <w:p w14:paraId="5B972E60" w14:textId="77777777" w:rsidR="00F3639C" w:rsidRPr="00D73AB5" w:rsidRDefault="00F3639C" w:rsidP="001F6FD3">
      <w:pPr>
        <w:spacing w:before="120" w:line="276" w:lineRule="auto"/>
        <w:jc w:val="both"/>
        <w:rPr>
          <w:rFonts w:ascii="Book Antiqua" w:hAnsi="Book Antiqua"/>
          <w:b/>
          <w:bCs/>
          <w:color w:val="000000"/>
          <w:sz w:val="22"/>
          <w:szCs w:val="22"/>
        </w:rPr>
      </w:pPr>
      <w:r w:rsidRPr="00D73AB5">
        <w:rPr>
          <w:rFonts w:ascii="Book Antiqua" w:hAnsi="Book Antiqua"/>
          <w:b/>
          <w:bCs/>
          <w:color w:val="000000"/>
          <w:sz w:val="22"/>
          <w:szCs w:val="22"/>
        </w:rPr>
        <w:t>A.3. Poznámky</w:t>
      </w:r>
    </w:p>
    <w:p w14:paraId="5989B209" w14:textId="073C2549" w:rsidR="00F3639C" w:rsidRPr="00BD7CDB" w:rsidRDefault="00BD7CDB" w:rsidP="001F6FD3">
      <w:pPr>
        <w:pStyle w:val="Normlnywebov"/>
        <w:spacing w:before="120" w:beforeAutospacing="0" w:after="0" w:afterAutospacing="0" w:line="276" w:lineRule="auto"/>
        <w:jc w:val="both"/>
        <w:rPr>
          <w:rFonts w:ascii="Book Antiqua" w:hAnsi="Book Antiqua"/>
          <w:bCs/>
          <w:i/>
          <w:color w:val="000000"/>
          <w:sz w:val="22"/>
          <w:szCs w:val="22"/>
        </w:rPr>
      </w:pPr>
      <w:r w:rsidRPr="00BD7CDB">
        <w:rPr>
          <w:rFonts w:ascii="Book Antiqua" w:hAnsi="Book Antiqua"/>
          <w:i/>
          <w:sz w:val="22"/>
          <w:szCs w:val="22"/>
        </w:rPr>
        <w:t>Predložený návrh zákona nezakladá žiadne vplyvy na rozpočet verejnej správy, na životné prostredie ani na informatizáciu spoločnosti. Návrh zákona nevyvoláva sociálne vplyvy a nemá vplyv na podnikateľské prostredie.</w:t>
      </w:r>
    </w:p>
    <w:p w14:paraId="127FF4DD" w14:textId="77777777" w:rsidR="00F3639C" w:rsidRPr="00D73AB5" w:rsidRDefault="00F3639C" w:rsidP="001F6FD3">
      <w:pPr>
        <w:spacing w:before="120" w:line="276" w:lineRule="auto"/>
        <w:jc w:val="both"/>
        <w:rPr>
          <w:rFonts w:ascii="Book Antiqua" w:hAnsi="Book Antiqua"/>
          <w:b/>
          <w:bCs/>
          <w:color w:val="000000"/>
          <w:sz w:val="22"/>
          <w:szCs w:val="22"/>
        </w:rPr>
      </w:pPr>
    </w:p>
    <w:p w14:paraId="51E183D9" w14:textId="77777777" w:rsidR="00F3639C" w:rsidRPr="00D73AB5" w:rsidRDefault="00F3639C" w:rsidP="001F6FD3">
      <w:pPr>
        <w:spacing w:before="120" w:line="276" w:lineRule="auto"/>
        <w:jc w:val="both"/>
        <w:rPr>
          <w:rFonts w:ascii="Book Antiqua" w:hAnsi="Book Antiqua"/>
          <w:b/>
          <w:bCs/>
          <w:color w:val="000000"/>
          <w:sz w:val="22"/>
          <w:szCs w:val="22"/>
        </w:rPr>
      </w:pPr>
      <w:r w:rsidRPr="00D73AB5">
        <w:rPr>
          <w:rFonts w:ascii="Book Antiqua" w:hAnsi="Book Antiqua"/>
          <w:b/>
          <w:bCs/>
          <w:color w:val="000000"/>
          <w:sz w:val="22"/>
          <w:szCs w:val="22"/>
        </w:rPr>
        <w:t>A.4. Alternatívne riešenia</w:t>
      </w:r>
    </w:p>
    <w:p w14:paraId="538BF333" w14:textId="77777777" w:rsidR="00F3639C" w:rsidRPr="00D73AB5" w:rsidRDefault="00F3639C" w:rsidP="001F6FD3">
      <w:pPr>
        <w:spacing w:before="120" w:line="276" w:lineRule="auto"/>
        <w:jc w:val="both"/>
        <w:rPr>
          <w:rFonts w:ascii="Book Antiqua" w:hAnsi="Book Antiqua"/>
          <w:b/>
          <w:bCs/>
          <w:i/>
          <w:color w:val="000000"/>
          <w:sz w:val="22"/>
          <w:szCs w:val="22"/>
        </w:rPr>
      </w:pPr>
      <w:r w:rsidRPr="00D73AB5">
        <w:rPr>
          <w:rFonts w:ascii="Book Antiqua" w:hAnsi="Book Antiqua"/>
          <w:i/>
          <w:color w:val="000000"/>
          <w:sz w:val="22"/>
          <w:szCs w:val="22"/>
        </w:rPr>
        <w:t>bezpredmetné </w:t>
      </w:r>
    </w:p>
    <w:p w14:paraId="3AFDBD6D" w14:textId="77777777" w:rsidR="00F3639C" w:rsidRPr="00D73AB5" w:rsidRDefault="00F3639C" w:rsidP="001F6FD3">
      <w:pPr>
        <w:spacing w:before="120" w:line="276" w:lineRule="auto"/>
        <w:jc w:val="both"/>
        <w:rPr>
          <w:rFonts w:ascii="Book Antiqua" w:hAnsi="Book Antiqua"/>
          <w:b/>
          <w:bCs/>
          <w:color w:val="000000"/>
          <w:sz w:val="22"/>
          <w:szCs w:val="22"/>
        </w:rPr>
      </w:pPr>
    </w:p>
    <w:p w14:paraId="3358C688" w14:textId="77777777" w:rsidR="00F3639C" w:rsidRPr="00D73AB5" w:rsidRDefault="00F3639C" w:rsidP="001F6FD3">
      <w:pPr>
        <w:pStyle w:val="Normlnywebov"/>
        <w:spacing w:before="120" w:beforeAutospacing="0" w:after="0" w:afterAutospacing="0" w:line="276" w:lineRule="auto"/>
        <w:ind w:left="567" w:hanging="567"/>
        <w:jc w:val="both"/>
        <w:rPr>
          <w:rFonts w:ascii="Book Antiqua" w:hAnsi="Book Antiqua"/>
          <w:b/>
          <w:bCs/>
          <w:sz w:val="22"/>
          <w:szCs w:val="22"/>
        </w:rPr>
      </w:pPr>
      <w:r w:rsidRPr="00D73AB5">
        <w:rPr>
          <w:rFonts w:ascii="Book Antiqua" w:hAnsi="Book Antiqua"/>
          <w:b/>
          <w:bCs/>
          <w:sz w:val="22"/>
          <w:szCs w:val="22"/>
        </w:rPr>
        <w:t xml:space="preserve">A.5. </w:t>
      </w:r>
      <w:r w:rsidRPr="00D73AB5">
        <w:rPr>
          <w:rFonts w:ascii="Book Antiqua" w:hAnsi="Book Antiqua"/>
          <w:b/>
          <w:bCs/>
          <w:sz w:val="22"/>
          <w:szCs w:val="22"/>
        </w:rPr>
        <w:tab/>
        <w:t>Stanovisko gestorov</w:t>
      </w:r>
    </w:p>
    <w:p w14:paraId="6FC51144" w14:textId="77777777" w:rsidR="001F7B66" w:rsidRPr="00D73AB5" w:rsidRDefault="00F3639C" w:rsidP="001F6FD3">
      <w:pPr>
        <w:pStyle w:val="Normlnywebov"/>
        <w:spacing w:before="120" w:beforeAutospacing="0" w:after="0" w:afterAutospacing="0" w:line="276" w:lineRule="auto"/>
        <w:jc w:val="both"/>
        <w:rPr>
          <w:rFonts w:ascii="Book Antiqua" w:hAnsi="Book Antiqua"/>
          <w:sz w:val="22"/>
          <w:szCs w:val="22"/>
        </w:rPr>
      </w:pPr>
      <w:r w:rsidRPr="00D73AB5">
        <w:rPr>
          <w:rFonts w:ascii="Book Antiqua" w:hAnsi="Book Antiqua"/>
          <w:i/>
          <w:iCs/>
          <w:color w:val="000000"/>
          <w:sz w:val="22"/>
          <w:szCs w:val="22"/>
        </w:rPr>
        <w:t>Návrh zákona bol zaslaný na vyjadrenie Ministerstvu financií SR a stanovisko tohto ministerstva tvorí súčasť predkladaného materiálu</w:t>
      </w:r>
      <w:r w:rsidR="0013410F" w:rsidRPr="00D73AB5">
        <w:rPr>
          <w:rFonts w:ascii="Book Antiqua" w:hAnsi="Book Antiqua"/>
          <w:i/>
          <w:iCs/>
          <w:color w:val="000000"/>
          <w:sz w:val="22"/>
          <w:szCs w:val="22"/>
        </w:rPr>
        <w:t>.</w:t>
      </w:r>
    </w:p>
    <w:sectPr w:rsidR="001F7B66" w:rsidRPr="00D73AB5">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37111" w14:textId="77777777" w:rsidR="00C5215D" w:rsidRDefault="00C5215D" w:rsidP="00F54E62">
      <w:pPr>
        <w:rPr>
          <w:rFonts w:hint="eastAsia"/>
        </w:rPr>
      </w:pPr>
      <w:r>
        <w:separator/>
      </w:r>
    </w:p>
  </w:endnote>
  <w:endnote w:type="continuationSeparator" w:id="0">
    <w:p w14:paraId="66939ABB" w14:textId="77777777" w:rsidR="00C5215D" w:rsidRDefault="00C5215D" w:rsidP="00F54E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DFC09" w14:textId="77777777" w:rsidR="00C5215D" w:rsidRDefault="00C5215D" w:rsidP="00F54E62">
      <w:pPr>
        <w:rPr>
          <w:rFonts w:hint="eastAsia"/>
        </w:rPr>
      </w:pPr>
      <w:r>
        <w:separator/>
      </w:r>
    </w:p>
  </w:footnote>
  <w:footnote w:type="continuationSeparator" w:id="0">
    <w:p w14:paraId="46DC2AB9" w14:textId="77777777" w:rsidR="00C5215D" w:rsidRDefault="00C5215D" w:rsidP="00F54E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B065F"/>
    <w:multiLevelType w:val="hybridMultilevel"/>
    <w:tmpl w:val="41C6BF3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5B"/>
    <w:rsid w:val="000000C1"/>
    <w:rsid w:val="00010A92"/>
    <w:rsid w:val="00010F3D"/>
    <w:rsid w:val="0013410F"/>
    <w:rsid w:val="00153618"/>
    <w:rsid w:val="0017390C"/>
    <w:rsid w:val="00177445"/>
    <w:rsid w:val="00185F52"/>
    <w:rsid w:val="00186663"/>
    <w:rsid w:val="001B7CFF"/>
    <w:rsid w:val="001F6FD3"/>
    <w:rsid w:val="001F7B66"/>
    <w:rsid w:val="0020565B"/>
    <w:rsid w:val="002479E5"/>
    <w:rsid w:val="002514B9"/>
    <w:rsid w:val="002842A1"/>
    <w:rsid w:val="002A3647"/>
    <w:rsid w:val="002B47AE"/>
    <w:rsid w:val="002F6FFD"/>
    <w:rsid w:val="003209CF"/>
    <w:rsid w:val="00362DBB"/>
    <w:rsid w:val="00374DC1"/>
    <w:rsid w:val="003A38C4"/>
    <w:rsid w:val="003B6B32"/>
    <w:rsid w:val="003D3F64"/>
    <w:rsid w:val="004003D4"/>
    <w:rsid w:val="00401EA3"/>
    <w:rsid w:val="00425F30"/>
    <w:rsid w:val="00492D51"/>
    <w:rsid w:val="00495578"/>
    <w:rsid w:val="004B0FA4"/>
    <w:rsid w:val="004E6DC0"/>
    <w:rsid w:val="00560B2E"/>
    <w:rsid w:val="006001D7"/>
    <w:rsid w:val="00630FB6"/>
    <w:rsid w:val="00635753"/>
    <w:rsid w:val="00661D42"/>
    <w:rsid w:val="0066651D"/>
    <w:rsid w:val="006835BB"/>
    <w:rsid w:val="00685E56"/>
    <w:rsid w:val="006B7BD0"/>
    <w:rsid w:val="00765347"/>
    <w:rsid w:val="00792A4E"/>
    <w:rsid w:val="007A1D55"/>
    <w:rsid w:val="007D7880"/>
    <w:rsid w:val="007E6D14"/>
    <w:rsid w:val="008306AA"/>
    <w:rsid w:val="00845D09"/>
    <w:rsid w:val="00880709"/>
    <w:rsid w:val="00904CFF"/>
    <w:rsid w:val="00961EB8"/>
    <w:rsid w:val="009968C4"/>
    <w:rsid w:val="00A65B67"/>
    <w:rsid w:val="00A864E8"/>
    <w:rsid w:val="00AD143F"/>
    <w:rsid w:val="00AF64F2"/>
    <w:rsid w:val="00B408CE"/>
    <w:rsid w:val="00B573A7"/>
    <w:rsid w:val="00B71463"/>
    <w:rsid w:val="00B95C2E"/>
    <w:rsid w:val="00B971A4"/>
    <w:rsid w:val="00BC1961"/>
    <w:rsid w:val="00BD7CDB"/>
    <w:rsid w:val="00C004D4"/>
    <w:rsid w:val="00C26609"/>
    <w:rsid w:val="00C2677C"/>
    <w:rsid w:val="00C33685"/>
    <w:rsid w:val="00C5215D"/>
    <w:rsid w:val="00C8579F"/>
    <w:rsid w:val="00CE49FA"/>
    <w:rsid w:val="00CF1F3A"/>
    <w:rsid w:val="00D73AB5"/>
    <w:rsid w:val="00DB328B"/>
    <w:rsid w:val="00E25F67"/>
    <w:rsid w:val="00ED495B"/>
    <w:rsid w:val="00ED4C73"/>
    <w:rsid w:val="00ED6436"/>
    <w:rsid w:val="00F16246"/>
    <w:rsid w:val="00F35B11"/>
    <w:rsid w:val="00F3639C"/>
    <w:rsid w:val="00F54E62"/>
    <w:rsid w:val="00F56D42"/>
    <w:rsid w:val="00F635B9"/>
    <w:rsid w:val="00FB10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2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sk-S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
    <w:name w:val="Nadpis"/>
    <w:basedOn w:val="Normlny"/>
    <w:next w:val="Zkladntext"/>
    <w:qFormat/>
    <w:pPr>
      <w:keepNext/>
      <w:spacing w:before="240" w:after="120"/>
    </w:pPr>
    <w:rPr>
      <w:rFonts w:ascii="Liberation Sans" w:eastAsia="Microsoft YaHei" w:hAnsi="Liberation Sans"/>
      <w:sz w:val="28"/>
      <w:szCs w:val="28"/>
    </w:rPr>
  </w:style>
  <w:style w:type="paragraph" w:styleId="Zkladntext">
    <w:name w:val="Body Text"/>
    <w:basedOn w:val="Normlny"/>
    <w:link w:val="ZkladntextChar"/>
    <w:pPr>
      <w:spacing w:after="140" w:line="276"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qFormat/>
    <w:pPr>
      <w:suppressLineNumbers/>
    </w:pPr>
  </w:style>
  <w:style w:type="paragraph" w:styleId="Odsekzoznamu">
    <w:name w:val="List Paragraph"/>
    <w:basedOn w:val="Normlny"/>
    <w:uiPriority w:val="34"/>
    <w:qFormat/>
    <w:rsid w:val="007E6D14"/>
    <w:pPr>
      <w:ind w:left="720"/>
      <w:contextualSpacing/>
    </w:pPr>
    <w:rPr>
      <w:rFonts w:cs="Mangal"/>
      <w:szCs w:val="21"/>
    </w:rPr>
  </w:style>
  <w:style w:type="paragraph" w:styleId="Normlnywebov">
    <w:name w:val="Normal (Web)"/>
    <w:basedOn w:val="Normlny"/>
    <w:uiPriority w:val="99"/>
    <w:unhideWhenUsed/>
    <w:rsid w:val="004003D4"/>
    <w:pPr>
      <w:spacing w:before="100" w:beforeAutospacing="1" w:after="100" w:afterAutospacing="1"/>
    </w:pPr>
    <w:rPr>
      <w:rFonts w:ascii="Times New Roman" w:eastAsia="Times New Roman" w:hAnsi="Times New Roman" w:cs="Times New Roman"/>
      <w:kern w:val="0"/>
      <w:lang w:eastAsia="sk-SK" w:bidi="ar-SA"/>
    </w:rPr>
  </w:style>
  <w:style w:type="paragraph" w:styleId="Textbubliny">
    <w:name w:val="Balloon Text"/>
    <w:basedOn w:val="Normlny"/>
    <w:link w:val="TextbublinyChar"/>
    <w:uiPriority w:val="99"/>
    <w:semiHidden/>
    <w:unhideWhenUsed/>
    <w:rsid w:val="004003D4"/>
    <w:rPr>
      <w:rFonts w:ascii="Tahoma" w:hAnsi="Tahoma" w:cs="Mangal"/>
      <w:sz w:val="16"/>
      <w:szCs w:val="14"/>
    </w:rPr>
  </w:style>
  <w:style w:type="character" w:customStyle="1" w:styleId="TextbublinyChar">
    <w:name w:val="Text bubliny Char"/>
    <w:basedOn w:val="Predvolenpsmoodseku"/>
    <w:link w:val="Textbubliny"/>
    <w:uiPriority w:val="99"/>
    <w:semiHidden/>
    <w:rsid w:val="004003D4"/>
    <w:rPr>
      <w:rFonts w:ascii="Tahoma" w:hAnsi="Tahoma" w:cs="Mangal"/>
      <w:sz w:val="16"/>
      <w:szCs w:val="14"/>
    </w:rPr>
  </w:style>
  <w:style w:type="character" w:customStyle="1" w:styleId="ZkladntextChar">
    <w:name w:val="Základný text Char"/>
    <w:basedOn w:val="Predvolenpsmoodseku"/>
    <w:link w:val="Zkladntext"/>
    <w:locked/>
    <w:rsid w:val="00904CFF"/>
  </w:style>
  <w:style w:type="paragraph" w:styleId="Hlavika">
    <w:name w:val="header"/>
    <w:basedOn w:val="Normlny"/>
    <w:link w:val="HlavikaChar"/>
    <w:uiPriority w:val="99"/>
    <w:unhideWhenUsed/>
    <w:rsid w:val="00F54E62"/>
    <w:pPr>
      <w:tabs>
        <w:tab w:val="center" w:pos="4536"/>
        <w:tab w:val="right" w:pos="9072"/>
      </w:tabs>
    </w:pPr>
    <w:rPr>
      <w:rFonts w:cs="Mangal"/>
      <w:szCs w:val="21"/>
    </w:rPr>
  </w:style>
  <w:style w:type="character" w:customStyle="1" w:styleId="HlavikaChar">
    <w:name w:val="Hlavička Char"/>
    <w:basedOn w:val="Predvolenpsmoodseku"/>
    <w:link w:val="Hlavika"/>
    <w:uiPriority w:val="99"/>
    <w:rsid w:val="00F54E62"/>
    <w:rPr>
      <w:rFonts w:cs="Mangal"/>
      <w:szCs w:val="21"/>
    </w:rPr>
  </w:style>
  <w:style w:type="paragraph" w:styleId="Pta">
    <w:name w:val="footer"/>
    <w:basedOn w:val="Normlny"/>
    <w:link w:val="PtaChar"/>
    <w:uiPriority w:val="99"/>
    <w:unhideWhenUsed/>
    <w:rsid w:val="00F54E62"/>
    <w:pPr>
      <w:tabs>
        <w:tab w:val="center" w:pos="4536"/>
        <w:tab w:val="right" w:pos="9072"/>
      </w:tabs>
    </w:pPr>
    <w:rPr>
      <w:rFonts w:cs="Mangal"/>
      <w:szCs w:val="21"/>
    </w:rPr>
  </w:style>
  <w:style w:type="character" w:customStyle="1" w:styleId="PtaChar">
    <w:name w:val="Päta Char"/>
    <w:basedOn w:val="Predvolenpsmoodseku"/>
    <w:link w:val="Pta"/>
    <w:uiPriority w:val="99"/>
    <w:rsid w:val="00F54E6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90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9FDEA-2721-419A-BC1E-14063837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11311</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2021-04-16T13:31:00Z</dcterms:created>
  <dcterms:modified xsi:type="dcterms:W3CDTF">2021-04-16T13:31:00Z</dcterms:modified>
  <dc:language/>
</cp:coreProperties>
</file>