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A5A2B2" w14:textId="77777777" w:rsidR="006A4F0D" w:rsidRPr="00D60773" w:rsidRDefault="00BE2399" w:rsidP="007270FB">
      <w:pPr>
        <w:jc w:val="center"/>
        <w:rPr>
          <w:rFonts w:ascii="Times New Roman" w:hAnsi="Times New Roman" w:cs="Times New Roman"/>
          <w:b/>
          <w:bCs/>
          <w:caps/>
          <w:color w:val="000000" w:themeColor="text1"/>
          <w:spacing w:val="30"/>
        </w:rPr>
      </w:pPr>
      <w:r w:rsidRPr="00D60773">
        <w:rPr>
          <w:rFonts w:ascii="Times New Roman" w:hAnsi="Times New Roman" w:cs="Times New Roman"/>
          <w:b/>
          <w:bCs/>
          <w:caps/>
          <w:color w:val="000000" w:themeColor="text1"/>
          <w:spacing w:val="30"/>
        </w:rPr>
        <w:t>Dôvodová správa</w:t>
      </w:r>
    </w:p>
    <w:p w14:paraId="7A5F7CD3" w14:textId="77777777" w:rsidR="00BE2399" w:rsidRPr="00D60773" w:rsidRDefault="00BE2399" w:rsidP="007270FB">
      <w:pPr>
        <w:jc w:val="both"/>
        <w:rPr>
          <w:rFonts w:ascii="Times New Roman" w:hAnsi="Times New Roman" w:cs="Times New Roman"/>
          <w:color w:val="000000" w:themeColor="text1"/>
        </w:rPr>
      </w:pPr>
    </w:p>
    <w:p w14:paraId="3C4495BA" w14:textId="36E6FD97" w:rsidR="00BE2399" w:rsidRPr="00C323C4" w:rsidRDefault="00C323C4" w:rsidP="00C323C4">
      <w:pPr>
        <w:jc w:val="both"/>
        <w:rPr>
          <w:rFonts w:ascii="Times New Roman" w:hAnsi="Times New Roman" w:cs="Times New Roman"/>
          <w:b/>
          <w:bCs/>
          <w:color w:val="000000" w:themeColor="text1"/>
        </w:rPr>
      </w:pPr>
      <w:r>
        <w:rPr>
          <w:rFonts w:ascii="Times New Roman" w:hAnsi="Times New Roman" w:cs="Times New Roman"/>
          <w:b/>
          <w:bCs/>
          <w:color w:val="000000" w:themeColor="text1"/>
        </w:rPr>
        <w:t>A</w:t>
      </w:r>
      <w:r w:rsidRPr="00C323C4">
        <w:rPr>
          <w:rFonts w:ascii="Times New Roman" w:hAnsi="Times New Roman" w:cs="Times New Roman"/>
          <w:b/>
          <w:bCs/>
          <w:color w:val="000000" w:themeColor="text1"/>
        </w:rPr>
        <w:t>.</w:t>
      </w:r>
      <w:r>
        <w:rPr>
          <w:rFonts w:ascii="Times New Roman" w:hAnsi="Times New Roman" w:cs="Times New Roman"/>
          <w:b/>
          <w:bCs/>
          <w:color w:val="000000" w:themeColor="text1"/>
        </w:rPr>
        <w:t xml:space="preserve"> </w:t>
      </w:r>
      <w:r w:rsidR="00BE2399" w:rsidRPr="00C323C4">
        <w:rPr>
          <w:rFonts w:ascii="Times New Roman" w:hAnsi="Times New Roman" w:cs="Times New Roman"/>
          <w:b/>
          <w:bCs/>
          <w:color w:val="000000" w:themeColor="text1"/>
        </w:rPr>
        <w:t>Všeobecná časť</w:t>
      </w:r>
    </w:p>
    <w:p w14:paraId="2E30C9C7" w14:textId="77777777" w:rsidR="00BE2399" w:rsidRPr="00D60773" w:rsidRDefault="00BE2399" w:rsidP="007270FB">
      <w:pPr>
        <w:jc w:val="both"/>
        <w:rPr>
          <w:rFonts w:ascii="Times New Roman" w:hAnsi="Times New Roman" w:cs="Times New Roman"/>
          <w:color w:val="000000" w:themeColor="text1"/>
        </w:rPr>
      </w:pPr>
    </w:p>
    <w:p w14:paraId="27A98A9A" w14:textId="77777777" w:rsidR="00317DC4" w:rsidRPr="00317DC4" w:rsidRDefault="00317DC4" w:rsidP="00317DC4">
      <w:pPr>
        <w:ind w:firstLine="708"/>
        <w:jc w:val="both"/>
        <w:rPr>
          <w:rFonts w:ascii="Times New Roman" w:hAnsi="Times New Roman" w:cs="Times New Roman"/>
          <w:color w:val="000000" w:themeColor="text1"/>
        </w:rPr>
      </w:pPr>
      <w:r w:rsidRPr="00317DC4">
        <w:rPr>
          <w:rFonts w:ascii="Times New Roman" w:hAnsi="Times New Roman" w:cs="Times New Roman"/>
          <w:color w:val="000000" w:themeColor="text1"/>
        </w:rPr>
        <w:t xml:space="preserve">Návrh na vydanie zákona, ktorým sa mení a dopĺňa zákon č. 447/2008 Z. z. o peňažných príspevkoch na kompenzáciu ťažkého zdravotného postihnutia v znení neskorších predpisov predkladajú poslanci Národnej rady Slovenskej republiky Peter </w:t>
      </w:r>
      <w:proofErr w:type="spellStart"/>
      <w:r w:rsidRPr="00317DC4">
        <w:rPr>
          <w:rFonts w:ascii="Times New Roman" w:hAnsi="Times New Roman" w:cs="Times New Roman"/>
          <w:color w:val="000000" w:themeColor="text1"/>
        </w:rPr>
        <w:t>Pellegrini</w:t>
      </w:r>
      <w:proofErr w:type="spellEnd"/>
      <w:r w:rsidRPr="00317DC4">
        <w:rPr>
          <w:rFonts w:ascii="Times New Roman" w:hAnsi="Times New Roman" w:cs="Times New Roman"/>
          <w:color w:val="000000" w:themeColor="text1"/>
        </w:rPr>
        <w:t xml:space="preserve">, Erik Tomáš a Matúš </w:t>
      </w:r>
      <w:proofErr w:type="spellStart"/>
      <w:r w:rsidRPr="00317DC4">
        <w:rPr>
          <w:rFonts w:ascii="Times New Roman" w:hAnsi="Times New Roman" w:cs="Times New Roman"/>
          <w:color w:val="000000" w:themeColor="text1"/>
        </w:rPr>
        <w:t>Šutaj</w:t>
      </w:r>
      <w:proofErr w:type="spellEnd"/>
      <w:r w:rsidRPr="00317DC4">
        <w:rPr>
          <w:rFonts w:ascii="Times New Roman" w:hAnsi="Times New Roman" w:cs="Times New Roman"/>
          <w:color w:val="000000" w:themeColor="text1"/>
        </w:rPr>
        <w:t xml:space="preserve"> </w:t>
      </w:r>
      <w:proofErr w:type="spellStart"/>
      <w:r w:rsidRPr="00317DC4">
        <w:rPr>
          <w:rFonts w:ascii="Times New Roman" w:hAnsi="Times New Roman" w:cs="Times New Roman"/>
          <w:color w:val="000000" w:themeColor="text1"/>
        </w:rPr>
        <w:t>Eštok</w:t>
      </w:r>
      <w:proofErr w:type="spellEnd"/>
      <w:r w:rsidRPr="00317DC4">
        <w:rPr>
          <w:rFonts w:ascii="Times New Roman" w:hAnsi="Times New Roman" w:cs="Times New Roman"/>
          <w:color w:val="000000" w:themeColor="text1"/>
        </w:rPr>
        <w:t>.</w:t>
      </w:r>
    </w:p>
    <w:p w14:paraId="2E36FABB" w14:textId="77777777" w:rsidR="00317DC4" w:rsidRPr="00317DC4" w:rsidRDefault="00317DC4" w:rsidP="00317DC4">
      <w:pPr>
        <w:ind w:firstLine="708"/>
        <w:jc w:val="both"/>
        <w:rPr>
          <w:rFonts w:ascii="Times New Roman" w:hAnsi="Times New Roman" w:cs="Times New Roman"/>
          <w:color w:val="000000" w:themeColor="text1"/>
        </w:rPr>
      </w:pPr>
      <w:r w:rsidRPr="00317DC4">
        <w:rPr>
          <w:rFonts w:ascii="Times New Roman" w:hAnsi="Times New Roman" w:cs="Times New Roman"/>
          <w:color w:val="000000" w:themeColor="text1"/>
        </w:rPr>
        <w:t xml:space="preserve">Cieľom návrhu je zabezpečiť stabilitu rastu a predvídateľnosti  výšky dvoch príspevkov na kompenzáciu ťažkého zdravotného postihnutia (príspevok na osobnú asistenciu a príspevok na opatrovanie) , ktorých výšku môže podľa súčasného znenia zákona (§ 42 ods. 7 a 8) každý rok upravovať vláda SR nariadením. V súčasnosti platné riešenie sa opiera o každoročnú možnosť vlády nariadením vlády Slovenskej republiky ustanoviť takú výšku predmetných príspevkov, ktoré budú kopírovať vývoj minimálnej mzdy. Cieľom novelizovaného znenia úpravy výpočtu výšky oboch príspevkov je kogentne ustanoviť spôsob výpočtu výšky oboch príspevkov naviazaním tohto výpočtu na výšku minimálnej mzdy bez nutnosti ďalších zásahov Vlády Slovenskej republiky, čím by sa zabezpečila predvídateľnosť vývoja rastu výšky oboch príspevkov. </w:t>
      </w:r>
    </w:p>
    <w:p w14:paraId="0E3DA809" w14:textId="77777777" w:rsidR="00317DC4" w:rsidRPr="00317DC4" w:rsidRDefault="00317DC4" w:rsidP="00317DC4">
      <w:pPr>
        <w:ind w:firstLine="708"/>
        <w:jc w:val="both"/>
        <w:rPr>
          <w:rFonts w:ascii="Times New Roman" w:hAnsi="Times New Roman" w:cs="Times New Roman"/>
          <w:color w:val="000000" w:themeColor="text1"/>
        </w:rPr>
      </w:pPr>
      <w:r w:rsidRPr="00317DC4">
        <w:rPr>
          <w:rFonts w:ascii="Times New Roman" w:hAnsi="Times New Roman" w:cs="Times New Roman"/>
          <w:color w:val="000000" w:themeColor="text1"/>
        </w:rPr>
        <w:t xml:space="preserve">Medzinárodná organizácia práce (MOP) definuje prácu ako „akúkoľvek aktivitu vykonávanú osobou bez ohľadu na pohlavie a vek, produkujúcu tovar alebo poskytujúcu službu pre používanie inou osobou alebo pre vlastné použitie“ (rezolúcia Medzinárodnej konferencie štatistikov v oblasti práce). Práca pritom „môže byť vykonávaná v akejkoľvek ekonomickej jednotke“. </w:t>
      </w:r>
    </w:p>
    <w:p w14:paraId="6E641B69" w14:textId="77777777" w:rsidR="00317DC4" w:rsidRPr="00317DC4" w:rsidRDefault="00317DC4" w:rsidP="00317DC4">
      <w:pPr>
        <w:ind w:firstLine="708"/>
        <w:jc w:val="both"/>
        <w:rPr>
          <w:rFonts w:ascii="Times New Roman" w:hAnsi="Times New Roman" w:cs="Times New Roman"/>
          <w:color w:val="000000" w:themeColor="text1"/>
        </w:rPr>
      </w:pPr>
      <w:r w:rsidRPr="00317DC4">
        <w:rPr>
          <w:rFonts w:ascii="Times New Roman" w:hAnsi="Times New Roman" w:cs="Times New Roman"/>
          <w:color w:val="000000" w:themeColor="text1"/>
        </w:rPr>
        <w:t xml:space="preserve">Moderná spoločnosť preto musí uznávať aj starostlivosť o ťažko zdravotne postihnutých ľudí ako formu riadnej práce a prijímať opatrenia, aby výkon tejto práce zabezpečoval minimálne základný  životný štandard tým, ktorí starostlivosť poskytujú svojim blízkym a primeraný tým, ktorí ju poskytujú ostatným ťažko zdravotne postihnutým osobám. </w:t>
      </w:r>
    </w:p>
    <w:p w14:paraId="117C898D" w14:textId="77777777" w:rsidR="00317DC4" w:rsidRPr="00317DC4" w:rsidRDefault="00317DC4" w:rsidP="00317DC4">
      <w:pPr>
        <w:ind w:firstLine="708"/>
        <w:jc w:val="both"/>
        <w:rPr>
          <w:rFonts w:ascii="Times New Roman" w:hAnsi="Times New Roman" w:cs="Times New Roman"/>
          <w:color w:val="000000" w:themeColor="text1"/>
        </w:rPr>
      </w:pPr>
      <w:r w:rsidRPr="00317DC4">
        <w:rPr>
          <w:rFonts w:ascii="Times New Roman" w:hAnsi="Times New Roman" w:cs="Times New Roman"/>
          <w:color w:val="000000" w:themeColor="text1"/>
        </w:rPr>
        <w:t xml:space="preserve">Nástrojom na zabezpečenie spoločensky minimálne akceptovateľného príjmu za výkon práce je minimálna mzda. Ak teda aj starostlivosť o zdravotne ťažko postihnutých ľudí vykonávanú v inej forme, než je pracovnoprávny či obdobný vzťah, považujeme za prácu, musíme zabezpečiť, aby sa aj na jej odmeňovanie vzťahovali minimálne štandardy naviazané na minimálnu mzdu. </w:t>
      </w:r>
    </w:p>
    <w:p w14:paraId="7C20FAA2" w14:textId="71B5AA2E" w:rsidR="00EF0811" w:rsidRDefault="00317DC4" w:rsidP="00317DC4">
      <w:pPr>
        <w:ind w:firstLine="708"/>
        <w:jc w:val="both"/>
        <w:rPr>
          <w:rFonts w:ascii="Times New Roman" w:hAnsi="Times New Roman" w:cs="Times New Roman"/>
          <w:color w:val="000000" w:themeColor="text1"/>
        </w:rPr>
      </w:pPr>
      <w:r w:rsidRPr="00317DC4">
        <w:rPr>
          <w:rFonts w:ascii="Times New Roman" w:hAnsi="Times New Roman" w:cs="Times New Roman"/>
          <w:color w:val="000000" w:themeColor="text1"/>
        </w:rPr>
        <w:t xml:space="preserve">Tento návrh preto formalizuje v podobe zákonných ustanovení zámer, aby bola výška odmeňovania za opatrovanie a za osobnú asistenciu garantovaná zákonom bez ohľadu na politickú situáciu v krajine. </w:t>
      </w:r>
      <w:r w:rsidR="00C323C4">
        <w:rPr>
          <w:rFonts w:ascii="Times New Roman" w:hAnsi="Times New Roman" w:cs="Times New Roman"/>
          <w:color w:val="000000" w:themeColor="text1"/>
        </w:rPr>
        <w:t xml:space="preserve"> </w:t>
      </w:r>
      <w:r w:rsidR="00433141">
        <w:rPr>
          <w:rFonts w:ascii="Times New Roman" w:hAnsi="Times New Roman" w:cs="Times New Roman"/>
        </w:rPr>
        <w:t xml:space="preserve"> </w:t>
      </w:r>
    </w:p>
    <w:p w14:paraId="183C1982" w14:textId="77777777" w:rsidR="007270FB" w:rsidRPr="00D60773" w:rsidRDefault="00706D76" w:rsidP="00706D76">
      <w:pPr>
        <w:spacing w:before="120" w:line="276" w:lineRule="auto"/>
        <w:ind w:firstLine="709"/>
        <w:jc w:val="both"/>
        <w:rPr>
          <w:rFonts w:ascii="Times New Roman" w:hAnsi="Times New Roman" w:cs="Times New Roman"/>
          <w:color w:val="000000" w:themeColor="text1"/>
        </w:rPr>
      </w:pPr>
      <w:r w:rsidRPr="00D60773">
        <w:rPr>
          <w:rFonts w:ascii="Times New Roman" w:hAnsi="Times New Roman" w:cs="Times New Roman"/>
          <w:color w:val="000000" w:themeColor="text1"/>
        </w:rPr>
        <w:t>Návrh zákona je v súlade s Ústavou Slovenskej republiky, ústavnými zákonmi a ostatnými všeobecne záväznými právnymi predpismi Slovenskej republiky, medzinárodnými zmluvami a inými medzinárodnými dokumentmi, ktorými je Slovenská republika viazaná, ako aj s právom Európskej únie.</w:t>
      </w:r>
    </w:p>
    <w:p w14:paraId="54AB3F0E" w14:textId="5B1A0FDF" w:rsidR="004C5139" w:rsidRDefault="004C5139" w:rsidP="00706D76">
      <w:pPr>
        <w:jc w:val="both"/>
        <w:rPr>
          <w:rFonts w:ascii="Times New Roman" w:hAnsi="Times New Roman" w:cs="Times New Roman"/>
          <w:b/>
          <w:bCs/>
          <w:color w:val="000000" w:themeColor="text1"/>
        </w:rPr>
      </w:pPr>
    </w:p>
    <w:p w14:paraId="11DFD620" w14:textId="77777777" w:rsidR="00C323C4" w:rsidRPr="00D60773" w:rsidRDefault="00C323C4" w:rsidP="00706D76">
      <w:pPr>
        <w:jc w:val="both"/>
        <w:rPr>
          <w:rFonts w:ascii="Times New Roman" w:hAnsi="Times New Roman" w:cs="Times New Roman"/>
          <w:b/>
          <w:bCs/>
          <w:color w:val="000000" w:themeColor="text1"/>
        </w:rPr>
      </w:pPr>
    </w:p>
    <w:p w14:paraId="489EEA15" w14:textId="11FC5FB4" w:rsidR="00BE2399" w:rsidRPr="00D60773" w:rsidRDefault="00C323C4" w:rsidP="00706D76">
      <w:pPr>
        <w:rPr>
          <w:rFonts w:ascii="Times New Roman" w:eastAsia="Times New Roman" w:hAnsi="Times New Roman" w:cs="Times New Roman"/>
          <w:b/>
          <w:bCs/>
          <w:color w:val="000000" w:themeColor="text1"/>
          <w:lang w:eastAsia="sk-SK"/>
        </w:rPr>
      </w:pPr>
      <w:r>
        <w:rPr>
          <w:rFonts w:ascii="Times New Roman" w:hAnsi="Times New Roman" w:cs="Times New Roman"/>
          <w:b/>
          <w:bCs/>
          <w:color w:val="000000" w:themeColor="text1"/>
        </w:rPr>
        <w:t xml:space="preserve">B. </w:t>
      </w:r>
      <w:r w:rsidR="00BE2399" w:rsidRPr="00D60773">
        <w:rPr>
          <w:rFonts w:ascii="Times New Roman" w:hAnsi="Times New Roman" w:cs="Times New Roman"/>
          <w:b/>
          <w:bCs/>
          <w:color w:val="000000" w:themeColor="text1"/>
        </w:rPr>
        <w:t xml:space="preserve">Osobitná časť </w:t>
      </w:r>
    </w:p>
    <w:p w14:paraId="1386F3FC" w14:textId="77777777" w:rsidR="008D7E9B" w:rsidRPr="00C323C4" w:rsidRDefault="008D7E9B" w:rsidP="008D7E9B">
      <w:pPr>
        <w:jc w:val="both"/>
        <w:rPr>
          <w:rFonts w:ascii="Times New Roman" w:hAnsi="Times New Roman" w:cs="Times New Roman"/>
          <w:b/>
          <w:bCs/>
          <w:color w:val="000000" w:themeColor="text1"/>
        </w:rPr>
      </w:pPr>
    </w:p>
    <w:p w14:paraId="71673004" w14:textId="4345FB24" w:rsidR="00C323C4" w:rsidRPr="00C323C4" w:rsidRDefault="00C323C4" w:rsidP="00C323C4">
      <w:pPr>
        <w:jc w:val="both"/>
        <w:rPr>
          <w:rFonts w:ascii="Times New Roman" w:hAnsi="Times New Roman" w:cs="Times New Roman"/>
          <w:b/>
          <w:bCs/>
          <w:color w:val="000000" w:themeColor="text1"/>
        </w:rPr>
      </w:pPr>
      <w:r w:rsidRPr="00C323C4">
        <w:rPr>
          <w:rFonts w:ascii="Times New Roman" w:hAnsi="Times New Roman" w:cs="Times New Roman"/>
          <w:b/>
          <w:bCs/>
          <w:color w:val="000000" w:themeColor="text1"/>
        </w:rPr>
        <w:t>K Čl. I</w:t>
      </w:r>
    </w:p>
    <w:p w14:paraId="6EC0691F" w14:textId="77777777" w:rsidR="00C323C4" w:rsidRPr="00C323C4" w:rsidRDefault="00C323C4" w:rsidP="00C323C4">
      <w:pPr>
        <w:ind w:firstLine="708"/>
        <w:jc w:val="both"/>
        <w:rPr>
          <w:rFonts w:ascii="Times New Roman" w:hAnsi="Times New Roman" w:cs="Times New Roman"/>
          <w:color w:val="000000" w:themeColor="text1"/>
        </w:rPr>
      </w:pPr>
    </w:p>
    <w:p w14:paraId="1EA9F37B" w14:textId="668DAA51" w:rsidR="00C323C4" w:rsidRDefault="00C323C4" w:rsidP="00C323C4">
      <w:pPr>
        <w:jc w:val="both"/>
        <w:rPr>
          <w:rFonts w:ascii="Times New Roman" w:hAnsi="Times New Roman" w:cs="Times New Roman"/>
          <w:color w:val="000000" w:themeColor="text1"/>
        </w:rPr>
      </w:pPr>
      <w:r w:rsidRPr="00C323C4">
        <w:rPr>
          <w:rFonts w:ascii="Times New Roman" w:hAnsi="Times New Roman" w:cs="Times New Roman"/>
          <w:color w:val="000000" w:themeColor="text1"/>
        </w:rPr>
        <w:t>K bodu 1.</w:t>
      </w:r>
    </w:p>
    <w:p w14:paraId="63CBE088" w14:textId="77777777" w:rsidR="00C323C4" w:rsidRPr="00C323C4" w:rsidRDefault="00C323C4" w:rsidP="00C323C4">
      <w:pPr>
        <w:ind w:firstLine="708"/>
        <w:jc w:val="both"/>
        <w:rPr>
          <w:rFonts w:ascii="Times New Roman" w:hAnsi="Times New Roman" w:cs="Times New Roman"/>
          <w:color w:val="000000" w:themeColor="text1"/>
        </w:rPr>
      </w:pPr>
    </w:p>
    <w:p w14:paraId="78EE6A0E" w14:textId="615386C2" w:rsidR="00C323C4" w:rsidRDefault="00317DC4" w:rsidP="00C323C4">
      <w:pPr>
        <w:jc w:val="both"/>
        <w:rPr>
          <w:rFonts w:ascii="Times New Roman" w:hAnsi="Times New Roman" w:cs="Times New Roman"/>
          <w:color w:val="000000" w:themeColor="text1"/>
        </w:rPr>
      </w:pPr>
      <w:r w:rsidRPr="00317DC4">
        <w:rPr>
          <w:rFonts w:ascii="Times New Roman" w:hAnsi="Times New Roman" w:cs="Times New Roman"/>
          <w:color w:val="000000" w:themeColor="text1"/>
        </w:rPr>
        <w:t xml:space="preserve">Výška hodinovej sadzby pri odmeňovaní poskytovania osobnej asistencie vychádza z výšky minimálnej mzdy za každú hodinu odpracovanú zamestnancom (tzv. hodinovej minimálnej </w:t>
      </w:r>
      <w:r w:rsidRPr="00317DC4">
        <w:rPr>
          <w:rFonts w:ascii="Times New Roman" w:hAnsi="Times New Roman" w:cs="Times New Roman"/>
          <w:color w:val="000000" w:themeColor="text1"/>
        </w:rPr>
        <w:lastRenderedPageBreak/>
        <w:t>mzdy). Uplatňuje sa jej 1,4-násobok z dôvodu, že takáto výška minimálnej mzdy prislúcha k 3. stupňu minimálneho mzdového nároku zamestnanca podľa § 120 ods. 4 Zákonníka práce. Náročnosť vykonávanej práce pri poskytovaní osobnej asistencie pritom zodpovedá opisu 3. stupňa náročnosti práce v zmysle prílohy č. 1 k zákonu č. 311/2001 Z. z. Zákonníka práce v znení neskorších predpisov. V tejto súvislosti je potrebné uviesť, že príjem za poskytovanie osobnej asistencie sa podľa § 6 ods. 2 písm. b) zákona o dani z príjmov považuje za tzv. aktívny príjem, z ktorého osobnému asistentovi vzniká daňová povinnosť a takýto daňovník je povinný požiadať správcu dane o registráciu (pridelenie DIČ). Navyše, osobný asistent nemá príbuzenský vzťah k osobe s ŤZP, ktorej asistenciu poskytuje, takže ide výlučne o pracovnoprávny vzťah bez prepojenia na povinnosti v oblasti starostlivosti podľa zákona o rodine. Pri určení výšky hodinovej sadzby za osobnú asistenciu teda berie zákonodarca do úvahy tieto skutočnosti, odlišujúce osobnú asistenciu a opatrovanie.</w:t>
      </w:r>
      <w:r w:rsidR="00C323C4" w:rsidRPr="00C323C4">
        <w:rPr>
          <w:rFonts w:ascii="Times New Roman" w:hAnsi="Times New Roman" w:cs="Times New Roman"/>
          <w:color w:val="000000" w:themeColor="text1"/>
        </w:rPr>
        <w:t xml:space="preserve"> </w:t>
      </w:r>
    </w:p>
    <w:p w14:paraId="66DE94B8" w14:textId="77777777" w:rsidR="00C323C4" w:rsidRPr="00C323C4" w:rsidRDefault="00C323C4" w:rsidP="00C323C4">
      <w:pPr>
        <w:ind w:firstLine="708"/>
        <w:jc w:val="both"/>
        <w:rPr>
          <w:rFonts w:ascii="Times New Roman" w:hAnsi="Times New Roman" w:cs="Times New Roman"/>
          <w:color w:val="000000" w:themeColor="text1"/>
        </w:rPr>
      </w:pPr>
    </w:p>
    <w:p w14:paraId="6D679A03" w14:textId="1EE28396" w:rsidR="00C323C4" w:rsidRDefault="00C323C4" w:rsidP="00C323C4">
      <w:pPr>
        <w:jc w:val="both"/>
        <w:rPr>
          <w:rFonts w:ascii="Times New Roman" w:hAnsi="Times New Roman" w:cs="Times New Roman"/>
          <w:color w:val="000000" w:themeColor="text1"/>
        </w:rPr>
      </w:pPr>
      <w:r w:rsidRPr="00C323C4">
        <w:rPr>
          <w:rFonts w:ascii="Times New Roman" w:hAnsi="Times New Roman" w:cs="Times New Roman"/>
          <w:color w:val="000000" w:themeColor="text1"/>
        </w:rPr>
        <w:t xml:space="preserve">K bodu 2. </w:t>
      </w:r>
    </w:p>
    <w:p w14:paraId="72DED05B" w14:textId="77777777" w:rsidR="00C323C4" w:rsidRPr="00C323C4" w:rsidRDefault="00C323C4" w:rsidP="00C323C4">
      <w:pPr>
        <w:jc w:val="both"/>
        <w:rPr>
          <w:rFonts w:ascii="Times New Roman" w:hAnsi="Times New Roman" w:cs="Times New Roman"/>
          <w:color w:val="000000" w:themeColor="text1"/>
        </w:rPr>
      </w:pPr>
    </w:p>
    <w:p w14:paraId="3A8C59E7" w14:textId="2DA6F927" w:rsidR="00C323C4" w:rsidRDefault="00317DC4" w:rsidP="00C323C4">
      <w:pPr>
        <w:jc w:val="both"/>
        <w:rPr>
          <w:rFonts w:ascii="Times New Roman" w:hAnsi="Times New Roman" w:cs="Times New Roman"/>
          <w:color w:val="000000" w:themeColor="text1"/>
        </w:rPr>
      </w:pPr>
      <w:r w:rsidRPr="00317DC4">
        <w:rPr>
          <w:rFonts w:ascii="Times New Roman" w:hAnsi="Times New Roman" w:cs="Times New Roman"/>
          <w:color w:val="000000" w:themeColor="text1"/>
        </w:rPr>
        <w:t>Základná výška príspevku na opatrovanie sa určuje tak, aby predstavovala výšku tzv. čistej minimálnej mzdy zamestnanca v pracovnom pomere v rozsahu ustanoveného týždenného pracovného času (na plný úväzok) (v súčasnosti 508,45 €.) Rovnako ako v prípade príspevku na osobnú asistenciu to bude v praxi znamenať, že od 1. júla do 31. decembra pôjde o aktuálnu výšku minimálnej mzdy a od 1. januára do 30. júna pôjde o výšku minimálnej mzdy za predchádzajúci kalendárny rok, nakoľko suma príspevkov podľa tohto zákona sa v zmysle jeho ustanovení prehodnocuje vždy k 1. júlu. Výška príspevku pri opatrovaní dvoch alebo viacerých fyzických osôb s ťažkým zdravotným postihnutím sa určuje ako násobok čistej minimálnej mzdy tak, aby bol zachovaný doterajší pomer medzi touto výškou a výškou príspevku pri opatrovaní jednej fyzickej osoby s ťažkým zdravotným postihnutím.</w:t>
      </w:r>
    </w:p>
    <w:p w14:paraId="7D15590B" w14:textId="77777777" w:rsidR="00C323C4" w:rsidRPr="00C323C4" w:rsidRDefault="00C323C4" w:rsidP="00C323C4">
      <w:pPr>
        <w:ind w:firstLine="708"/>
        <w:jc w:val="both"/>
        <w:rPr>
          <w:rFonts w:ascii="Times New Roman" w:hAnsi="Times New Roman" w:cs="Times New Roman"/>
          <w:color w:val="000000" w:themeColor="text1"/>
        </w:rPr>
      </w:pPr>
    </w:p>
    <w:p w14:paraId="3561D3A7" w14:textId="68EC1C1B" w:rsidR="00C323C4" w:rsidRDefault="00C323C4" w:rsidP="00C323C4">
      <w:pPr>
        <w:jc w:val="both"/>
        <w:rPr>
          <w:rFonts w:ascii="Times New Roman" w:hAnsi="Times New Roman" w:cs="Times New Roman"/>
          <w:color w:val="000000" w:themeColor="text1"/>
        </w:rPr>
      </w:pPr>
      <w:r w:rsidRPr="00C323C4">
        <w:rPr>
          <w:rFonts w:ascii="Times New Roman" w:hAnsi="Times New Roman" w:cs="Times New Roman"/>
          <w:color w:val="000000" w:themeColor="text1"/>
        </w:rPr>
        <w:t xml:space="preserve">K bodu 3. </w:t>
      </w:r>
    </w:p>
    <w:p w14:paraId="44FF2B20" w14:textId="77777777" w:rsidR="00C323C4" w:rsidRPr="00C323C4" w:rsidRDefault="00C323C4" w:rsidP="00C323C4">
      <w:pPr>
        <w:jc w:val="both"/>
        <w:rPr>
          <w:rFonts w:ascii="Times New Roman" w:hAnsi="Times New Roman" w:cs="Times New Roman"/>
          <w:color w:val="000000" w:themeColor="text1"/>
        </w:rPr>
      </w:pPr>
    </w:p>
    <w:p w14:paraId="7C713A9D" w14:textId="446592B3" w:rsidR="00C323C4" w:rsidRPr="00C323C4" w:rsidRDefault="00317DC4" w:rsidP="00317DC4">
      <w:pPr>
        <w:jc w:val="both"/>
        <w:rPr>
          <w:rFonts w:ascii="Times New Roman" w:hAnsi="Times New Roman" w:cs="Times New Roman"/>
          <w:color w:val="000000" w:themeColor="text1"/>
        </w:rPr>
      </w:pPr>
      <w:r w:rsidRPr="00317DC4">
        <w:rPr>
          <w:rFonts w:ascii="Times New Roman" w:hAnsi="Times New Roman" w:cs="Times New Roman"/>
          <w:color w:val="000000" w:themeColor="text1"/>
        </w:rPr>
        <w:t>Nové znenie § 40 ods. 8 zabezpečuje, aby bol zachovaný doterajší pomer medzi výškou príspevku na opatrovanie pri opatrovaní jednej fyzickej osoby s ťažkým zdravotným postihnutím a ďalšími kategóriami definovanými v písm. a) až e).</w:t>
      </w:r>
    </w:p>
    <w:p w14:paraId="23D59923" w14:textId="0C263302" w:rsidR="00C323C4" w:rsidRDefault="00C323C4" w:rsidP="00C323C4">
      <w:pPr>
        <w:jc w:val="both"/>
        <w:rPr>
          <w:rFonts w:ascii="Times New Roman" w:hAnsi="Times New Roman" w:cs="Times New Roman"/>
          <w:color w:val="000000" w:themeColor="text1"/>
        </w:rPr>
      </w:pPr>
      <w:r w:rsidRPr="00C323C4">
        <w:rPr>
          <w:rFonts w:ascii="Times New Roman" w:hAnsi="Times New Roman" w:cs="Times New Roman"/>
          <w:color w:val="000000" w:themeColor="text1"/>
        </w:rPr>
        <w:t xml:space="preserve">K bodu 4. </w:t>
      </w:r>
    </w:p>
    <w:p w14:paraId="307F9909" w14:textId="77777777" w:rsidR="00C323C4" w:rsidRPr="00C323C4" w:rsidRDefault="00C323C4" w:rsidP="00C323C4">
      <w:pPr>
        <w:jc w:val="both"/>
        <w:rPr>
          <w:rFonts w:ascii="Times New Roman" w:hAnsi="Times New Roman" w:cs="Times New Roman"/>
          <w:color w:val="000000" w:themeColor="text1"/>
        </w:rPr>
      </w:pPr>
    </w:p>
    <w:p w14:paraId="54609E0B" w14:textId="77777777" w:rsidR="00C323C4" w:rsidRPr="00C323C4" w:rsidRDefault="00C323C4" w:rsidP="00C323C4">
      <w:pPr>
        <w:jc w:val="both"/>
        <w:rPr>
          <w:rFonts w:ascii="Times New Roman" w:hAnsi="Times New Roman" w:cs="Times New Roman"/>
          <w:color w:val="000000" w:themeColor="text1"/>
        </w:rPr>
      </w:pPr>
      <w:r w:rsidRPr="00C323C4">
        <w:rPr>
          <w:rFonts w:ascii="Times New Roman" w:hAnsi="Times New Roman" w:cs="Times New Roman"/>
          <w:color w:val="000000" w:themeColor="text1"/>
        </w:rPr>
        <w:t xml:space="preserve">Ods. 7. a 8. v paragrafe 42 strácajú zmysel zavedením nového mechanizmu určovania výšky príspevku na osobnú asistenciu a príspevku na opatrovanie, resp. by boli kontraproduktívne. </w:t>
      </w:r>
    </w:p>
    <w:p w14:paraId="199BED08" w14:textId="77777777" w:rsidR="00C323C4" w:rsidRPr="00C323C4" w:rsidRDefault="00C323C4" w:rsidP="00C323C4">
      <w:pPr>
        <w:ind w:firstLine="708"/>
        <w:jc w:val="both"/>
        <w:rPr>
          <w:rFonts w:ascii="Times New Roman" w:hAnsi="Times New Roman" w:cs="Times New Roman"/>
          <w:color w:val="000000" w:themeColor="text1"/>
        </w:rPr>
      </w:pPr>
    </w:p>
    <w:p w14:paraId="0DE10801" w14:textId="2A1EC8C9" w:rsidR="00C323C4" w:rsidRPr="00C323C4" w:rsidRDefault="00C323C4" w:rsidP="00C323C4">
      <w:pPr>
        <w:jc w:val="both"/>
        <w:rPr>
          <w:rFonts w:ascii="Times New Roman" w:hAnsi="Times New Roman" w:cs="Times New Roman"/>
          <w:b/>
          <w:bCs/>
          <w:color w:val="000000" w:themeColor="text1"/>
        </w:rPr>
      </w:pPr>
      <w:r w:rsidRPr="00C323C4">
        <w:rPr>
          <w:rFonts w:ascii="Times New Roman" w:hAnsi="Times New Roman" w:cs="Times New Roman"/>
          <w:b/>
          <w:bCs/>
          <w:color w:val="000000" w:themeColor="text1"/>
        </w:rPr>
        <w:t>K čl. II</w:t>
      </w:r>
    </w:p>
    <w:p w14:paraId="7A098AAD" w14:textId="77777777" w:rsidR="00C323C4" w:rsidRPr="00C323C4" w:rsidRDefault="00C323C4" w:rsidP="00C323C4">
      <w:pPr>
        <w:jc w:val="both"/>
        <w:rPr>
          <w:rFonts w:ascii="Times New Roman" w:hAnsi="Times New Roman" w:cs="Times New Roman"/>
          <w:color w:val="000000" w:themeColor="text1"/>
        </w:rPr>
      </w:pPr>
    </w:p>
    <w:p w14:paraId="0B8586B3" w14:textId="0CFCB568" w:rsidR="00316A26" w:rsidRPr="00B86ECF" w:rsidRDefault="00C323C4" w:rsidP="00C323C4">
      <w:pPr>
        <w:jc w:val="both"/>
        <w:rPr>
          <w:rFonts w:ascii="Times New Roman" w:hAnsi="Times New Roman" w:cs="Times New Roman"/>
          <w:color w:val="000000" w:themeColor="text1"/>
        </w:rPr>
      </w:pPr>
      <w:r w:rsidRPr="00C323C4">
        <w:rPr>
          <w:rFonts w:ascii="Times New Roman" w:hAnsi="Times New Roman" w:cs="Times New Roman"/>
          <w:color w:val="000000" w:themeColor="text1"/>
        </w:rPr>
        <w:t>Účinnosť sa navrhuje k 1. júlu 2021, aby podľa nového mechanizmu boli určené výšky oboch príspevkov už pre druhú polovicu roka 2021.</w:t>
      </w:r>
      <w:r w:rsidR="00316A26">
        <w:rPr>
          <w:rFonts w:ascii="Times New Roman" w:hAnsi="Times New Roman" w:cs="Times New Roman"/>
          <w:b/>
          <w:bCs/>
          <w:caps/>
          <w:color w:val="000000" w:themeColor="text1"/>
          <w:spacing w:val="30"/>
        </w:rPr>
        <w:br w:type="page"/>
      </w:r>
    </w:p>
    <w:p w14:paraId="1C8D37F4" w14:textId="77777777" w:rsidR="00B83154" w:rsidRPr="00D60773" w:rsidRDefault="00B83154" w:rsidP="00B83154">
      <w:pPr>
        <w:spacing w:before="120" w:line="276" w:lineRule="auto"/>
        <w:jc w:val="center"/>
        <w:rPr>
          <w:rFonts w:ascii="Times New Roman" w:hAnsi="Times New Roman" w:cs="Times New Roman"/>
          <w:b/>
          <w:bCs/>
          <w:caps/>
          <w:color w:val="000000" w:themeColor="text1"/>
          <w:spacing w:val="30"/>
        </w:rPr>
      </w:pPr>
      <w:r w:rsidRPr="00D60773">
        <w:rPr>
          <w:rFonts w:ascii="Times New Roman" w:hAnsi="Times New Roman" w:cs="Times New Roman"/>
          <w:b/>
          <w:bCs/>
          <w:caps/>
          <w:color w:val="000000" w:themeColor="text1"/>
          <w:spacing w:val="30"/>
        </w:rPr>
        <w:lastRenderedPageBreak/>
        <w:t>DOLOŽKA ZLUČITEĽNOSTI</w:t>
      </w:r>
    </w:p>
    <w:p w14:paraId="70A84495" w14:textId="77777777" w:rsidR="00B83154" w:rsidRPr="00D60773" w:rsidRDefault="00B83154" w:rsidP="00B83154">
      <w:pPr>
        <w:pStyle w:val="Normlnywebov"/>
        <w:spacing w:before="120" w:after="0" w:line="276" w:lineRule="auto"/>
        <w:jc w:val="center"/>
        <w:rPr>
          <w:color w:val="000000" w:themeColor="text1"/>
        </w:rPr>
      </w:pPr>
      <w:r w:rsidRPr="00D60773">
        <w:rPr>
          <w:b/>
          <w:bCs/>
          <w:color w:val="000000" w:themeColor="text1"/>
        </w:rPr>
        <w:t>návrhu zákona</w:t>
      </w:r>
      <w:r w:rsidRPr="00D60773">
        <w:rPr>
          <w:color w:val="000000" w:themeColor="text1"/>
        </w:rPr>
        <w:t xml:space="preserve"> </w:t>
      </w:r>
      <w:r w:rsidRPr="00D60773">
        <w:rPr>
          <w:b/>
          <w:bCs/>
          <w:color w:val="000000" w:themeColor="text1"/>
        </w:rPr>
        <w:t>s právom Európskej únie</w:t>
      </w:r>
    </w:p>
    <w:p w14:paraId="025C0A22" w14:textId="77777777" w:rsidR="00B83154" w:rsidRPr="00D60773" w:rsidRDefault="00B83154" w:rsidP="00B83154">
      <w:pPr>
        <w:pStyle w:val="Normlnywebov"/>
        <w:spacing w:before="120" w:after="0" w:line="276" w:lineRule="auto"/>
        <w:jc w:val="both"/>
        <w:rPr>
          <w:color w:val="000000" w:themeColor="text1"/>
        </w:rPr>
      </w:pPr>
      <w:r w:rsidRPr="00D60773">
        <w:rPr>
          <w:color w:val="000000" w:themeColor="text1"/>
        </w:rPr>
        <w:t> </w:t>
      </w:r>
    </w:p>
    <w:p w14:paraId="1FFD7386" w14:textId="77777777" w:rsidR="00B83154" w:rsidRPr="00D60773" w:rsidRDefault="00B83154" w:rsidP="00B83154">
      <w:pPr>
        <w:pStyle w:val="Normlnywebov"/>
        <w:spacing w:before="120" w:after="0" w:line="276" w:lineRule="auto"/>
        <w:jc w:val="both"/>
        <w:rPr>
          <w:strike/>
          <w:color w:val="000000" w:themeColor="text1"/>
        </w:rPr>
      </w:pPr>
      <w:r w:rsidRPr="00D60773">
        <w:rPr>
          <w:b/>
          <w:bCs/>
          <w:color w:val="000000" w:themeColor="text1"/>
        </w:rPr>
        <w:t>1. Navrhovateľ zákona:</w:t>
      </w:r>
      <w:r w:rsidRPr="00D60773">
        <w:rPr>
          <w:color w:val="000000" w:themeColor="text1"/>
        </w:rPr>
        <w:t xml:space="preserve"> skupina poslancov Národnej rady Slovenskej republiky</w:t>
      </w:r>
    </w:p>
    <w:p w14:paraId="5945A5DC" w14:textId="1509D71E" w:rsidR="00B83154" w:rsidRPr="00D60773" w:rsidRDefault="00B83154" w:rsidP="00B83154">
      <w:pPr>
        <w:pStyle w:val="Normlnywebov"/>
        <w:spacing w:line="276" w:lineRule="auto"/>
        <w:jc w:val="both"/>
        <w:rPr>
          <w:bCs/>
          <w:color w:val="000000" w:themeColor="text1"/>
        </w:rPr>
      </w:pPr>
      <w:r w:rsidRPr="00D60773">
        <w:rPr>
          <w:b/>
          <w:color w:val="000000" w:themeColor="text1"/>
        </w:rPr>
        <w:t>2. Názov návrhu zákona</w:t>
      </w:r>
      <w:r w:rsidRPr="00D60773">
        <w:rPr>
          <w:color w:val="000000" w:themeColor="text1"/>
        </w:rPr>
        <w:t xml:space="preserve">: </w:t>
      </w:r>
      <w:r w:rsidR="00C323C4" w:rsidRPr="00394732">
        <w:rPr>
          <w:rFonts w:cstheme="minorHAnsi"/>
        </w:rPr>
        <w:t>Návrh</w:t>
      </w:r>
      <w:r w:rsidR="00C323C4" w:rsidRPr="00394732">
        <w:rPr>
          <w:rFonts w:cstheme="minorHAnsi"/>
          <w:spacing w:val="27"/>
        </w:rPr>
        <w:t xml:space="preserve"> </w:t>
      </w:r>
      <w:r w:rsidR="00C323C4" w:rsidRPr="00394732">
        <w:rPr>
          <w:rFonts w:cstheme="minorHAnsi"/>
        </w:rPr>
        <w:t>zákona,</w:t>
      </w:r>
      <w:r w:rsidR="00C323C4" w:rsidRPr="00394732">
        <w:rPr>
          <w:rFonts w:cstheme="minorHAnsi"/>
          <w:spacing w:val="27"/>
        </w:rPr>
        <w:t xml:space="preserve"> </w:t>
      </w:r>
      <w:r w:rsidR="00C323C4" w:rsidRPr="00394732">
        <w:rPr>
          <w:rFonts w:cstheme="minorHAnsi"/>
        </w:rPr>
        <w:t>ktorým sa mení a dopĺňa zákon č. 447/2008 Z. z. o peňažných príspevkoch na kompenzáciu ťažkého zdravotného postihnutia v znení neskorších predpisov</w:t>
      </w:r>
      <w:r w:rsidR="00C323C4">
        <w:rPr>
          <w:rFonts w:cstheme="minorHAnsi"/>
        </w:rPr>
        <w:t>.</w:t>
      </w:r>
    </w:p>
    <w:p w14:paraId="5FF8D305" w14:textId="77777777" w:rsidR="00B83154" w:rsidRPr="00D60773" w:rsidRDefault="00B83154" w:rsidP="00B83154">
      <w:pPr>
        <w:pStyle w:val="Normlnywebov"/>
        <w:spacing w:before="120" w:after="0" w:line="276" w:lineRule="auto"/>
        <w:jc w:val="both"/>
        <w:rPr>
          <w:b/>
          <w:bCs/>
          <w:color w:val="000000" w:themeColor="text1"/>
        </w:rPr>
      </w:pPr>
      <w:r w:rsidRPr="00D60773">
        <w:rPr>
          <w:b/>
          <w:bCs/>
          <w:color w:val="000000" w:themeColor="text1"/>
        </w:rPr>
        <w:t>3. Predmet návrhu zákona:</w:t>
      </w:r>
    </w:p>
    <w:p w14:paraId="67C44872" w14:textId="77777777" w:rsidR="00B83154" w:rsidRPr="00D60773" w:rsidRDefault="00B83154" w:rsidP="00B83154">
      <w:pPr>
        <w:pStyle w:val="Normlnywebov"/>
        <w:numPr>
          <w:ilvl w:val="0"/>
          <w:numId w:val="6"/>
        </w:numPr>
        <w:suppressAutoHyphens/>
        <w:spacing w:before="120" w:beforeAutospacing="0" w:after="0" w:afterAutospacing="0" w:line="276" w:lineRule="auto"/>
        <w:jc w:val="both"/>
        <w:rPr>
          <w:bCs/>
          <w:color w:val="000000" w:themeColor="text1"/>
        </w:rPr>
      </w:pPr>
      <w:r w:rsidRPr="00D60773">
        <w:rPr>
          <w:bCs/>
          <w:color w:val="000000" w:themeColor="text1"/>
        </w:rPr>
        <w:t>nie je upravený v primárnom práve Európskej únie,</w:t>
      </w:r>
    </w:p>
    <w:p w14:paraId="701C3140" w14:textId="77777777" w:rsidR="00B83154" w:rsidRPr="00D60773" w:rsidRDefault="00B83154" w:rsidP="00B83154">
      <w:pPr>
        <w:pStyle w:val="Normlnywebov"/>
        <w:numPr>
          <w:ilvl w:val="0"/>
          <w:numId w:val="6"/>
        </w:numPr>
        <w:suppressAutoHyphens/>
        <w:spacing w:before="120" w:beforeAutospacing="0" w:after="0" w:afterAutospacing="0" w:line="276" w:lineRule="auto"/>
        <w:jc w:val="both"/>
        <w:rPr>
          <w:bCs/>
          <w:color w:val="000000" w:themeColor="text1"/>
        </w:rPr>
      </w:pPr>
      <w:r w:rsidRPr="00D60773">
        <w:rPr>
          <w:bCs/>
          <w:color w:val="000000" w:themeColor="text1"/>
        </w:rPr>
        <w:t>nie je upravený v sekundárnom práve Európskej únie,</w:t>
      </w:r>
    </w:p>
    <w:p w14:paraId="049A5D6A" w14:textId="77777777" w:rsidR="00B83154" w:rsidRPr="00D60773" w:rsidRDefault="00B83154" w:rsidP="00B83154">
      <w:pPr>
        <w:pStyle w:val="Normlnywebov"/>
        <w:numPr>
          <w:ilvl w:val="0"/>
          <w:numId w:val="6"/>
        </w:numPr>
        <w:suppressAutoHyphens/>
        <w:spacing w:before="120" w:beforeAutospacing="0" w:after="0" w:afterAutospacing="0" w:line="276" w:lineRule="auto"/>
        <w:jc w:val="both"/>
        <w:rPr>
          <w:bCs/>
          <w:color w:val="000000" w:themeColor="text1"/>
        </w:rPr>
      </w:pPr>
      <w:r w:rsidRPr="00D60773">
        <w:rPr>
          <w:bCs/>
          <w:color w:val="000000" w:themeColor="text1"/>
        </w:rPr>
        <w:t>nie je obsiahnutý v judikatúre Súdneho dvora Európskej únie.</w:t>
      </w:r>
    </w:p>
    <w:p w14:paraId="30FE540C" w14:textId="77777777" w:rsidR="00B83154" w:rsidRPr="00D60773" w:rsidRDefault="00B83154" w:rsidP="00B83154">
      <w:pPr>
        <w:pStyle w:val="Normlnywebov"/>
        <w:suppressAutoHyphens/>
        <w:spacing w:before="120" w:beforeAutospacing="0" w:after="0" w:afterAutospacing="0" w:line="276" w:lineRule="auto"/>
        <w:jc w:val="both"/>
        <w:rPr>
          <w:bCs/>
          <w:color w:val="000000" w:themeColor="text1"/>
        </w:rPr>
      </w:pPr>
    </w:p>
    <w:p w14:paraId="27EB0E1A" w14:textId="4097B9C9" w:rsidR="00B83154" w:rsidRPr="00D60773" w:rsidRDefault="00B83154" w:rsidP="00B83154">
      <w:pPr>
        <w:jc w:val="both"/>
        <w:rPr>
          <w:rFonts w:ascii="Times New Roman" w:hAnsi="Times New Roman" w:cs="Times New Roman"/>
          <w:b/>
          <w:bCs/>
          <w:color w:val="000000" w:themeColor="text1"/>
        </w:rPr>
      </w:pPr>
      <w:r w:rsidRPr="00D60773">
        <w:rPr>
          <w:rFonts w:ascii="Times New Roman" w:hAnsi="Times New Roman" w:cs="Times New Roman"/>
          <w:b/>
          <w:bCs/>
          <w:color w:val="000000" w:themeColor="text1"/>
        </w:rPr>
        <w:t>Vzhľadom na to, že predmet návrhu zákona nie je upravený v práve Európskej únie, je bezpredmetné vyjadrovať sa k bodom 4. a 5.</w:t>
      </w:r>
      <w:r w:rsidR="00E85017">
        <w:rPr>
          <w:rFonts w:ascii="Times New Roman" w:hAnsi="Times New Roman" w:cs="Times New Roman"/>
          <w:b/>
          <w:bCs/>
          <w:color w:val="000000" w:themeColor="text1"/>
        </w:rPr>
        <w:t xml:space="preserve"> </w:t>
      </w:r>
    </w:p>
    <w:p w14:paraId="7F88C8B1" w14:textId="77777777" w:rsidR="00B83154" w:rsidRPr="00D60773" w:rsidRDefault="00B83154" w:rsidP="00B83154">
      <w:pPr>
        <w:jc w:val="both"/>
        <w:rPr>
          <w:rFonts w:ascii="Times New Roman" w:hAnsi="Times New Roman" w:cs="Times New Roman"/>
          <w:b/>
          <w:bCs/>
          <w:color w:val="000000" w:themeColor="text1"/>
        </w:rPr>
      </w:pPr>
    </w:p>
    <w:p w14:paraId="3D8838EB" w14:textId="77777777" w:rsidR="00B83154" w:rsidRPr="00D60773" w:rsidRDefault="00B83154" w:rsidP="00B83154">
      <w:pPr>
        <w:jc w:val="both"/>
        <w:rPr>
          <w:rFonts w:ascii="Times New Roman" w:hAnsi="Times New Roman" w:cs="Times New Roman"/>
          <w:b/>
          <w:bCs/>
          <w:color w:val="000000" w:themeColor="text1"/>
        </w:rPr>
      </w:pPr>
    </w:p>
    <w:p w14:paraId="2DFC6AB6" w14:textId="77777777" w:rsidR="00B83154" w:rsidRPr="00D60773" w:rsidRDefault="00B83154" w:rsidP="00B83154">
      <w:pPr>
        <w:jc w:val="both"/>
        <w:rPr>
          <w:rFonts w:ascii="Times New Roman" w:hAnsi="Times New Roman" w:cs="Times New Roman"/>
          <w:b/>
          <w:bCs/>
          <w:color w:val="000000" w:themeColor="text1"/>
        </w:rPr>
      </w:pPr>
    </w:p>
    <w:p w14:paraId="47968BB4" w14:textId="77777777" w:rsidR="00B83154" w:rsidRPr="00D60773" w:rsidRDefault="00B83154" w:rsidP="00B83154">
      <w:pPr>
        <w:jc w:val="both"/>
        <w:rPr>
          <w:rFonts w:ascii="Times New Roman" w:hAnsi="Times New Roman" w:cs="Times New Roman"/>
          <w:b/>
          <w:bCs/>
          <w:color w:val="000000" w:themeColor="text1"/>
        </w:rPr>
      </w:pPr>
    </w:p>
    <w:p w14:paraId="757A4C15" w14:textId="77777777" w:rsidR="00B83154" w:rsidRPr="00D60773" w:rsidRDefault="00B83154" w:rsidP="00B83154">
      <w:pPr>
        <w:jc w:val="both"/>
        <w:rPr>
          <w:rFonts w:ascii="Times New Roman" w:hAnsi="Times New Roman" w:cs="Times New Roman"/>
          <w:b/>
          <w:bCs/>
          <w:color w:val="000000" w:themeColor="text1"/>
        </w:rPr>
      </w:pPr>
    </w:p>
    <w:p w14:paraId="6FC5BDB5" w14:textId="77777777" w:rsidR="00B83154" w:rsidRPr="00D60773" w:rsidRDefault="00B83154" w:rsidP="00B83154">
      <w:pPr>
        <w:jc w:val="both"/>
        <w:rPr>
          <w:rFonts w:ascii="Times New Roman" w:hAnsi="Times New Roman" w:cs="Times New Roman"/>
          <w:b/>
          <w:bCs/>
          <w:color w:val="000000" w:themeColor="text1"/>
        </w:rPr>
      </w:pPr>
    </w:p>
    <w:p w14:paraId="100BC12B" w14:textId="77777777" w:rsidR="00B83154" w:rsidRPr="00D60773" w:rsidRDefault="00B83154" w:rsidP="00B83154">
      <w:pPr>
        <w:jc w:val="both"/>
        <w:rPr>
          <w:rFonts w:ascii="Times New Roman" w:hAnsi="Times New Roman" w:cs="Times New Roman"/>
          <w:b/>
          <w:bCs/>
          <w:color w:val="000000" w:themeColor="text1"/>
        </w:rPr>
      </w:pPr>
    </w:p>
    <w:p w14:paraId="2DFE3E34" w14:textId="77777777" w:rsidR="00B83154" w:rsidRPr="00D60773" w:rsidRDefault="00B83154" w:rsidP="00B83154">
      <w:pPr>
        <w:jc w:val="both"/>
        <w:rPr>
          <w:rFonts w:ascii="Times New Roman" w:hAnsi="Times New Roman" w:cs="Times New Roman"/>
          <w:b/>
          <w:bCs/>
          <w:color w:val="000000" w:themeColor="text1"/>
        </w:rPr>
      </w:pPr>
    </w:p>
    <w:p w14:paraId="0DA5117B" w14:textId="77777777" w:rsidR="00B83154" w:rsidRPr="00D60773" w:rsidRDefault="00B83154" w:rsidP="00B83154">
      <w:pPr>
        <w:jc w:val="both"/>
        <w:rPr>
          <w:rFonts w:ascii="Times New Roman" w:hAnsi="Times New Roman" w:cs="Times New Roman"/>
          <w:b/>
          <w:bCs/>
          <w:color w:val="000000" w:themeColor="text1"/>
        </w:rPr>
      </w:pPr>
    </w:p>
    <w:p w14:paraId="109C6531" w14:textId="77777777" w:rsidR="00B83154" w:rsidRPr="00D60773" w:rsidRDefault="00B83154" w:rsidP="00B83154">
      <w:pPr>
        <w:jc w:val="both"/>
        <w:rPr>
          <w:rFonts w:ascii="Times New Roman" w:hAnsi="Times New Roman" w:cs="Times New Roman"/>
          <w:b/>
          <w:bCs/>
          <w:color w:val="000000" w:themeColor="text1"/>
        </w:rPr>
      </w:pPr>
    </w:p>
    <w:p w14:paraId="5AE2C38B" w14:textId="77777777" w:rsidR="00B83154" w:rsidRPr="00D60773" w:rsidRDefault="00B83154" w:rsidP="00B83154">
      <w:pPr>
        <w:jc w:val="both"/>
        <w:rPr>
          <w:rFonts w:ascii="Times New Roman" w:hAnsi="Times New Roman" w:cs="Times New Roman"/>
          <w:b/>
          <w:bCs/>
          <w:color w:val="000000" w:themeColor="text1"/>
        </w:rPr>
      </w:pPr>
    </w:p>
    <w:p w14:paraId="487494EC" w14:textId="77777777" w:rsidR="00B83154" w:rsidRPr="00D60773" w:rsidRDefault="00B83154" w:rsidP="00B83154">
      <w:pPr>
        <w:jc w:val="both"/>
        <w:rPr>
          <w:rFonts w:ascii="Times New Roman" w:hAnsi="Times New Roman" w:cs="Times New Roman"/>
          <w:b/>
          <w:bCs/>
          <w:color w:val="000000" w:themeColor="text1"/>
        </w:rPr>
      </w:pPr>
    </w:p>
    <w:p w14:paraId="3B81EB04" w14:textId="77777777" w:rsidR="00B83154" w:rsidRPr="00D60773" w:rsidRDefault="00B83154" w:rsidP="00B83154">
      <w:pPr>
        <w:jc w:val="both"/>
        <w:rPr>
          <w:rFonts w:ascii="Times New Roman" w:hAnsi="Times New Roman" w:cs="Times New Roman"/>
          <w:b/>
          <w:bCs/>
          <w:color w:val="000000" w:themeColor="text1"/>
        </w:rPr>
      </w:pPr>
    </w:p>
    <w:p w14:paraId="0221C4A9" w14:textId="77777777" w:rsidR="00B83154" w:rsidRPr="00D60773" w:rsidRDefault="00B83154" w:rsidP="00B83154">
      <w:pPr>
        <w:jc w:val="both"/>
        <w:rPr>
          <w:rFonts w:ascii="Times New Roman" w:hAnsi="Times New Roman" w:cs="Times New Roman"/>
          <w:b/>
          <w:bCs/>
          <w:color w:val="000000" w:themeColor="text1"/>
        </w:rPr>
      </w:pPr>
    </w:p>
    <w:p w14:paraId="64823074" w14:textId="77777777" w:rsidR="00B83154" w:rsidRPr="00D60773" w:rsidRDefault="00B83154" w:rsidP="00B83154">
      <w:pPr>
        <w:jc w:val="both"/>
        <w:rPr>
          <w:rFonts w:ascii="Times New Roman" w:hAnsi="Times New Roman" w:cs="Times New Roman"/>
          <w:b/>
          <w:bCs/>
          <w:color w:val="000000" w:themeColor="text1"/>
        </w:rPr>
      </w:pPr>
    </w:p>
    <w:p w14:paraId="7189C0A9" w14:textId="77777777" w:rsidR="00B83154" w:rsidRPr="00D60773" w:rsidRDefault="00B83154" w:rsidP="00B83154">
      <w:pPr>
        <w:jc w:val="both"/>
        <w:rPr>
          <w:rFonts w:ascii="Times New Roman" w:hAnsi="Times New Roman" w:cs="Times New Roman"/>
          <w:b/>
          <w:bCs/>
          <w:color w:val="000000" w:themeColor="text1"/>
        </w:rPr>
      </w:pPr>
    </w:p>
    <w:p w14:paraId="4CB1012A" w14:textId="77777777" w:rsidR="00B83154" w:rsidRPr="00D60773" w:rsidRDefault="00B83154" w:rsidP="00B83154">
      <w:pPr>
        <w:jc w:val="both"/>
        <w:rPr>
          <w:rFonts w:ascii="Times New Roman" w:hAnsi="Times New Roman" w:cs="Times New Roman"/>
          <w:b/>
          <w:bCs/>
          <w:color w:val="000000" w:themeColor="text1"/>
        </w:rPr>
      </w:pPr>
    </w:p>
    <w:p w14:paraId="3D868625" w14:textId="77777777" w:rsidR="00B83154" w:rsidRPr="00D60773" w:rsidRDefault="00B83154" w:rsidP="00B83154">
      <w:pPr>
        <w:jc w:val="both"/>
        <w:rPr>
          <w:rFonts w:ascii="Times New Roman" w:hAnsi="Times New Roman" w:cs="Times New Roman"/>
          <w:b/>
          <w:bCs/>
          <w:color w:val="000000" w:themeColor="text1"/>
        </w:rPr>
      </w:pPr>
    </w:p>
    <w:p w14:paraId="6CD503C5" w14:textId="77777777" w:rsidR="00B83154" w:rsidRPr="00D60773" w:rsidRDefault="00B83154" w:rsidP="00B83154">
      <w:pPr>
        <w:jc w:val="both"/>
        <w:rPr>
          <w:rFonts w:ascii="Times New Roman" w:hAnsi="Times New Roman" w:cs="Times New Roman"/>
          <w:b/>
          <w:bCs/>
          <w:color w:val="000000" w:themeColor="text1"/>
        </w:rPr>
      </w:pPr>
    </w:p>
    <w:p w14:paraId="42FE7D99" w14:textId="77777777" w:rsidR="00B83154" w:rsidRPr="00D60773" w:rsidRDefault="00B83154" w:rsidP="00B83154">
      <w:pPr>
        <w:jc w:val="both"/>
        <w:rPr>
          <w:rFonts w:ascii="Times New Roman" w:hAnsi="Times New Roman" w:cs="Times New Roman"/>
          <w:b/>
          <w:bCs/>
          <w:color w:val="000000" w:themeColor="text1"/>
        </w:rPr>
      </w:pPr>
    </w:p>
    <w:p w14:paraId="3825391D" w14:textId="77777777" w:rsidR="00B83154" w:rsidRPr="00D60773" w:rsidRDefault="00B83154" w:rsidP="00B83154">
      <w:pPr>
        <w:jc w:val="both"/>
        <w:rPr>
          <w:rFonts w:ascii="Times New Roman" w:hAnsi="Times New Roman" w:cs="Times New Roman"/>
          <w:b/>
          <w:bCs/>
          <w:color w:val="000000" w:themeColor="text1"/>
        </w:rPr>
      </w:pPr>
    </w:p>
    <w:p w14:paraId="070CE1E9" w14:textId="77777777" w:rsidR="00B83154" w:rsidRPr="00D60773" w:rsidRDefault="00B83154" w:rsidP="00B83154">
      <w:pPr>
        <w:jc w:val="both"/>
        <w:rPr>
          <w:rFonts w:ascii="Times New Roman" w:hAnsi="Times New Roman" w:cs="Times New Roman"/>
          <w:b/>
          <w:bCs/>
          <w:color w:val="000000" w:themeColor="text1"/>
        </w:rPr>
      </w:pPr>
    </w:p>
    <w:p w14:paraId="144348FE" w14:textId="77777777" w:rsidR="00B83154" w:rsidRPr="00D60773" w:rsidRDefault="00B83154" w:rsidP="00B83154">
      <w:pPr>
        <w:jc w:val="both"/>
        <w:rPr>
          <w:rFonts w:ascii="Times New Roman" w:hAnsi="Times New Roman" w:cs="Times New Roman"/>
          <w:b/>
          <w:bCs/>
          <w:color w:val="000000" w:themeColor="text1"/>
        </w:rPr>
      </w:pPr>
    </w:p>
    <w:p w14:paraId="7453E53A" w14:textId="77777777" w:rsidR="00B83154" w:rsidRDefault="00B83154" w:rsidP="00B83154">
      <w:pPr>
        <w:jc w:val="both"/>
        <w:rPr>
          <w:rFonts w:ascii="Times New Roman" w:hAnsi="Times New Roman" w:cs="Times New Roman"/>
          <w:b/>
          <w:bCs/>
          <w:color w:val="000000" w:themeColor="text1"/>
        </w:rPr>
      </w:pPr>
    </w:p>
    <w:p w14:paraId="518DE1AC" w14:textId="77777777" w:rsidR="003527EB" w:rsidRDefault="003527EB" w:rsidP="00B83154">
      <w:pPr>
        <w:jc w:val="both"/>
        <w:rPr>
          <w:rFonts w:ascii="Times New Roman" w:hAnsi="Times New Roman" w:cs="Times New Roman"/>
          <w:b/>
          <w:bCs/>
          <w:color w:val="000000" w:themeColor="text1"/>
        </w:rPr>
      </w:pPr>
    </w:p>
    <w:p w14:paraId="4B176A36" w14:textId="77777777" w:rsidR="003527EB" w:rsidRDefault="003527EB" w:rsidP="00B83154">
      <w:pPr>
        <w:jc w:val="both"/>
        <w:rPr>
          <w:rFonts w:ascii="Times New Roman" w:hAnsi="Times New Roman" w:cs="Times New Roman"/>
          <w:b/>
          <w:bCs/>
          <w:color w:val="000000" w:themeColor="text1"/>
        </w:rPr>
      </w:pPr>
    </w:p>
    <w:p w14:paraId="5C527494" w14:textId="77777777" w:rsidR="003527EB" w:rsidRDefault="003527EB" w:rsidP="00B83154">
      <w:pPr>
        <w:jc w:val="both"/>
        <w:rPr>
          <w:rFonts w:ascii="Times New Roman" w:hAnsi="Times New Roman" w:cs="Times New Roman"/>
          <w:b/>
          <w:bCs/>
          <w:color w:val="000000" w:themeColor="text1"/>
        </w:rPr>
      </w:pPr>
    </w:p>
    <w:p w14:paraId="624F3F3C" w14:textId="3925D816" w:rsidR="00B83154" w:rsidRDefault="00B83154" w:rsidP="00B83154">
      <w:pPr>
        <w:jc w:val="both"/>
        <w:rPr>
          <w:rFonts w:ascii="Times New Roman" w:hAnsi="Times New Roman" w:cs="Times New Roman"/>
          <w:color w:val="000000" w:themeColor="text1"/>
        </w:rPr>
      </w:pPr>
    </w:p>
    <w:p w14:paraId="611775DA" w14:textId="77777777" w:rsidR="00F42969" w:rsidRDefault="00F42969" w:rsidP="00F42969">
      <w:pPr>
        <w:spacing w:before="120" w:line="276" w:lineRule="auto"/>
        <w:jc w:val="center"/>
        <w:rPr>
          <w:rFonts w:ascii="Times New Roman" w:hAnsi="Times New Roman" w:cs="Times New Roman"/>
          <w:b/>
          <w:bCs/>
          <w:caps/>
          <w:color w:val="000000" w:themeColor="text1"/>
          <w:spacing w:val="30"/>
        </w:rPr>
      </w:pPr>
      <w:r>
        <w:rPr>
          <w:rFonts w:ascii="Times New Roman" w:hAnsi="Times New Roman" w:cs="Times New Roman"/>
          <w:b/>
          <w:bCs/>
          <w:caps/>
          <w:color w:val="000000" w:themeColor="text1"/>
          <w:spacing w:val="30"/>
        </w:rPr>
        <w:t>Doložka</w:t>
      </w:r>
    </w:p>
    <w:p w14:paraId="5C111851" w14:textId="77777777" w:rsidR="00F42969" w:rsidRDefault="00F42969" w:rsidP="00F42969">
      <w:pPr>
        <w:spacing w:before="120" w:line="276" w:lineRule="auto"/>
        <w:jc w:val="center"/>
        <w:rPr>
          <w:rFonts w:ascii="Times New Roman" w:hAnsi="Times New Roman" w:cs="Times New Roman"/>
          <w:b/>
          <w:bCs/>
          <w:color w:val="000000" w:themeColor="text1"/>
        </w:rPr>
      </w:pPr>
      <w:r>
        <w:rPr>
          <w:rFonts w:ascii="Times New Roman" w:hAnsi="Times New Roman" w:cs="Times New Roman"/>
          <w:b/>
          <w:bCs/>
          <w:color w:val="000000" w:themeColor="text1"/>
        </w:rPr>
        <w:t>vybraných vplyvov</w:t>
      </w:r>
    </w:p>
    <w:p w14:paraId="16DEB964" w14:textId="77777777" w:rsidR="00F42969" w:rsidRDefault="00F42969" w:rsidP="00F42969">
      <w:pPr>
        <w:spacing w:before="120" w:line="276" w:lineRule="auto"/>
        <w:jc w:val="both"/>
        <w:rPr>
          <w:rFonts w:ascii="Times New Roman" w:hAnsi="Times New Roman" w:cs="Times New Roman"/>
          <w:color w:val="000000" w:themeColor="text1"/>
        </w:rPr>
      </w:pPr>
    </w:p>
    <w:p w14:paraId="797ADC42" w14:textId="7DD8889F" w:rsidR="00F42969" w:rsidRPr="006E26EC" w:rsidRDefault="00F42969" w:rsidP="00F42969">
      <w:pPr>
        <w:spacing w:before="120" w:line="276" w:lineRule="auto"/>
        <w:jc w:val="both"/>
        <w:rPr>
          <w:rFonts w:ascii="Times New Roman" w:hAnsi="Times New Roman" w:cs="Times New Roman"/>
          <w:b/>
          <w:bCs/>
          <w:color w:val="FF0000"/>
        </w:rPr>
      </w:pPr>
      <w:r>
        <w:rPr>
          <w:rFonts w:ascii="Times New Roman" w:hAnsi="Times New Roman" w:cs="Times New Roman"/>
          <w:b/>
          <w:bCs/>
          <w:color w:val="000000" w:themeColor="text1"/>
        </w:rPr>
        <w:t xml:space="preserve">A.1. Názov materiálu: </w:t>
      </w:r>
      <w:r w:rsidR="00C323C4" w:rsidRPr="00C323C4">
        <w:rPr>
          <w:rFonts w:ascii="Times New Roman" w:hAnsi="Times New Roman" w:cs="Times New Roman"/>
          <w:color w:val="000000" w:themeColor="text1"/>
        </w:rPr>
        <w:t>Návrh vydanie zákona, ktorým sa mení a dopĺňa zákon č. 447/2008 Z. z. o peňažných príspevkoch na kompenzáciu ťažkého zdravotného postihnutia v znení neskorších predpisov.</w:t>
      </w:r>
    </w:p>
    <w:p w14:paraId="7960D33F" w14:textId="77777777" w:rsidR="00F42969" w:rsidRDefault="00F42969" w:rsidP="00F42969">
      <w:pPr>
        <w:spacing w:before="120" w:line="276" w:lineRule="auto"/>
        <w:jc w:val="both"/>
        <w:rPr>
          <w:rFonts w:ascii="Times New Roman" w:hAnsi="Times New Roman" w:cs="Times New Roman"/>
          <w:i/>
          <w:iCs/>
          <w:color w:val="000000" w:themeColor="text1"/>
        </w:rPr>
      </w:pPr>
      <w:r>
        <w:rPr>
          <w:rFonts w:ascii="Times New Roman" w:hAnsi="Times New Roman" w:cs="Times New Roman"/>
          <w:b/>
          <w:bCs/>
          <w:color w:val="000000" w:themeColor="text1"/>
        </w:rPr>
        <w:t>Termín začatia a ukončenia PPK:</w:t>
      </w:r>
      <w:r>
        <w:rPr>
          <w:rFonts w:ascii="Times New Roman" w:hAnsi="Times New Roman" w:cs="Times New Roman"/>
          <w:color w:val="000000" w:themeColor="text1"/>
        </w:rPr>
        <w:t xml:space="preserve"> </w:t>
      </w:r>
      <w:r>
        <w:rPr>
          <w:rFonts w:ascii="Times New Roman" w:hAnsi="Times New Roman" w:cs="Times New Roman"/>
          <w:i/>
          <w:iCs/>
          <w:color w:val="000000" w:themeColor="text1"/>
        </w:rPr>
        <w:t>bezpredmetné</w:t>
      </w:r>
    </w:p>
    <w:p w14:paraId="12952115" w14:textId="77777777" w:rsidR="00F42969" w:rsidRDefault="00F42969" w:rsidP="00F42969">
      <w:pPr>
        <w:spacing w:before="120" w:line="276" w:lineRule="auto"/>
        <w:jc w:val="both"/>
        <w:rPr>
          <w:rFonts w:ascii="Times New Roman" w:hAnsi="Times New Roman" w:cs="Times New Roman"/>
          <w:b/>
          <w:bCs/>
          <w:color w:val="000000" w:themeColor="text1"/>
        </w:rPr>
      </w:pPr>
    </w:p>
    <w:p w14:paraId="7E22EC94" w14:textId="77777777" w:rsidR="00F42969" w:rsidRDefault="00F42969" w:rsidP="00F42969">
      <w:pPr>
        <w:spacing w:before="120" w:line="276" w:lineRule="auto"/>
        <w:jc w:val="both"/>
        <w:rPr>
          <w:rFonts w:ascii="Times New Roman" w:hAnsi="Times New Roman" w:cs="Times New Roman"/>
          <w:b/>
          <w:bCs/>
          <w:color w:val="000000" w:themeColor="text1"/>
        </w:rPr>
      </w:pPr>
      <w:r>
        <w:rPr>
          <w:rFonts w:ascii="Times New Roman" w:hAnsi="Times New Roman" w:cs="Times New Roman"/>
          <w:b/>
          <w:bCs/>
          <w:color w:val="000000" w:themeColor="text1"/>
        </w:rPr>
        <w:t>A.2. Vplyvy:</w:t>
      </w:r>
    </w:p>
    <w:tbl>
      <w:tblPr>
        <w:tblW w:w="5000" w:type="pct"/>
        <w:tblInd w:w="1" w:type="dxa"/>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tblCellMar>
          <w:left w:w="0" w:type="dxa"/>
          <w:right w:w="0" w:type="dxa"/>
        </w:tblCellMar>
        <w:tblLook w:val="04A0" w:firstRow="1" w:lastRow="0" w:firstColumn="1" w:lastColumn="0" w:noHBand="0" w:noVBand="1"/>
      </w:tblPr>
      <w:tblGrid>
        <w:gridCol w:w="5489"/>
        <w:gridCol w:w="1188"/>
        <w:gridCol w:w="1177"/>
        <w:gridCol w:w="1196"/>
      </w:tblGrid>
      <w:tr w:rsidR="00F42969" w14:paraId="78A10856" w14:textId="77777777" w:rsidTr="00F42969">
        <w:tc>
          <w:tcPr>
            <w:tcW w:w="5507" w:type="dxa"/>
            <w:tcBorders>
              <w:top w:val="outset" w:sz="6" w:space="0" w:color="00000A"/>
              <w:left w:val="outset" w:sz="6" w:space="0" w:color="00000A"/>
              <w:bottom w:val="outset" w:sz="6" w:space="0" w:color="00000A"/>
              <w:right w:val="outset" w:sz="6" w:space="0" w:color="00000A"/>
            </w:tcBorders>
            <w:vAlign w:val="center"/>
          </w:tcPr>
          <w:p w14:paraId="1CDAF4AF" w14:textId="77777777" w:rsidR="00F42969" w:rsidRDefault="00F42969">
            <w:pPr>
              <w:spacing w:before="120" w:line="276" w:lineRule="auto"/>
              <w:jc w:val="both"/>
              <w:rPr>
                <w:rFonts w:ascii="Times New Roman" w:hAnsi="Times New Roman" w:cs="Times New Roman"/>
                <w:color w:val="000000" w:themeColor="text1"/>
              </w:rPr>
            </w:pPr>
          </w:p>
        </w:tc>
        <w:tc>
          <w:tcPr>
            <w:tcW w:w="1189" w:type="dxa"/>
            <w:tcBorders>
              <w:top w:val="outset" w:sz="6" w:space="0" w:color="00000A"/>
              <w:left w:val="outset" w:sz="6" w:space="0" w:color="00000A"/>
              <w:bottom w:val="outset" w:sz="6" w:space="0" w:color="00000A"/>
              <w:right w:val="outset" w:sz="6" w:space="0" w:color="00000A"/>
            </w:tcBorders>
            <w:vAlign w:val="center"/>
            <w:hideMark/>
          </w:tcPr>
          <w:p w14:paraId="16E9AE6D" w14:textId="77777777" w:rsidR="00F42969" w:rsidRDefault="00F42969">
            <w:pPr>
              <w:spacing w:before="120" w:line="276" w:lineRule="auto"/>
              <w:jc w:val="both"/>
              <w:rPr>
                <w:rFonts w:ascii="Times New Roman" w:hAnsi="Times New Roman" w:cs="Times New Roman"/>
                <w:color w:val="000000" w:themeColor="text1"/>
              </w:rPr>
            </w:pPr>
            <w:r>
              <w:rPr>
                <w:rFonts w:ascii="Times New Roman" w:hAnsi="Times New Roman" w:cs="Times New Roman"/>
                <w:color w:val="000000" w:themeColor="text1"/>
              </w:rPr>
              <w:t> Pozitívne </w:t>
            </w:r>
          </w:p>
        </w:tc>
        <w:tc>
          <w:tcPr>
            <w:tcW w:w="1179" w:type="dxa"/>
            <w:tcBorders>
              <w:top w:val="outset" w:sz="6" w:space="0" w:color="00000A"/>
              <w:left w:val="outset" w:sz="6" w:space="0" w:color="00000A"/>
              <w:bottom w:val="outset" w:sz="6" w:space="0" w:color="00000A"/>
              <w:right w:val="outset" w:sz="6" w:space="0" w:color="00000A"/>
            </w:tcBorders>
            <w:vAlign w:val="center"/>
            <w:hideMark/>
          </w:tcPr>
          <w:p w14:paraId="1DD53EB3" w14:textId="77777777" w:rsidR="00F42969" w:rsidRDefault="00F42969">
            <w:pPr>
              <w:spacing w:before="120" w:line="276" w:lineRule="auto"/>
              <w:jc w:val="both"/>
              <w:rPr>
                <w:rFonts w:ascii="Times New Roman" w:hAnsi="Times New Roman" w:cs="Times New Roman"/>
                <w:color w:val="000000" w:themeColor="text1"/>
              </w:rPr>
            </w:pPr>
            <w:r>
              <w:rPr>
                <w:rFonts w:ascii="Times New Roman" w:hAnsi="Times New Roman" w:cs="Times New Roman"/>
                <w:color w:val="000000" w:themeColor="text1"/>
              </w:rPr>
              <w:t> Žiadne </w:t>
            </w:r>
          </w:p>
        </w:tc>
        <w:tc>
          <w:tcPr>
            <w:tcW w:w="1196" w:type="dxa"/>
            <w:tcBorders>
              <w:top w:val="outset" w:sz="6" w:space="0" w:color="00000A"/>
              <w:left w:val="outset" w:sz="6" w:space="0" w:color="00000A"/>
              <w:bottom w:val="outset" w:sz="6" w:space="0" w:color="00000A"/>
              <w:right w:val="outset" w:sz="6" w:space="0" w:color="00000A"/>
            </w:tcBorders>
            <w:vAlign w:val="center"/>
            <w:hideMark/>
          </w:tcPr>
          <w:p w14:paraId="18D32E39" w14:textId="77777777" w:rsidR="00F42969" w:rsidRDefault="00F42969">
            <w:pPr>
              <w:spacing w:before="120" w:line="276" w:lineRule="auto"/>
              <w:jc w:val="both"/>
              <w:rPr>
                <w:rFonts w:ascii="Times New Roman" w:hAnsi="Times New Roman" w:cs="Times New Roman"/>
                <w:color w:val="000000" w:themeColor="text1"/>
              </w:rPr>
            </w:pPr>
            <w:r>
              <w:rPr>
                <w:rFonts w:ascii="Times New Roman" w:hAnsi="Times New Roman" w:cs="Times New Roman"/>
                <w:color w:val="000000" w:themeColor="text1"/>
              </w:rPr>
              <w:t> Negatívne </w:t>
            </w:r>
          </w:p>
        </w:tc>
      </w:tr>
      <w:tr w:rsidR="00F42969" w14:paraId="3B63268D" w14:textId="77777777" w:rsidTr="00F42969">
        <w:tc>
          <w:tcPr>
            <w:tcW w:w="5507" w:type="dxa"/>
            <w:tcBorders>
              <w:top w:val="outset" w:sz="6" w:space="0" w:color="00000A"/>
              <w:left w:val="outset" w:sz="6" w:space="0" w:color="00000A"/>
              <w:bottom w:val="outset" w:sz="6" w:space="0" w:color="00000A"/>
              <w:right w:val="outset" w:sz="6" w:space="0" w:color="00000A"/>
            </w:tcBorders>
            <w:vAlign w:val="center"/>
            <w:hideMark/>
          </w:tcPr>
          <w:p w14:paraId="54C9BDF5" w14:textId="77777777" w:rsidR="00F42969" w:rsidRDefault="00F42969">
            <w:pPr>
              <w:spacing w:before="120" w:line="276" w:lineRule="auto"/>
              <w:jc w:val="both"/>
              <w:rPr>
                <w:rFonts w:ascii="Times New Roman" w:hAnsi="Times New Roman" w:cs="Times New Roman"/>
                <w:color w:val="000000" w:themeColor="text1"/>
              </w:rPr>
            </w:pPr>
            <w:r>
              <w:rPr>
                <w:rFonts w:ascii="Times New Roman" w:hAnsi="Times New Roman" w:cs="Times New Roman"/>
                <w:color w:val="000000" w:themeColor="text1"/>
              </w:rPr>
              <w:t>1. Vplyvy na rozpočet verejnej správy</w:t>
            </w:r>
          </w:p>
        </w:tc>
        <w:tc>
          <w:tcPr>
            <w:tcW w:w="1189" w:type="dxa"/>
            <w:tcBorders>
              <w:top w:val="outset" w:sz="6" w:space="0" w:color="00000A"/>
              <w:left w:val="outset" w:sz="6" w:space="0" w:color="00000A"/>
              <w:bottom w:val="outset" w:sz="6" w:space="0" w:color="00000A"/>
              <w:right w:val="outset" w:sz="6" w:space="0" w:color="00000A"/>
            </w:tcBorders>
            <w:vAlign w:val="center"/>
          </w:tcPr>
          <w:p w14:paraId="5A893D70" w14:textId="77777777" w:rsidR="00F42969" w:rsidRDefault="00F42969">
            <w:pPr>
              <w:spacing w:before="120" w:line="276" w:lineRule="auto"/>
              <w:jc w:val="both"/>
              <w:rPr>
                <w:rFonts w:ascii="Times New Roman" w:hAnsi="Times New Roman" w:cs="Times New Roman"/>
                <w:color w:val="000000" w:themeColor="text1"/>
              </w:rPr>
            </w:pPr>
          </w:p>
        </w:tc>
        <w:tc>
          <w:tcPr>
            <w:tcW w:w="1179" w:type="dxa"/>
            <w:tcBorders>
              <w:top w:val="outset" w:sz="6" w:space="0" w:color="00000A"/>
              <w:left w:val="outset" w:sz="6" w:space="0" w:color="00000A"/>
              <w:bottom w:val="outset" w:sz="6" w:space="0" w:color="00000A"/>
              <w:right w:val="outset" w:sz="6" w:space="0" w:color="00000A"/>
            </w:tcBorders>
            <w:vAlign w:val="center"/>
            <w:hideMark/>
          </w:tcPr>
          <w:p w14:paraId="5E06DEEE" w14:textId="36441AB4" w:rsidR="00F42969" w:rsidRDefault="00F42969" w:rsidP="00F42969">
            <w:pPr>
              <w:spacing w:before="120" w:line="276" w:lineRule="auto"/>
              <w:jc w:val="center"/>
              <w:rPr>
                <w:rFonts w:ascii="Times New Roman" w:hAnsi="Times New Roman" w:cs="Times New Roman"/>
                <w:color w:val="000000" w:themeColor="text1"/>
              </w:rPr>
            </w:pPr>
          </w:p>
        </w:tc>
        <w:tc>
          <w:tcPr>
            <w:tcW w:w="1196" w:type="dxa"/>
            <w:tcBorders>
              <w:top w:val="outset" w:sz="6" w:space="0" w:color="00000A"/>
              <w:left w:val="outset" w:sz="6" w:space="0" w:color="00000A"/>
              <w:bottom w:val="outset" w:sz="6" w:space="0" w:color="00000A"/>
              <w:right w:val="outset" w:sz="6" w:space="0" w:color="00000A"/>
            </w:tcBorders>
            <w:vAlign w:val="center"/>
          </w:tcPr>
          <w:p w14:paraId="48A34A38" w14:textId="6DC139B0" w:rsidR="00F42969" w:rsidRDefault="00F42969" w:rsidP="00F42969">
            <w:pPr>
              <w:spacing w:before="120"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x</w:t>
            </w:r>
          </w:p>
        </w:tc>
      </w:tr>
      <w:tr w:rsidR="00F42969" w14:paraId="7CA97B8F" w14:textId="77777777" w:rsidTr="00F42969">
        <w:tc>
          <w:tcPr>
            <w:tcW w:w="5507" w:type="dxa"/>
            <w:tcBorders>
              <w:top w:val="outset" w:sz="6" w:space="0" w:color="00000A"/>
              <w:left w:val="outset" w:sz="6" w:space="0" w:color="00000A"/>
              <w:bottom w:val="outset" w:sz="6" w:space="0" w:color="00000A"/>
              <w:right w:val="outset" w:sz="6" w:space="0" w:color="00000A"/>
            </w:tcBorders>
            <w:vAlign w:val="center"/>
            <w:hideMark/>
          </w:tcPr>
          <w:p w14:paraId="65CAD1C0" w14:textId="77777777" w:rsidR="00F42969" w:rsidRDefault="00F42969">
            <w:pPr>
              <w:spacing w:before="120" w:line="276" w:lineRule="auto"/>
              <w:jc w:val="both"/>
              <w:rPr>
                <w:rFonts w:ascii="Times New Roman" w:hAnsi="Times New Roman" w:cs="Times New Roman"/>
                <w:color w:val="000000" w:themeColor="text1"/>
              </w:rPr>
            </w:pPr>
            <w:r>
              <w:rPr>
                <w:rFonts w:ascii="Times New Roman" w:hAnsi="Times New Roman" w:cs="Times New Roman"/>
                <w:color w:val="000000" w:themeColor="text1"/>
              </w:rPr>
              <w:t>2. Vplyvy na podnikateľské prostredie – dochádza k zvýšeniu regulačného zaťaženia?</w:t>
            </w:r>
          </w:p>
        </w:tc>
        <w:tc>
          <w:tcPr>
            <w:tcW w:w="1189" w:type="dxa"/>
            <w:tcBorders>
              <w:top w:val="outset" w:sz="6" w:space="0" w:color="00000A"/>
              <w:left w:val="outset" w:sz="6" w:space="0" w:color="00000A"/>
              <w:bottom w:val="outset" w:sz="6" w:space="0" w:color="00000A"/>
              <w:right w:val="outset" w:sz="6" w:space="0" w:color="00000A"/>
            </w:tcBorders>
            <w:vAlign w:val="center"/>
          </w:tcPr>
          <w:p w14:paraId="30DDAD7C" w14:textId="77777777" w:rsidR="00F42969" w:rsidRDefault="00F42969">
            <w:pPr>
              <w:spacing w:before="120" w:line="276" w:lineRule="auto"/>
              <w:jc w:val="center"/>
              <w:rPr>
                <w:rFonts w:ascii="Times New Roman" w:hAnsi="Times New Roman" w:cs="Times New Roman"/>
                <w:color w:val="000000" w:themeColor="text1"/>
              </w:rPr>
            </w:pPr>
          </w:p>
        </w:tc>
        <w:tc>
          <w:tcPr>
            <w:tcW w:w="1179" w:type="dxa"/>
            <w:tcBorders>
              <w:top w:val="outset" w:sz="6" w:space="0" w:color="00000A"/>
              <w:left w:val="outset" w:sz="6" w:space="0" w:color="00000A"/>
              <w:bottom w:val="outset" w:sz="6" w:space="0" w:color="00000A"/>
              <w:right w:val="outset" w:sz="6" w:space="0" w:color="00000A"/>
            </w:tcBorders>
            <w:vAlign w:val="center"/>
            <w:hideMark/>
          </w:tcPr>
          <w:p w14:paraId="435535C1" w14:textId="77777777" w:rsidR="00F42969" w:rsidRDefault="00F42969">
            <w:pPr>
              <w:spacing w:before="120"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x</w:t>
            </w:r>
          </w:p>
        </w:tc>
        <w:tc>
          <w:tcPr>
            <w:tcW w:w="1196" w:type="dxa"/>
            <w:tcBorders>
              <w:top w:val="outset" w:sz="6" w:space="0" w:color="00000A"/>
              <w:left w:val="outset" w:sz="6" w:space="0" w:color="00000A"/>
              <w:bottom w:val="outset" w:sz="6" w:space="0" w:color="00000A"/>
              <w:right w:val="outset" w:sz="6" w:space="0" w:color="00000A"/>
            </w:tcBorders>
            <w:vAlign w:val="center"/>
          </w:tcPr>
          <w:p w14:paraId="36FC006F" w14:textId="77777777" w:rsidR="00F42969" w:rsidRDefault="00F42969">
            <w:pPr>
              <w:spacing w:before="120" w:line="276" w:lineRule="auto"/>
              <w:jc w:val="center"/>
              <w:rPr>
                <w:rFonts w:ascii="Times New Roman" w:hAnsi="Times New Roman" w:cs="Times New Roman"/>
                <w:color w:val="000000" w:themeColor="text1"/>
              </w:rPr>
            </w:pPr>
          </w:p>
        </w:tc>
      </w:tr>
      <w:tr w:rsidR="00F42969" w14:paraId="0F65490B" w14:textId="77777777" w:rsidTr="00F42969">
        <w:tc>
          <w:tcPr>
            <w:tcW w:w="5507" w:type="dxa"/>
            <w:tcBorders>
              <w:top w:val="outset" w:sz="6" w:space="0" w:color="00000A"/>
              <w:left w:val="outset" w:sz="6" w:space="0" w:color="00000A"/>
              <w:bottom w:val="outset" w:sz="6" w:space="0" w:color="00000A"/>
              <w:right w:val="outset" w:sz="6" w:space="0" w:color="00000A"/>
            </w:tcBorders>
            <w:vAlign w:val="center"/>
            <w:hideMark/>
          </w:tcPr>
          <w:p w14:paraId="0CF629F8" w14:textId="77777777" w:rsidR="00F42969" w:rsidRDefault="00F42969">
            <w:pPr>
              <w:spacing w:before="120" w:line="276" w:lineRule="auto"/>
              <w:jc w:val="both"/>
              <w:rPr>
                <w:rFonts w:ascii="Times New Roman" w:hAnsi="Times New Roman" w:cs="Times New Roman"/>
                <w:color w:val="000000" w:themeColor="text1"/>
              </w:rPr>
            </w:pPr>
            <w:r>
              <w:rPr>
                <w:rFonts w:ascii="Times New Roman" w:hAnsi="Times New Roman" w:cs="Times New Roman"/>
                <w:color w:val="000000" w:themeColor="text1"/>
              </w:rPr>
              <w:t>3. Sociálne vplyvy</w:t>
            </w:r>
          </w:p>
        </w:tc>
        <w:tc>
          <w:tcPr>
            <w:tcW w:w="1189" w:type="dxa"/>
            <w:tcBorders>
              <w:top w:val="outset" w:sz="6" w:space="0" w:color="00000A"/>
              <w:left w:val="outset" w:sz="6" w:space="0" w:color="00000A"/>
              <w:bottom w:val="outset" w:sz="6" w:space="0" w:color="00000A"/>
              <w:right w:val="outset" w:sz="6" w:space="0" w:color="00000A"/>
            </w:tcBorders>
            <w:vAlign w:val="center"/>
          </w:tcPr>
          <w:p w14:paraId="5AB4BCE0" w14:textId="792C7EDF" w:rsidR="00F42969" w:rsidRDefault="00F42969">
            <w:pPr>
              <w:spacing w:before="120"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x</w:t>
            </w:r>
          </w:p>
        </w:tc>
        <w:tc>
          <w:tcPr>
            <w:tcW w:w="1179" w:type="dxa"/>
            <w:tcBorders>
              <w:top w:val="outset" w:sz="6" w:space="0" w:color="00000A"/>
              <w:left w:val="outset" w:sz="6" w:space="0" w:color="00000A"/>
              <w:bottom w:val="outset" w:sz="6" w:space="0" w:color="00000A"/>
              <w:right w:val="outset" w:sz="6" w:space="0" w:color="00000A"/>
            </w:tcBorders>
            <w:vAlign w:val="center"/>
            <w:hideMark/>
          </w:tcPr>
          <w:p w14:paraId="62BEB68A" w14:textId="52754D8A" w:rsidR="00F42969" w:rsidRDefault="00F42969">
            <w:pPr>
              <w:spacing w:before="120" w:line="276" w:lineRule="auto"/>
              <w:jc w:val="center"/>
              <w:rPr>
                <w:rFonts w:ascii="Times New Roman" w:hAnsi="Times New Roman" w:cs="Times New Roman"/>
                <w:color w:val="000000" w:themeColor="text1"/>
              </w:rPr>
            </w:pPr>
          </w:p>
        </w:tc>
        <w:tc>
          <w:tcPr>
            <w:tcW w:w="1196" w:type="dxa"/>
            <w:tcBorders>
              <w:top w:val="outset" w:sz="6" w:space="0" w:color="00000A"/>
              <w:left w:val="outset" w:sz="6" w:space="0" w:color="00000A"/>
              <w:bottom w:val="outset" w:sz="6" w:space="0" w:color="00000A"/>
              <w:right w:val="outset" w:sz="6" w:space="0" w:color="00000A"/>
            </w:tcBorders>
            <w:vAlign w:val="center"/>
          </w:tcPr>
          <w:p w14:paraId="496DABD1" w14:textId="77777777" w:rsidR="00F42969" w:rsidRDefault="00F42969">
            <w:pPr>
              <w:spacing w:before="120" w:line="276" w:lineRule="auto"/>
              <w:jc w:val="both"/>
              <w:rPr>
                <w:rFonts w:ascii="Times New Roman" w:hAnsi="Times New Roman" w:cs="Times New Roman"/>
                <w:color w:val="000000" w:themeColor="text1"/>
              </w:rPr>
            </w:pPr>
          </w:p>
        </w:tc>
      </w:tr>
      <w:tr w:rsidR="00F42969" w14:paraId="1512199D" w14:textId="77777777" w:rsidTr="00F42969">
        <w:tc>
          <w:tcPr>
            <w:tcW w:w="5507" w:type="dxa"/>
            <w:tcBorders>
              <w:top w:val="outset" w:sz="6" w:space="0" w:color="00000A"/>
              <w:left w:val="outset" w:sz="6" w:space="0" w:color="00000A"/>
              <w:bottom w:val="outset" w:sz="6" w:space="0" w:color="00000A"/>
              <w:right w:val="outset" w:sz="6" w:space="0" w:color="00000A"/>
            </w:tcBorders>
            <w:vAlign w:val="center"/>
            <w:hideMark/>
          </w:tcPr>
          <w:p w14:paraId="3BAFF5DA" w14:textId="77777777" w:rsidR="00F42969" w:rsidRDefault="00F42969">
            <w:pPr>
              <w:spacing w:before="120" w:line="276" w:lineRule="auto"/>
              <w:jc w:val="both"/>
              <w:rPr>
                <w:rFonts w:ascii="Times New Roman" w:hAnsi="Times New Roman" w:cs="Times New Roman"/>
                <w:color w:val="000000" w:themeColor="text1"/>
              </w:rPr>
            </w:pPr>
            <w:r>
              <w:rPr>
                <w:rFonts w:ascii="Times New Roman" w:hAnsi="Times New Roman" w:cs="Times New Roman"/>
                <w:color w:val="000000" w:themeColor="text1"/>
              </w:rPr>
              <w:t>– vplyvy na hospodárenie obyvateľstva,</w:t>
            </w:r>
          </w:p>
        </w:tc>
        <w:tc>
          <w:tcPr>
            <w:tcW w:w="1189" w:type="dxa"/>
            <w:tcBorders>
              <w:top w:val="outset" w:sz="6" w:space="0" w:color="00000A"/>
              <w:left w:val="outset" w:sz="6" w:space="0" w:color="00000A"/>
              <w:bottom w:val="outset" w:sz="6" w:space="0" w:color="00000A"/>
              <w:right w:val="outset" w:sz="6" w:space="0" w:color="00000A"/>
            </w:tcBorders>
            <w:vAlign w:val="center"/>
          </w:tcPr>
          <w:p w14:paraId="68777147" w14:textId="3636AAB0" w:rsidR="00F42969" w:rsidRDefault="00F42969">
            <w:pPr>
              <w:spacing w:before="120"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x</w:t>
            </w:r>
          </w:p>
        </w:tc>
        <w:tc>
          <w:tcPr>
            <w:tcW w:w="1179" w:type="dxa"/>
            <w:tcBorders>
              <w:top w:val="outset" w:sz="6" w:space="0" w:color="00000A"/>
              <w:left w:val="outset" w:sz="6" w:space="0" w:color="00000A"/>
              <w:bottom w:val="outset" w:sz="6" w:space="0" w:color="00000A"/>
              <w:right w:val="outset" w:sz="6" w:space="0" w:color="00000A"/>
            </w:tcBorders>
            <w:vAlign w:val="center"/>
            <w:hideMark/>
          </w:tcPr>
          <w:p w14:paraId="49419CC4" w14:textId="6747528C" w:rsidR="00F42969" w:rsidRDefault="00F42969">
            <w:pPr>
              <w:spacing w:before="120" w:line="276" w:lineRule="auto"/>
              <w:jc w:val="center"/>
              <w:rPr>
                <w:rFonts w:ascii="Times New Roman" w:hAnsi="Times New Roman" w:cs="Times New Roman"/>
                <w:color w:val="000000" w:themeColor="text1"/>
              </w:rPr>
            </w:pPr>
          </w:p>
        </w:tc>
        <w:tc>
          <w:tcPr>
            <w:tcW w:w="1196" w:type="dxa"/>
            <w:tcBorders>
              <w:top w:val="outset" w:sz="6" w:space="0" w:color="00000A"/>
              <w:left w:val="outset" w:sz="6" w:space="0" w:color="00000A"/>
              <w:bottom w:val="outset" w:sz="6" w:space="0" w:color="00000A"/>
              <w:right w:val="outset" w:sz="6" w:space="0" w:color="00000A"/>
            </w:tcBorders>
            <w:vAlign w:val="center"/>
          </w:tcPr>
          <w:p w14:paraId="7527DB39" w14:textId="77777777" w:rsidR="00F42969" w:rsidRDefault="00F42969">
            <w:pPr>
              <w:spacing w:before="120" w:line="276" w:lineRule="auto"/>
              <w:jc w:val="both"/>
              <w:rPr>
                <w:rFonts w:ascii="Times New Roman" w:hAnsi="Times New Roman" w:cs="Times New Roman"/>
                <w:color w:val="000000" w:themeColor="text1"/>
              </w:rPr>
            </w:pPr>
          </w:p>
        </w:tc>
      </w:tr>
      <w:tr w:rsidR="00F42969" w14:paraId="3117AD3D" w14:textId="77777777" w:rsidTr="00F42969">
        <w:tc>
          <w:tcPr>
            <w:tcW w:w="5507" w:type="dxa"/>
            <w:tcBorders>
              <w:top w:val="outset" w:sz="6" w:space="0" w:color="00000A"/>
              <w:left w:val="outset" w:sz="6" w:space="0" w:color="00000A"/>
              <w:bottom w:val="outset" w:sz="6" w:space="0" w:color="00000A"/>
              <w:right w:val="outset" w:sz="6" w:space="0" w:color="00000A"/>
            </w:tcBorders>
            <w:vAlign w:val="center"/>
            <w:hideMark/>
          </w:tcPr>
          <w:p w14:paraId="726D51E8" w14:textId="77777777" w:rsidR="00F42969" w:rsidRDefault="00F42969">
            <w:pPr>
              <w:spacing w:before="120" w:line="276"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 sociálnu </w:t>
            </w:r>
            <w:proofErr w:type="spellStart"/>
            <w:r>
              <w:rPr>
                <w:rFonts w:ascii="Times New Roman" w:hAnsi="Times New Roman" w:cs="Times New Roman"/>
                <w:color w:val="000000" w:themeColor="text1"/>
              </w:rPr>
              <w:t>exklúziu</w:t>
            </w:r>
            <w:proofErr w:type="spellEnd"/>
            <w:r>
              <w:rPr>
                <w:rFonts w:ascii="Times New Roman" w:hAnsi="Times New Roman" w:cs="Times New Roman"/>
                <w:color w:val="000000" w:themeColor="text1"/>
              </w:rPr>
              <w:t>,</w:t>
            </w:r>
          </w:p>
        </w:tc>
        <w:tc>
          <w:tcPr>
            <w:tcW w:w="1189" w:type="dxa"/>
            <w:tcBorders>
              <w:top w:val="outset" w:sz="6" w:space="0" w:color="00000A"/>
              <w:left w:val="outset" w:sz="6" w:space="0" w:color="00000A"/>
              <w:bottom w:val="outset" w:sz="6" w:space="0" w:color="00000A"/>
              <w:right w:val="outset" w:sz="6" w:space="0" w:color="00000A"/>
            </w:tcBorders>
            <w:vAlign w:val="center"/>
          </w:tcPr>
          <w:p w14:paraId="66EC221F" w14:textId="00947540" w:rsidR="00F42969" w:rsidRDefault="00F42969" w:rsidP="00F42969">
            <w:pPr>
              <w:spacing w:before="120" w:line="276" w:lineRule="auto"/>
              <w:jc w:val="center"/>
              <w:rPr>
                <w:rFonts w:ascii="Times New Roman" w:hAnsi="Times New Roman" w:cs="Times New Roman"/>
                <w:color w:val="000000" w:themeColor="text1"/>
              </w:rPr>
            </w:pPr>
          </w:p>
        </w:tc>
        <w:tc>
          <w:tcPr>
            <w:tcW w:w="1179" w:type="dxa"/>
            <w:tcBorders>
              <w:top w:val="outset" w:sz="6" w:space="0" w:color="00000A"/>
              <w:left w:val="outset" w:sz="6" w:space="0" w:color="00000A"/>
              <w:bottom w:val="outset" w:sz="6" w:space="0" w:color="00000A"/>
              <w:right w:val="outset" w:sz="6" w:space="0" w:color="00000A"/>
            </w:tcBorders>
            <w:vAlign w:val="center"/>
            <w:hideMark/>
          </w:tcPr>
          <w:p w14:paraId="0BE5EE62" w14:textId="222A7467" w:rsidR="00F42969" w:rsidRDefault="00F42969">
            <w:pPr>
              <w:spacing w:before="120" w:line="276" w:lineRule="auto"/>
              <w:jc w:val="center"/>
              <w:rPr>
                <w:rFonts w:ascii="Times New Roman" w:hAnsi="Times New Roman" w:cs="Times New Roman"/>
                <w:color w:val="000000" w:themeColor="text1"/>
              </w:rPr>
            </w:pPr>
          </w:p>
        </w:tc>
        <w:tc>
          <w:tcPr>
            <w:tcW w:w="1196" w:type="dxa"/>
            <w:tcBorders>
              <w:top w:val="outset" w:sz="6" w:space="0" w:color="00000A"/>
              <w:left w:val="outset" w:sz="6" w:space="0" w:color="00000A"/>
              <w:bottom w:val="outset" w:sz="6" w:space="0" w:color="00000A"/>
              <w:right w:val="outset" w:sz="6" w:space="0" w:color="00000A"/>
            </w:tcBorders>
            <w:vAlign w:val="center"/>
          </w:tcPr>
          <w:p w14:paraId="0EF6E764" w14:textId="51C04E3D" w:rsidR="00F42969" w:rsidRDefault="0008015B" w:rsidP="0008015B">
            <w:pPr>
              <w:spacing w:before="120"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x</w:t>
            </w:r>
          </w:p>
        </w:tc>
      </w:tr>
      <w:tr w:rsidR="00F42969" w14:paraId="2C744298" w14:textId="77777777" w:rsidTr="00F42969">
        <w:tc>
          <w:tcPr>
            <w:tcW w:w="5507" w:type="dxa"/>
            <w:tcBorders>
              <w:top w:val="outset" w:sz="6" w:space="0" w:color="00000A"/>
              <w:left w:val="outset" w:sz="6" w:space="0" w:color="00000A"/>
              <w:bottom w:val="outset" w:sz="6" w:space="0" w:color="00000A"/>
              <w:right w:val="outset" w:sz="6" w:space="0" w:color="00000A"/>
            </w:tcBorders>
            <w:vAlign w:val="center"/>
            <w:hideMark/>
          </w:tcPr>
          <w:p w14:paraId="745DC2B1" w14:textId="77777777" w:rsidR="00F42969" w:rsidRDefault="00F42969">
            <w:pPr>
              <w:spacing w:before="120" w:line="276" w:lineRule="auto"/>
              <w:jc w:val="both"/>
              <w:rPr>
                <w:rFonts w:ascii="Times New Roman" w:hAnsi="Times New Roman" w:cs="Times New Roman"/>
                <w:color w:val="000000" w:themeColor="text1"/>
              </w:rPr>
            </w:pPr>
            <w:r>
              <w:rPr>
                <w:rFonts w:ascii="Times New Roman" w:hAnsi="Times New Roman" w:cs="Times New Roman"/>
                <w:color w:val="000000" w:themeColor="text1"/>
              </w:rPr>
              <w:t>– rovnosť príležitostí a rodovú rovnosť a vplyvy na zamestnanosť</w:t>
            </w:r>
          </w:p>
        </w:tc>
        <w:tc>
          <w:tcPr>
            <w:tcW w:w="1189" w:type="dxa"/>
            <w:tcBorders>
              <w:top w:val="outset" w:sz="6" w:space="0" w:color="00000A"/>
              <w:left w:val="outset" w:sz="6" w:space="0" w:color="00000A"/>
              <w:bottom w:val="outset" w:sz="6" w:space="0" w:color="00000A"/>
              <w:right w:val="outset" w:sz="6" w:space="0" w:color="00000A"/>
            </w:tcBorders>
            <w:vAlign w:val="center"/>
          </w:tcPr>
          <w:p w14:paraId="4C02EFB8" w14:textId="77777777" w:rsidR="00F42969" w:rsidRDefault="00F42969">
            <w:pPr>
              <w:spacing w:before="120" w:line="276" w:lineRule="auto"/>
              <w:jc w:val="both"/>
              <w:rPr>
                <w:rFonts w:ascii="Times New Roman" w:hAnsi="Times New Roman" w:cs="Times New Roman"/>
                <w:color w:val="000000" w:themeColor="text1"/>
              </w:rPr>
            </w:pPr>
          </w:p>
        </w:tc>
        <w:tc>
          <w:tcPr>
            <w:tcW w:w="1179" w:type="dxa"/>
            <w:tcBorders>
              <w:top w:val="outset" w:sz="6" w:space="0" w:color="00000A"/>
              <w:left w:val="outset" w:sz="6" w:space="0" w:color="00000A"/>
              <w:bottom w:val="outset" w:sz="6" w:space="0" w:color="00000A"/>
              <w:right w:val="outset" w:sz="6" w:space="0" w:color="00000A"/>
            </w:tcBorders>
            <w:vAlign w:val="center"/>
            <w:hideMark/>
          </w:tcPr>
          <w:p w14:paraId="27B34395" w14:textId="77777777" w:rsidR="00F42969" w:rsidRDefault="00F42969">
            <w:pPr>
              <w:spacing w:before="120"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x</w:t>
            </w:r>
          </w:p>
        </w:tc>
        <w:tc>
          <w:tcPr>
            <w:tcW w:w="1196" w:type="dxa"/>
            <w:tcBorders>
              <w:top w:val="outset" w:sz="6" w:space="0" w:color="00000A"/>
              <w:left w:val="outset" w:sz="6" w:space="0" w:color="00000A"/>
              <w:bottom w:val="outset" w:sz="6" w:space="0" w:color="00000A"/>
              <w:right w:val="outset" w:sz="6" w:space="0" w:color="00000A"/>
            </w:tcBorders>
            <w:vAlign w:val="center"/>
          </w:tcPr>
          <w:p w14:paraId="23346786" w14:textId="77777777" w:rsidR="00F42969" w:rsidRDefault="00F42969">
            <w:pPr>
              <w:spacing w:before="120" w:line="276" w:lineRule="auto"/>
              <w:jc w:val="both"/>
              <w:rPr>
                <w:rFonts w:ascii="Times New Roman" w:hAnsi="Times New Roman" w:cs="Times New Roman"/>
                <w:color w:val="000000" w:themeColor="text1"/>
              </w:rPr>
            </w:pPr>
          </w:p>
        </w:tc>
      </w:tr>
      <w:tr w:rsidR="00F42969" w14:paraId="0D6D0010" w14:textId="77777777" w:rsidTr="00F42969">
        <w:tc>
          <w:tcPr>
            <w:tcW w:w="5507" w:type="dxa"/>
            <w:tcBorders>
              <w:top w:val="outset" w:sz="6" w:space="0" w:color="00000A"/>
              <w:left w:val="outset" w:sz="6" w:space="0" w:color="00000A"/>
              <w:bottom w:val="outset" w:sz="6" w:space="0" w:color="00000A"/>
              <w:right w:val="outset" w:sz="6" w:space="0" w:color="00000A"/>
            </w:tcBorders>
            <w:vAlign w:val="center"/>
            <w:hideMark/>
          </w:tcPr>
          <w:p w14:paraId="032B7C91" w14:textId="77777777" w:rsidR="00F42969" w:rsidRDefault="00F42969">
            <w:pPr>
              <w:spacing w:before="120" w:line="276" w:lineRule="auto"/>
              <w:jc w:val="both"/>
              <w:rPr>
                <w:rFonts w:ascii="Times New Roman" w:hAnsi="Times New Roman" w:cs="Times New Roman"/>
                <w:color w:val="000000" w:themeColor="text1"/>
              </w:rPr>
            </w:pPr>
            <w:r>
              <w:rPr>
                <w:rFonts w:ascii="Times New Roman" w:hAnsi="Times New Roman" w:cs="Times New Roman"/>
                <w:color w:val="000000" w:themeColor="text1"/>
              </w:rPr>
              <w:t>4. Vplyvy na životné prostredie</w:t>
            </w:r>
          </w:p>
        </w:tc>
        <w:tc>
          <w:tcPr>
            <w:tcW w:w="1189" w:type="dxa"/>
            <w:tcBorders>
              <w:top w:val="outset" w:sz="6" w:space="0" w:color="00000A"/>
              <w:left w:val="outset" w:sz="6" w:space="0" w:color="00000A"/>
              <w:bottom w:val="outset" w:sz="6" w:space="0" w:color="00000A"/>
              <w:right w:val="outset" w:sz="6" w:space="0" w:color="00000A"/>
            </w:tcBorders>
            <w:vAlign w:val="center"/>
          </w:tcPr>
          <w:p w14:paraId="365674C2" w14:textId="77777777" w:rsidR="00F42969" w:rsidRDefault="00F42969">
            <w:pPr>
              <w:spacing w:before="120" w:line="276" w:lineRule="auto"/>
              <w:jc w:val="both"/>
              <w:rPr>
                <w:rFonts w:ascii="Times New Roman" w:hAnsi="Times New Roman" w:cs="Times New Roman"/>
                <w:color w:val="000000" w:themeColor="text1"/>
              </w:rPr>
            </w:pPr>
          </w:p>
        </w:tc>
        <w:tc>
          <w:tcPr>
            <w:tcW w:w="1179" w:type="dxa"/>
            <w:tcBorders>
              <w:top w:val="outset" w:sz="6" w:space="0" w:color="00000A"/>
              <w:left w:val="outset" w:sz="6" w:space="0" w:color="00000A"/>
              <w:bottom w:val="outset" w:sz="6" w:space="0" w:color="00000A"/>
              <w:right w:val="outset" w:sz="6" w:space="0" w:color="00000A"/>
            </w:tcBorders>
            <w:vAlign w:val="center"/>
            <w:hideMark/>
          </w:tcPr>
          <w:p w14:paraId="2DCA0528" w14:textId="77777777" w:rsidR="00F42969" w:rsidRDefault="00F42969">
            <w:pPr>
              <w:spacing w:before="120"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x</w:t>
            </w:r>
          </w:p>
        </w:tc>
        <w:tc>
          <w:tcPr>
            <w:tcW w:w="1196" w:type="dxa"/>
            <w:tcBorders>
              <w:top w:val="outset" w:sz="6" w:space="0" w:color="00000A"/>
              <w:left w:val="outset" w:sz="6" w:space="0" w:color="00000A"/>
              <w:bottom w:val="outset" w:sz="6" w:space="0" w:color="00000A"/>
              <w:right w:val="outset" w:sz="6" w:space="0" w:color="00000A"/>
            </w:tcBorders>
            <w:vAlign w:val="center"/>
          </w:tcPr>
          <w:p w14:paraId="3A348F5F" w14:textId="77777777" w:rsidR="00F42969" w:rsidRDefault="00F42969">
            <w:pPr>
              <w:spacing w:before="120" w:line="276" w:lineRule="auto"/>
              <w:jc w:val="both"/>
              <w:rPr>
                <w:rFonts w:ascii="Times New Roman" w:hAnsi="Times New Roman" w:cs="Times New Roman"/>
                <w:color w:val="000000" w:themeColor="text1"/>
              </w:rPr>
            </w:pPr>
          </w:p>
        </w:tc>
      </w:tr>
      <w:tr w:rsidR="00F42969" w14:paraId="01CF4CEE" w14:textId="77777777" w:rsidTr="00F42969">
        <w:tc>
          <w:tcPr>
            <w:tcW w:w="5507" w:type="dxa"/>
            <w:tcBorders>
              <w:top w:val="outset" w:sz="6" w:space="0" w:color="00000A"/>
              <w:left w:val="outset" w:sz="6" w:space="0" w:color="00000A"/>
              <w:bottom w:val="outset" w:sz="6" w:space="0" w:color="00000A"/>
              <w:right w:val="outset" w:sz="6" w:space="0" w:color="00000A"/>
            </w:tcBorders>
            <w:vAlign w:val="center"/>
            <w:hideMark/>
          </w:tcPr>
          <w:p w14:paraId="29A82368" w14:textId="77777777" w:rsidR="00F42969" w:rsidRDefault="00F42969">
            <w:pPr>
              <w:spacing w:before="120" w:line="276" w:lineRule="auto"/>
              <w:jc w:val="both"/>
              <w:rPr>
                <w:rFonts w:ascii="Times New Roman" w:hAnsi="Times New Roman" w:cs="Times New Roman"/>
                <w:color w:val="000000" w:themeColor="text1"/>
              </w:rPr>
            </w:pPr>
            <w:r>
              <w:rPr>
                <w:rFonts w:ascii="Times New Roman" w:hAnsi="Times New Roman" w:cs="Times New Roman"/>
                <w:color w:val="000000" w:themeColor="text1"/>
              </w:rPr>
              <w:t>5. Vplyvy na informatizáciu spoločnosti</w:t>
            </w:r>
          </w:p>
        </w:tc>
        <w:tc>
          <w:tcPr>
            <w:tcW w:w="1189" w:type="dxa"/>
            <w:tcBorders>
              <w:top w:val="outset" w:sz="6" w:space="0" w:color="00000A"/>
              <w:left w:val="outset" w:sz="6" w:space="0" w:color="00000A"/>
              <w:bottom w:val="outset" w:sz="6" w:space="0" w:color="00000A"/>
              <w:right w:val="outset" w:sz="6" w:space="0" w:color="00000A"/>
            </w:tcBorders>
            <w:vAlign w:val="center"/>
          </w:tcPr>
          <w:p w14:paraId="32630C19" w14:textId="77777777" w:rsidR="00F42969" w:rsidRDefault="00F42969">
            <w:pPr>
              <w:spacing w:before="120" w:line="276" w:lineRule="auto"/>
              <w:jc w:val="both"/>
              <w:rPr>
                <w:rFonts w:ascii="Times New Roman" w:hAnsi="Times New Roman" w:cs="Times New Roman"/>
                <w:color w:val="000000" w:themeColor="text1"/>
              </w:rPr>
            </w:pPr>
          </w:p>
        </w:tc>
        <w:tc>
          <w:tcPr>
            <w:tcW w:w="1179" w:type="dxa"/>
            <w:tcBorders>
              <w:top w:val="outset" w:sz="6" w:space="0" w:color="00000A"/>
              <w:left w:val="outset" w:sz="6" w:space="0" w:color="00000A"/>
              <w:bottom w:val="outset" w:sz="6" w:space="0" w:color="00000A"/>
              <w:right w:val="outset" w:sz="6" w:space="0" w:color="00000A"/>
            </w:tcBorders>
            <w:vAlign w:val="center"/>
            <w:hideMark/>
          </w:tcPr>
          <w:p w14:paraId="1CD3E138" w14:textId="77777777" w:rsidR="00F42969" w:rsidRDefault="00F42969">
            <w:pPr>
              <w:spacing w:before="120"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x</w:t>
            </w:r>
          </w:p>
        </w:tc>
        <w:tc>
          <w:tcPr>
            <w:tcW w:w="1196" w:type="dxa"/>
            <w:tcBorders>
              <w:top w:val="outset" w:sz="6" w:space="0" w:color="00000A"/>
              <w:left w:val="outset" w:sz="6" w:space="0" w:color="00000A"/>
              <w:bottom w:val="outset" w:sz="6" w:space="0" w:color="00000A"/>
              <w:right w:val="outset" w:sz="6" w:space="0" w:color="00000A"/>
            </w:tcBorders>
            <w:vAlign w:val="center"/>
          </w:tcPr>
          <w:p w14:paraId="0773D56C" w14:textId="77777777" w:rsidR="00F42969" w:rsidRDefault="00F42969">
            <w:pPr>
              <w:spacing w:before="120" w:line="276" w:lineRule="auto"/>
              <w:jc w:val="both"/>
              <w:rPr>
                <w:rFonts w:ascii="Times New Roman" w:hAnsi="Times New Roman" w:cs="Times New Roman"/>
                <w:color w:val="000000" w:themeColor="text1"/>
              </w:rPr>
            </w:pPr>
          </w:p>
        </w:tc>
      </w:tr>
    </w:tbl>
    <w:p w14:paraId="08C6FEE3" w14:textId="77777777" w:rsidR="00F42969" w:rsidRDefault="00F42969" w:rsidP="00F42969">
      <w:pPr>
        <w:spacing w:before="120" w:line="276" w:lineRule="auto"/>
        <w:jc w:val="both"/>
        <w:rPr>
          <w:rFonts w:ascii="Times New Roman" w:hAnsi="Times New Roman" w:cs="Times New Roman"/>
          <w:color w:val="000000" w:themeColor="text1"/>
        </w:rPr>
      </w:pPr>
    </w:p>
    <w:p w14:paraId="552CF553" w14:textId="77777777" w:rsidR="00F42969" w:rsidRDefault="00F42969" w:rsidP="00F42969">
      <w:pPr>
        <w:spacing w:before="120" w:line="276" w:lineRule="auto"/>
        <w:jc w:val="both"/>
        <w:rPr>
          <w:rFonts w:ascii="Times New Roman" w:hAnsi="Times New Roman" w:cs="Times New Roman"/>
          <w:color w:val="000000" w:themeColor="text1"/>
        </w:rPr>
      </w:pPr>
      <w:r>
        <w:rPr>
          <w:rFonts w:ascii="Times New Roman" w:hAnsi="Times New Roman" w:cs="Times New Roman"/>
          <w:b/>
          <w:bCs/>
          <w:color w:val="000000" w:themeColor="text1"/>
        </w:rPr>
        <w:t>A.3. Poznámky</w:t>
      </w:r>
    </w:p>
    <w:p w14:paraId="38CC5E17" w14:textId="77777777" w:rsidR="00F42969" w:rsidRDefault="00F42969" w:rsidP="00F42969">
      <w:pPr>
        <w:spacing w:before="120" w:line="276" w:lineRule="auto"/>
        <w:jc w:val="both"/>
        <w:rPr>
          <w:rFonts w:ascii="Times New Roman" w:hAnsi="Times New Roman" w:cs="Times New Roman"/>
          <w:i/>
          <w:color w:val="000000" w:themeColor="text1"/>
        </w:rPr>
      </w:pPr>
      <w:r>
        <w:rPr>
          <w:rFonts w:ascii="Times New Roman" w:hAnsi="Times New Roman" w:cs="Times New Roman"/>
          <w:i/>
          <w:color w:val="000000" w:themeColor="text1"/>
        </w:rPr>
        <w:t>bezpredmetné</w:t>
      </w:r>
    </w:p>
    <w:p w14:paraId="134266F5" w14:textId="77777777" w:rsidR="00F42969" w:rsidRDefault="00F42969" w:rsidP="00F42969">
      <w:pPr>
        <w:spacing w:before="120" w:line="276" w:lineRule="auto"/>
        <w:jc w:val="both"/>
        <w:rPr>
          <w:rFonts w:ascii="Times New Roman" w:hAnsi="Times New Roman" w:cs="Times New Roman"/>
          <w:b/>
          <w:bCs/>
          <w:color w:val="000000" w:themeColor="text1"/>
        </w:rPr>
      </w:pPr>
    </w:p>
    <w:p w14:paraId="75748D3B" w14:textId="77777777" w:rsidR="00F42969" w:rsidRDefault="00F42969" w:rsidP="00F42969">
      <w:pPr>
        <w:spacing w:before="120" w:line="276" w:lineRule="auto"/>
        <w:jc w:val="both"/>
        <w:rPr>
          <w:rFonts w:ascii="Times New Roman" w:hAnsi="Times New Roman" w:cs="Times New Roman"/>
          <w:b/>
          <w:bCs/>
          <w:color w:val="000000" w:themeColor="text1"/>
        </w:rPr>
      </w:pPr>
      <w:r>
        <w:rPr>
          <w:rFonts w:ascii="Times New Roman" w:hAnsi="Times New Roman" w:cs="Times New Roman"/>
          <w:b/>
          <w:bCs/>
          <w:color w:val="000000" w:themeColor="text1"/>
        </w:rPr>
        <w:t>A.4. Alternatívne riešenia</w:t>
      </w:r>
    </w:p>
    <w:p w14:paraId="135B1489" w14:textId="77777777" w:rsidR="00F42969" w:rsidRDefault="00F42969" w:rsidP="00F42969">
      <w:pPr>
        <w:spacing w:before="120" w:line="276" w:lineRule="auto"/>
        <w:jc w:val="both"/>
        <w:rPr>
          <w:rFonts w:ascii="Times New Roman" w:hAnsi="Times New Roman" w:cs="Times New Roman"/>
          <w:i/>
          <w:color w:val="000000" w:themeColor="text1"/>
        </w:rPr>
      </w:pPr>
      <w:r>
        <w:rPr>
          <w:rFonts w:ascii="Times New Roman" w:hAnsi="Times New Roman" w:cs="Times New Roman"/>
          <w:i/>
          <w:color w:val="000000" w:themeColor="text1"/>
        </w:rPr>
        <w:t>bezpredmetné </w:t>
      </w:r>
    </w:p>
    <w:p w14:paraId="282F883D" w14:textId="77777777" w:rsidR="00F42969" w:rsidRDefault="00F42969" w:rsidP="00F42969">
      <w:pPr>
        <w:pStyle w:val="Normlnywebov"/>
        <w:spacing w:before="120" w:beforeAutospacing="0" w:after="0" w:afterAutospacing="0" w:line="276" w:lineRule="auto"/>
        <w:ind w:left="567" w:hanging="567"/>
        <w:jc w:val="both"/>
        <w:rPr>
          <w:b/>
          <w:bCs/>
          <w:color w:val="000000" w:themeColor="text1"/>
        </w:rPr>
      </w:pPr>
    </w:p>
    <w:p w14:paraId="428A560A" w14:textId="77777777" w:rsidR="00F42969" w:rsidRDefault="00F42969" w:rsidP="00F42969">
      <w:pPr>
        <w:pStyle w:val="Normlnywebov"/>
        <w:spacing w:before="120" w:beforeAutospacing="0" w:after="0" w:afterAutospacing="0" w:line="276" w:lineRule="auto"/>
        <w:ind w:left="567" w:hanging="567"/>
        <w:jc w:val="both"/>
        <w:rPr>
          <w:color w:val="000000" w:themeColor="text1"/>
        </w:rPr>
      </w:pPr>
      <w:r>
        <w:rPr>
          <w:b/>
          <w:bCs/>
          <w:color w:val="000000" w:themeColor="text1"/>
        </w:rPr>
        <w:t xml:space="preserve">A.5. </w:t>
      </w:r>
      <w:r>
        <w:rPr>
          <w:b/>
          <w:bCs/>
          <w:color w:val="000000" w:themeColor="text1"/>
        </w:rPr>
        <w:tab/>
        <w:t>Stanovisko gestorov</w:t>
      </w:r>
    </w:p>
    <w:p w14:paraId="50139B38" w14:textId="1399EC93" w:rsidR="00F42969" w:rsidRDefault="00C323C4" w:rsidP="00F42969">
      <w:pPr>
        <w:pStyle w:val="Normlnywebov"/>
        <w:spacing w:before="120" w:beforeAutospacing="0" w:after="0" w:afterAutospacing="0" w:line="276" w:lineRule="auto"/>
        <w:jc w:val="both"/>
        <w:rPr>
          <w:color w:val="000000" w:themeColor="text1"/>
        </w:rPr>
      </w:pPr>
      <w:r w:rsidRPr="00C323C4">
        <w:rPr>
          <w:i/>
          <w:iCs/>
          <w:color w:val="000000" w:themeColor="text1"/>
        </w:rPr>
        <w:t>Návrh zákona bol zaslaný na vyjadrenie Ministerstvu financií SR.</w:t>
      </w:r>
    </w:p>
    <w:p w14:paraId="7BDF9C41" w14:textId="77777777" w:rsidR="00F42969" w:rsidRPr="00D60773" w:rsidRDefault="00F42969" w:rsidP="00B83154">
      <w:pPr>
        <w:jc w:val="both"/>
        <w:rPr>
          <w:rFonts w:ascii="Times New Roman" w:hAnsi="Times New Roman" w:cs="Times New Roman"/>
          <w:color w:val="000000" w:themeColor="text1"/>
        </w:rPr>
      </w:pPr>
    </w:p>
    <w:sectPr w:rsidR="00F42969" w:rsidRPr="00D60773" w:rsidSect="00A8760C">
      <w:footerReference w:type="even" r:id="rId8"/>
      <w:footerReference w:type="default" r:id="rId9"/>
      <w:headerReference w:type="first" r:id="rId10"/>
      <w:footerReference w:type="first" r:id="rId11"/>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815ABF" w14:textId="77777777" w:rsidR="0004361E" w:rsidRDefault="0004361E" w:rsidP="00A8760C">
      <w:r>
        <w:separator/>
      </w:r>
    </w:p>
  </w:endnote>
  <w:endnote w:type="continuationSeparator" w:id="0">
    <w:p w14:paraId="318008DB" w14:textId="77777777" w:rsidR="0004361E" w:rsidRDefault="0004361E" w:rsidP="00A87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lostrany"/>
      </w:rPr>
      <w:id w:val="1059671911"/>
      <w:docPartObj>
        <w:docPartGallery w:val="Page Numbers (Bottom of Page)"/>
        <w:docPartUnique/>
      </w:docPartObj>
    </w:sdtPr>
    <w:sdtEndPr>
      <w:rPr>
        <w:rStyle w:val="slostrany"/>
      </w:rPr>
    </w:sdtEndPr>
    <w:sdtContent>
      <w:p w14:paraId="7A86EBEA" w14:textId="77777777" w:rsidR="00A8760C" w:rsidRDefault="00A8760C" w:rsidP="001D1D86">
        <w:pPr>
          <w:pStyle w:val="Pta"/>
          <w:framePr w:wrap="none" w:vAnchor="text" w:hAnchor="margin" w:xAlign="center" w:y="1"/>
          <w:rPr>
            <w:rStyle w:val="slostrany"/>
          </w:rPr>
        </w:pPr>
        <w:r>
          <w:rPr>
            <w:rStyle w:val="slostrany"/>
          </w:rPr>
          <w:fldChar w:fldCharType="begin"/>
        </w:r>
        <w:r>
          <w:rPr>
            <w:rStyle w:val="slostrany"/>
          </w:rPr>
          <w:instrText xml:space="preserve"> PAGE </w:instrText>
        </w:r>
        <w:r>
          <w:rPr>
            <w:rStyle w:val="slostrany"/>
          </w:rPr>
          <w:fldChar w:fldCharType="end"/>
        </w:r>
      </w:p>
    </w:sdtContent>
  </w:sdt>
  <w:p w14:paraId="25156606" w14:textId="77777777" w:rsidR="00A8760C" w:rsidRDefault="00A8760C">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lostrany"/>
        <w:rFonts w:ascii="Times New Roman" w:hAnsi="Times New Roman" w:cs="Times New Roman"/>
      </w:rPr>
      <w:id w:val="2107917989"/>
      <w:docPartObj>
        <w:docPartGallery w:val="Page Numbers (Bottom of Page)"/>
        <w:docPartUnique/>
      </w:docPartObj>
    </w:sdtPr>
    <w:sdtEndPr>
      <w:rPr>
        <w:rStyle w:val="slostrany"/>
      </w:rPr>
    </w:sdtEndPr>
    <w:sdtContent>
      <w:p w14:paraId="78662402" w14:textId="77777777" w:rsidR="00A8760C" w:rsidRPr="00A8760C" w:rsidRDefault="00A8760C" w:rsidP="001D1D86">
        <w:pPr>
          <w:pStyle w:val="Pta"/>
          <w:framePr w:wrap="none" w:vAnchor="text" w:hAnchor="margin" w:xAlign="center" w:y="1"/>
          <w:rPr>
            <w:rStyle w:val="slostrany"/>
            <w:rFonts w:ascii="Times New Roman" w:hAnsi="Times New Roman" w:cs="Times New Roman"/>
          </w:rPr>
        </w:pPr>
        <w:r w:rsidRPr="00A8760C">
          <w:rPr>
            <w:rStyle w:val="slostrany"/>
            <w:rFonts w:ascii="Times New Roman" w:hAnsi="Times New Roman" w:cs="Times New Roman"/>
          </w:rPr>
          <w:fldChar w:fldCharType="begin"/>
        </w:r>
        <w:r w:rsidRPr="00A8760C">
          <w:rPr>
            <w:rStyle w:val="slostrany"/>
            <w:rFonts w:ascii="Times New Roman" w:hAnsi="Times New Roman" w:cs="Times New Roman"/>
          </w:rPr>
          <w:instrText xml:space="preserve"> PAGE </w:instrText>
        </w:r>
        <w:r w:rsidRPr="00A8760C">
          <w:rPr>
            <w:rStyle w:val="slostrany"/>
            <w:rFonts w:ascii="Times New Roman" w:hAnsi="Times New Roman" w:cs="Times New Roman"/>
          </w:rPr>
          <w:fldChar w:fldCharType="separate"/>
        </w:r>
        <w:r w:rsidR="00127F4B">
          <w:rPr>
            <w:rStyle w:val="slostrany"/>
            <w:rFonts w:ascii="Times New Roman" w:hAnsi="Times New Roman" w:cs="Times New Roman"/>
            <w:noProof/>
          </w:rPr>
          <w:t>2</w:t>
        </w:r>
        <w:r w:rsidRPr="00A8760C">
          <w:rPr>
            <w:rStyle w:val="slostrany"/>
            <w:rFonts w:ascii="Times New Roman" w:hAnsi="Times New Roman" w:cs="Times New Roman"/>
          </w:rPr>
          <w:fldChar w:fldCharType="end"/>
        </w:r>
      </w:p>
    </w:sdtContent>
  </w:sdt>
  <w:p w14:paraId="01806AF9" w14:textId="77777777" w:rsidR="00A8760C" w:rsidRPr="00A8760C" w:rsidRDefault="00A8760C">
    <w:pPr>
      <w:pStyle w:val="Pta"/>
      <w:rPr>
        <w:rFonts w:ascii="Times New Roman" w:hAnsi="Times New Roman" w:cs="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9547904"/>
      <w:docPartObj>
        <w:docPartGallery w:val="Page Numbers (Bottom of Page)"/>
        <w:docPartUnique/>
      </w:docPartObj>
    </w:sdtPr>
    <w:sdtEndPr/>
    <w:sdtContent>
      <w:p w14:paraId="2C659F72" w14:textId="77777777" w:rsidR="00EF0811" w:rsidRDefault="00EF0811">
        <w:pPr>
          <w:pStyle w:val="Pta"/>
          <w:jc w:val="center"/>
        </w:pPr>
        <w:r>
          <w:fldChar w:fldCharType="begin"/>
        </w:r>
        <w:r>
          <w:instrText>PAGE   \* MERGEFORMAT</w:instrText>
        </w:r>
        <w:r>
          <w:fldChar w:fldCharType="separate"/>
        </w:r>
        <w:r>
          <w:t>2</w:t>
        </w:r>
        <w:r>
          <w:fldChar w:fldCharType="end"/>
        </w:r>
      </w:p>
    </w:sdtContent>
  </w:sdt>
  <w:p w14:paraId="51A2A61D" w14:textId="77777777" w:rsidR="00EF0811" w:rsidRDefault="00EF081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D4F1E9" w14:textId="77777777" w:rsidR="0004361E" w:rsidRDefault="0004361E" w:rsidP="00A8760C">
      <w:r>
        <w:separator/>
      </w:r>
    </w:p>
  </w:footnote>
  <w:footnote w:type="continuationSeparator" w:id="0">
    <w:p w14:paraId="68002496" w14:textId="77777777" w:rsidR="0004361E" w:rsidRDefault="0004361E" w:rsidP="00A876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A0AAF5" w14:textId="77777777" w:rsidR="00EF0811" w:rsidRDefault="00EF0811">
    <w:pPr>
      <w:pStyle w:val="Hlavika"/>
      <w:jc w:val="center"/>
    </w:pPr>
  </w:p>
  <w:p w14:paraId="5DCB80C6" w14:textId="77777777" w:rsidR="00EF0811" w:rsidRDefault="00EF0811">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32146"/>
    <w:multiLevelType w:val="hybridMultilevel"/>
    <w:tmpl w:val="7BB416DC"/>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1D12291"/>
    <w:multiLevelType w:val="hybridMultilevel"/>
    <w:tmpl w:val="ECA067CA"/>
    <w:lvl w:ilvl="0" w:tplc="041B0019">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D503310"/>
    <w:multiLevelType w:val="hybridMultilevel"/>
    <w:tmpl w:val="C296B14A"/>
    <w:lvl w:ilvl="0" w:tplc="C01CA3CE">
      <w:start w:val="1"/>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F204E8D"/>
    <w:multiLevelType w:val="multilevel"/>
    <w:tmpl w:val="96407DEC"/>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61217100"/>
    <w:multiLevelType w:val="hybridMultilevel"/>
    <w:tmpl w:val="3A64777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63D36B8F"/>
    <w:multiLevelType w:val="hybridMultilevel"/>
    <w:tmpl w:val="B9FC7588"/>
    <w:lvl w:ilvl="0" w:tplc="648CDDB8">
      <w:start w:val="2"/>
      <w:numFmt w:val="bullet"/>
      <w:lvlText w:val="-"/>
      <w:lvlJc w:val="left"/>
      <w:pPr>
        <w:ind w:left="410" w:hanging="360"/>
      </w:pPr>
      <w:rPr>
        <w:rFonts w:ascii="Times" w:eastAsia="Times New Roman" w:hAnsi="Times" w:hint="default"/>
        <w:i w:val="0"/>
      </w:rPr>
    </w:lvl>
    <w:lvl w:ilvl="1" w:tplc="041B0003" w:tentative="1">
      <w:start w:val="1"/>
      <w:numFmt w:val="bullet"/>
      <w:lvlText w:val="o"/>
      <w:lvlJc w:val="left"/>
      <w:pPr>
        <w:ind w:left="1130" w:hanging="360"/>
      </w:pPr>
      <w:rPr>
        <w:rFonts w:ascii="Courier New" w:hAnsi="Courier New" w:hint="default"/>
      </w:rPr>
    </w:lvl>
    <w:lvl w:ilvl="2" w:tplc="041B0005" w:tentative="1">
      <w:start w:val="1"/>
      <w:numFmt w:val="bullet"/>
      <w:lvlText w:val=""/>
      <w:lvlJc w:val="left"/>
      <w:pPr>
        <w:ind w:left="1850" w:hanging="360"/>
      </w:pPr>
      <w:rPr>
        <w:rFonts w:ascii="Wingdings" w:hAnsi="Wingdings" w:hint="default"/>
      </w:rPr>
    </w:lvl>
    <w:lvl w:ilvl="3" w:tplc="041B0001" w:tentative="1">
      <w:start w:val="1"/>
      <w:numFmt w:val="bullet"/>
      <w:lvlText w:val=""/>
      <w:lvlJc w:val="left"/>
      <w:pPr>
        <w:ind w:left="2570" w:hanging="360"/>
      </w:pPr>
      <w:rPr>
        <w:rFonts w:ascii="Symbol" w:hAnsi="Symbol" w:hint="default"/>
      </w:rPr>
    </w:lvl>
    <w:lvl w:ilvl="4" w:tplc="041B0003" w:tentative="1">
      <w:start w:val="1"/>
      <w:numFmt w:val="bullet"/>
      <w:lvlText w:val="o"/>
      <w:lvlJc w:val="left"/>
      <w:pPr>
        <w:ind w:left="3290" w:hanging="360"/>
      </w:pPr>
      <w:rPr>
        <w:rFonts w:ascii="Courier New" w:hAnsi="Courier New" w:hint="default"/>
      </w:rPr>
    </w:lvl>
    <w:lvl w:ilvl="5" w:tplc="041B0005" w:tentative="1">
      <w:start w:val="1"/>
      <w:numFmt w:val="bullet"/>
      <w:lvlText w:val=""/>
      <w:lvlJc w:val="left"/>
      <w:pPr>
        <w:ind w:left="4010" w:hanging="360"/>
      </w:pPr>
      <w:rPr>
        <w:rFonts w:ascii="Wingdings" w:hAnsi="Wingdings" w:hint="default"/>
      </w:rPr>
    </w:lvl>
    <w:lvl w:ilvl="6" w:tplc="041B0001" w:tentative="1">
      <w:start w:val="1"/>
      <w:numFmt w:val="bullet"/>
      <w:lvlText w:val=""/>
      <w:lvlJc w:val="left"/>
      <w:pPr>
        <w:ind w:left="4730" w:hanging="360"/>
      </w:pPr>
      <w:rPr>
        <w:rFonts w:ascii="Symbol" w:hAnsi="Symbol" w:hint="default"/>
      </w:rPr>
    </w:lvl>
    <w:lvl w:ilvl="7" w:tplc="041B0003" w:tentative="1">
      <w:start w:val="1"/>
      <w:numFmt w:val="bullet"/>
      <w:lvlText w:val="o"/>
      <w:lvlJc w:val="left"/>
      <w:pPr>
        <w:ind w:left="5450" w:hanging="360"/>
      </w:pPr>
      <w:rPr>
        <w:rFonts w:ascii="Courier New" w:hAnsi="Courier New" w:hint="default"/>
      </w:rPr>
    </w:lvl>
    <w:lvl w:ilvl="8" w:tplc="041B0005" w:tentative="1">
      <w:start w:val="1"/>
      <w:numFmt w:val="bullet"/>
      <w:lvlText w:val=""/>
      <w:lvlJc w:val="left"/>
      <w:pPr>
        <w:ind w:left="6170" w:hanging="360"/>
      </w:pPr>
      <w:rPr>
        <w:rFonts w:ascii="Wingdings" w:hAnsi="Wingdings" w:hint="default"/>
      </w:rPr>
    </w:lvl>
  </w:abstractNum>
  <w:abstractNum w:abstractNumId="6" w15:restartNumberingAfterBreak="0">
    <w:nsid w:val="7C645C37"/>
    <w:multiLevelType w:val="hybridMultilevel"/>
    <w:tmpl w:val="35F080D8"/>
    <w:lvl w:ilvl="0" w:tplc="56FA3CDA">
      <w:start w:val="36"/>
      <w:numFmt w:val="decimal"/>
      <w:lvlText w:val="%1."/>
      <w:lvlJc w:val="left"/>
      <w:pPr>
        <w:tabs>
          <w:tab w:val="num" w:pos="720"/>
        </w:tabs>
        <w:ind w:left="720" w:hanging="360"/>
      </w:pPr>
      <w:rPr>
        <w:rFonts w:cs="Times New Roman"/>
      </w:rPr>
    </w:lvl>
    <w:lvl w:ilvl="1" w:tplc="54129866">
      <w:start w:val="1"/>
      <w:numFmt w:val="lowerLetter"/>
      <w:lvlText w:val="%2)"/>
      <w:lvlJc w:val="left"/>
      <w:pPr>
        <w:tabs>
          <w:tab w:val="num" w:pos="1440"/>
        </w:tabs>
        <w:ind w:left="1440" w:hanging="360"/>
      </w:pPr>
      <w:rPr>
        <w:rFonts w:ascii="Times New Roman" w:eastAsia="Times New Roman" w:hAnsi="Times New Roman"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num w:numId="1">
    <w:abstractNumId w:val="0"/>
  </w:num>
  <w:num w:numId="2">
    <w:abstractNumId w:val="4"/>
  </w:num>
  <w:num w:numId="3">
    <w:abstractNumId w:val="2"/>
  </w:num>
  <w:num w:numId="4">
    <w:abstractNumId w:val="5"/>
  </w:num>
  <w:num w:numId="5">
    <w:abstractNumId w:val="6"/>
    <w:lvlOverride w:ilvl="0">
      <w:startOverride w:val="3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AwszA2MDY1MDUxNDJT0lEKTi0uzszPAykwrQUAEk614iwAAAA="/>
  </w:docVars>
  <w:rsids>
    <w:rsidRoot w:val="00BE2399"/>
    <w:rsid w:val="0004361E"/>
    <w:rsid w:val="00045086"/>
    <w:rsid w:val="00055641"/>
    <w:rsid w:val="00057603"/>
    <w:rsid w:val="000761CB"/>
    <w:rsid w:val="0008015B"/>
    <w:rsid w:val="00082E79"/>
    <w:rsid w:val="000843A4"/>
    <w:rsid w:val="00090EA2"/>
    <w:rsid w:val="0009435F"/>
    <w:rsid w:val="000A35E6"/>
    <w:rsid w:val="000A6519"/>
    <w:rsid w:val="000B54AD"/>
    <w:rsid w:val="000B5E7A"/>
    <w:rsid w:val="000C493B"/>
    <w:rsid w:val="000F56B6"/>
    <w:rsid w:val="001264FB"/>
    <w:rsid w:val="00127F4B"/>
    <w:rsid w:val="00145931"/>
    <w:rsid w:val="00155991"/>
    <w:rsid w:val="0019318E"/>
    <w:rsid w:val="001B22FF"/>
    <w:rsid w:val="001F103A"/>
    <w:rsid w:val="001F4D4E"/>
    <w:rsid w:val="002061AA"/>
    <w:rsid w:val="002063ED"/>
    <w:rsid w:val="002471FC"/>
    <w:rsid w:val="00260CC7"/>
    <w:rsid w:val="00263889"/>
    <w:rsid w:val="00277BE4"/>
    <w:rsid w:val="00281B1D"/>
    <w:rsid w:val="002A37C4"/>
    <w:rsid w:val="00316A26"/>
    <w:rsid w:val="003175E8"/>
    <w:rsid w:val="00317DC4"/>
    <w:rsid w:val="003205C3"/>
    <w:rsid w:val="00350DC1"/>
    <w:rsid w:val="003527EB"/>
    <w:rsid w:val="00355B12"/>
    <w:rsid w:val="0037025A"/>
    <w:rsid w:val="00377B0D"/>
    <w:rsid w:val="003920F8"/>
    <w:rsid w:val="003A4F3F"/>
    <w:rsid w:val="003D2FCA"/>
    <w:rsid w:val="003E1AD9"/>
    <w:rsid w:val="003F46AF"/>
    <w:rsid w:val="00404741"/>
    <w:rsid w:val="00433141"/>
    <w:rsid w:val="00433D46"/>
    <w:rsid w:val="00446004"/>
    <w:rsid w:val="00463651"/>
    <w:rsid w:val="004C5139"/>
    <w:rsid w:val="004D1400"/>
    <w:rsid w:val="00500013"/>
    <w:rsid w:val="00505E0A"/>
    <w:rsid w:val="0051761C"/>
    <w:rsid w:val="005220DF"/>
    <w:rsid w:val="00526BCB"/>
    <w:rsid w:val="00535B17"/>
    <w:rsid w:val="00544392"/>
    <w:rsid w:val="005776A7"/>
    <w:rsid w:val="00587C8F"/>
    <w:rsid w:val="00595F40"/>
    <w:rsid w:val="005B0819"/>
    <w:rsid w:val="005B4EF1"/>
    <w:rsid w:val="005C0DF7"/>
    <w:rsid w:val="005D6D52"/>
    <w:rsid w:val="00620725"/>
    <w:rsid w:val="006213AF"/>
    <w:rsid w:val="00630934"/>
    <w:rsid w:val="006351F6"/>
    <w:rsid w:val="00635F60"/>
    <w:rsid w:val="00680087"/>
    <w:rsid w:val="006864D9"/>
    <w:rsid w:val="00696D3E"/>
    <w:rsid w:val="006C15A1"/>
    <w:rsid w:val="006C74C4"/>
    <w:rsid w:val="006E26EC"/>
    <w:rsid w:val="00706D76"/>
    <w:rsid w:val="00711180"/>
    <w:rsid w:val="007270FB"/>
    <w:rsid w:val="0073149C"/>
    <w:rsid w:val="007453F7"/>
    <w:rsid w:val="00750A03"/>
    <w:rsid w:val="0076386C"/>
    <w:rsid w:val="00764611"/>
    <w:rsid w:val="0076645F"/>
    <w:rsid w:val="00774679"/>
    <w:rsid w:val="00785942"/>
    <w:rsid w:val="00794488"/>
    <w:rsid w:val="00794C60"/>
    <w:rsid w:val="007C2246"/>
    <w:rsid w:val="007D4705"/>
    <w:rsid w:val="007F535E"/>
    <w:rsid w:val="00800B99"/>
    <w:rsid w:val="00803C87"/>
    <w:rsid w:val="008126BB"/>
    <w:rsid w:val="00851889"/>
    <w:rsid w:val="00866D63"/>
    <w:rsid w:val="00872B76"/>
    <w:rsid w:val="0089040E"/>
    <w:rsid w:val="008A7D9F"/>
    <w:rsid w:val="008C014A"/>
    <w:rsid w:val="008D3514"/>
    <w:rsid w:val="008D7E9B"/>
    <w:rsid w:val="008E0FBE"/>
    <w:rsid w:val="008E37A2"/>
    <w:rsid w:val="008F0400"/>
    <w:rsid w:val="00905CEF"/>
    <w:rsid w:val="0091278C"/>
    <w:rsid w:val="009337B1"/>
    <w:rsid w:val="00936279"/>
    <w:rsid w:val="009425C3"/>
    <w:rsid w:val="00947904"/>
    <w:rsid w:val="00995168"/>
    <w:rsid w:val="009A1EA0"/>
    <w:rsid w:val="009C0174"/>
    <w:rsid w:val="009D10CE"/>
    <w:rsid w:val="009E363D"/>
    <w:rsid w:val="00A17B2E"/>
    <w:rsid w:val="00A246F7"/>
    <w:rsid w:val="00A34902"/>
    <w:rsid w:val="00A503B5"/>
    <w:rsid w:val="00A82E11"/>
    <w:rsid w:val="00A8760C"/>
    <w:rsid w:val="00A9400B"/>
    <w:rsid w:val="00AA4BFC"/>
    <w:rsid w:val="00AF7F00"/>
    <w:rsid w:val="00B026AE"/>
    <w:rsid w:val="00B14ECB"/>
    <w:rsid w:val="00B1528B"/>
    <w:rsid w:val="00B15AA7"/>
    <w:rsid w:val="00B2540E"/>
    <w:rsid w:val="00B27823"/>
    <w:rsid w:val="00B4147C"/>
    <w:rsid w:val="00B83154"/>
    <w:rsid w:val="00B86ECF"/>
    <w:rsid w:val="00B94948"/>
    <w:rsid w:val="00BB4A28"/>
    <w:rsid w:val="00BD39E2"/>
    <w:rsid w:val="00BE1434"/>
    <w:rsid w:val="00BE2399"/>
    <w:rsid w:val="00BE418B"/>
    <w:rsid w:val="00BF538E"/>
    <w:rsid w:val="00C01600"/>
    <w:rsid w:val="00C20288"/>
    <w:rsid w:val="00C27F38"/>
    <w:rsid w:val="00C323C4"/>
    <w:rsid w:val="00C5445B"/>
    <w:rsid w:val="00C66CD7"/>
    <w:rsid w:val="00C8069D"/>
    <w:rsid w:val="00C87D0B"/>
    <w:rsid w:val="00C90AC6"/>
    <w:rsid w:val="00CC33BC"/>
    <w:rsid w:val="00CC46FA"/>
    <w:rsid w:val="00CD71EC"/>
    <w:rsid w:val="00CF7915"/>
    <w:rsid w:val="00CF7CED"/>
    <w:rsid w:val="00D60773"/>
    <w:rsid w:val="00D768CD"/>
    <w:rsid w:val="00D83641"/>
    <w:rsid w:val="00D85EA2"/>
    <w:rsid w:val="00DA3104"/>
    <w:rsid w:val="00DC68C8"/>
    <w:rsid w:val="00DE6B19"/>
    <w:rsid w:val="00DF7B06"/>
    <w:rsid w:val="00E14DDF"/>
    <w:rsid w:val="00E22B80"/>
    <w:rsid w:val="00E24535"/>
    <w:rsid w:val="00E64BD2"/>
    <w:rsid w:val="00E85017"/>
    <w:rsid w:val="00EA1B5A"/>
    <w:rsid w:val="00EA3411"/>
    <w:rsid w:val="00EE7B5F"/>
    <w:rsid w:val="00EF0811"/>
    <w:rsid w:val="00EF4DB6"/>
    <w:rsid w:val="00EF5B40"/>
    <w:rsid w:val="00F17D4B"/>
    <w:rsid w:val="00F25E33"/>
    <w:rsid w:val="00F31928"/>
    <w:rsid w:val="00F42969"/>
    <w:rsid w:val="00F5283D"/>
    <w:rsid w:val="00F52CE4"/>
    <w:rsid w:val="00F56ACD"/>
    <w:rsid w:val="00F763F4"/>
    <w:rsid w:val="00FC029C"/>
    <w:rsid w:val="00FD6032"/>
    <w:rsid w:val="00FD7D83"/>
  </w:rsids>
  <m:mathPr>
    <m:mathFont m:val="Cambria Math"/>
    <m:brkBin m:val="before"/>
    <m:brkBinSub m:val="--"/>
    <m:smallFrac m:val="0"/>
    <m:dispDef/>
    <m:lMargin m:val="0"/>
    <m:rMargin m:val="0"/>
    <m:defJc m:val="centerGroup"/>
    <m:wrapIndent m:val="1440"/>
    <m:intLim m:val="subSup"/>
    <m:naryLim m:val="undOvr"/>
  </m:mathPr>
  <w:themeFontLang w:val="sk-SK"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7B2FE"/>
  <w15:docId w15:val="{2B9F2655-ECA2-48A3-BC87-CAD09F856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BE2399"/>
    <w:pPr>
      <w:ind w:left="720"/>
      <w:contextualSpacing/>
    </w:pPr>
  </w:style>
  <w:style w:type="paragraph" w:styleId="Pta">
    <w:name w:val="footer"/>
    <w:basedOn w:val="Normlny"/>
    <w:link w:val="PtaChar"/>
    <w:uiPriority w:val="99"/>
    <w:unhideWhenUsed/>
    <w:rsid w:val="00A8760C"/>
    <w:pPr>
      <w:tabs>
        <w:tab w:val="center" w:pos="4536"/>
        <w:tab w:val="right" w:pos="9072"/>
      </w:tabs>
    </w:pPr>
  </w:style>
  <w:style w:type="character" w:customStyle="1" w:styleId="PtaChar">
    <w:name w:val="Päta Char"/>
    <w:basedOn w:val="Predvolenpsmoodseku"/>
    <w:link w:val="Pta"/>
    <w:uiPriority w:val="99"/>
    <w:rsid w:val="00A8760C"/>
  </w:style>
  <w:style w:type="character" w:styleId="slostrany">
    <w:name w:val="page number"/>
    <w:basedOn w:val="Predvolenpsmoodseku"/>
    <w:uiPriority w:val="99"/>
    <w:semiHidden/>
    <w:unhideWhenUsed/>
    <w:rsid w:val="00A8760C"/>
  </w:style>
  <w:style w:type="paragraph" w:styleId="Hlavika">
    <w:name w:val="header"/>
    <w:basedOn w:val="Normlny"/>
    <w:link w:val="HlavikaChar"/>
    <w:uiPriority w:val="99"/>
    <w:unhideWhenUsed/>
    <w:rsid w:val="00A8760C"/>
    <w:pPr>
      <w:tabs>
        <w:tab w:val="center" w:pos="4536"/>
        <w:tab w:val="right" w:pos="9072"/>
      </w:tabs>
    </w:pPr>
  </w:style>
  <w:style w:type="character" w:customStyle="1" w:styleId="HlavikaChar">
    <w:name w:val="Hlavička Char"/>
    <w:basedOn w:val="Predvolenpsmoodseku"/>
    <w:link w:val="Hlavika"/>
    <w:uiPriority w:val="99"/>
    <w:rsid w:val="00A8760C"/>
  </w:style>
  <w:style w:type="paragraph" w:styleId="Normlnywebov">
    <w:name w:val="Normal (Web)"/>
    <w:basedOn w:val="Normlny"/>
    <w:uiPriority w:val="99"/>
    <w:rsid w:val="004C5139"/>
    <w:pPr>
      <w:spacing w:before="100" w:beforeAutospacing="1" w:after="100" w:afterAutospacing="1"/>
    </w:pPr>
    <w:rPr>
      <w:rFonts w:ascii="Times New Roman" w:eastAsia="Times New Roman" w:hAnsi="Times New Roman" w:cs="Times New Roman"/>
      <w:lang w:eastAsia="sk-SK"/>
    </w:rPr>
  </w:style>
  <w:style w:type="character" w:styleId="Hypertextovprepojenie">
    <w:name w:val="Hyperlink"/>
    <w:basedOn w:val="Predvolenpsmoodseku"/>
    <w:uiPriority w:val="99"/>
    <w:unhideWhenUsed/>
    <w:rsid w:val="004C5139"/>
    <w:rPr>
      <w:rFonts w:cs="Times New Roman"/>
      <w:color w:val="0000FF"/>
      <w:u w:val="single"/>
    </w:rPr>
  </w:style>
  <w:style w:type="paragraph" w:customStyle="1" w:styleId="listparagraph">
    <w:name w:val="listparagraph"/>
    <w:basedOn w:val="Normlny"/>
    <w:uiPriority w:val="99"/>
    <w:rsid w:val="004C5139"/>
    <w:pPr>
      <w:spacing w:after="200" w:line="276" w:lineRule="auto"/>
      <w:ind w:left="720"/>
    </w:pPr>
    <w:rPr>
      <w:rFonts w:ascii="Calibri" w:eastAsia="Times New Roman" w:cstheme="minorHAnsi"/>
      <w:sz w:val="22"/>
      <w:szCs w:val="22"/>
    </w:rPr>
  </w:style>
  <w:style w:type="paragraph" w:styleId="Textbubliny">
    <w:name w:val="Balloon Text"/>
    <w:basedOn w:val="Normlny"/>
    <w:link w:val="TextbublinyChar"/>
    <w:uiPriority w:val="99"/>
    <w:semiHidden/>
    <w:unhideWhenUsed/>
    <w:rsid w:val="00706D76"/>
    <w:rPr>
      <w:rFonts w:ascii="Tahoma" w:hAnsi="Tahoma" w:cs="Tahoma"/>
      <w:sz w:val="16"/>
      <w:szCs w:val="16"/>
    </w:rPr>
  </w:style>
  <w:style w:type="character" w:customStyle="1" w:styleId="TextbublinyChar">
    <w:name w:val="Text bubliny Char"/>
    <w:basedOn w:val="Predvolenpsmoodseku"/>
    <w:link w:val="Textbubliny"/>
    <w:uiPriority w:val="99"/>
    <w:semiHidden/>
    <w:rsid w:val="00706D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6099656">
      <w:bodyDiv w:val="1"/>
      <w:marLeft w:val="0"/>
      <w:marRight w:val="0"/>
      <w:marTop w:val="0"/>
      <w:marBottom w:val="0"/>
      <w:divBdr>
        <w:top w:val="none" w:sz="0" w:space="0" w:color="auto"/>
        <w:left w:val="none" w:sz="0" w:space="0" w:color="auto"/>
        <w:bottom w:val="none" w:sz="0" w:space="0" w:color="auto"/>
        <w:right w:val="none" w:sz="0" w:space="0" w:color="auto"/>
      </w:divBdr>
    </w:div>
    <w:div w:id="1009677431">
      <w:bodyDiv w:val="1"/>
      <w:marLeft w:val="0"/>
      <w:marRight w:val="0"/>
      <w:marTop w:val="0"/>
      <w:marBottom w:val="0"/>
      <w:divBdr>
        <w:top w:val="none" w:sz="0" w:space="0" w:color="auto"/>
        <w:left w:val="none" w:sz="0" w:space="0" w:color="auto"/>
        <w:bottom w:val="none" w:sz="0" w:space="0" w:color="auto"/>
        <w:right w:val="none" w:sz="0" w:space="0" w:color="auto"/>
      </w:divBdr>
    </w:div>
    <w:div w:id="1406536211">
      <w:bodyDiv w:val="1"/>
      <w:marLeft w:val="0"/>
      <w:marRight w:val="0"/>
      <w:marTop w:val="0"/>
      <w:marBottom w:val="0"/>
      <w:divBdr>
        <w:top w:val="none" w:sz="0" w:space="0" w:color="auto"/>
        <w:left w:val="none" w:sz="0" w:space="0" w:color="auto"/>
        <w:bottom w:val="none" w:sz="0" w:space="0" w:color="auto"/>
        <w:right w:val="none" w:sz="0" w:space="0" w:color="auto"/>
      </w:divBdr>
    </w:div>
    <w:div w:id="191839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246097-C6FB-46A6-B5F0-95287879F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380</TotalTime>
  <Pages>4</Pages>
  <Words>1031</Words>
  <Characters>5878</Characters>
  <Application>Microsoft Office Word</Application>
  <DocSecurity>0</DocSecurity>
  <Lines>48</Lines>
  <Paragraphs>13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6896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dc:creator>
  <cp:lastModifiedBy>Daniel Zigo</cp:lastModifiedBy>
  <cp:revision>115</cp:revision>
  <dcterms:created xsi:type="dcterms:W3CDTF">2020-05-18T13:18:00Z</dcterms:created>
  <dcterms:modified xsi:type="dcterms:W3CDTF">2021-04-15T15:03:00Z</dcterms:modified>
</cp:coreProperties>
</file>