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01" w:rsidRPr="00314532" w:rsidRDefault="00DC4701" w:rsidP="00DC4701">
      <w:pPr>
        <w:jc w:val="center"/>
        <w:rPr>
          <w:b/>
        </w:rPr>
      </w:pPr>
      <w:bookmarkStart w:id="0" w:name="_GoBack"/>
      <w:bookmarkEnd w:id="0"/>
      <w:r w:rsidRPr="00314532">
        <w:rPr>
          <w:b/>
        </w:rPr>
        <w:t>Dôvodová správa</w:t>
      </w:r>
    </w:p>
    <w:p w:rsidR="00DC4701" w:rsidRPr="00314532" w:rsidRDefault="00DC4701" w:rsidP="00DC4701">
      <w:pPr>
        <w:pStyle w:val="AKSS"/>
        <w:jc w:val="left"/>
        <w:rPr>
          <w:rFonts w:ascii="Times New Roman" w:hAnsi="Times New Roman"/>
          <w:b/>
          <w:sz w:val="24"/>
          <w:szCs w:val="24"/>
        </w:rPr>
      </w:pPr>
    </w:p>
    <w:p w:rsidR="00DC4701" w:rsidRPr="00314532" w:rsidRDefault="00DC4701" w:rsidP="00DC4701">
      <w:pPr>
        <w:pStyle w:val="AKSS"/>
        <w:jc w:val="left"/>
        <w:rPr>
          <w:rFonts w:ascii="Times New Roman" w:hAnsi="Times New Roman"/>
          <w:sz w:val="24"/>
          <w:szCs w:val="24"/>
        </w:rPr>
      </w:pPr>
      <w:r w:rsidRPr="00314532">
        <w:rPr>
          <w:rFonts w:ascii="Times New Roman" w:hAnsi="Times New Roman"/>
          <w:b/>
          <w:sz w:val="24"/>
          <w:szCs w:val="24"/>
        </w:rPr>
        <w:t>A. Všeobecná časť</w:t>
      </w:r>
    </w:p>
    <w:p w:rsidR="00DC4701" w:rsidRPr="00314532" w:rsidRDefault="00DC4701" w:rsidP="00DC4701">
      <w:pPr>
        <w:pStyle w:val="AKSS"/>
        <w:jc w:val="left"/>
        <w:rPr>
          <w:rFonts w:ascii="Times New Roman" w:hAnsi="Times New Roman"/>
          <w:sz w:val="24"/>
          <w:szCs w:val="24"/>
        </w:rPr>
      </w:pPr>
    </w:p>
    <w:p w:rsidR="00DC4701" w:rsidRPr="00314532" w:rsidRDefault="00DC4701" w:rsidP="00DC4701">
      <w:pPr>
        <w:pStyle w:val="Normlnywebov"/>
        <w:spacing w:after="0"/>
        <w:ind w:firstLine="720"/>
        <w:jc w:val="both"/>
        <w:rPr>
          <w:rFonts w:ascii="Times New Roman" w:hAnsi="Times New Roman" w:cs="Times New Roman"/>
        </w:rPr>
      </w:pPr>
      <w:bookmarkStart w:id="1" w:name="_Hlk63692947"/>
    </w:p>
    <w:p w:rsidR="00DC4701" w:rsidRDefault="00DC4701" w:rsidP="00DC4701">
      <w:pPr>
        <w:pStyle w:val="Normlnywebov"/>
        <w:spacing w:after="0" w:line="240" w:lineRule="auto"/>
        <w:ind w:firstLine="720"/>
        <w:jc w:val="both"/>
        <w:rPr>
          <w:rFonts w:ascii="Times New Roman" w:hAnsi="Times New Roman" w:cs="Times New Roman"/>
        </w:rPr>
      </w:pPr>
      <w:r w:rsidRPr="00314532">
        <w:rPr>
          <w:rFonts w:ascii="Times New Roman" w:hAnsi="Times New Roman" w:cs="Times New Roman"/>
        </w:rPr>
        <w:t>Návrh zákona predkladá Ministerstvo hosp</w:t>
      </w:r>
      <w:r>
        <w:rPr>
          <w:rFonts w:ascii="Times New Roman" w:hAnsi="Times New Roman" w:cs="Times New Roman"/>
        </w:rPr>
        <w:t>odárstva Slovenskej republiky v</w:t>
      </w:r>
      <w:r w:rsidR="00230D57">
        <w:rPr>
          <w:rFonts w:ascii="Times New Roman" w:hAnsi="Times New Roman" w:cs="Times New Roman"/>
        </w:rPr>
        <w:t> </w:t>
      </w:r>
      <w:r>
        <w:rPr>
          <w:rFonts w:ascii="Times New Roman" w:hAnsi="Times New Roman" w:cs="Times New Roman"/>
        </w:rPr>
        <w:t>súčinnosti</w:t>
      </w:r>
      <w:r w:rsidR="00230D57">
        <w:rPr>
          <w:rFonts w:ascii="Times New Roman" w:hAnsi="Times New Roman" w:cs="Times New Roman"/>
        </w:rPr>
        <w:t> </w:t>
      </w:r>
      <w:r>
        <w:rPr>
          <w:rFonts w:ascii="Times New Roman" w:hAnsi="Times New Roman" w:cs="Times New Roman"/>
        </w:rPr>
        <w:t xml:space="preserve">s </w:t>
      </w:r>
      <w:r w:rsidRPr="00314532">
        <w:rPr>
          <w:rFonts w:ascii="Times New Roman" w:hAnsi="Times New Roman" w:cs="Times New Roman"/>
        </w:rPr>
        <w:t>Ministerstvo</w:t>
      </w:r>
      <w:r>
        <w:rPr>
          <w:rFonts w:ascii="Times New Roman" w:hAnsi="Times New Roman" w:cs="Times New Roman"/>
        </w:rPr>
        <w:t>m</w:t>
      </w:r>
      <w:r w:rsidRPr="00314532">
        <w:rPr>
          <w:rFonts w:ascii="Times New Roman" w:hAnsi="Times New Roman" w:cs="Times New Roman"/>
        </w:rPr>
        <w:t xml:space="preserve"> financií Slovenskej republiky na základe uznesenia vlády SR 802/2020, ktoré ukladá Ministerstvu hospodárstva SR a Ministerstvu financií SR predložiť na rokovanie vlády Slovenskej republiky návrh právnej úpravy za účelom zníženia ročného objemu finančných nákladov vynaložených na zúčtovanie podpory doplatkom podľa zákona č. 309/2009 Z. z. o podpore obnoviteľných zdrojov energie a vysoko účinnej kombinovanej výroby a o zmene a doplnení niektorých zákonov v znení neskorších predpisov v termíne do 31. marca 2021.</w:t>
      </w:r>
    </w:p>
    <w:p w:rsidR="00DC4701" w:rsidRPr="00314532" w:rsidRDefault="00DC4701" w:rsidP="00DC4701">
      <w:pPr>
        <w:pStyle w:val="Normlnywebov"/>
        <w:spacing w:after="0"/>
        <w:ind w:firstLine="720"/>
        <w:jc w:val="both"/>
        <w:rPr>
          <w:rFonts w:ascii="Times New Roman" w:hAnsi="Times New Roman" w:cs="Times New Roman"/>
        </w:rPr>
      </w:pPr>
    </w:p>
    <w:p w:rsidR="00DC4701" w:rsidRPr="00314532" w:rsidRDefault="00DC4701" w:rsidP="00DC4701">
      <w:pPr>
        <w:tabs>
          <w:tab w:val="left" w:pos="720"/>
        </w:tabs>
        <w:jc w:val="both"/>
      </w:pPr>
      <w:r w:rsidRPr="00314532">
        <w:tab/>
        <w:t xml:space="preserve">Navrhovaná legislatíva rieši zníženie ročného objemu finančných nákladov predĺžením doby podpory a súčasným znížením ceny elektriny, ktorá bola výrobcovi elektriny z obnoviteľných zdrojov energie stanovená pri uvedení zariadenia do prevádzky. O týchto zmenách pre výrobcu elektriny rozhoduje na základe žiadosti výrobcu elektriny </w:t>
      </w:r>
      <w:r w:rsidR="005E257F">
        <w:t xml:space="preserve">alebo z vlastného podnetu </w:t>
      </w:r>
      <w:r w:rsidRPr="00314532">
        <w:t>Úrad pre reguláciu sieťových odvetví. Navrhovaná úprava nezakladá nový druh podpory v schéme podpôr ustanovených zákonom. Zmena napomôže napĺňaniu záväzku Slovenskej republiky pri plnení európskych cieľov v oblasti výroby elektriny z obnoviteľných zdrojov energie a dosahovania uhlíkovej neutrality.</w:t>
      </w:r>
    </w:p>
    <w:p w:rsidR="00DC4701" w:rsidRPr="00314532" w:rsidRDefault="00DC4701" w:rsidP="00DC4701">
      <w:pPr>
        <w:tabs>
          <w:tab w:val="left" w:pos="720"/>
        </w:tabs>
        <w:spacing w:before="240"/>
        <w:jc w:val="both"/>
      </w:pPr>
      <w:r w:rsidRPr="00314532">
        <w:tab/>
        <w:t xml:space="preserve">Návrh novely zákona nebude mať vplyv na rozpočet verejnej správy, </w:t>
      </w:r>
      <w:r>
        <w:t xml:space="preserve">nebude mať </w:t>
      </w:r>
      <w:r w:rsidRPr="00314532">
        <w:t xml:space="preserve">sociálne vplyvy, </w:t>
      </w:r>
      <w:r>
        <w:t xml:space="preserve">ani vplyv na </w:t>
      </w:r>
      <w:r w:rsidRPr="00314532">
        <w:t xml:space="preserve">životné prostredie, </w:t>
      </w:r>
      <w:r>
        <w:t>na i</w:t>
      </w:r>
      <w:r w:rsidRPr="00314532">
        <w:t xml:space="preserve">nformatizáciu spoločnosti, </w:t>
      </w:r>
      <w:r>
        <w:t xml:space="preserve">na </w:t>
      </w:r>
      <w:r w:rsidRPr="00314532">
        <w:t>služby verejnej správy pre občana, ani na manželstvo, rodičovstvo a rodinu.</w:t>
      </w:r>
      <w:r w:rsidR="008118FC">
        <w:t xml:space="preserve">  </w:t>
      </w:r>
      <w:r w:rsidRPr="00314532">
        <w:t>Návrh bude mať pozitívny a súčasne negatívny vplyv na podnikateľské prostredie.</w:t>
      </w:r>
    </w:p>
    <w:p w:rsidR="00DC4701" w:rsidRPr="00314532" w:rsidRDefault="00DC4701" w:rsidP="00DC4701">
      <w:pPr>
        <w:tabs>
          <w:tab w:val="left" w:pos="720"/>
        </w:tabs>
        <w:spacing w:before="240"/>
        <w:jc w:val="both"/>
      </w:pPr>
      <w:r w:rsidRPr="00314532">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r>
        <w:t>.</w:t>
      </w:r>
    </w:p>
    <w:p w:rsidR="00DC4701" w:rsidRPr="00314532" w:rsidRDefault="00DC4701" w:rsidP="00DC4701">
      <w:pPr>
        <w:pStyle w:val="Normlnywebov"/>
        <w:spacing w:after="0"/>
        <w:jc w:val="both"/>
        <w:rPr>
          <w:rFonts w:ascii="Times New Roman" w:hAnsi="Times New Roman" w:cs="Times New Roman"/>
        </w:rPr>
      </w:pPr>
    </w:p>
    <w:p w:rsidR="00DC4701" w:rsidRPr="00314532" w:rsidRDefault="00DC4701" w:rsidP="00DC4701">
      <w:pPr>
        <w:spacing w:after="120"/>
        <w:ind w:firstLine="708"/>
        <w:jc w:val="both"/>
        <w:rPr>
          <w:color w:val="FF0000"/>
        </w:rPr>
      </w:pPr>
      <w:r w:rsidRPr="00314532">
        <w:t>Dátum účinnosti návrhu zákona sa navrhuje</w:t>
      </w:r>
      <w:r w:rsidR="007D4E75">
        <w:t xml:space="preserve"> od</w:t>
      </w:r>
      <w:r w:rsidRPr="00314532">
        <w:t xml:space="preserve"> 1. </w:t>
      </w:r>
      <w:r w:rsidR="007D2775">
        <w:t>augusta</w:t>
      </w:r>
      <w:r w:rsidRPr="00314532">
        <w:t xml:space="preserve"> 2021.</w:t>
      </w:r>
    </w:p>
    <w:bookmarkEnd w:id="1"/>
    <w:p w:rsidR="00DC4701" w:rsidRPr="00314532" w:rsidRDefault="00DC4701" w:rsidP="00DC4701">
      <w:pPr>
        <w:rPr>
          <w:rFonts w:eastAsia="Calibri"/>
          <w:b/>
          <w:lang w:eastAsia="en-US"/>
        </w:rPr>
      </w:pPr>
      <w:r>
        <w:rPr>
          <w:b/>
        </w:rPr>
        <w:br w:type="page"/>
      </w:r>
    </w:p>
    <w:p w:rsidR="00DC4701" w:rsidRPr="00314532" w:rsidRDefault="00DC4701" w:rsidP="00DC4701">
      <w:pPr>
        <w:pStyle w:val="AKSS"/>
        <w:jc w:val="center"/>
        <w:rPr>
          <w:rFonts w:ascii="Times New Roman" w:hAnsi="Times New Roman"/>
          <w:sz w:val="24"/>
          <w:szCs w:val="24"/>
        </w:rPr>
      </w:pPr>
      <w:r w:rsidRPr="00314532">
        <w:rPr>
          <w:rFonts w:ascii="Times New Roman" w:hAnsi="Times New Roman"/>
          <w:b/>
          <w:sz w:val="24"/>
          <w:szCs w:val="24"/>
        </w:rPr>
        <w:lastRenderedPageBreak/>
        <w:t>Dôvodová správa</w:t>
      </w:r>
    </w:p>
    <w:p w:rsidR="00DC4701" w:rsidRPr="00314532" w:rsidRDefault="00DC4701" w:rsidP="00DC4701">
      <w:pPr>
        <w:pStyle w:val="AKSS"/>
        <w:rPr>
          <w:rFonts w:ascii="Times New Roman" w:hAnsi="Times New Roman"/>
          <w:sz w:val="24"/>
          <w:szCs w:val="24"/>
        </w:rPr>
      </w:pPr>
    </w:p>
    <w:p w:rsidR="00DC4701" w:rsidRPr="00314532" w:rsidRDefault="00DC4701" w:rsidP="00DC4701">
      <w:pPr>
        <w:pStyle w:val="AKSS"/>
        <w:rPr>
          <w:rFonts w:ascii="Times New Roman" w:hAnsi="Times New Roman"/>
          <w:b/>
          <w:sz w:val="24"/>
          <w:szCs w:val="24"/>
        </w:rPr>
      </w:pPr>
      <w:r w:rsidRPr="00314532">
        <w:rPr>
          <w:rFonts w:ascii="Times New Roman" w:hAnsi="Times New Roman"/>
          <w:b/>
          <w:sz w:val="24"/>
          <w:szCs w:val="24"/>
        </w:rPr>
        <w:t>B. Osobitná časť</w:t>
      </w:r>
    </w:p>
    <w:p w:rsidR="00DC4701" w:rsidRPr="00314532" w:rsidRDefault="00DC4701" w:rsidP="00DC4701">
      <w:pPr>
        <w:pStyle w:val="AKSS"/>
        <w:ind w:left="720"/>
        <w:rPr>
          <w:rFonts w:ascii="Times New Roman" w:hAnsi="Times New Roman"/>
          <w:sz w:val="24"/>
          <w:szCs w:val="24"/>
        </w:rPr>
      </w:pPr>
    </w:p>
    <w:p w:rsidR="00DC4701" w:rsidRDefault="00DC4701" w:rsidP="00DC4701">
      <w:pPr>
        <w:pStyle w:val="AKSS"/>
        <w:rPr>
          <w:rFonts w:ascii="Times New Roman" w:hAnsi="Times New Roman"/>
          <w:b/>
          <w:sz w:val="24"/>
          <w:szCs w:val="24"/>
        </w:rPr>
      </w:pPr>
      <w:r w:rsidRPr="00314532">
        <w:rPr>
          <w:rFonts w:ascii="Times New Roman" w:hAnsi="Times New Roman"/>
          <w:b/>
          <w:sz w:val="24"/>
          <w:szCs w:val="24"/>
        </w:rPr>
        <w:t>K Čl. I</w:t>
      </w:r>
    </w:p>
    <w:p w:rsidR="00DC4701" w:rsidRPr="00314532" w:rsidRDefault="00DC4701" w:rsidP="00DC4701">
      <w:pPr>
        <w:pStyle w:val="AKSS"/>
        <w:rPr>
          <w:rFonts w:ascii="Times New Roman" w:hAnsi="Times New Roman"/>
          <w:b/>
          <w:sz w:val="24"/>
          <w:szCs w:val="24"/>
        </w:rPr>
      </w:pPr>
    </w:p>
    <w:p w:rsidR="00DC4701" w:rsidRPr="00314532" w:rsidRDefault="00DC4701" w:rsidP="00DC4701">
      <w:pPr>
        <w:pStyle w:val="Normlnywebov"/>
        <w:spacing w:after="0"/>
        <w:jc w:val="both"/>
        <w:rPr>
          <w:rFonts w:ascii="Times New Roman" w:hAnsi="Times New Roman" w:cs="Times New Roman"/>
        </w:rPr>
      </w:pPr>
      <w:r w:rsidRPr="00314532">
        <w:rPr>
          <w:rFonts w:ascii="Times New Roman" w:hAnsi="Times New Roman" w:cs="Times New Roman"/>
          <w:b/>
        </w:rPr>
        <w:t xml:space="preserve">K bodu </w:t>
      </w:r>
      <w:r w:rsidR="005E257F">
        <w:rPr>
          <w:rFonts w:ascii="Times New Roman" w:hAnsi="Times New Roman" w:cs="Times New Roman"/>
          <w:b/>
        </w:rPr>
        <w:t>1</w:t>
      </w:r>
    </w:p>
    <w:p w:rsidR="00356ED3" w:rsidRPr="001A08C6" w:rsidRDefault="00DC4701" w:rsidP="000E64B7">
      <w:pPr>
        <w:shd w:val="clear" w:color="auto" w:fill="FFFFFF"/>
        <w:jc w:val="both"/>
        <w:rPr>
          <w:rFonts w:ascii="Segoe UI" w:hAnsi="Segoe UI" w:cs="Segoe UI"/>
          <w:b/>
          <w:bCs/>
          <w:color w:val="000000"/>
        </w:rPr>
      </w:pPr>
      <w:r w:rsidRPr="001A08C6">
        <w:rPr>
          <w:color w:val="000000"/>
        </w:rPr>
        <w:t>Navrhuje sa riešiť problém existujúcich ročných nákladov na podporu elektriny z obnoviteľných zdrojov energie, ktoré v tarife za prevádzkovanie systému vstupujú do cien elektriny pre všetkých odberateľov pri súčasnom stabilizovaní neistoty</w:t>
      </w:r>
      <w:r w:rsidRPr="001A08C6">
        <w:rPr>
          <w:bCs/>
          <w:color w:val="000000"/>
        </w:rPr>
        <w:t xml:space="preserve"> výrobcov, pre ktorých existujú riziká pre ďalšie</w:t>
      </w:r>
      <w:r w:rsidR="008118FC">
        <w:rPr>
          <w:bCs/>
          <w:color w:val="000000"/>
        </w:rPr>
        <w:t xml:space="preserve"> </w:t>
      </w:r>
      <w:r w:rsidRPr="001A08C6">
        <w:rPr>
          <w:bCs/>
          <w:color w:val="000000"/>
        </w:rPr>
        <w:t xml:space="preserve">prevádzkovanie ich výrobných zariadení po uplynutí fixnej doby podpory 15 rokov ustanovenej podľa § 3 ods. 6 zákona. Navrhuje sa taxatívne vymedziť zariadenia, ktorých sa predĺženie môže týkať. </w:t>
      </w:r>
      <w:r w:rsidR="005E257F" w:rsidRPr="001A08C6">
        <w:rPr>
          <w:bCs/>
          <w:color w:val="000000"/>
        </w:rPr>
        <w:t xml:space="preserve">Ide o zariadenia, ktorým bolo priznané </w:t>
      </w:r>
      <w:r w:rsidR="00882607" w:rsidRPr="001A08C6">
        <w:rPr>
          <w:bCs/>
          <w:color w:val="000000"/>
        </w:rPr>
        <w:t xml:space="preserve">a trvá </w:t>
      </w:r>
      <w:r w:rsidR="005E257F" w:rsidRPr="001A08C6">
        <w:rPr>
          <w:bCs/>
          <w:color w:val="000000"/>
        </w:rPr>
        <w:t xml:space="preserve">právo na podporu doplatkom vrátane </w:t>
      </w:r>
      <w:r w:rsidR="00356ED3" w:rsidRPr="001A08C6">
        <w:rPr>
          <w:bCs/>
          <w:color w:val="000000"/>
        </w:rPr>
        <w:t>zariadení na výrobu elektriny zo slnečnej energie a</w:t>
      </w:r>
      <w:r w:rsidR="000E64B7" w:rsidRPr="001A08C6">
        <w:rPr>
          <w:bCs/>
          <w:color w:val="000000"/>
        </w:rPr>
        <w:t> </w:t>
      </w:r>
      <w:r w:rsidR="00356ED3" w:rsidRPr="001A08C6">
        <w:rPr>
          <w:bCs/>
          <w:color w:val="000000"/>
        </w:rPr>
        <w:t>biomasy</w:t>
      </w:r>
      <w:r w:rsidR="000E64B7" w:rsidRPr="001A08C6">
        <w:rPr>
          <w:bCs/>
          <w:color w:val="000000"/>
        </w:rPr>
        <w:t>.</w:t>
      </w:r>
      <w:r w:rsidR="00882607" w:rsidRPr="001A08C6">
        <w:rPr>
          <w:bCs/>
          <w:color w:val="000000"/>
        </w:rPr>
        <w:t xml:space="preserve"> Medzi taxatívne vymedzenými zariadeniami nie je z</w:t>
      </w:r>
      <w:r w:rsidR="00356ED3" w:rsidRPr="001A08C6">
        <w:rPr>
          <w:bCs/>
          <w:color w:val="000000"/>
        </w:rPr>
        <w:t>ariadeni</w:t>
      </w:r>
      <w:r w:rsidR="00882607" w:rsidRPr="001A08C6">
        <w:rPr>
          <w:bCs/>
          <w:color w:val="000000"/>
        </w:rPr>
        <w:t>e</w:t>
      </w:r>
      <w:r w:rsidR="00356ED3" w:rsidRPr="001A08C6">
        <w:rPr>
          <w:bCs/>
          <w:color w:val="000000"/>
        </w:rPr>
        <w:t xml:space="preserve"> na výrobu elektriny z geotermálnej energie, </w:t>
      </w:r>
      <w:r w:rsidR="00882607" w:rsidRPr="001A08C6">
        <w:rPr>
          <w:bCs/>
          <w:color w:val="000000"/>
        </w:rPr>
        <w:t>pretože</w:t>
      </w:r>
      <w:r w:rsidR="00356ED3" w:rsidRPr="001A08C6">
        <w:rPr>
          <w:bCs/>
          <w:color w:val="000000"/>
        </w:rPr>
        <w:t xml:space="preserve"> podľa údajov Úradu pre reguláciu sieťových odvetví nebol</w:t>
      </w:r>
      <w:r w:rsidR="00882607" w:rsidRPr="001A08C6">
        <w:rPr>
          <w:bCs/>
          <w:color w:val="000000"/>
        </w:rPr>
        <w:t xml:space="preserve"> takýto typ zariadenia</w:t>
      </w:r>
      <w:r w:rsidR="008118FC">
        <w:rPr>
          <w:bCs/>
          <w:color w:val="000000"/>
        </w:rPr>
        <w:t xml:space="preserve"> </w:t>
      </w:r>
      <w:r w:rsidR="00882607" w:rsidRPr="001A08C6">
        <w:rPr>
          <w:bCs/>
          <w:color w:val="000000"/>
        </w:rPr>
        <w:t xml:space="preserve">s právom na podporu </w:t>
      </w:r>
      <w:r w:rsidR="00356ED3" w:rsidRPr="001A08C6">
        <w:rPr>
          <w:bCs/>
          <w:color w:val="000000"/>
        </w:rPr>
        <w:t>uveden</w:t>
      </w:r>
      <w:r w:rsidR="00882607" w:rsidRPr="001A08C6">
        <w:rPr>
          <w:bCs/>
          <w:color w:val="000000"/>
        </w:rPr>
        <w:t>ý</w:t>
      </w:r>
      <w:r w:rsidR="00356ED3" w:rsidRPr="001A08C6">
        <w:rPr>
          <w:bCs/>
          <w:color w:val="000000"/>
        </w:rPr>
        <w:t xml:space="preserve"> do prevádzky</w:t>
      </w:r>
      <w:r w:rsidR="00882607" w:rsidRPr="001A08C6">
        <w:rPr>
          <w:bCs/>
          <w:color w:val="000000"/>
        </w:rPr>
        <w:t>.</w:t>
      </w:r>
    </w:p>
    <w:p w:rsidR="005E257F" w:rsidRPr="001A08C6" w:rsidRDefault="005E257F" w:rsidP="00DC4701">
      <w:pPr>
        <w:autoSpaceDE w:val="0"/>
        <w:autoSpaceDN w:val="0"/>
        <w:adjustRightInd w:val="0"/>
        <w:jc w:val="both"/>
        <w:rPr>
          <w:bCs/>
          <w:color w:val="000000"/>
        </w:rPr>
      </w:pPr>
    </w:p>
    <w:p w:rsidR="00DC4701" w:rsidRPr="001A08C6" w:rsidRDefault="00DC4701" w:rsidP="00DC4701">
      <w:pPr>
        <w:autoSpaceDE w:val="0"/>
        <w:autoSpaceDN w:val="0"/>
        <w:adjustRightInd w:val="0"/>
        <w:jc w:val="both"/>
        <w:rPr>
          <w:bCs/>
          <w:color w:val="000000"/>
        </w:rPr>
      </w:pPr>
      <w:r w:rsidRPr="001A08C6">
        <w:rPr>
          <w:bCs/>
          <w:color w:val="000000"/>
        </w:rPr>
        <w:t xml:space="preserve">Navrhuje sa predĺžiť podporu doplatkom a zároveň aj podporu výkupu elektriny prostredníctvom výkupcu elektriny a prevzatím zodpovednosti za odchýlku výkupcom elektriny. Ustanovuje sa, že je možné predĺžiť len tú formu podpory, na ktorú má výrobca právo. Ak však nemá právo na doplatok, nemôže si uplatniť predĺženie ani na ostatné formy podpory. Predĺženie podpory pre výkup elektriny a prevzatie zodpovednosti za odchýlku je v súlade s ustanoveniami § 3 ods. 6 písm. a) a § 18i ods. 3 zákona možné najdlhšie do konca roka 2033. </w:t>
      </w:r>
    </w:p>
    <w:p w:rsidR="00DC4701" w:rsidRPr="001A08C6" w:rsidRDefault="00DC4701" w:rsidP="00DC4701">
      <w:pPr>
        <w:autoSpaceDE w:val="0"/>
        <w:autoSpaceDN w:val="0"/>
        <w:adjustRightInd w:val="0"/>
        <w:jc w:val="both"/>
        <w:rPr>
          <w:bCs/>
          <w:color w:val="000000"/>
        </w:rPr>
      </w:pPr>
    </w:p>
    <w:p w:rsidR="00DC4701" w:rsidRPr="001A08C6" w:rsidRDefault="00DC4701" w:rsidP="00DC4701">
      <w:pPr>
        <w:autoSpaceDE w:val="0"/>
        <w:autoSpaceDN w:val="0"/>
        <w:adjustRightInd w:val="0"/>
        <w:jc w:val="both"/>
        <w:rPr>
          <w:bCs/>
          <w:color w:val="000000"/>
        </w:rPr>
      </w:pPr>
      <w:r w:rsidRPr="001A08C6">
        <w:rPr>
          <w:bCs/>
          <w:color w:val="000000"/>
        </w:rPr>
        <w:t>Ustanovuje sa, že</w:t>
      </w:r>
      <w:r w:rsidR="008118FC">
        <w:rPr>
          <w:bCs/>
          <w:color w:val="000000"/>
        </w:rPr>
        <w:t xml:space="preserve"> </w:t>
      </w:r>
      <w:r w:rsidR="002D68B6" w:rsidRPr="001A08C6">
        <w:rPr>
          <w:bCs/>
          <w:color w:val="000000"/>
        </w:rPr>
        <w:t xml:space="preserve">k </w:t>
      </w:r>
      <w:r w:rsidRPr="001A08C6">
        <w:rPr>
          <w:bCs/>
          <w:color w:val="000000"/>
        </w:rPr>
        <w:t>cenové</w:t>
      </w:r>
      <w:r w:rsidR="002D68B6" w:rsidRPr="001A08C6">
        <w:rPr>
          <w:bCs/>
          <w:color w:val="000000"/>
        </w:rPr>
        <w:t>mu</w:t>
      </w:r>
      <w:r w:rsidRPr="001A08C6">
        <w:rPr>
          <w:bCs/>
          <w:color w:val="000000"/>
        </w:rPr>
        <w:t xml:space="preserve"> rozhodnuti</w:t>
      </w:r>
      <w:r w:rsidR="002D68B6" w:rsidRPr="001A08C6">
        <w:rPr>
          <w:bCs/>
          <w:color w:val="000000"/>
        </w:rPr>
        <w:t>u</w:t>
      </w:r>
      <w:r w:rsidR="00285790" w:rsidRPr="001A08C6">
        <w:rPr>
          <w:bCs/>
          <w:color w:val="000000"/>
        </w:rPr>
        <w:t>, ktoré súvisí s predĺžením podpory</w:t>
      </w:r>
      <w:r w:rsidRPr="001A08C6">
        <w:rPr>
          <w:bCs/>
          <w:color w:val="000000"/>
        </w:rPr>
        <w:t xml:space="preserve"> je vydané aj nové potvrdenie o pôvode elektriny z obnoviteľných zdrojov energie</w:t>
      </w:r>
      <w:r w:rsidR="00882607" w:rsidRPr="001A08C6">
        <w:rPr>
          <w:bCs/>
          <w:color w:val="000000"/>
        </w:rPr>
        <w:t xml:space="preserve"> alebo elektriny vyrobenej vysoko účinnou kombinovanou výrobou</w:t>
      </w:r>
      <w:r w:rsidRPr="001A08C6">
        <w:rPr>
          <w:bCs/>
          <w:color w:val="000000"/>
        </w:rPr>
        <w:t xml:space="preserve">. Ustanovuje sa, že Úrad pre reguláciu sieťových odvetví zasiela cenové rozhodnutie a potvrdenie o pôvode elektriny </w:t>
      </w:r>
      <w:r w:rsidR="00882607" w:rsidRPr="001A08C6">
        <w:rPr>
          <w:bCs/>
          <w:color w:val="000000"/>
        </w:rPr>
        <w:t>výrobcovi elektriny</w:t>
      </w:r>
      <w:r w:rsidRPr="001A08C6">
        <w:rPr>
          <w:bCs/>
          <w:color w:val="000000"/>
        </w:rPr>
        <w:t>, zúčtovateľovi podpory, ktorým je organizátor krátkodobého trhu s elektrinou, a výkupcovi elektriny.</w:t>
      </w:r>
    </w:p>
    <w:p w:rsidR="00D50047" w:rsidRPr="001A08C6" w:rsidRDefault="00D50047" w:rsidP="00DC4701">
      <w:pPr>
        <w:autoSpaceDE w:val="0"/>
        <w:autoSpaceDN w:val="0"/>
        <w:adjustRightInd w:val="0"/>
        <w:jc w:val="both"/>
        <w:rPr>
          <w:bCs/>
          <w:color w:val="000000"/>
        </w:rPr>
      </w:pPr>
    </w:p>
    <w:p w:rsidR="00D50047" w:rsidRPr="001A08C6" w:rsidRDefault="00D50047" w:rsidP="00DC4701">
      <w:pPr>
        <w:autoSpaceDE w:val="0"/>
        <w:autoSpaceDN w:val="0"/>
        <w:adjustRightInd w:val="0"/>
        <w:jc w:val="both"/>
        <w:rPr>
          <w:bCs/>
          <w:color w:val="000000"/>
        </w:rPr>
      </w:pPr>
      <w:r w:rsidRPr="001A08C6">
        <w:rPr>
          <w:bCs/>
          <w:color w:val="000000"/>
        </w:rPr>
        <w:t xml:space="preserve">Ustanovuje sa, že trvanie podpory so zníženou cenou elektriny pre zariadenie výrobcu elektriny nemožno predĺžiť opakovanie. </w:t>
      </w:r>
    </w:p>
    <w:p w:rsidR="00DC4701" w:rsidRPr="001A08C6" w:rsidRDefault="00DC4701" w:rsidP="00DC4701">
      <w:pPr>
        <w:autoSpaceDE w:val="0"/>
        <w:autoSpaceDN w:val="0"/>
        <w:adjustRightInd w:val="0"/>
        <w:jc w:val="both"/>
        <w:rPr>
          <w:bCs/>
          <w:color w:val="000000"/>
        </w:rPr>
      </w:pPr>
    </w:p>
    <w:p w:rsidR="00DC4701" w:rsidRPr="001A08C6" w:rsidRDefault="00DC4701" w:rsidP="00DC4701">
      <w:pPr>
        <w:autoSpaceDE w:val="0"/>
        <w:autoSpaceDN w:val="0"/>
        <w:adjustRightInd w:val="0"/>
        <w:jc w:val="both"/>
        <w:rPr>
          <w:bCs/>
          <w:color w:val="000000"/>
        </w:rPr>
      </w:pPr>
      <w:r w:rsidRPr="001A08C6">
        <w:rPr>
          <w:bCs/>
          <w:color w:val="000000"/>
        </w:rPr>
        <w:t>V prípade pred</w:t>
      </w:r>
      <w:r w:rsidR="003C0F62" w:rsidRPr="001A08C6">
        <w:rPr>
          <w:bCs/>
          <w:color w:val="000000"/>
        </w:rPr>
        <w:t>ĺ</w:t>
      </w:r>
      <w:r w:rsidRPr="001A08C6">
        <w:rPr>
          <w:bCs/>
          <w:color w:val="000000"/>
        </w:rPr>
        <w:t>ženia podpory pre zariadenie využívajúce biomasu bude musieť výrobca, ktorý nevyrábal v režime vysoko účinnej kombinovanej výroby, prejsť na výrobu elektriny vysoko účinnou kombinovanou výrobou. V prípade predĺženia podpory pre zariadenie výrobcu elektriny z bioplynu sa bude vzťahovať podmienka 50</w:t>
      </w:r>
      <w:r w:rsidR="00D50047" w:rsidRPr="001A08C6">
        <w:rPr>
          <w:bCs/>
          <w:color w:val="000000"/>
        </w:rPr>
        <w:t xml:space="preserve"> </w:t>
      </w:r>
      <w:r w:rsidRPr="001A08C6">
        <w:rPr>
          <w:bCs/>
          <w:color w:val="000000"/>
        </w:rPr>
        <w:t>% využitia tepla.</w:t>
      </w:r>
    </w:p>
    <w:p w:rsidR="00D50047" w:rsidRDefault="00D50047" w:rsidP="001A08C6">
      <w:pPr>
        <w:pStyle w:val="Normlnywebov"/>
        <w:spacing w:after="0"/>
        <w:jc w:val="both"/>
        <w:rPr>
          <w:rFonts w:ascii="Times New Roman" w:hAnsi="Times New Roman" w:cs="Times New Roman"/>
        </w:rPr>
      </w:pPr>
    </w:p>
    <w:p w:rsidR="00D50047" w:rsidRDefault="00D50047" w:rsidP="00882607">
      <w:pPr>
        <w:pStyle w:val="Normlnywebov"/>
        <w:spacing w:after="0"/>
        <w:jc w:val="both"/>
        <w:rPr>
          <w:rFonts w:ascii="Times New Roman" w:hAnsi="Times New Roman" w:cs="Times New Roman"/>
        </w:rPr>
      </w:pPr>
      <w:r w:rsidRPr="00882607">
        <w:rPr>
          <w:rFonts w:ascii="Times New Roman" w:hAnsi="Times New Roman" w:cs="Times New Roman"/>
          <w:b/>
        </w:rPr>
        <w:t>K bodu 2</w:t>
      </w:r>
    </w:p>
    <w:p w:rsidR="00D50047" w:rsidRPr="00D50047" w:rsidRDefault="00D50047" w:rsidP="00882607">
      <w:pPr>
        <w:pStyle w:val="Normlnywebov"/>
        <w:spacing w:after="0"/>
        <w:jc w:val="both"/>
        <w:rPr>
          <w:rFonts w:ascii="Times New Roman" w:hAnsi="Times New Roman" w:cs="Times New Roman"/>
        </w:rPr>
      </w:pPr>
      <w:r>
        <w:rPr>
          <w:rFonts w:ascii="Times New Roman" w:hAnsi="Times New Roman" w:cs="Times New Roman"/>
        </w:rPr>
        <w:t xml:space="preserve">Medzi práva výrobcu elektriny s právom na podporu sa dopĺňa právo na predĺženie podpory so zníženou cenou elektriny. </w:t>
      </w:r>
    </w:p>
    <w:p w:rsidR="001A08C6" w:rsidRDefault="001A08C6" w:rsidP="00F974E5">
      <w:pPr>
        <w:pStyle w:val="Normlnywebov"/>
        <w:spacing w:after="0"/>
        <w:jc w:val="both"/>
        <w:rPr>
          <w:rFonts w:ascii="Times New Roman" w:hAnsi="Times New Roman" w:cs="Times New Roman"/>
          <w:b/>
        </w:rPr>
      </w:pPr>
    </w:p>
    <w:p w:rsidR="00D50047" w:rsidRDefault="00D50047" w:rsidP="00F974E5">
      <w:pPr>
        <w:pStyle w:val="Normlnywebov"/>
        <w:spacing w:after="0"/>
        <w:jc w:val="both"/>
        <w:rPr>
          <w:rFonts w:ascii="Times New Roman" w:hAnsi="Times New Roman" w:cs="Times New Roman"/>
        </w:rPr>
      </w:pPr>
      <w:r w:rsidRPr="00CE7E95">
        <w:rPr>
          <w:rFonts w:ascii="Times New Roman" w:hAnsi="Times New Roman" w:cs="Times New Roman"/>
          <w:b/>
        </w:rPr>
        <w:t>K bodu 3</w:t>
      </w:r>
    </w:p>
    <w:p w:rsidR="00D50047" w:rsidRPr="00CE7E95" w:rsidRDefault="00D50047" w:rsidP="00EC1119">
      <w:pPr>
        <w:pStyle w:val="Normlnywebov"/>
        <w:spacing w:line="240" w:lineRule="auto"/>
        <w:jc w:val="both"/>
        <w:rPr>
          <w:rFonts w:ascii="Times New Roman" w:hAnsi="Times New Roman" w:cs="Times New Roman"/>
        </w:rPr>
      </w:pPr>
      <w:r>
        <w:rPr>
          <w:rFonts w:ascii="Times New Roman" w:hAnsi="Times New Roman" w:cs="Times New Roman"/>
        </w:rPr>
        <w:t>Medzi povinnosti výrobcu elektriny s právom na podporu sa dopĺňa</w:t>
      </w:r>
      <w:r w:rsidR="003C0F62">
        <w:rPr>
          <w:rFonts w:ascii="Times New Roman" w:hAnsi="Times New Roman" w:cs="Times New Roman"/>
        </w:rPr>
        <w:t xml:space="preserve"> povinnosť predložiť </w:t>
      </w:r>
      <w:r w:rsidR="00CC4CEC" w:rsidRPr="00CC4CEC">
        <w:rPr>
          <w:rFonts w:ascii="Times New Roman" w:hAnsi="Times New Roman" w:cs="Times New Roman"/>
        </w:rPr>
        <w:t>Úrad</w:t>
      </w:r>
      <w:r w:rsidR="00CC4CEC">
        <w:rPr>
          <w:rFonts w:ascii="Times New Roman" w:hAnsi="Times New Roman" w:cs="Times New Roman"/>
        </w:rPr>
        <w:t>u</w:t>
      </w:r>
      <w:r w:rsidR="00CC4CEC" w:rsidRPr="00CC4CEC">
        <w:rPr>
          <w:rFonts w:ascii="Times New Roman" w:hAnsi="Times New Roman" w:cs="Times New Roman"/>
        </w:rPr>
        <w:t xml:space="preserve"> pre reguláciu sieťových odvetví</w:t>
      </w:r>
      <w:r w:rsidR="00CC4CEC" w:rsidDel="00CC4CEC">
        <w:rPr>
          <w:rFonts w:ascii="Times New Roman" w:hAnsi="Times New Roman" w:cs="Times New Roman"/>
        </w:rPr>
        <w:t xml:space="preserve"> </w:t>
      </w:r>
      <w:r>
        <w:rPr>
          <w:rFonts w:ascii="Times New Roman" w:hAnsi="Times New Roman" w:cs="Times New Roman"/>
        </w:rPr>
        <w:t>do 3</w:t>
      </w:r>
      <w:r w:rsidR="00882607">
        <w:rPr>
          <w:rFonts w:ascii="Times New Roman" w:hAnsi="Times New Roman" w:cs="Times New Roman"/>
        </w:rPr>
        <w:t>1</w:t>
      </w:r>
      <w:r>
        <w:rPr>
          <w:rFonts w:ascii="Times New Roman" w:hAnsi="Times New Roman" w:cs="Times New Roman"/>
        </w:rPr>
        <w:t xml:space="preserve">. augusta návrh na zníženie ceny elektriny pre zariadenie </w:t>
      </w:r>
      <w:r w:rsidR="003C0F62">
        <w:rPr>
          <w:rFonts w:ascii="Times New Roman" w:hAnsi="Times New Roman" w:cs="Times New Roman"/>
        </w:rPr>
        <w:t xml:space="preserve">výrobcu, ak </w:t>
      </w:r>
      <w:r w:rsidR="00CE7E95">
        <w:rPr>
          <w:rFonts w:ascii="Times New Roman" w:hAnsi="Times New Roman" w:cs="Times New Roman"/>
        </w:rPr>
        <w:t xml:space="preserve">za predchádzajúci kalendárny rok priemerná výška doplatku na podporenú megawatthodinu elektriny dosiahla </w:t>
      </w:r>
      <w:r w:rsidR="004C5E9C">
        <w:rPr>
          <w:rFonts w:ascii="Times New Roman" w:hAnsi="Times New Roman" w:cs="Times New Roman"/>
        </w:rPr>
        <w:t>u</w:t>
      </w:r>
      <w:r w:rsidR="00CE7E95">
        <w:rPr>
          <w:rFonts w:ascii="Times New Roman" w:hAnsi="Times New Roman" w:cs="Times New Roman"/>
        </w:rPr>
        <w:t xml:space="preserve">stanovenú hranicu a zároveň celková výška doplatku presiahla </w:t>
      </w:r>
      <w:r w:rsidR="004C5E9C">
        <w:rPr>
          <w:rFonts w:ascii="Times New Roman" w:hAnsi="Times New Roman" w:cs="Times New Roman"/>
        </w:rPr>
        <w:t>u</w:t>
      </w:r>
      <w:r w:rsidR="00CE7E95">
        <w:rPr>
          <w:rFonts w:ascii="Times New Roman" w:hAnsi="Times New Roman" w:cs="Times New Roman"/>
        </w:rPr>
        <w:t xml:space="preserve">stanovenú sumu </w:t>
      </w:r>
      <w:r w:rsidR="003C0F62">
        <w:rPr>
          <w:rFonts w:ascii="Times New Roman" w:hAnsi="Times New Roman" w:cs="Times New Roman"/>
        </w:rPr>
        <w:t>75</w:t>
      </w:r>
      <w:r w:rsidR="00CE7E95">
        <w:rPr>
          <w:rFonts w:ascii="Times New Roman" w:hAnsi="Times New Roman" w:cs="Times New Roman"/>
        </w:rPr>
        <w:t xml:space="preserve"> tisíc </w:t>
      </w:r>
      <w:r w:rsidR="003C0F62">
        <w:rPr>
          <w:rFonts w:ascii="Times New Roman" w:hAnsi="Times New Roman" w:cs="Times New Roman"/>
        </w:rPr>
        <w:t>eur.</w:t>
      </w:r>
      <w:r w:rsidR="00CE7E95">
        <w:rPr>
          <w:rFonts w:ascii="Times New Roman" w:hAnsi="Times New Roman" w:cs="Times New Roman"/>
        </w:rPr>
        <w:t xml:space="preserve"> Výrobcovi, ktorému sa zníži cena elektriny na základe splnenia povinnosti, sa predlžuje podpora podľa nového ustanovenia </w:t>
      </w:r>
      <w:r w:rsidR="00BC20F2">
        <w:rPr>
          <w:rFonts w:ascii="Times New Roman" w:hAnsi="Times New Roman" w:cs="Times New Roman"/>
        </w:rPr>
        <w:t>o predĺžení podpory.</w:t>
      </w:r>
    </w:p>
    <w:p w:rsidR="00F974E5" w:rsidRDefault="00F974E5" w:rsidP="00F974E5">
      <w:pPr>
        <w:pStyle w:val="Normlnywebov"/>
        <w:spacing w:after="0"/>
        <w:jc w:val="both"/>
        <w:rPr>
          <w:rFonts w:ascii="Times New Roman" w:hAnsi="Times New Roman" w:cs="Times New Roman"/>
          <w:b/>
        </w:rPr>
      </w:pPr>
      <w:r w:rsidRPr="00314532">
        <w:rPr>
          <w:rFonts w:ascii="Times New Roman" w:hAnsi="Times New Roman" w:cs="Times New Roman"/>
          <w:b/>
        </w:rPr>
        <w:lastRenderedPageBreak/>
        <w:t xml:space="preserve">K bodu </w:t>
      </w:r>
      <w:r w:rsidR="003C0F62">
        <w:rPr>
          <w:rFonts w:ascii="Times New Roman" w:hAnsi="Times New Roman" w:cs="Times New Roman"/>
          <w:b/>
        </w:rPr>
        <w:t>4</w:t>
      </w:r>
    </w:p>
    <w:p w:rsidR="002F422E" w:rsidRPr="001A08C6" w:rsidRDefault="00F974E5" w:rsidP="00F974E5">
      <w:pPr>
        <w:autoSpaceDE w:val="0"/>
        <w:autoSpaceDN w:val="0"/>
        <w:adjustRightInd w:val="0"/>
        <w:jc w:val="both"/>
        <w:rPr>
          <w:bCs/>
          <w:color w:val="000000"/>
        </w:rPr>
      </w:pPr>
      <w:r w:rsidRPr="001A08C6">
        <w:rPr>
          <w:bCs/>
          <w:color w:val="000000"/>
        </w:rPr>
        <w:t xml:space="preserve">S predĺžením podpory je spojené aj zníženie výkupnej ceny elektriny. </w:t>
      </w:r>
      <w:r w:rsidR="00BC20F2" w:rsidRPr="001A08C6">
        <w:rPr>
          <w:bCs/>
          <w:color w:val="000000"/>
        </w:rPr>
        <w:t>Spôsob jej</w:t>
      </w:r>
      <w:r w:rsidR="004C5E9C">
        <w:rPr>
          <w:bCs/>
          <w:color w:val="000000"/>
        </w:rPr>
        <w:t xml:space="preserve"> </w:t>
      </w:r>
      <w:r w:rsidRPr="001A08C6">
        <w:rPr>
          <w:bCs/>
          <w:color w:val="000000"/>
        </w:rPr>
        <w:t>zníženi</w:t>
      </w:r>
      <w:r w:rsidR="00BC20F2" w:rsidRPr="001A08C6">
        <w:rPr>
          <w:bCs/>
          <w:color w:val="000000"/>
        </w:rPr>
        <w:t>a</w:t>
      </w:r>
      <w:r w:rsidRPr="001A08C6">
        <w:rPr>
          <w:bCs/>
          <w:color w:val="000000"/>
        </w:rPr>
        <w:t xml:space="preserve"> upraví vyhláška Úradu pre reguláciu sieťových odvetví. </w:t>
      </w:r>
      <w:r w:rsidR="00CC4CEC" w:rsidRPr="001A08C6">
        <w:t>Úrad pre reguláciu sieťových odvetví</w:t>
      </w:r>
      <w:r w:rsidR="009B1B1B" w:rsidRPr="001A08C6">
        <w:rPr>
          <w:bCs/>
          <w:color w:val="000000"/>
        </w:rPr>
        <w:t xml:space="preserve"> znižuje cenu elektriny na návrh výrobcu alebo z vlastného podnetu pri nesplnení povinnosti predloženia návrhu na zníženie ceny elektriny.</w:t>
      </w:r>
      <w:r w:rsidR="00CC4CEC" w:rsidRPr="001A08C6">
        <w:rPr>
          <w:bCs/>
          <w:color w:val="000000"/>
        </w:rPr>
        <w:t xml:space="preserve"> V obidvoch prípadoch sa výrobcovi elektriny predĺži podpora a zároveň zníži cena elektriny.</w:t>
      </w:r>
    </w:p>
    <w:p w:rsidR="00CC4CEC" w:rsidRPr="001A08C6" w:rsidRDefault="00CC4CEC" w:rsidP="00F974E5">
      <w:pPr>
        <w:autoSpaceDE w:val="0"/>
        <w:autoSpaceDN w:val="0"/>
        <w:adjustRightInd w:val="0"/>
        <w:jc w:val="both"/>
        <w:rPr>
          <w:bCs/>
          <w:color w:val="000000"/>
        </w:rPr>
      </w:pPr>
    </w:p>
    <w:p w:rsidR="002F422E" w:rsidRPr="001A08C6" w:rsidRDefault="00CC4CEC" w:rsidP="00CC4CEC">
      <w:pPr>
        <w:autoSpaceDE w:val="0"/>
        <w:autoSpaceDN w:val="0"/>
        <w:adjustRightInd w:val="0"/>
        <w:jc w:val="both"/>
      </w:pPr>
      <w:r w:rsidRPr="001A08C6">
        <w:rPr>
          <w:bCs/>
          <w:color w:val="000000"/>
        </w:rPr>
        <w:t xml:space="preserve">V nadväznosti na nesplnenie povinnosti výrobcu elektriny a konania o znížení ceny elektriny návrh </w:t>
      </w:r>
      <w:r w:rsidRPr="001A08C6">
        <w:t>v</w:t>
      </w:r>
      <w:r w:rsidR="002F422E" w:rsidRPr="001A08C6">
        <w:t> súlade s ústavnou ochranou vlastníckeho práva</w:t>
      </w:r>
      <w:r w:rsidR="008118FC">
        <w:t xml:space="preserve"> </w:t>
      </w:r>
      <w:r w:rsidR="002F422E" w:rsidRPr="001A08C6">
        <w:t xml:space="preserve">pri predĺžení podpory so zníženou cenou zohľadňuje princíp nevyhnutnej miery zásahu, verejného záujmu za účelom zníženia ročného objemu finančných nákladov vynaložených na podporu doplatkom, ktoré vstupujú do koncových cien elektriny a princíp poskytnutia primeranej náhrady, ktorú vypočíta </w:t>
      </w:r>
      <w:r w:rsidRPr="001A08C6">
        <w:t xml:space="preserve">Úrad pre reguláciu sieťových odvetví </w:t>
      </w:r>
      <w:r w:rsidR="002F422E" w:rsidRPr="001A08C6">
        <w:t xml:space="preserve">v rámci cenového konania so zohľadnením zákonom </w:t>
      </w:r>
      <w:r w:rsidR="004C5E9C">
        <w:t>u</w:t>
      </w:r>
      <w:r w:rsidR="002F422E" w:rsidRPr="001A08C6">
        <w:t>stanovených parametrov.</w:t>
      </w:r>
    </w:p>
    <w:p w:rsidR="002F422E" w:rsidRPr="001A08C6" w:rsidRDefault="002F422E" w:rsidP="00F974E5">
      <w:pPr>
        <w:autoSpaceDE w:val="0"/>
        <w:autoSpaceDN w:val="0"/>
        <w:adjustRightInd w:val="0"/>
        <w:jc w:val="both"/>
        <w:rPr>
          <w:bCs/>
          <w:color w:val="000000"/>
        </w:rPr>
      </w:pPr>
    </w:p>
    <w:p w:rsidR="006C43E0" w:rsidRDefault="00F974E5" w:rsidP="00F974E5">
      <w:pPr>
        <w:autoSpaceDE w:val="0"/>
        <w:autoSpaceDN w:val="0"/>
        <w:adjustRightInd w:val="0"/>
        <w:jc w:val="both"/>
        <w:rPr>
          <w:bCs/>
          <w:color w:val="000000"/>
        </w:rPr>
      </w:pPr>
      <w:r w:rsidRPr="001A08C6">
        <w:rPr>
          <w:bCs/>
          <w:color w:val="000000"/>
        </w:rPr>
        <w:t>Navrhuje sa ustanoviť základné rámce pri výpočte zníženia výkupnej ceny, a to s ohľadom na ustanovenie, ktoré hovorí o maximálnej miere návratnosti nákladov na základe diskontnej sadzby</w:t>
      </w:r>
      <w:r w:rsidR="001A08C6" w:rsidRPr="001A08C6">
        <w:rPr>
          <w:bCs/>
          <w:color w:val="000000"/>
        </w:rPr>
        <w:t>. Okrem toho sa pri znížení ceny elektriny</w:t>
      </w:r>
      <w:r w:rsidR="008118FC">
        <w:rPr>
          <w:bCs/>
          <w:color w:val="000000"/>
        </w:rPr>
        <w:t xml:space="preserve">  </w:t>
      </w:r>
      <w:r w:rsidR="001A08C6" w:rsidRPr="001A08C6">
        <w:rPr>
          <w:bCs/>
          <w:color w:val="000000"/>
        </w:rPr>
        <w:t>zohľadnia aj očakávaný rozsah podpory na zostávajúcu dobu podpory, ekonomicky oprávnené náklady na nevyhnutnú opravu alebo úpravu súvisiace s prevádzkyschopnosťou zariadenia pri predĺžení podpory</w:t>
      </w:r>
      <w:r w:rsidR="008118FC">
        <w:rPr>
          <w:bCs/>
          <w:color w:val="000000"/>
        </w:rPr>
        <w:t xml:space="preserve"> </w:t>
      </w:r>
      <w:r w:rsidR="001A08C6" w:rsidRPr="001A08C6">
        <w:rPr>
          <w:bCs/>
          <w:color w:val="000000"/>
        </w:rPr>
        <w:t>a čas podania návrhu na zníženie</w:t>
      </w:r>
      <w:r w:rsidR="00750C7C">
        <w:rPr>
          <w:bCs/>
          <w:color w:val="000000"/>
        </w:rPr>
        <w:t xml:space="preserve"> </w:t>
      </w:r>
      <w:r w:rsidR="001A08C6" w:rsidRPr="001A08C6">
        <w:rPr>
          <w:bCs/>
          <w:color w:val="000000"/>
        </w:rPr>
        <w:t>ceny elektriny.</w:t>
      </w:r>
    </w:p>
    <w:p w:rsidR="006C43E0" w:rsidRDefault="006C43E0" w:rsidP="00F974E5">
      <w:pPr>
        <w:autoSpaceDE w:val="0"/>
        <w:autoSpaceDN w:val="0"/>
        <w:adjustRightInd w:val="0"/>
        <w:jc w:val="both"/>
        <w:rPr>
          <w:bCs/>
          <w:color w:val="000000"/>
        </w:rPr>
      </w:pPr>
    </w:p>
    <w:p w:rsidR="00F974E5" w:rsidRPr="00314532" w:rsidRDefault="006C43E0" w:rsidP="00F974E5">
      <w:pPr>
        <w:autoSpaceDE w:val="0"/>
        <w:autoSpaceDN w:val="0"/>
        <w:adjustRightInd w:val="0"/>
        <w:jc w:val="both"/>
        <w:rPr>
          <w:bCs/>
          <w:color w:val="000000"/>
        </w:rPr>
      </w:pPr>
      <w:r>
        <w:rPr>
          <w:bCs/>
          <w:color w:val="000000"/>
        </w:rPr>
        <w:t>Na zvýšenie transparentnosti určenia výšky zníženia ceny elektriny sa ukladá Úradu pre reguláciu sieťových odvetví zverejniť výpočtový nástroj, ktorý výrobcovi elektriny po zadaní vstupných parametrov vypočíta zníženie ceny.</w:t>
      </w:r>
    </w:p>
    <w:p w:rsidR="003C0F62" w:rsidRDefault="003C0F62" w:rsidP="00DC4701">
      <w:pPr>
        <w:pStyle w:val="Normlnywebov"/>
        <w:spacing w:after="0"/>
        <w:jc w:val="both"/>
        <w:rPr>
          <w:rFonts w:ascii="Times New Roman" w:hAnsi="Times New Roman" w:cs="Times New Roman"/>
          <w:b/>
        </w:rPr>
      </w:pPr>
    </w:p>
    <w:p w:rsidR="00DC4701" w:rsidRPr="00314532" w:rsidRDefault="00DC4701" w:rsidP="00DC4701">
      <w:pPr>
        <w:pStyle w:val="Normlnywebov"/>
        <w:spacing w:after="0"/>
        <w:jc w:val="both"/>
        <w:rPr>
          <w:rFonts w:ascii="Times New Roman" w:hAnsi="Times New Roman" w:cs="Times New Roman"/>
          <w:b/>
        </w:rPr>
      </w:pPr>
      <w:r w:rsidRPr="00314532">
        <w:rPr>
          <w:rFonts w:ascii="Times New Roman" w:hAnsi="Times New Roman" w:cs="Times New Roman"/>
          <w:b/>
        </w:rPr>
        <w:t xml:space="preserve">K bodu </w:t>
      </w:r>
      <w:r w:rsidR="00F974E5">
        <w:rPr>
          <w:rFonts w:ascii="Times New Roman" w:hAnsi="Times New Roman" w:cs="Times New Roman"/>
          <w:b/>
        </w:rPr>
        <w:t>5</w:t>
      </w:r>
    </w:p>
    <w:p w:rsidR="00DC4701" w:rsidRDefault="00DC4701" w:rsidP="00DC4701">
      <w:pPr>
        <w:pStyle w:val="Normlnywebov"/>
        <w:spacing w:after="0"/>
        <w:jc w:val="both"/>
        <w:rPr>
          <w:rFonts w:ascii="Times New Roman" w:hAnsi="Times New Roman" w:cs="Times New Roman"/>
        </w:rPr>
      </w:pPr>
      <w:r w:rsidRPr="00314532">
        <w:rPr>
          <w:rFonts w:ascii="Times New Roman" w:hAnsi="Times New Roman" w:cs="Times New Roman"/>
        </w:rPr>
        <w:t>V nadväznosti na nový § 3d sa dopĺňajú splnomocňovacie ustanovenia na vydanie</w:t>
      </w:r>
      <w:r w:rsidR="008E15AF">
        <w:rPr>
          <w:rFonts w:ascii="Times New Roman" w:hAnsi="Times New Roman" w:cs="Times New Roman"/>
        </w:rPr>
        <w:t xml:space="preserve"> </w:t>
      </w:r>
      <w:r w:rsidRPr="00314532">
        <w:rPr>
          <w:rFonts w:ascii="Times New Roman" w:hAnsi="Times New Roman" w:cs="Times New Roman"/>
        </w:rPr>
        <w:t>vykonávacieho predpisu Úradom pre reguláciu sieťových odvetví.</w:t>
      </w:r>
    </w:p>
    <w:p w:rsidR="00DC4701" w:rsidRPr="00314532" w:rsidRDefault="00DC4701" w:rsidP="00DC4701">
      <w:pPr>
        <w:pStyle w:val="Normlnywebov"/>
        <w:spacing w:after="0"/>
        <w:jc w:val="both"/>
        <w:rPr>
          <w:rFonts w:ascii="Times New Roman" w:hAnsi="Times New Roman" w:cs="Times New Roman"/>
        </w:rPr>
      </w:pPr>
    </w:p>
    <w:p w:rsidR="00DC4701" w:rsidRPr="00314532" w:rsidRDefault="00DC4701" w:rsidP="00DC4701">
      <w:pPr>
        <w:pStyle w:val="Nadpis5"/>
        <w:numPr>
          <w:ilvl w:val="0"/>
          <w:numId w:val="0"/>
        </w:numPr>
        <w:rPr>
          <w:bCs w:val="0"/>
          <w:i/>
        </w:rPr>
      </w:pPr>
      <w:r w:rsidRPr="00314532">
        <w:rPr>
          <w:bCs w:val="0"/>
        </w:rPr>
        <w:t>K čl. II</w:t>
      </w:r>
    </w:p>
    <w:p w:rsidR="00DC4701" w:rsidRDefault="00DC4701" w:rsidP="00DC4701">
      <w:pPr>
        <w:pStyle w:val="Normlnywebov"/>
        <w:spacing w:after="0"/>
        <w:jc w:val="both"/>
        <w:rPr>
          <w:rFonts w:ascii="Times New Roman" w:hAnsi="Times New Roman" w:cs="Times New Roman"/>
        </w:rPr>
      </w:pPr>
      <w:r w:rsidRPr="00314532">
        <w:rPr>
          <w:rFonts w:ascii="Times New Roman" w:hAnsi="Times New Roman" w:cs="Times New Roman"/>
          <w:bCs/>
        </w:rPr>
        <w:t>Navrhuje sa dátum účinnosti zákona</w:t>
      </w:r>
      <w:r w:rsidRPr="00314532">
        <w:rPr>
          <w:rFonts w:ascii="Times New Roman" w:hAnsi="Times New Roman" w:cs="Times New Roman"/>
        </w:rPr>
        <w:t>.</w:t>
      </w:r>
    </w:p>
    <w:p w:rsidR="00EC1119" w:rsidRDefault="00EC1119" w:rsidP="00DC4701">
      <w:pPr>
        <w:pStyle w:val="Normlnywebov"/>
        <w:spacing w:after="0"/>
        <w:jc w:val="both"/>
        <w:rPr>
          <w:rFonts w:ascii="Times New Roman" w:hAnsi="Times New Roman" w:cs="Times New Roman"/>
        </w:rPr>
      </w:pPr>
    </w:p>
    <w:p w:rsidR="00EC1119" w:rsidRDefault="00EC1119" w:rsidP="00EC1119">
      <w:pPr>
        <w:spacing w:after="120"/>
        <w:jc w:val="both"/>
      </w:pPr>
      <w:r>
        <w:t>V </w:t>
      </w:r>
      <w:r w:rsidRPr="00D15B90">
        <w:t>Bratislave</w:t>
      </w:r>
      <w:r>
        <w:t xml:space="preserve"> </w:t>
      </w:r>
      <w:r w:rsidR="009A4F89">
        <w:t>14</w:t>
      </w:r>
      <w:r w:rsidRPr="00D15B90">
        <w:t xml:space="preserve">. </w:t>
      </w:r>
      <w:r w:rsidR="009A4F89">
        <w:t>apríla</w:t>
      </w:r>
      <w:r w:rsidRPr="00D15B90">
        <w:t xml:space="preserve"> 2021</w:t>
      </w:r>
    </w:p>
    <w:p w:rsidR="00EC1119" w:rsidRDefault="00EC1119" w:rsidP="00EC1119">
      <w:pPr>
        <w:spacing w:after="240"/>
        <w:jc w:val="both"/>
      </w:pPr>
    </w:p>
    <w:p w:rsidR="009A4F89" w:rsidRDefault="009A4F89" w:rsidP="00EC1119">
      <w:pPr>
        <w:spacing w:after="240"/>
        <w:jc w:val="both"/>
      </w:pPr>
    </w:p>
    <w:p w:rsidR="00EC1119" w:rsidRDefault="00EC1119" w:rsidP="00EC1119">
      <w:pPr>
        <w:spacing w:after="120"/>
        <w:jc w:val="both"/>
      </w:pPr>
    </w:p>
    <w:p w:rsidR="00EC1119" w:rsidRDefault="00EC1119" w:rsidP="00EC1119">
      <w:pPr>
        <w:jc w:val="center"/>
        <w:outlineLvl w:val="1"/>
        <w:rPr>
          <w:b/>
          <w:bCs/>
          <w:lang w:eastAsia="cs-CZ"/>
        </w:rPr>
      </w:pPr>
      <w:r>
        <w:rPr>
          <w:b/>
          <w:bCs/>
          <w:lang w:eastAsia="cs-CZ"/>
        </w:rPr>
        <w:t>Eduard Heger</w:t>
      </w:r>
    </w:p>
    <w:p w:rsidR="00EC1119" w:rsidRPr="00894B37" w:rsidRDefault="00EC1119" w:rsidP="00EC1119">
      <w:pPr>
        <w:jc w:val="center"/>
        <w:outlineLvl w:val="1"/>
        <w:rPr>
          <w:lang w:eastAsia="cs-CZ"/>
        </w:rPr>
      </w:pPr>
      <w:r w:rsidRPr="00894B37">
        <w:rPr>
          <w:lang w:eastAsia="cs-CZ"/>
        </w:rPr>
        <w:t>predseda vlády Slovenskej republiky</w:t>
      </w:r>
    </w:p>
    <w:p w:rsidR="00EC1119" w:rsidRPr="00894B37" w:rsidRDefault="00EC1119" w:rsidP="00EC1119">
      <w:pPr>
        <w:spacing w:after="520"/>
        <w:outlineLvl w:val="1"/>
        <w:rPr>
          <w:b/>
          <w:bCs/>
          <w:lang w:eastAsia="cs-CZ"/>
        </w:rPr>
      </w:pPr>
    </w:p>
    <w:p w:rsidR="00EC1119" w:rsidRPr="00894B37" w:rsidRDefault="00EC1119" w:rsidP="00EC1119">
      <w:pPr>
        <w:spacing w:after="120"/>
        <w:outlineLvl w:val="1"/>
        <w:rPr>
          <w:b/>
          <w:bCs/>
          <w:lang w:eastAsia="cs-CZ"/>
        </w:rPr>
      </w:pPr>
    </w:p>
    <w:p w:rsidR="00EC1119" w:rsidRDefault="00EC1119" w:rsidP="00EC1119">
      <w:pPr>
        <w:jc w:val="center"/>
        <w:outlineLvl w:val="1"/>
        <w:rPr>
          <w:b/>
          <w:bCs/>
          <w:lang w:eastAsia="cs-CZ"/>
        </w:rPr>
      </w:pPr>
      <w:r>
        <w:rPr>
          <w:b/>
          <w:bCs/>
          <w:lang w:eastAsia="cs-CZ"/>
        </w:rPr>
        <w:t xml:space="preserve">Richard Sulík </w:t>
      </w:r>
    </w:p>
    <w:p w:rsidR="00EC1119" w:rsidRDefault="00EC1119" w:rsidP="00EC1119">
      <w:pPr>
        <w:jc w:val="center"/>
        <w:outlineLvl w:val="1"/>
        <w:rPr>
          <w:lang w:eastAsia="cs-CZ"/>
        </w:rPr>
      </w:pPr>
      <w:r>
        <w:rPr>
          <w:lang w:eastAsia="cs-CZ"/>
        </w:rPr>
        <w:t xml:space="preserve">podpredseda vlády </w:t>
      </w:r>
    </w:p>
    <w:p w:rsidR="008537D8" w:rsidRDefault="00EC1119" w:rsidP="00EC1119">
      <w:pPr>
        <w:jc w:val="center"/>
        <w:outlineLvl w:val="1"/>
      </w:pPr>
      <w:r>
        <w:rPr>
          <w:lang w:eastAsia="cs-CZ"/>
        </w:rPr>
        <w:t xml:space="preserve">a </w:t>
      </w:r>
      <w:r w:rsidRPr="00894B37">
        <w:rPr>
          <w:lang w:eastAsia="cs-CZ"/>
        </w:rPr>
        <w:t>minister hospodárstva Slovenskej republiky</w:t>
      </w:r>
    </w:p>
    <w:sectPr w:rsidR="008537D8" w:rsidSect="009A4F89">
      <w:footerReference w:type="default" r:id="rId8"/>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19" w:rsidRDefault="00EC1119" w:rsidP="00EC1119">
      <w:r>
        <w:separator/>
      </w:r>
    </w:p>
  </w:endnote>
  <w:endnote w:type="continuationSeparator" w:id="0">
    <w:p w:rsidR="00EC1119" w:rsidRDefault="00EC1119" w:rsidP="00EC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12747"/>
      <w:docPartObj>
        <w:docPartGallery w:val="Page Numbers (Bottom of Page)"/>
        <w:docPartUnique/>
      </w:docPartObj>
    </w:sdtPr>
    <w:sdtEndPr/>
    <w:sdtContent>
      <w:p w:rsidR="00EC1119" w:rsidRDefault="00EC1119">
        <w:pPr>
          <w:pStyle w:val="Pta"/>
          <w:jc w:val="center"/>
        </w:pPr>
        <w:r>
          <w:fldChar w:fldCharType="begin"/>
        </w:r>
        <w:r>
          <w:instrText>PAGE   \* MERGEFORMAT</w:instrText>
        </w:r>
        <w:r>
          <w:fldChar w:fldCharType="separate"/>
        </w:r>
        <w:r w:rsidR="00E238B4">
          <w:rPr>
            <w:noProof/>
          </w:rPr>
          <w:t>3</w:t>
        </w:r>
        <w:r>
          <w:fldChar w:fldCharType="end"/>
        </w:r>
      </w:p>
    </w:sdtContent>
  </w:sdt>
  <w:p w:rsidR="00EC1119" w:rsidRDefault="00EC111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19" w:rsidRDefault="00EC1119" w:rsidP="00EC1119">
      <w:r>
        <w:separator/>
      </w:r>
    </w:p>
  </w:footnote>
  <w:footnote w:type="continuationSeparator" w:id="0">
    <w:p w:rsidR="00EC1119" w:rsidRDefault="00EC1119" w:rsidP="00EC1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55"/>
    <w:rsid w:val="000E64B7"/>
    <w:rsid w:val="001A08C6"/>
    <w:rsid w:val="00230D57"/>
    <w:rsid w:val="00285790"/>
    <w:rsid w:val="002D68B6"/>
    <w:rsid w:val="002F422E"/>
    <w:rsid w:val="00351837"/>
    <w:rsid w:val="00356ED3"/>
    <w:rsid w:val="00372CAA"/>
    <w:rsid w:val="003C0F62"/>
    <w:rsid w:val="003D0B55"/>
    <w:rsid w:val="003F7E99"/>
    <w:rsid w:val="004B218D"/>
    <w:rsid w:val="004C5E9C"/>
    <w:rsid w:val="005E257F"/>
    <w:rsid w:val="005E4B96"/>
    <w:rsid w:val="00617813"/>
    <w:rsid w:val="006C43E0"/>
    <w:rsid w:val="006E0958"/>
    <w:rsid w:val="00750C7C"/>
    <w:rsid w:val="007603E9"/>
    <w:rsid w:val="007D2775"/>
    <w:rsid w:val="007D4E75"/>
    <w:rsid w:val="007E181E"/>
    <w:rsid w:val="007E260A"/>
    <w:rsid w:val="008118FC"/>
    <w:rsid w:val="00882607"/>
    <w:rsid w:val="008E15AF"/>
    <w:rsid w:val="009368F0"/>
    <w:rsid w:val="009A4F89"/>
    <w:rsid w:val="009B1B1B"/>
    <w:rsid w:val="00A43470"/>
    <w:rsid w:val="00BC20F2"/>
    <w:rsid w:val="00C63B01"/>
    <w:rsid w:val="00CC4CEC"/>
    <w:rsid w:val="00CE7E95"/>
    <w:rsid w:val="00D172D2"/>
    <w:rsid w:val="00D50047"/>
    <w:rsid w:val="00DC4701"/>
    <w:rsid w:val="00E238B4"/>
    <w:rsid w:val="00EB54CA"/>
    <w:rsid w:val="00EC1119"/>
    <w:rsid w:val="00F974E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120DA-B5B1-4A29-B455-04DCB6D8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4E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C470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DC470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DC470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DC470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DC4701"/>
    <w:pPr>
      <w:keepNext/>
      <w:numPr>
        <w:ilvl w:val="4"/>
        <w:numId w:val="1"/>
      </w:numPr>
      <w:outlineLvl w:val="4"/>
    </w:pPr>
    <w:rPr>
      <w:b/>
      <w:bCs/>
    </w:rPr>
  </w:style>
  <w:style w:type="paragraph" w:styleId="Nadpis6">
    <w:name w:val="heading 6"/>
    <w:basedOn w:val="Normlny"/>
    <w:next w:val="Normlny"/>
    <w:link w:val="Nadpis6Char"/>
    <w:qFormat/>
    <w:rsid w:val="00DC470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DC470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C470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DC470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DC470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DC470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DC470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DC470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DC470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DC4701"/>
    <w:pPr>
      <w:spacing w:after="240" w:line="312" w:lineRule="atLeast"/>
    </w:pPr>
    <w:rPr>
      <w:rFonts w:ascii="Arial Unicode MS" w:eastAsia="Arial Unicode MS" w:hAnsi="Arial Unicode MS" w:cs="Arial Unicode MS"/>
    </w:rPr>
  </w:style>
  <w:style w:type="character" w:customStyle="1" w:styleId="NormlnywebovChar">
    <w:name w:val="Normálny (webový) Char"/>
    <w:link w:val="Normlnywebov"/>
    <w:uiPriority w:val="99"/>
    <w:locked/>
    <w:rsid w:val="00DC4701"/>
    <w:rPr>
      <w:rFonts w:ascii="Arial Unicode MS" w:eastAsia="Arial Unicode MS" w:hAnsi="Arial Unicode MS" w:cs="Arial Unicode MS"/>
      <w:sz w:val="24"/>
      <w:szCs w:val="24"/>
      <w:lang w:eastAsia="sk-SK"/>
    </w:rPr>
  </w:style>
  <w:style w:type="paragraph" w:customStyle="1" w:styleId="AKSS">
    <w:name w:val="AKSS"/>
    <w:basedOn w:val="Normlny"/>
    <w:qFormat/>
    <w:rsid w:val="00DC4701"/>
    <w:pPr>
      <w:spacing w:line="240" w:lineRule="atLeast"/>
      <w:jc w:val="both"/>
    </w:pPr>
    <w:rPr>
      <w:rFonts w:ascii="Verdana" w:eastAsia="Calibri" w:hAnsi="Verdana"/>
      <w:sz w:val="20"/>
      <w:szCs w:val="20"/>
      <w:lang w:eastAsia="en-US"/>
    </w:rPr>
  </w:style>
  <w:style w:type="paragraph" w:styleId="Textbubliny">
    <w:name w:val="Balloon Text"/>
    <w:basedOn w:val="Normlny"/>
    <w:link w:val="TextbublinyChar"/>
    <w:uiPriority w:val="99"/>
    <w:semiHidden/>
    <w:unhideWhenUsed/>
    <w:rsid w:val="00356E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6ED3"/>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EC1119"/>
    <w:pPr>
      <w:tabs>
        <w:tab w:val="center" w:pos="4536"/>
        <w:tab w:val="right" w:pos="9072"/>
      </w:tabs>
    </w:pPr>
  </w:style>
  <w:style w:type="character" w:customStyle="1" w:styleId="HlavikaChar">
    <w:name w:val="Hlavička Char"/>
    <w:basedOn w:val="Predvolenpsmoodseku"/>
    <w:link w:val="Hlavika"/>
    <w:uiPriority w:val="99"/>
    <w:rsid w:val="00EC11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C1119"/>
    <w:pPr>
      <w:tabs>
        <w:tab w:val="center" w:pos="4536"/>
        <w:tab w:val="right" w:pos="9072"/>
      </w:tabs>
    </w:pPr>
  </w:style>
  <w:style w:type="character" w:customStyle="1" w:styleId="PtaChar">
    <w:name w:val="Päta Char"/>
    <w:basedOn w:val="Predvolenpsmoodseku"/>
    <w:link w:val="Pta"/>
    <w:uiPriority w:val="99"/>
    <w:rsid w:val="00EC111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4648">
      <w:bodyDiv w:val="1"/>
      <w:marLeft w:val="0"/>
      <w:marRight w:val="0"/>
      <w:marTop w:val="0"/>
      <w:marBottom w:val="0"/>
      <w:divBdr>
        <w:top w:val="none" w:sz="0" w:space="0" w:color="auto"/>
        <w:left w:val="none" w:sz="0" w:space="0" w:color="auto"/>
        <w:bottom w:val="none" w:sz="0" w:space="0" w:color="auto"/>
        <w:right w:val="none" w:sz="0" w:space="0" w:color="auto"/>
      </w:divBdr>
    </w:div>
    <w:div w:id="1590774660">
      <w:bodyDiv w:val="1"/>
      <w:marLeft w:val="0"/>
      <w:marRight w:val="0"/>
      <w:marTop w:val="0"/>
      <w:marBottom w:val="0"/>
      <w:divBdr>
        <w:top w:val="none" w:sz="0" w:space="0" w:color="auto"/>
        <w:left w:val="none" w:sz="0" w:space="0" w:color="auto"/>
        <w:bottom w:val="none" w:sz="0" w:space="0" w:color="auto"/>
        <w:right w:val="none" w:sz="0" w:space="0" w:color="auto"/>
      </w:divBdr>
      <w:divsChild>
        <w:div w:id="273296080">
          <w:marLeft w:val="0"/>
          <w:marRight w:val="0"/>
          <w:marTop w:val="100"/>
          <w:marBottom w:val="100"/>
          <w:divBdr>
            <w:top w:val="none" w:sz="0" w:space="0" w:color="auto"/>
            <w:left w:val="none" w:sz="0" w:space="0" w:color="auto"/>
            <w:bottom w:val="none" w:sz="0" w:space="0" w:color="auto"/>
            <w:right w:val="none" w:sz="0" w:space="0" w:color="auto"/>
          </w:divBdr>
        </w:div>
        <w:div w:id="2080202671">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
    <f:field ref="objsubject" par="" edit="true" text=""/>
    <f:field ref="objcreatedby" par="" text="Franczel, Marek, JUDr."/>
    <f:field ref="objcreatedat" par="" text="26.2.2021 13:26:34"/>
    <f:field ref="objchangedby" par="" text="Administrator, System"/>
    <f:field ref="objmodifiedat" par="" text="26.2.2021 13:2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1050</Words>
  <Characters>5985</Characters>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2021-03-30T12:43:00Z</dcterms:created>
  <dcterms:modified xsi:type="dcterms:W3CDTF">2021-04-14T09:40:00Z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Energetika a priemysel</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Marek Franczel</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ktorým sa dopĺňa zákon č. 309/2009 Z. z. o podpore obnoviteľných zdrojov energie a vysoko účinnej kombinovanej výroby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Bod A.1 uznesenia vlády SR č. 802/2020</vt:lpwstr>
  </property>
  <property fmtid="{D5CDD505-2E9C-101B-9397-08002B2CF9AE}" pid="23" name="FSC#SKEDITIONSLOVLEX@103.510:plnynazovpredpis">
    <vt:lpwstr> Zákon, ktorým sa dopĺňa zákon č. 309/2009 Z. z. o podpore obnoviteľných zdrojov energie a vysoko účinnej kombinovanej výroby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27357/2021-2062-29304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LP/2021/93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26. 2. 2021</vt:lpwstr>
  </property>
  <property fmtid="{D5CDD505-2E9C-101B-9397-08002B2CF9AE}" pid="151" name="FSC#COOSYSTEM@1.1:Container">
    <vt:lpwstr>COO.2145.1000.3.4267479</vt:lpwstr>
  </property>
  <property fmtid="{D5CDD505-2E9C-101B-9397-08002B2CF9AE}" pid="152" name="FSC#FSCFOLIO@1.1001:docpropproject">
    <vt:lpwstr/>
  </property>
</Properties>
</file>