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7ED" w:rsidRPr="00214AD6" w:rsidRDefault="001F47ED" w:rsidP="009D27D3">
      <w:pPr>
        <w:jc w:val="center"/>
      </w:pPr>
      <w:r w:rsidRPr="00214AD6">
        <w:t>(Návrh)</w:t>
      </w:r>
    </w:p>
    <w:p w:rsidR="001F47ED" w:rsidRPr="00214AD6" w:rsidRDefault="001F47ED" w:rsidP="009D27D3">
      <w:pPr>
        <w:jc w:val="center"/>
      </w:pPr>
      <w:r w:rsidRPr="00214AD6">
        <w:t>VYHLÁŠKA</w:t>
      </w:r>
    </w:p>
    <w:p w:rsidR="001F47ED" w:rsidRPr="00214AD6" w:rsidRDefault="001F47ED" w:rsidP="009D27D3">
      <w:pPr>
        <w:spacing w:after="200"/>
        <w:jc w:val="center"/>
      </w:pPr>
      <w:r w:rsidRPr="00214AD6">
        <w:rPr>
          <w:b/>
        </w:rPr>
        <w:t>Ministerstva obrany Slovenskej republiky</w:t>
      </w:r>
    </w:p>
    <w:p w:rsidR="001F47ED" w:rsidRPr="00214AD6" w:rsidRDefault="001F47ED" w:rsidP="009D27D3">
      <w:pPr>
        <w:spacing w:after="200"/>
        <w:jc w:val="center"/>
      </w:pPr>
      <w:r w:rsidRPr="00214AD6">
        <w:t>z .............2021</w:t>
      </w: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o výbušninách, výbušných predmetoch a munícii na obran</w:t>
      </w:r>
      <w:r>
        <w:rPr>
          <w:b/>
        </w:rPr>
        <w:t>u štátu</w:t>
      </w:r>
      <w:r w:rsidRPr="00214AD6">
        <w:rPr>
          <w:b/>
        </w:rPr>
        <w:t>, základných požiadavkách na tieto určené výrobky, lehotách a postupoch posudzovania zhody,</w:t>
      </w: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iných podrobnostiach o posudzovaní zhody a o náležitostiach výstupných dokumentov posudzovania zhody</w:t>
      </w:r>
    </w:p>
    <w:p w:rsidR="001F47ED" w:rsidRPr="00214AD6" w:rsidRDefault="001F47ED" w:rsidP="009D27D3">
      <w:pPr>
        <w:jc w:val="center"/>
      </w:pPr>
    </w:p>
    <w:p w:rsidR="001F47ED" w:rsidRPr="00214AD6" w:rsidRDefault="001F47ED" w:rsidP="009D27D3">
      <w:pPr>
        <w:ind w:firstLine="709"/>
        <w:jc w:val="both"/>
      </w:pPr>
      <w:r w:rsidRPr="00214AD6">
        <w:t xml:space="preserve">Ministerstvo obrany Slovenskej republiky (ďalej len „ministerstvo obrany“) podľa § 87 </w:t>
      </w:r>
      <w:r w:rsidRPr="00214AD6">
        <w:rPr>
          <w:bCs/>
        </w:rPr>
        <w:t>ods. 2 písm. a)</w:t>
      </w:r>
      <w:r w:rsidRPr="00214AD6">
        <w:t xml:space="preserve"> zákona č. 58/2014 Z. z. o výbušninách, výbušných predmetoch a munícii a o zmene a doplnení niektorých zákonov (ďalej len „zákon“) v znení zákona č. .../2021 Z. z. ustanovuje: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9D27D3">
      <w:pPr>
        <w:jc w:val="center"/>
      </w:pPr>
      <w:r w:rsidRPr="00214AD6">
        <w:rPr>
          <w:b/>
        </w:rPr>
        <w:t>§ 1</w:t>
      </w:r>
    </w:p>
    <w:p w:rsidR="001F47ED" w:rsidRPr="00214AD6" w:rsidRDefault="001F47ED" w:rsidP="009D27D3">
      <w:pPr>
        <w:spacing w:after="120"/>
        <w:jc w:val="center"/>
      </w:pPr>
      <w:r w:rsidRPr="00214AD6">
        <w:rPr>
          <w:b/>
        </w:rPr>
        <w:t>Predmet úpravy</w:t>
      </w:r>
    </w:p>
    <w:p w:rsidR="001F47ED" w:rsidRPr="00214AD6" w:rsidRDefault="001F47ED" w:rsidP="009D27D3">
      <w:pPr>
        <w:spacing w:after="120"/>
        <w:ind w:firstLine="301"/>
        <w:jc w:val="both"/>
      </w:pPr>
      <w:r w:rsidRPr="00214AD6">
        <w:t>(1) Táto vyhláška upravuje</w:t>
      </w:r>
    </w:p>
    <w:p w:rsidR="001F47ED" w:rsidRPr="00214AD6" w:rsidRDefault="001F47ED" w:rsidP="009D27D3">
      <w:pPr>
        <w:pStyle w:val="Odsekzoznamu"/>
        <w:numPr>
          <w:ilvl w:val="0"/>
          <w:numId w:val="3"/>
        </w:numPr>
        <w:ind w:left="658" w:hanging="357"/>
        <w:jc w:val="both"/>
      </w:pPr>
      <w:r w:rsidRPr="00214AD6">
        <w:t>výbušniny, výbušné predmety a muníciu na obran</w:t>
      </w:r>
      <w:r>
        <w:t>u štátu</w:t>
      </w:r>
      <w:r w:rsidRPr="00214AD6">
        <w:t xml:space="preserve">, </w:t>
      </w:r>
    </w:p>
    <w:p w:rsidR="001F47ED" w:rsidRPr="00214AD6" w:rsidRDefault="001F47ED" w:rsidP="009D27D3">
      <w:pPr>
        <w:pStyle w:val="Odsekzoznamu"/>
        <w:numPr>
          <w:ilvl w:val="0"/>
          <w:numId w:val="3"/>
        </w:numPr>
        <w:ind w:left="658" w:hanging="357"/>
        <w:jc w:val="both"/>
      </w:pPr>
      <w:r w:rsidRPr="00214AD6">
        <w:t>základné požiadavky na určený výrobok,</w:t>
      </w:r>
    </w:p>
    <w:p w:rsidR="001F47ED" w:rsidRPr="00214AD6" w:rsidRDefault="001F47ED" w:rsidP="009D27D3">
      <w:pPr>
        <w:pStyle w:val="Odsekzoznamu"/>
        <w:numPr>
          <w:ilvl w:val="0"/>
          <w:numId w:val="3"/>
        </w:numPr>
        <w:ind w:left="658" w:hanging="357"/>
        <w:jc w:val="both"/>
      </w:pPr>
      <w:r w:rsidRPr="00214AD6">
        <w:t>lehoty a postupy posudzovania zhody určeného výrobku,</w:t>
      </w:r>
    </w:p>
    <w:p w:rsidR="001F47ED" w:rsidRPr="00214AD6" w:rsidRDefault="001F47ED" w:rsidP="009D27D3">
      <w:pPr>
        <w:pStyle w:val="Odsekzoznamu"/>
        <w:numPr>
          <w:ilvl w:val="0"/>
          <w:numId w:val="3"/>
        </w:numPr>
        <w:ind w:left="658" w:hanging="357"/>
        <w:jc w:val="both"/>
      </w:pPr>
      <w:r w:rsidRPr="00214AD6">
        <w:t>iné podrobnosti o posudzovaní zhody určeného výrobku,</w:t>
      </w:r>
    </w:p>
    <w:p w:rsidR="001F47ED" w:rsidRPr="00214AD6" w:rsidRDefault="001F47ED" w:rsidP="009D27D3">
      <w:pPr>
        <w:pStyle w:val="Odsekzoznamu"/>
        <w:numPr>
          <w:ilvl w:val="0"/>
          <w:numId w:val="3"/>
        </w:numPr>
        <w:spacing w:after="120"/>
        <w:ind w:left="658" w:hanging="357"/>
        <w:jc w:val="both"/>
      </w:pPr>
      <w:r w:rsidRPr="00214AD6">
        <w:t>náležitosti výstupných dokumentov posudzovania zhody určeného výrobku.</w:t>
      </w:r>
    </w:p>
    <w:p w:rsidR="001F47ED" w:rsidRPr="00214AD6" w:rsidRDefault="001F47ED" w:rsidP="009D27D3">
      <w:pPr>
        <w:spacing w:after="120"/>
        <w:ind w:firstLine="300"/>
        <w:jc w:val="both"/>
      </w:pPr>
      <w:r w:rsidRPr="00214AD6">
        <w:t>(2) Táto vyhláška sa vzťahuje na určený výrobok,</w:t>
      </w:r>
      <w:r w:rsidRPr="00214AD6">
        <w:rPr>
          <w:rStyle w:val="Odkaznapoznmkupodiarou"/>
        </w:rPr>
        <w:t xml:space="preserve"> </w:t>
      </w:r>
      <w:r w:rsidRPr="00214AD6">
        <w:rPr>
          <w:rStyle w:val="Odkaznapoznmkupodiarou"/>
        </w:rPr>
        <w:footnoteReference w:id="1"/>
      </w:r>
      <w:r w:rsidRPr="00214AD6">
        <w:t>) ktorým je výbušnina, výbušný predmet alebo munícia na obran</w:t>
      </w:r>
      <w:r>
        <w:t>u štátu</w:t>
      </w:r>
      <w:r w:rsidRPr="00214AD6">
        <w:t xml:space="preserve"> (ďalej len „určený výrobok“)</w:t>
      </w:r>
    </w:p>
    <w:p w:rsidR="001F47ED" w:rsidRPr="00214AD6" w:rsidRDefault="001F47ED" w:rsidP="009D27D3">
      <w:pPr>
        <w:pStyle w:val="Odsekzoznamu"/>
        <w:numPr>
          <w:ilvl w:val="0"/>
          <w:numId w:val="4"/>
        </w:numPr>
        <w:spacing w:after="120"/>
        <w:ind w:hanging="357"/>
        <w:jc w:val="both"/>
      </w:pPr>
      <w:r w:rsidRPr="00214AD6">
        <w:t xml:space="preserve">dodávaná pre </w:t>
      </w:r>
    </w:p>
    <w:p w:rsidR="001F47ED" w:rsidRPr="00214AD6" w:rsidRDefault="001F47ED" w:rsidP="009D27D3">
      <w:pPr>
        <w:ind w:left="658"/>
        <w:jc w:val="both"/>
      </w:pPr>
      <w:r w:rsidRPr="00214AD6">
        <w:t>1. ozbrojené sily Slovenskej republiky,</w:t>
      </w:r>
    </w:p>
    <w:p w:rsidR="001F47ED" w:rsidRPr="00214AD6" w:rsidRDefault="001F47ED" w:rsidP="009D27D3">
      <w:pPr>
        <w:ind w:left="658"/>
        <w:jc w:val="both"/>
      </w:pPr>
      <w:r w:rsidRPr="00214AD6">
        <w:t>2. Vojenskú políciu,</w:t>
      </w:r>
    </w:p>
    <w:p w:rsidR="001F47ED" w:rsidRPr="00214AD6" w:rsidRDefault="001F47ED" w:rsidP="009D27D3">
      <w:pPr>
        <w:ind w:left="658"/>
        <w:jc w:val="both"/>
      </w:pPr>
      <w:r w:rsidRPr="00214AD6">
        <w:t>3. Vojenské spravodajstvo,</w:t>
      </w:r>
    </w:p>
    <w:p w:rsidR="001F47ED" w:rsidRPr="00214AD6" w:rsidRDefault="001F47ED" w:rsidP="009D27D3">
      <w:pPr>
        <w:spacing w:after="120"/>
        <w:ind w:left="660" w:hanging="2"/>
        <w:jc w:val="both"/>
      </w:pPr>
      <w:r w:rsidRPr="00214AD6">
        <w:t xml:space="preserve">4. rozpočtové organizácie v pôsobnosti ministerstva obrany, </w:t>
      </w:r>
    </w:p>
    <w:p w:rsidR="001F47ED" w:rsidRPr="00214AD6" w:rsidRDefault="001F47ED" w:rsidP="009D27D3">
      <w:pPr>
        <w:pStyle w:val="Odsekzoznamu"/>
        <w:numPr>
          <w:ilvl w:val="0"/>
          <w:numId w:val="4"/>
        </w:numPr>
        <w:spacing w:after="120"/>
        <w:ind w:left="709" w:hanging="357"/>
        <w:jc w:val="both"/>
      </w:pPr>
      <w:r w:rsidRPr="00214AD6">
        <w:t>skladovaná v pôsobnosti subjektov uvedených v písmene a).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9D27D3">
      <w:pPr>
        <w:jc w:val="center"/>
      </w:pPr>
      <w:r w:rsidRPr="00214AD6">
        <w:rPr>
          <w:b/>
        </w:rPr>
        <w:t>§ 2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Základné požiadavky na určený výrobok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(1) Určený výrobok musí byť navrhnutý, vyrobený, dodávaný a skladovaný tak, aby bol bezpečný, funkčný a spoľahlivý pri použití a aby za bežných a predvídateľných podmienok, najmä so zreteľom na bezpečnostné predpisy a bežné postupy až do doby svojho použitia, neohrozoval bezpečnosť života a zdravie človeka a aby sa zabránilo škodám na majetku. 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>(2) Základné požiadavky na určený výrobok sú dané technickými požiadavkami na jeho bezpečnosť, ako aj na funkčnosť a spoľahlivosť pri jeho použití podľa</w:t>
      </w:r>
      <w:r w:rsidR="00B42961">
        <w:t xml:space="preserve"> </w:t>
      </w:r>
      <w:r w:rsidRPr="00214AD6">
        <w:t xml:space="preserve">odseku 1, špecifikovanými v technickej dokumentácii a </w:t>
      </w:r>
    </w:p>
    <w:p w:rsidR="001F47ED" w:rsidRPr="00214AD6" w:rsidRDefault="001F47ED" w:rsidP="009D27D3">
      <w:pPr>
        <w:ind w:left="641" w:hanging="357"/>
        <w:jc w:val="both"/>
      </w:pPr>
      <w:r w:rsidRPr="00214AD6">
        <w:lastRenderedPageBreak/>
        <w:t>a)</w:t>
      </w:r>
      <w:r w:rsidRPr="00214AD6">
        <w:tab/>
        <w:t xml:space="preserve">v spojeneckom štandarde, </w:t>
      </w:r>
      <w:r w:rsidRPr="00214AD6">
        <w:rPr>
          <w:vertAlign w:val="superscript"/>
        </w:rPr>
        <w:footnoteReference w:id="2"/>
      </w:r>
      <w:r w:rsidRPr="00214AD6">
        <w:t xml:space="preserve">) </w:t>
      </w:r>
    </w:p>
    <w:p w:rsidR="001F47ED" w:rsidRPr="00214AD6" w:rsidRDefault="001F47ED" w:rsidP="009D27D3">
      <w:pPr>
        <w:ind w:left="641" w:hanging="357"/>
        <w:jc w:val="both"/>
      </w:pPr>
      <w:r w:rsidRPr="00214AD6">
        <w:t>b)</w:t>
      </w:r>
      <w:r w:rsidRPr="00214AD6">
        <w:tab/>
        <w:t>v slovenskom obrannom štandarde alebo v inom implementačnom dokumente obrannej štandardizácie,</w:t>
      </w:r>
      <w:r w:rsidRPr="00214AD6">
        <w:rPr>
          <w:vertAlign w:val="superscript"/>
        </w:rPr>
        <w:footnoteReference w:id="3"/>
      </w:r>
      <w:r w:rsidRPr="00214AD6">
        <w:t>)</w:t>
      </w:r>
    </w:p>
    <w:p w:rsidR="001F47ED" w:rsidRPr="00214AD6" w:rsidRDefault="001F47ED" w:rsidP="009D27D3">
      <w:pPr>
        <w:ind w:left="641" w:hanging="357"/>
        <w:jc w:val="both"/>
      </w:pPr>
      <w:r w:rsidRPr="00214AD6">
        <w:t>c)</w:t>
      </w:r>
      <w:r w:rsidRPr="00214AD6">
        <w:tab/>
        <w:t>v technickej norme,</w:t>
      </w:r>
      <w:r w:rsidRPr="00214AD6">
        <w:rPr>
          <w:vertAlign w:val="superscript"/>
        </w:rPr>
        <w:footnoteReference w:id="4"/>
      </w:r>
      <w:r w:rsidRPr="00214AD6">
        <w:t>)</w:t>
      </w:r>
    </w:p>
    <w:p w:rsidR="001F47ED" w:rsidRPr="00214AD6" w:rsidRDefault="001F47ED" w:rsidP="009D27D3">
      <w:pPr>
        <w:ind w:left="641" w:hanging="357"/>
        <w:jc w:val="both"/>
      </w:pPr>
      <w:r w:rsidRPr="00214AD6">
        <w:t>d)</w:t>
      </w:r>
      <w:r w:rsidRPr="00214AD6">
        <w:tab/>
        <w:t xml:space="preserve">vo vnútornom vojenskom predpise. </w:t>
      </w:r>
    </w:p>
    <w:p w:rsidR="001F47ED" w:rsidRPr="00214AD6" w:rsidRDefault="001F47ED" w:rsidP="009D27D3">
      <w:pPr>
        <w:jc w:val="both"/>
      </w:pP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Posudzovanie zhody určeného výrobku</w:t>
      </w:r>
    </w:p>
    <w:p w:rsidR="001F47ED" w:rsidRPr="00214AD6" w:rsidRDefault="001F47ED" w:rsidP="009D27D3">
      <w:pPr>
        <w:jc w:val="center"/>
      </w:pPr>
      <w:r w:rsidRPr="00214AD6">
        <w:rPr>
          <w:b/>
        </w:rPr>
        <w:t>§ 3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Postupy posudzovania zhody určeného výrobku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>(1) Posudzovanie zhody určeného výrobku sa vykonáva skúškami, hodnotením a porovnávaním jeho technického stavu so základnými požiadavkami. Špecifikácia jednotlivých typov skúšok vykonávaných pri posudzovaní zhody určeného výrobku vyplýva z jeho technickej dokumentácie a dokumentov podľa § 2 ods. 2 písm. a) až d).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(2) Posudzovanie zhody určeného výrobku sa vykonáva podľa programu skúšok autorizovanej osoby, ktorý definuje súhrn skúšok nevyhnutných na posudzovanie zhody určeného výroku, obsahuje metodiky vykonávania skúšok a zoznam skúšobných zariadení a stanovuje množstvo vzorky určeného výrobku potrebného na posudzovanie zhody.  </w:t>
      </w:r>
    </w:p>
    <w:p w:rsidR="001F47ED" w:rsidRPr="00214AD6" w:rsidRDefault="001F47ED" w:rsidP="009D27D3">
      <w:pPr>
        <w:ind w:firstLine="708"/>
        <w:jc w:val="both"/>
      </w:pPr>
      <w:r w:rsidRPr="00214AD6">
        <w:t>(3) Na posudzovanie zhody sa predkladá určený výrobok</w:t>
      </w:r>
      <w:r w:rsidRPr="00214AD6" w:rsidDel="001317D4">
        <w:t xml:space="preserve"> </w:t>
      </w:r>
      <w:r w:rsidRPr="00214AD6">
        <w:t xml:space="preserve">podľa série určeného výrobku. </w:t>
      </w:r>
    </w:p>
    <w:p w:rsidR="001F47ED" w:rsidRPr="00214AD6" w:rsidRDefault="001F47ED" w:rsidP="009D27D3">
      <w:pPr>
        <w:ind w:firstLine="708"/>
        <w:jc w:val="both"/>
      </w:pPr>
    </w:p>
    <w:p w:rsidR="001F47ED" w:rsidRPr="00214AD6" w:rsidRDefault="001F47ED" w:rsidP="009D27D3">
      <w:pPr>
        <w:ind w:firstLine="708"/>
        <w:jc w:val="both"/>
      </w:pPr>
      <w:r w:rsidRPr="00214AD6">
        <w:t xml:space="preserve">(4) Ak bola časť určitej série určeného výrobku vystavená počas jeho životného cyklu klimatickým alebo iným podmienkam prostredia odlišným od podmienok uvedených v technickej dokumentácii pre jeho skladovanie alebo prepravu, považuje sa takáto časť za samostatnú sériu, ktorá je označená novým označením, a posudzovanie zhody tejto časti série sa vykonáva samostatne.  </w:t>
      </w:r>
    </w:p>
    <w:p w:rsidR="001F47ED" w:rsidRPr="00214AD6" w:rsidRDefault="001F47ED" w:rsidP="009D27D3">
      <w:pPr>
        <w:ind w:firstLine="708"/>
        <w:jc w:val="both"/>
      </w:pPr>
    </w:p>
    <w:p w:rsidR="001F47ED" w:rsidRPr="00214AD6" w:rsidRDefault="001F47ED" w:rsidP="009D27D3">
      <w:pPr>
        <w:ind w:firstLine="708"/>
        <w:jc w:val="both"/>
      </w:pPr>
      <w:r w:rsidRPr="00214AD6">
        <w:t>(5) Posudzovanie zhody určeného výrobku sa vykonáva na základe žiadosti o posudzovanie zhody, ktorá sa predkladá autorizovanej osobe</w:t>
      </w:r>
      <w:r w:rsidRPr="00214AD6">
        <w:rPr>
          <w:rStyle w:val="Odkaznapoznmkupodiarou"/>
        </w:rPr>
        <w:footnoteReference w:id="5"/>
      </w:r>
      <w:r w:rsidRPr="00214AD6">
        <w:t>) spolu so sprievodnými dokladmi podľa odseku 6.</w:t>
      </w:r>
    </w:p>
    <w:p w:rsidR="001F47ED" w:rsidRPr="00214AD6" w:rsidRDefault="001F47ED" w:rsidP="009D27D3">
      <w:pPr>
        <w:jc w:val="both"/>
        <w:rPr>
          <w:sz w:val="12"/>
          <w:szCs w:val="12"/>
        </w:rPr>
      </w:pP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(6) Sprievodné doklady podľa odseku 5 sú 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>a)</w:t>
      </w:r>
      <w:r w:rsidRPr="00214AD6">
        <w:tab/>
        <w:t xml:space="preserve">technická dokumentácia; ak žiadateľ o posudzovanie zhody určeného výrobku podľa § 1 ods. 2 písm. b) nemá k dispozícii technickú dokumentáciu vyhotovenú výrobcom, za technickú dokumentáciu sa na účely tejto vyhlášky pokladá aj iná dokumentácia určeného výrobku, ktorá špecifikuje technické požiadavky podľa § 2 ods. </w:t>
      </w:r>
      <w:smartTag w:uri="urn:schemas-microsoft-com:office:smarttags" w:element="metricconverter">
        <w:smartTagPr>
          <w:attr w:name="ProductID" w:val="2 a"/>
        </w:smartTagPr>
        <w:r w:rsidRPr="00214AD6">
          <w:t>2 a</w:t>
        </w:r>
      </w:smartTag>
      <w:r w:rsidRPr="00214AD6">
        <w:t xml:space="preserve"> je postačujúca na posudzovanie zhody určeného výrobku, 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>b)</w:t>
      </w:r>
      <w:r w:rsidRPr="00214AD6">
        <w:tab/>
        <w:t>záverečný protokol z posledného posudzovania zhody, ak bolo posudzovanie zhody vykonané,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>c)</w:t>
      </w:r>
      <w:r w:rsidRPr="00214AD6">
        <w:tab/>
        <w:t>informácia o podmienkach skladovania, prepravy a manipulácie</w:t>
      </w:r>
      <w:r w:rsidRPr="00214AD6">
        <w:rPr>
          <w:rStyle w:val="Odkaznapoznmkupodiarou"/>
        </w:rPr>
        <w:footnoteReference w:id="6"/>
      </w:r>
      <w:r w:rsidRPr="00214AD6">
        <w:t>) určeného výrobku počas jeho životného cyklu.</w:t>
      </w:r>
    </w:p>
    <w:p w:rsidR="001F47ED" w:rsidRPr="00214AD6" w:rsidRDefault="001F47ED" w:rsidP="009D27D3">
      <w:pPr>
        <w:shd w:val="clear" w:color="auto" w:fill="FFFFFF"/>
        <w:ind w:firstLine="284"/>
        <w:jc w:val="both"/>
      </w:pPr>
      <w:r w:rsidRPr="00214AD6">
        <w:lastRenderedPageBreak/>
        <w:t xml:space="preserve">  </w:t>
      </w:r>
      <w:r w:rsidRPr="00214AD6">
        <w:tab/>
        <w:t xml:space="preserve">(7) Posudzovanie zhody sa vykonáva za klimatických podmienok, ktoré sa čo najviac približujú podmienkam, ktorým je alebo bude určený výrobok vystavený počas jeho životného cyklu pri skladovaní, preprave alebo manipulácii. </w:t>
      </w:r>
    </w:p>
    <w:p w:rsidR="001F47ED" w:rsidRPr="00214AD6" w:rsidRDefault="001F47ED" w:rsidP="009D27D3">
      <w:pPr>
        <w:shd w:val="clear" w:color="auto" w:fill="FFFFFF"/>
        <w:ind w:firstLine="284"/>
        <w:jc w:val="both"/>
      </w:pP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§ 4</w:t>
      </w:r>
      <w:r w:rsidRPr="00214AD6">
        <w:rPr>
          <w:b/>
        </w:rPr>
        <w:br/>
        <w:t>Vzorka na posudzovanie zhody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>(1) Na posudzovanie zhody určeného výrobku sa predkladá vzorka, ktorá reprezentuje príslušnú sériu určeného výrobku, v množstve podľa programu skúšok autorizovanej osoby.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(2) Ak z dôvodu obmedzeného množstva určeného výrobku podľa § 1 ods. 2 písm. b) nemožno predložiť na posudzovanie zhody vzorku v množstve podľa odseku 1, so súhlasom autorizovanej osoby možno vykonať posudzovanie zhody na menšom množstve predloženej vzorky určeného výrobku. </w:t>
      </w:r>
    </w:p>
    <w:p w:rsidR="001F47ED" w:rsidRPr="00214AD6" w:rsidRDefault="001F47ED" w:rsidP="009D27D3">
      <w:pPr>
        <w:jc w:val="center"/>
      </w:pPr>
      <w:r w:rsidRPr="00214AD6">
        <w:rPr>
          <w:b/>
        </w:rPr>
        <w:t>§ 5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Lehoty posudzovania zhody určeného výrobku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(1) Posudzovanie zhody určeného výrobku podľa § 1 ods. 2 písm. b) sa vykoná najneskôr šesť mesiacov pred uplynutím </w:t>
      </w:r>
    </w:p>
    <w:p w:rsidR="001F47ED" w:rsidRPr="00214AD6" w:rsidRDefault="001F47ED" w:rsidP="009D27D3">
      <w:pPr>
        <w:ind w:left="709" w:hanging="425"/>
        <w:jc w:val="both"/>
      </w:pPr>
      <w:r w:rsidRPr="00214AD6">
        <w:t xml:space="preserve">a) </w:t>
      </w:r>
      <w:r w:rsidRPr="00214AD6">
        <w:tab/>
        <w:t>záručnej lehoty určeného výrobku,</w:t>
      </w:r>
    </w:p>
    <w:p w:rsidR="001F47ED" w:rsidRPr="00214AD6" w:rsidRDefault="001F47ED" w:rsidP="009D27D3">
      <w:pPr>
        <w:spacing w:after="120"/>
        <w:ind w:left="709" w:hanging="425"/>
        <w:jc w:val="both"/>
      </w:pPr>
      <w:r w:rsidRPr="00214AD6">
        <w:t xml:space="preserve">b) </w:t>
      </w:r>
      <w:r w:rsidRPr="00214AD6">
        <w:tab/>
        <w:t>lehoty na periodické posudzovanie zhody.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(2) Lehota na periodické posudzovanie zhody podľa odseku 1 písm. b) začína plynúť odo dňa vydania výstupných dokumentov posudzovania zhody podľa odseku 1 alebo podľa odseku 3 a končí sa uplynutím </w:t>
      </w:r>
    </w:p>
    <w:p w:rsidR="001F47ED" w:rsidRPr="00214AD6" w:rsidRDefault="001F47ED" w:rsidP="009D27D3">
      <w:pPr>
        <w:ind w:left="709" w:hanging="425"/>
        <w:jc w:val="both"/>
      </w:pPr>
      <w:r w:rsidRPr="00214AD6">
        <w:t xml:space="preserve">a) </w:t>
      </w:r>
      <w:r w:rsidRPr="00214AD6">
        <w:tab/>
        <w:t>piatich rokov, ak ide o určený výrobok prvej kategórie podľa § 7 ods. 4 písm. a),</w:t>
      </w:r>
    </w:p>
    <w:p w:rsidR="001F47ED" w:rsidRPr="00214AD6" w:rsidRDefault="001F47ED" w:rsidP="009D27D3">
      <w:pPr>
        <w:spacing w:after="120"/>
        <w:ind w:left="709" w:hanging="425"/>
        <w:jc w:val="both"/>
      </w:pPr>
      <w:r w:rsidRPr="00214AD6">
        <w:t xml:space="preserve">b) </w:t>
      </w:r>
      <w:r w:rsidRPr="00214AD6">
        <w:tab/>
        <w:t xml:space="preserve">dvoch rokov, ak ide o určený výrobok druhej kategórie podľa § 7 ods. 4 písm. b). 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(3) Posudzovanie zhody určeného výrobku podľa § 1 ods. 2 písm. b) sa vykoná najneskôr do jedného roka odo dňa, kedy </w:t>
      </w:r>
    </w:p>
    <w:p w:rsidR="001F47ED" w:rsidRPr="00214AD6" w:rsidRDefault="001F47ED" w:rsidP="009D27D3">
      <w:pPr>
        <w:ind w:left="709" w:hanging="425"/>
        <w:jc w:val="both"/>
      </w:pPr>
      <w:r w:rsidRPr="00214AD6">
        <w:t xml:space="preserve">a) </w:t>
      </w:r>
      <w:r w:rsidRPr="00214AD6">
        <w:tab/>
        <w:t xml:space="preserve">určený výrobok je predmetom vyšetrovania havárie, </w:t>
      </w:r>
    </w:p>
    <w:p w:rsidR="001F47ED" w:rsidRPr="00214AD6" w:rsidRDefault="001F47ED" w:rsidP="009D27D3">
      <w:pPr>
        <w:ind w:left="709" w:hanging="425"/>
        <w:jc w:val="both"/>
      </w:pPr>
      <w:r w:rsidRPr="00214AD6">
        <w:t xml:space="preserve">b) </w:t>
      </w:r>
      <w:r w:rsidRPr="00214AD6">
        <w:tab/>
        <w:t>vzniknú odôvodnené pochybnosti o jeho technickom stave a kvalite zo strany ministerstva obrany alebo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 xml:space="preserve">c) </w:t>
      </w:r>
      <w:r w:rsidRPr="00214AD6">
        <w:tab/>
        <w:t>určený výrobok prestane byť vystavený klimatickým alebo iným podmienkam odlišným od podmienok uvedených v technickej dokumentácii pre jeho skladovanie alebo prepravu.</w:t>
      </w:r>
    </w:p>
    <w:p w:rsidR="001F47ED" w:rsidRPr="00214AD6" w:rsidRDefault="001F47ED" w:rsidP="009D27D3">
      <w:pPr>
        <w:spacing w:after="120"/>
        <w:jc w:val="center"/>
        <w:rPr>
          <w:b/>
        </w:rPr>
      </w:pPr>
      <w:r w:rsidRPr="00214AD6">
        <w:rPr>
          <w:b/>
        </w:rPr>
        <w:t>Náležitosti výstupných dokumentov posudzovania zhody</w:t>
      </w: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§ 6</w:t>
      </w:r>
    </w:p>
    <w:p w:rsidR="001F47ED" w:rsidRPr="00214AD6" w:rsidRDefault="001F47ED" w:rsidP="009D27D3">
      <w:pPr>
        <w:jc w:val="center"/>
      </w:pPr>
    </w:p>
    <w:p w:rsidR="001F47ED" w:rsidRPr="00214AD6" w:rsidRDefault="001F47ED" w:rsidP="009D27D3">
      <w:pPr>
        <w:ind w:firstLine="708"/>
        <w:jc w:val="both"/>
      </w:pPr>
      <w:r w:rsidRPr="00214AD6">
        <w:t>Výsledky posudzovania zhody určeného výrobku sa uvedú v záverečnom protokole, ktorý je podkladom pre vydanie rozhodnutia o zhode.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9D27D3">
      <w:pPr>
        <w:jc w:val="center"/>
      </w:pPr>
      <w:r w:rsidRPr="00214AD6">
        <w:rPr>
          <w:b/>
        </w:rPr>
        <w:t>§ 7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 xml:space="preserve">Záverečný protokol 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(1) Záverečný protokol obsahuje najmä </w:t>
      </w:r>
    </w:p>
    <w:p w:rsidR="001F47ED" w:rsidRPr="00214AD6" w:rsidRDefault="001F47ED" w:rsidP="009D27D3">
      <w:pPr>
        <w:ind w:left="641" w:hanging="357"/>
        <w:jc w:val="both"/>
      </w:pPr>
      <w:r w:rsidRPr="00214AD6">
        <w:t>a)</w:t>
      </w:r>
      <w:r w:rsidRPr="00214AD6">
        <w:tab/>
        <w:t>citáciu príslušných ustanovení zákona a tejto vyhlášky,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b)  identifikačné údaje autorizovanej osoby, ktorá vykonala posudzovanie zhody, a číslo rozhodnutia o autorizácii, 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c) </w:t>
      </w:r>
      <w:r w:rsidRPr="00214AD6">
        <w:tab/>
        <w:t>číslo záverečného protokolu, dátum a miesto jeho vydania,</w:t>
      </w:r>
    </w:p>
    <w:p w:rsidR="001F47ED" w:rsidRPr="00214AD6" w:rsidRDefault="001F47ED" w:rsidP="009D27D3">
      <w:pPr>
        <w:ind w:left="641" w:hanging="357"/>
        <w:jc w:val="both"/>
      </w:pPr>
      <w:r w:rsidRPr="00214AD6">
        <w:lastRenderedPageBreak/>
        <w:t xml:space="preserve">d) </w:t>
      </w:r>
      <w:r w:rsidRPr="00214AD6">
        <w:tab/>
        <w:t>identifikačné údaje žiadateľa o posudzovanie zhody,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e) </w:t>
      </w:r>
      <w:r w:rsidRPr="00214AD6">
        <w:tab/>
        <w:t>základné údaje o určenom výrobku,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g) </w:t>
      </w:r>
      <w:r w:rsidRPr="00214AD6">
        <w:tab/>
        <w:t>dátumy vykonaných skúšok a opis ich priebehu,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h) </w:t>
      </w:r>
      <w:r w:rsidRPr="00214AD6">
        <w:tab/>
        <w:t>údaje o výsledkoch vykonaných skúšok,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i) </w:t>
      </w:r>
      <w:r w:rsidRPr="00214AD6">
        <w:tab/>
        <w:t>pridelený klasifikačný kód</w:t>
      </w:r>
      <w:r w:rsidRPr="00214AD6">
        <w:rPr>
          <w:vertAlign w:val="superscript"/>
        </w:rPr>
        <w:footnoteReference w:id="7"/>
      </w:r>
      <w:r w:rsidRPr="00214AD6">
        <w:t xml:space="preserve">) určeného výrobku, 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j)  zaradenie určeného výrobku podľa § 1 ods. 2 písm. b) do príslušnej kategórie podľa  odseku 4, 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k) </w:t>
      </w:r>
      <w:r w:rsidRPr="00214AD6">
        <w:tab/>
        <w:t>zoznam referenčných dokumentov, ktorými sú protokoly o skúškach</w:t>
      </w:r>
      <w:r w:rsidRPr="00214AD6">
        <w:rPr>
          <w:rStyle w:val="Odkaznapoznmkupodiarou"/>
        </w:rPr>
        <w:footnoteReference w:id="8"/>
      </w:r>
      <w:r w:rsidRPr="00214AD6">
        <w:t xml:space="preserve">), zápis z rokovania odbornej komisie autorizovanej osoby, technická dokumentácia a dokumenty podľa § 2 ods. 2 písm. a) až d), ktoré špecifikujú technické požiadavky na určený výrobok, </w:t>
      </w:r>
    </w:p>
    <w:p w:rsidR="001F47ED" w:rsidRPr="00214AD6" w:rsidRDefault="001F47ED" w:rsidP="009D27D3">
      <w:pPr>
        <w:spacing w:after="120"/>
        <w:ind w:left="663" w:hanging="357"/>
        <w:jc w:val="both"/>
      </w:pPr>
      <w:r w:rsidRPr="00214AD6">
        <w:t>l)    meno, priezvisko, funkcia a podpis osoby oprávnenej konať v mene autorizovanej osoby, odtlačok pečiatky autorizovanej osoby.</w:t>
      </w:r>
    </w:p>
    <w:p w:rsidR="001F47ED" w:rsidRPr="00214AD6" w:rsidRDefault="001F47ED" w:rsidP="009D27D3">
      <w:pPr>
        <w:spacing w:after="120"/>
        <w:ind w:firstLine="641"/>
        <w:jc w:val="both"/>
      </w:pPr>
      <w:r w:rsidRPr="00214AD6">
        <w:t xml:space="preserve">(2) Identifikačné údaje podľa odseku 1 písm. b) a d) sú 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a) </w:t>
      </w:r>
      <w:r w:rsidRPr="00214AD6">
        <w:tab/>
        <w:t>názov alebo obchodné meno, sídlo, právna forma a identifikačné číslo, ak ide o právnickú osobu,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 xml:space="preserve">b) </w:t>
      </w:r>
      <w:r w:rsidRPr="00214AD6">
        <w:tab/>
        <w:t>meno a priezvisko, obchodné meno, miesto podnikania a identifikačné číslo, ak ide o fyzickú osobu.</w:t>
      </w: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>(3) Údaje podľa odseku 1 písm. e) sú úplný názov a číslo série určeného výrobku.</w:t>
      </w:r>
    </w:p>
    <w:p w:rsidR="001F47ED" w:rsidRPr="00214AD6" w:rsidRDefault="001F47ED" w:rsidP="009D27D3">
      <w:pPr>
        <w:ind w:left="284" w:firstLine="424"/>
        <w:jc w:val="both"/>
      </w:pPr>
      <w:r w:rsidRPr="00214AD6">
        <w:t xml:space="preserve">(4) Určený výrobok podľa § 1 ods. 2 písm. b) sa zaradí na základe výsledkov posudzovania zhody do týchto kategórií: 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a) </w:t>
      </w:r>
      <w:r w:rsidRPr="00214AD6">
        <w:tab/>
        <w:t>do prvej kategórie sa zaradí určený výrobok, ktorý v celom rozsahu spĺňa základné požiadavky,</w:t>
      </w:r>
    </w:p>
    <w:p w:rsidR="001F47ED" w:rsidRPr="00214AD6" w:rsidRDefault="001F47ED" w:rsidP="009D27D3">
      <w:pPr>
        <w:ind w:left="641" w:hanging="357"/>
        <w:jc w:val="both"/>
      </w:pPr>
      <w:r w:rsidRPr="00214AD6">
        <w:t xml:space="preserve">b) </w:t>
      </w:r>
      <w:r w:rsidRPr="00214AD6">
        <w:tab/>
        <w:t>do druhej kategórie sa zaradí určený výrobok, ktorý je bezpečný a ktorý čiastočne alebo v celom rozsahu nespĺňa ostatné základné požiadavky,</w:t>
      </w:r>
    </w:p>
    <w:p w:rsidR="001F47ED" w:rsidRPr="00214AD6" w:rsidRDefault="001F47ED" w:rsidP="009D27D3">
      <w:pPr>
        <w:spacing w:after="120"/>
        <w:ind w:left="641" w:hanging="357"/>
        <w:jc w:val="both"/>
      </w:pPr>
      <w:r w:rsidRPr="00214AD6">
        <w:t xml:space="preserve">c) </w:t>
      </w:r>
      <w:r w:rsidRPr="00214AD6">
        <w:tab/>
        <w:t xml:space="preserve">do tretej kategórie sa zaradí určený výrobok, ktorý nie je bezpečný a ktorý čiastočne alebo v celom rozsahu nespĺňa ostatné základné požiadavky. </w:t>
      </w:r>
    </w:p>
    <w:p w:rsidR="001F47ED" w:rsidRPr="00214AD6" w:rsidRDefault="001F47ED" w:rsidP="009D27D3">
      <w:pPr>
        <w:spacing w:after="120"/>
        <w:ind w:left="709" w:hanging="1"/>
        <w:jc w:val="both"/>
      </w:pPr>
      <w:r w:rsidRPr="00214AD6">
        <w:t xml:space="preserve">(5)  Pre určený výrobok zaradený </w:t>
      </w:r>
    </w:p>
    <w:p w:rsidR="001F47ED" w:rsidRPr="00214AD6" w:rsidRDefault="001F47ED" w:rsidP="009D27D3">
      <w:pPr>
        <w:ind w:left="709" w:hanging="425"/>
        <w:jc w:val="both"/>
      </w:pPr>
      <w:r w:rsidRPr="00214AD6">
        <w:t xml:space="preserve">a) </w:t>
      </w:r>
      <w:r w:rsidRPr="00214AD6">
        <w:tab/>
        <w:t xml:space="preserve">do prvej kategórie podľa odseku 4 písm. a) sa vydáva rozhodnutie o zhode,   </w:t>
      </w:r>
    </w:p>
    <w:p w:rsidR="001F47ED" w:rsidRPr="00214AD6" w:rsidRDefault="001F47ED" w:rsidP="009D27D3">
      <w:pPr>
        <w:spacing w:after="120"/>
        <w:ind w:left="641" w:hanging="357"/>
        <w:jc w:val="both"/>
        <w:rPr>
          <w:b/>
        </w:rPr>
      </w:pPr>
      <w:r w:rsidRPr="00214AD6">
        <w:t xml:space="preserve">b) </w:t>
      </w:r>
      <w:r w:rsidRPr="00214AD6">
        <w:tab/>
        <w:t xml:space="preserve">do druhej a tretej kategórie podľa odseku 4 písm. b) a c) sa nevydáva rozhodnutie o zhode a v záverečnom protokole sa uvedie vhodné zaobchádzanie s určeným výrobkom.  </w:t>
      </w:r>
    </w:p>
    <w:p w:rsidR="001F47ED" w:rsidRPr="00214AD6" w:rsidRDefault="001F47ED" w:rsidP="009D27D3">
      <w:pPr>
        <w:jc w:val="center"/>
      </w:pPr>
      <w:r w:rsidRPr="00214AD6">
        <w:rPr>
          <w:b/>
        </w:rPr>
        <w:t>§ 8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Rozhodnutie o zhode</w:t>
      </w:r>
    </w:p>
    <w:p w:rsidR="001F47ED" w:rsidRPr="00214AD6" w:rsidRDefault="001F47ED" w:rsidP="009D27D3">
      <w:pPr>
        <w:ind w:firstLine="644"/>
        <w:jc w:val="both"/>
      </w:pPr>
      <w:r w:rsidRPr="00214AD6">
        <w:t xml:space="preserve">(1) Rozhodnutie o zhode obsahuje najmä 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citáciu príslušných ustanovení zákona a tejto vyhlášky,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 xml:space="preserve">identifikačné údaje autorizovanej osoby podľa § 7 ods. 2, ktorá vykonala posudzovanie zhody, a číslo rozhodnutia o autorizácii, 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číslo rozhodnutia o zhode,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identifikačné údaje žiadateľa o posudzovanie zhody podľa § 7 ods. 2,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základné údaje o určenom výrobku podľa § 7 ods. 3,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označenie technickej dokumentácie a dokumentov podľa § 2 ods. 2 písm. a) až d), ktoré špecifikujú technické požiadavky na určený výrobok,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t>dátum skončenia platnosti rozhodnutia o zhode,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contextualSpacing/>
        <w:jc w:val="both"/>
      </w:pPr>
      <w:r w:rsidRPr="00214AD6">
        <w:lastRenderedPageBreak/>
        <w:t>obmedzenie rozhodnutia o zhode na typ a sériu určeného výrobku,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spacing w:after="120"/>
        <w:contextualSpacing/>
        <w:jc w:val="both"/>
      </w:pPr>
      <w:r w:rsidRPr="00214AD6">
        <w:t xml:space="preserve">zoznam referenčných dokumentov, ktorými sú záverečný protokol, technická dokumentácia a dokumenty podľa § 2 ods. 2 písm. a) až d), ktoré špecifikujú technické požiadavky na určený výrobok,  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spacing w:after="120"/>
        <w:contextualSpacing/>
        <w:jc w:val="both"/>
      </w:pPr>
      <w:r w:rsidRPr="00214AD6">
        <w:t>dátum a miesto vydania rozhodnutia o zhode,</w:t>
      </w:r>
    </w:p>
    <w:p w:rsidR="001F47ED" w:rsidRPr="00214AD6" w:rsidRDefault="001F47ED" w:rsidP="009D27D3">
      <w:pPr>
        <w:pStyle w:val="Odsekzoznamu"/>
        <w:numPr>
          <w:ilvl w:val="0"/>
          <w:numId w:val="5"/>
        </w:numPr>
        <w:spacing w:after="120"/>
        <w:contextualSpacing/>
        <w:jc w:val="both"/>
      </w:pPr>
      <w:r w:rsidRPr="00214AD6">
        <w:t>meno, priezvisko, funkcia a podpis osoby oprávnenej konať v mene autorizovanej osoby a odtlačok pečiatky autorizovanej osoby.</w:t>
      </w:r>
    </w:p>
    <w:p w:rsidR="001F47ED" w:rsidRPr="00214AD6" w:rsidRDefault="001F47ED" w:rsidP="009D27D3">
      <w:pPr>
        <w:jc w:val="center"/>
      </w:pPr>
      <w:r w:rsidRPr="00214AD6">
        <w:rPr>
          <w:b/>
        </w:rPr>
        <w:t>§ 9</w:t>
      </w:r>
    </w:p>
    <w:p w:rsidR="001F47ED" w:rsidRPr="00214AD6" w:rsidRDefault="001F47ED" w:rsidP="009D27D3">
      <w:pPr>
        <w:spacing w:after="200"/>
        <w:jc w:val="center"/>
        <w:rPr>
          <w:b/>
        </w:rPr>
      </w:pPr>
      <w:r w:rsidRPr="00214AD6">
        <w:rPr>
          <w:b/>
        </w:rPr>
        <w:t>Prechodné ustanovenia</w:t>
      </w:r>
    </w:p>
    <w:p w:rsidR="001F47ED" w:rsidRPr="00214AD6" w:rsidRDefault="001F47ED" w:rsidP="009D27D3">
      <w:pPr>
        <w:ind w:firstLine="708"/>
        <w:jc w:val="both"/>
      </w:pPr>
      <w:r w:rsidRPr="00214AD6">
        <w:t xml:space="preserve">(1) Podľa právnej úpravy predchádzajúceho právneho predpisu možno postupovať až do zániku autorizácie autorizovanej osoby oprávnenej na preskúšanie podľa predchádzajúceho právneho predpisu </w:t>
      </w:r>
      <w:r>
        <w:t xml:space="preserve">a na základe </w:t>
      </w:r>
      <w:r w:rsidRPr="00214AD6">
        <w:t xml:space="preserve">rozhodnutia o jej autorizácii vydaného pred 1. aprílom 2018. </w:t>
      </w:r>
    </w:p>
    <w:p w:rsidR="001F47ED" w:rsidRPr="00214AD6" w:rsidRDefault="001F47ED" w:rsidP="009D27D3">
      <w:pPr>
        <w:ind w:firstLine="708"/>
        <w:jc w:val="both"/>
      </w:pPr>
    </w:p>
    <w:p w:rsidR="001F47ED" w:rsidRPr="00214AD6" w:rsidRDefault="001F47ED" w:rsidP="009D27D3">
      <w:pPr>
        <w:spacing w:after="120"/>
        <w:ind w:firstLine="708"/>
        <w:jc w:val="both"/>
      </w:pPr>
      <w:r w:rsidRPr="00214AD6">
        <w:t xml:space="preserve"> (2) Určený výrobok, ktorý bol preskúšaný autorizovanou osobou podľa predchádzajúceho právneho predpisu, sa považuje za posúdený podľa tejto vyhlášky a nasledujúce posudzovanie zhody sa vykoná v lehote vyplývajúcej z vydaného protokolu o preskúšaní, ak § 5 ods. 3 neustanovuje inak. </w:t>
      </w:r>
    </w:p>
    <w:p w:rsidR="001F47ED" w:rsidRPr="00214AD6" w:rsidRDefault="001F47ED" w:rsidP="009D27D3">
      <w:pPr>
        <w:pStyle w:val="Default"/>
        <w:ind w:firstLine="708"/>
        <w:jc w:val="both"/>
        <w:rPr>
          <w:color w:val="auto"/>
          <w:szCs w:val="20"/>
        </w:rPr>
      </w:pPr>
      <w:r w:rsidRPr="00214AD6">
        <w:rPr>
          <w:color w:val="auto"/>
          <w:szCs w:val="20"/>
        </w:rPr>
        <w:t xml:space="preserve">(3) Ak sa v § 3 ods. 6 písm. b) používa pojem „záverečný protokol“, rozumie sa tým aj „protokol o preskúšaní“ vydaný podľa predchádzajúceho právneho predpisu.  </w:t>
      </w:r>
    </w:p>
    <w:p w:rsidR="001F47ED" w:rsidRPr="00214AD6" w:rsidRDefault="001F47ED" w:rsidP="009D27D3">
      <w:pPr>
        <w:pStyle w:val="Default"/>
        <w:ind w:firstLine="708"/>
        <w:jc w:val="both"/>
        <w:rPr>
          <w:color w:val="auto"/>
          <w:szCs w:val="20"/>
        </w:rPr>
      </w:pP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Záverečné ustanovenia</w:t>
      </w: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§ 10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9D27D3">
      <w:pPr>
        <w:spacing w:line="23" w:lineRule="atLeast"/>
        <w:ind w:firstLine="708"/>
        <w:jc w:val="both"/>
      </w:pPr>
      <w:r w:rsidRPr="00214AD6">
        <w:t>Zrušuje sa výnos Ministerstva obrany Slovenskej republiky z 28. mája 2014 č. ÚLP-12-13/2014-OdL o podmienkach a lehotách preskúšania výbušnín, výbušných predmetov, munície a ich obalov a o náležitostiach protokolov o preskúšaní ich technického stavu.</w:t>
      </w:r>
    </w:p>
    <w:p w:rsidR="001F47ED" w:rsidRPr="00214AD6" w:rsidRDefault="001F47ED" w:rsidP="009D27D3">
      <w:pPr>
        <w:spacing w:after="120"/>
        <w:ind w:firstLine="450"/>
        <w:jc w:val="both"/>
        <w:rPr>
          <w:strike/>
        </w:rPr>
      </w:pPr>
    </w:p>
    <w:p w:rsidR="001F47ED" w:rsidRPr="00214AD6" w:rsidRDefault="001F47ED" w:rsidP="009D27D3">
      <w:pPr>
        <w:jc w:val="center"/>
        <w:rPr>
          <w:b/>
        </w:rPr>
      </w:pPr>
      <w:r w:rsidRPr="00214AD6">
        <w:rPr>
          <w:b/>
        </w:rPr>
        <w:t>§ 11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B42961">
      <w:pPr>
        <w:ind w:firstLine="709"/>
        <w:jc w:val="both"/>
      </w:pPr>
      <w:r w:rsidRPr="00214AD6">
        <w:t>Táto vy</w:t>
      </w:r>
      <w:bookmarkStart w:id="0" w:name="_GoBack"/>
      <w:bookmarkEnd w:id="0"/>
      <w:r w:rsidRPr="00214AD6">
        <w:t>hláška bola prijatá v súlade s právne záväzným aktom Európskej únie v oblasti technických predpisov.</w:t>
      </w:r>
      <w:r w:rsidRPr="00214AD6">
        <w:rPr>
          <w:rStyle w:val="Odkaznapoznmkupodiarou"/>
        </w:rPr>
        <w:footnoteReference w:id="9"/>
      </w:r>
      <w:r w:rsidRPr="00214AD6">
        <w:t xml:space="preserve">)  </w:t>
      </w:r>
    </w:p>
    <w:p w:rsidR="001F47ED" w:rsidRPr="00214AD6" w:rsidRDefault="001F47ED" w:rsidP="009D27D3">
      <w:pPr>
        <w:jc w:val="center"/>
        <w:rPr>
          <w:b/>
        </w:rPr>
      </w:pPr>
    </w:p>
    <w:p w:rsidR="001F47ED" w:rsidRPr="00214AD6" w:rsidRDefault="001F47ED" w:rsidP="009D27D3">
      <w:pPr>
        <w:jc w:val="center"/>
      </w:pPr>
      <w:r w:rsidRPr="00214AD6">
        <w:rPr>
          <w:b/>
        </w:rPr>
        <w:t>§ 12</w:t>
      </w:r>
    </w:p>
    <w:p w:rsidR="001F47ED" w:rsidRPr="00214AD6" w:rsidRDefault="001F47ED" w:rsidP="009D27D3">
      <w:pPr>
        <w:spacing w:after="120"/>
        <w:jc w:val="center"/>
      </w:pPr>
      <w:r w:rsidRPr="00214AD6">
        <w:rPr>
          <w:b/>
        </w:rPr>
        <w:t>Účinnosť</w:t>
      </w:r>
    </w:p>
    <w:p w:rsidR="001F47ED" w:rsidRPr="00214AD6" w:rsidRDefault="001F47ED" w:rsidP="009D27D3">
      <w:pPr>
        <w:spacing w:after="120"/>
        <w:jc w:val="both"/>
      </w:pPr>
      <w:r w:rsidRPr="00214AD6">
        <w:t>Táto vyhláška nadobúda účinnosť</w:t>
      </w:r>
      <w:r>
        <w:t xml:space="preserve"> 1. mája 2022</w:t>
      </w:r>
      <w:r w:rsidRPr="00214AD6">
        <w:t>.</w:t>
      </w:r>
    </w:p>
    <w:sectPr w:rsidR="001F47ED" w:rsidRPr="00214AD6" w:rsidSect="005632D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7ED" w:rsidRDefault="001F47ED" w:rsidP="009D27D3">
      <w:r>
        <w:separator/>
      </w:r>
    </w:p>
  </w:endnote>
  <w:endnote w:type="continuationSeparator" w:id="0">
    <w:p w:rsidR="001F47ED" w:rsidRDefault="001F47ED" w:rsidP="009D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7ED" w:rsidRDefault="00476AE7" w:rsidP="00B42961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A749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7ED" w:rsidRDefault="001F47ED" w:rsidP="009D27D3">
      <w:r>
        <w:separator/>
      </w:r>
    </w:p>
  </w:footnote>
  <w:footnote w:type="continuationSeparator" w:id="0">
    <w:p w:rsidR="001F47ED" w:rsidRDefault="001F47ED" w:rsidP="009D27D3">
      <w:r>
        <w:continuationSeparator/>
      </w:r>
    </w:p>
  </w:footnote>
  <w:footnote w:id="1">
    <w:p w:rsidR="001F47ED" w:rsidRDefault="001F47ED" w:rsidP="00762648">
      <w:pPr>
        <w:ind w:left="170" w:hanging="170"/>
        <w:jc w:val="both"/>
      </w:pPr>
      <w:r w:rsidRPr="009D27D3">
        <w:rPr>
          <w:rStyle w:val="Odkaznapoznmkupodiarou"/>
          <w:sz w:val="20"/>
          <w:szCs w:val="20"/>
        </w:rPr>
        <w:footnoteRef/>
      </w:r>
      <w:r w:rsidRPr="009D27D3">
        <w:rPr>
          <w:rStyle w:val="Odkaznapoznmkupodiarou"/>
          <w:sz w:val="20"/>
          <w:szCs w:val="20"/>
          <w:vertAlign w:val="baseline"/>
        </w:rPr>
        <w:t>) § 4 zákona č. 56/2018 Z. z. o posudzovaní zhody výrobku, sprístupňovaní určeného výrobku</w:t>
      </w:r>
      <w:r w:rsidRPr="009D27D3">
        <w:rPr>
          <w:rStyle w:val="Odkaznapoznmkupodiarou"/>
          <w:sz w:val="20"/>
          <w:szCs w:val="20"/>
          <w:vertAlign w:val="baseline"/>
        </w:rPr>
        <w:br/>
      </w:r>
      <w:r w:rsidRPr="009D27D3">
        <w:rPr>
          <w:sz w:val="20"/>
          <w:szCs w:val="20"/>
        </w:rPr>
        <w:t xml:space="preserve">   </w:t>
      </w:r>
      <w:r w:rsidRPr="009D27D3">
        <w:rPr>
          <w:rStyle w:val="Odkaznapoznmkupodiarou"/>
          <w:sz w:val="20"/>
          <w:szCs w:val="20"/>
          <w:vertAlign w:val="baseline"/>
        </w:rPr>
        <w:t>na trhu a o zmene a doplnení niektorých zákonov</w:t>
      </w:r>
      <w:r>
        <w:rPr>
          <w:color w:val="FF0000"/>
          <w:sz w:val="20"/>
          <w:szCs w:val="20"/>
        </w:rPr>
        <w:t xml:space="preserve"> </w:t>
      </w:r>
      <w:r w:rsidRPr="00672599">
        <w:rPr>
          <w:sz w:val="20"/>
          <w:szCs w:val="20"/>
        </w:rPr>
        <w:t>v znení zákona č. .../2021 Z. z.</w:t>
      </w:r>
      <w:r w:rsidRPr="00672599">
        <w:rPr>
          <w:rStyle w:val="Odkaznapoznmkupodiarou"/>
          <w:sz w:val="20"/>
          <w:szCs w:val="20"/>
          <w:vertAlign w:val="baseline"/>
        </w:rPr>
        <w:t xml:space="preserve"> </w:t>
      </w:r>
    </w:p>
  </w:footnote>
  <w:footnote w:id="2">
    <w:p w:rsidR="001F47ED" w:rsidRDefault="001F47ED" w:rsidP="009D27D3">
      <w:pPr>
        <w:ind w:left="170" w:hanging="170"/>
        <w:jc w:val="both"/>
      </w:pPr>
      <w:r w:rsidRPr="009D27D3">
        <w:rPr>
          <w:rStyle w:val="Odkaznapoznmkupodiarou"/>
          <w:sz w:val="20"/>
          <w:szCs w:val="20"/>
        </w:rPr>
        <w:footnoteRef/>
      </w:r>
      <w:r w:rsidRPr="009D27D3">
        <w:rPr>
          <w:sz w:val="20"/>
          <w:szCs w:val="20"/>
        </w:rPr>
        <w:t xml:space="preserve">) § 2 ods. 5 zákona č. 11/2004 Z. z. o obrannej štandardizácii, kodifikácii a štátnom overovaní kvality výrobkov a služieb na účely obrany v znení neskorších predpisov. </w:t>
      </w:r>
    </w:p>
  </w:footnote>
  <w:footnote w:id="3">
    <w:p w:rsidR="001F47ED" w:rsidRDefault="001F47ED" w:rsidP="009D27D3">
      <w:pPr>
        <w:ind w:left="284" w:hanging="284"/>
        <w:jc w:val="both"/>
      </w:pPr>
      <w:r w:rsidRPr="009D27D3">
        <w:rPr>
          <w:rStyle w:val="Odkaznapoznmkupodiarou"/>
          <w:sz w:val="20"/>
          <w:szCs w:val="20"/>
        </w:rPr>
        <w:footnoteRef/>
      </w:r>
      <w:r w:rsidRPr="009D27D3">
        <w:rPr>
          <w:sz w:val="20"/>
          <w:szCs w:val="20"/>
        </w:rPr>
        <w:t>) § 2 ods. 1, 7 a 8 písm. d) zákona č. 11/2004 Z. z. v znení neskorších predpisov.</w:t>
      </w:r>
    </w:p>
  </w:footnote>
  <w:footnote w:id="4">
    <w:p w:rsidR="001F47ED" w:rsidRDefault="001F47ED" w:rsidP="009D27D3">
      <w:pPr>
        <w:pStyle w:val="Textpoznmkypodiarou"/>
      </w:pPr>
      <w:r w:rsidRPr="009D27D3">
        <w:rPr>
          <w:rStyle w:val="Odkaznapoznmkupodiarou"/>
        </w:rPr>
        <w:footnoteRef/>
      </w:r>
      <w:r w:rsidRPr="009D27D3">
        <w:t xml:space="preserve">) § 3 ods. 1 zákona č. 60/2018 Z. z. o technickej normalizácii. </w:t>
      </w:r>
    </w:p>
  </w:footnote>
  <w:footnote w:id="5">
    <w:p w:rsidR="001F47ED" w:rsidRDefault="001F47ED" w:rsidP="009D27D3">
      <w:pPr>
        <w:ind w:left="284" w:hanging="284"/>
        <w:jc w:val="both"/>
      </w:pPr>
      <w:r w:rsidRPr="009D27D3">
        <w:rPr>
          <w:rStyle w:val="Odkaznapoznmkupodiarou"/>
          <w:sz w:val="20"/>
          <w:szCs w:val="20"/>
        </w:rPr>
        <w:footnoteRef/>
      </w:r>
      <w:r w:rsidRPr="009D27D3">
        <w:rPr>
          <w:sz w:val="20"/>
          <w:szCs w:val="20"/>
        </w:rPr>
        <w:t>) § 10 zákona č. 56/2018 Z. z</w:t>
      </w:r>
    </w:p>
  </w:footnote>
  <w:footnote w:id="6">
    <w:p w:rsidR="001F47ED" w:rsidRDefault="001F47ED" w:rsidP="009D27D3">
      <w:pPr>
        <w:pStyle w:val="Textpoznmkypodiarou"/>
      </w:pPr>
      <w:r w:rsidRPr="0037509B">
        <w:rPr>
          <w:rStyle w:val="Odkaznapoznmkupodiarou"/>
        </w:rPr>
        <w:footnoteRef/>
      </w:r>
      <w:r w:rsidRPr="0037509B">
        <w:t xml:space="preserve">) § 4 výnosu Ministerstva obrany Slovenskej republiky z 28. mája 2014 č. ÚLP-12-14/2014-OdL o podmienkach uskladňovania výbušnín, výbušných predmetov a munície v objektoch, ktoré sú zriadené ako stavby na obranu štátu, a o minimálnom rozsahu údajov o skladovaní výbušnín, výbušných predmetov a munície v týchto objektoch (oznámenie Ministerstva obrany Slovenskej republiky č. 145/2014 Z. z.).  </w:t>
      </w:r>
    </w:p>
  </w:footnote>
  <w:footnote w:id="7">
    <w:p w:rsidR="001F47ED" w:rsidRDefault="001F47ED" w:rsidP="009D27D3">
      <w:pPr>
        <w:pStyle w:val="Textpoznmkypodiarou"/>
      </w:pPr>
      <w:r w:rsidRPr="00BE1A54">
        <w:rPr>
          <w:rStyle w:val="Odkaznapoznmkupodiarou"/>
        </w:rPr>
        <w:footnoteRef/>
      </w:r>
      <w:r w:rsidRPr="00BE1A54">
        <w:t>) Európska dohoda o medzinárodnej cestnej preprave nebezpečných vecí (ADR) v znení zmien a doplnkov (vyhláška ministra zahraničných vecí č. 64/1987 Zb.).</w:t>
      </w:r>
      <w:r w:rsidRPr="0037509B">
        <w:t xml:space="preserve"> </w:t>
      </w:r>
    </w:p>
  </w:footnote>
  <w:footnote w:id="8">
    <w:p w:rsidR="001F47ED" w:rsidRDefault="001F47ED" w:rsidP="009D27D3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4B61A8">
        <w:t>STN EN ISO/IEC 17025 Všeobecné požiadavky na kompetentnosť skúšobných a kalibračných laboratórií (ISO/IEC 17025).</w:t>
      </w:r>
    </w:p>
  </w:footnote>
  <w:footnote w:id="9">
    <w:p w:rsidR="001F47ED" w:rsidRDefault="001F47ED" w:rsidP="009D27D3">
      <w:pPr>
        <w:pStyle w:val="Textpoznmkypodiarou"/>
      </w:pPr>
      <w:r w:rsidRPr="00846DE9">
        <w:rPr>
          <w:rStyle w:val="Odkaznapoznmkupodiarou"/>
        </w:rPr>
        <w:footnoteRef/>
      </w:r>
      <w:r w:rsidRPr="00846DE9">
        <w:t>) Smernica Európskeho parlamentu a Rady (EÚ) 2015/1535 z 9. septembra 2015, ktorou sa stanovuje postup pri poskytovaní informácií v oblasti technických predpisov a pravidiel vzťahujúcich sa na služby informačnej spoločnosti (Ú. v. EÚ L 241, 17. 9. 2015).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7745"/>
    <w:multiLevelType w:val="hybridMultilevel"/>
    <w:tmpl w:val="86C000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E123A"/>
    <w:multiLevelType w:val="hybridMultilevel"/>
    <w:tmpl w:val="5A9C8B0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BB6FF9"/>
    <w:multiLevelType w:val="hybridMultilevel"/>
    <w:tmpl w:val="10443FC6"/>
    <w:lvl w:ilvl="0" w:tplc="1958A896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3B0A3496"/>
    <w:multiLevelType w:val="hybridMultilevel"/>
    <w:tmpl w:val="4CDE327E"/>
    <w:lvl w:ilvl="0" w:tplc="041B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248113E"/>
    <w:multiLevelType w:val="hybridMultilevel"/>
    <w:tmpl w:val="EAA667A0"/>
    <w:lvl w:ilvl="0" w:tplc="5C0CB4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D34BFA"/>
    <w:multiLevelType w:val="hybridMultilevel"/>
    <w:tmpl w:val="D034D8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A53A27"/>
    <w:multiLevelType w:val="hybridMultilevel"/>
    <w:tmpl w:val="10443FC6"/>
    <w:lvl w:ilvl="0" w:tplc="1958A896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B8"/>
    <w:rsid w:val="00031915"/>
    <w:rsid w:val="0004484F"/>
    <w:rsid w:val="000474F2"/>
    <w:rsid w:val="000627B8"/>
    <w:rsid w:val="00074331"/>
    <w:rsid w:val="00077AC6"/>
    <w:rsid w:val="000944ED"/>
    <w:rsid w:val="000A6990"/>
    <w:rsid w:val="000A6EE2"/>
    <w:rsid w:val="000F7AA3"/>
    <w:rsid w:val="00122376"/>
    <w:rsid w:val="001317D4"/>
    <w:rsid w:val="00140FFE"/>
    <w:rsid w:val="00143354"/>
    <w:rsid w:val="001573DF"/>
    <w:rsid w:val="00165714"/>
    <w:rsid w:val="00171004"/>
    <w:rsid w:val="001975AB"/>
    <w:rsid w:val="001A5A51"/>
    <w:rsid w:val="001C4B0E"/>
    <w:rsid w:val="001C5033"/>
    <w:rsid w:val="001C5817"/>
    <w:rsid w:val="001F47ED"/>
    <w:rsid w:val="002054EF"/>
    <w:rsid w:val="00214AD6"/>
    <w:rsid w:val="002463C2"/>
    <w:rsid w:val="00266491"/>
    <w:rsid w:val="0027275B"/>
    <w:rsid w:val="00284BB1"/>
    <w:rsid w:val="0029164F"/>
    <w:rsid w:val="00291AEC"/>
    <w:rsid w:val="0029293D"/>
    <w:rsid w:val="002A5BA7"/>
    <w:rsid w:val="002B2CD2"/>
    <w:rsid w:val="002E1181"/>
    <w:rsid w:val="00331DC2"/>
    <w:rsid w:val="00333A0E"/>
    <w:rsid w:val="003418EE"/>
    <w:rsid w:val="00345A7A"/>
    <w:rsid w:val="0037147F"/>
    <w:rsid w:val="0037509B"/>
    <w:rsid w:val="003C23D9"/>
    <w:rsid w:val="003E07A0"/>
    <w:rsid w:val="003E1E6E"/>
    <w:rsid w:val="003E32ED"/>
    <w:rsid w:val="00401CF8"/>
    <w:rsid w:val="00462744"/>
    <w:rsid w:val="00476AE7"/>
    <w:rsid w:val="00480425"/>
    <w:rsid w:val="0049333D"/>
    <w:rsid w:val="004B61A8"/>
    <w:rsid w:val="004C35D1"/>
    <w:rsid w:val="004C7422"/>
    <w:rsid w:val="00515A30"/>
    <w:rsid w:val="0052659D"/>
    <w:rsid w:val="00526BC4"/>
    <w:rsid w:val="00536FC7"/>
    <w:rsid w:val="00552339"/>
    <w:rsid w:val="00561E8F"/>
    <w:rsid w:val="005632DE"/>
    <w:rsid w:val="0056472A"/>
    <w:rsid w:val="00564FE1"/>
    <w:rsid w:val="00575AEC"/>
    <w:rsid w:val="005C60D2"/>
    <w:rsid w:val="005E0A2A"/>
    <w:rsid w:val="00611162"/>
    <w:rsid w:val="0061321F"/>
    <w:rsid w:val="00615106"/>
    <w:rsid w:val="00635441"/>
    <w:rsid w:val="006660B3"/>
    <w:rsid w:val="006717D3"/>
    <w:rsid w:val="00672599"/>
    <w:rsid w:val="00673508"/>
    <w:rsid w:val="00683002"/>
    <w:rsid w:val="006967B3"/>
    <w:rsid w:val="006A3C6C"/>
    <w:rsid w:val="006C4D1E"/>
    <w:rsid w:val="006D3DD0"/>
    <w:rsid w:val="006F6EB2"/>
    <w:rsid w:val="00711FD6"/>
    <w:rsid w:val="00732992"/>
    <w:rsid w:val="00762648"/>
    <w:rsid w:val="00767528"/>
    <w:rsid w:val="007A7497"/>
    <w:rsid w:val="007B420B"/>
    <w:rsid w:val="007D103D"/>
    <w:rsid w:val="007D3154"/>
    <w:rsid w:val="00800FB8"/>
    <w:rsid w:val="008061B8"/>
    <w:rsid w:val="0081649D"/>
    <w:rsid w:val="0083251E"/>
    <w:rsid w:val="00846DE9"/>
    <w:rsid w:val="00886CD6"/>
    <w:rsid w:val="008A0F54"/>
    <w:rsid w:val="008F1AA6"/>
    <w:rsid w:val="0090617D"/>
    <w:rsid w:val="009326B4"/>
    <w:rsid w:val="00952811"/>
    <w:rsid w:val="0096466F"/>
    <w:rsid w:val="009679B2"/>
    <w:rsid w:val="00982314"/>
    <w:rsid w:val="009A1230"/>
    <w:rsid w:val="009D09A3"/>
    <w:rsid w:val="009D27D3"/>
    <w:rsid w:val="009D5369"/>
    <w:rsid w:val="009F0B89"/>
    <w:rsid w:val="00A12307"/>
    <w:rsid w:val="00A70DDE"/>
    <w:rsid w:val="00A77F55"/>
    <w:rsid w:val="00A96F69"/>
    <w:rsid w:val="00AA68B1"/>
    <w:rsid w:val="00B212CC"/>
    <w:rsid w:val="00B21B7D"/>
    <w:rsid w:val="00B300BF"/>
    <w:rsid w:val="00B403FF"/>
    <w:rsid w:val="00B42961"/>
    <w:rsid w:val="00B46A03"/>
    <w:rsid w:val="00B5335D"/>
    <w:rsid w:val="00B667CF"/>
    <w:rsid w:val="00B773DB"/>
    <w:rsid w:val="00B84FB7"/>
    <w:rsid w:val="00B94936"/>
    <w:rsid w:val="00BA0544"/>
    <w:rsid w:val="00BC7F30"/>
    <w:rsid w:val="00BD3889"/>
    <w:rsid w:val="00BE1A54"/>
    <w:rsid w:val="00BE3B41"/>
    <w:rsid w:val="00C2667A"/>
    <w:rsid w:val="00C3369C"/>
    <w:rsid w:val="00C37E86"/>
    <w:rsid w:val="00C523FE"/>
    <w:rsid w:val="00C52999"/>
    <w:rsid w:val="00C87974"/>
    <w:rsid w:val="00D05E93"/>
    <w:rsid w:val="00D50980"/>
    <w:rsid w:val="00D6679B"/>
    <w:rsid w:val="00D81EC3"/>
    <w:rsid w:val="00DF045F"/>
    <w:rsid w:val="00E50E62"/>
    <w:rsid w:val="00E51BA6"/>
    <w:rsid w:val="00E53C2B"/>
    <w:rsid w:val="00E879AC"/>
    <w:rsid w:val="00EA7F97"/>
    <w:rsid w:val="00EF5D76"/>
    <w:rsid w:val="00EF7BC7"/>
    <w:rsid w:val="00F06C8B"/>
    <w:rsid w:val="00F14263"/>
    <w:rsid w:val="00F23B90"/>
    <w:rsid w:val="00F319C9"/>
    <w:rsid w:val="00F56E89"/>
    <w:rsid w:val="00F840A0"/>
    <w:rsid w:val="00F85735"/>
    <w:rsid w:val="00F92776"/>
    <w:rsid w:val="00FB28AB"/>
    <w:rsid w:val="00FD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4D2CDC"/>
  <w15:docId w15:val="{DA43C358-B03B-480E-9EFF-5167C4FA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70DDE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61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061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90617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90617D"/>
    <w:rPr>
      <w:rFonts w:ascii="Arial" w:eastAsia="Times New Roman" w:hAnsi="Arial" w:cs="Arial"/>
      <w:b/>
      <w:bCs/>
      <w:sz w:val="26"/>
      <w:szCs w:val="26"/>
    </w:rPr>
  </w:style>
  <w:style w:type="paragraph" w:customStyle="1" w:styleId="Default">
    <w:name w:val="Default"/>
    <w:uiPriority w:val="99"/>
    <w:rsid w:val="008061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C7F30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C7F30"/>
    <w:rPr>
      <w:rFonts w:ascii="Segoe UI" w:hAnsi="Segoe UI"/>
      <w:sz w:val="18"/>
    </w:rPr>
  </w:style>
  <w:style w:type="paragraph" w:styleId="Odsekzoznamu">
    <w:name w:val="List Paragraph"/>
    <w:basedOn w:val="Normlny"/>
    <w:link w:val="OdsekzoznamuChar"/>
    <w:uiPriority w:val="99"/>
    <w:qFormat/>
    <w:rsid w:val="00D50980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rsid w:val="009D27D3"/>
    <w:pPr>
      <w:keepNext/>
      <w:keepLines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9D27D3"/>
    <w:rPr>
      <w:rFonts w:cs="Times New Roman"/>
    </w:rPr>
  </w:style>
  <w:style w:type="character" w:styleId="Odkaznapoznmkupodiarou">
    <w:name w:val="footnote reference"/>
    <w:basedOn w:val="Predvolenpsmoodseku"/>
    <w:uiPriority w:val="99"/>
    <w:rsid w:val="009D27D3"/>
    <w:rPr>
      <w:rFonts w:cs="Times New Roman"/>
      <w:vertAlign w:val="superscript"/>
    </w:rPr>
  </w:style>
  <w:style w:type="character" w:customStyle="1" w:styleId="OdsekzoznamuChar">
    <w:name w:val="Odsek zoznamu Char"/>
    <w:link w:val="Odsekzoznamu"/>
    <w:uiPriority w:val="99"/>
    <w:locked/>
    <w:rsid w:val="009D27D3"/>
    <w:rPr>
      <w:sz w:val="24"/>
    </w:rPr>
  </w:style>
  <w:style w:type="paragraph" w:customStyle="1" w:styleId="Zakladnystyl">
    <w:name w:val="Zakladny styl"/>
    <w:uiPriority w:val="99"/>
    <w:rsid w:val="000A6EE2"/>
    <w:rPr>
      <w:sz w:val="24"/>
      <w:szCs w:val="24"/>
    </w:rPr>
  </w:style>
  <w:style w:type="paragraph" w:styleId="Normlnywebov">
    <w:name w:val="Normal (Web)"/>
    <w:aliases w:val="webb"/>
    <w:basedOn w:val="Normlny"/>
    <w:uiPriority w:val="99"/>
    <w:rsid w:val="00143354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rsid w:val="00143354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5632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632D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5632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632DE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90617D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locked/>
    <w:rsid w:val="0090617D"/>
    <w:rPr>
      <w:rFonts w:eastAsia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90617D"/>
    <w:pPr>
      <w:ind w:left="708"/>
      <w:jc w:val="both"/>
    </w:pPr>
    <w:rPr>
      <w:rFonts w:ascii="Calibri" w:hAnsi="Calibri"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0617D"/>
    <w:rPr>
      <w:rFonts w:ascii="Calibri" w:eastAsia="Times New Roman" w:hAnsi="Calibri" w:cs="Times New Roman"/>
      <w:bCs/>
      <w:sz w:val="24"/>
      <w:szCs w:val="24"/>
    </w:rPr>
  </w:style>
  <w:style w:type="character" w:styleId="slostrany">
    <w:name w:val="page number"/>
    <w:basedOn w:val="Predvolenpsmoodseku"/>
    <w:uiPriority w:val="99"/>
    <w:rsid w:val="00D667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1527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(5) Na základe rozhodnutia o zhode alebo záverečného protokolu môže výrobca, ministerstvo obrany alebo ministerstvo vnútra predĺžiť technickú životnosť výbušniny, výbušného predmetu alebo munície</vt:lpstr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(5) Na základe rozhodnutia o zhode alebo záverečného protokolu môže výrobca, ministerstvo obrany alebo ministerstvo vnútra predĺžiť technickú životnosť výbušniny, výbušného predmetu alebo munície</dc:title>
  <dc:subject/>
  <dc:creator>Alexandra</dc:creator>
  <cp:keywords/>
  <dc:description/>
  <cp:lastModifiedBy>Ňuňuk Pavol</cp:lastModifiedBy>
  <cp:revision>3</cp:revision>
  <cp:lastPrinted>2021-04-14T10:11:00Z</cp:lastPrinted>
  <dcterms:created xsi:type="dcterms:W3CDTF">2021-04-09T08:52:00Z</dcterms:created>
  <dcterms:modified xsi:type="dcterms:W3CDTF">2021-04-14T10:11:00Z</dcterms:modified>
</cp:coreProperties>
</file>