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4EA33" w14:textId="77777777" w:rsidR="00BB6EB1" w:rsidRPr="000A6354" w:rsidRDefault="00BB6EB1" w:rsidP="003C5A23">
      <w:pPr>
        <w:keepNext/>
        <w:keepLines/>
        <w:widowControl/>
        <w:spacing w:before="240" w:after="240"/>
        <w:jc w:val="center"/>
        <w:rPr>
          <w:b/>
          <w:caps/>
          <w:color w:val="000000"/>
          <w:spacing w:val="30"/>
        </w:rPr>
      </w:pPr>
      <w:r w:rsidRPr="000A6354">
        <w:rPr>
          <w:b/>
          <w:caps/>
          <w:color w:val="000000"/>
          <w:spacing w:val="30"/>
        </w:rPr>
        <w:t>Dôvodová správa</w:t>
      </w:r>
    </w:p>
    <w:p w14:paraId="7859665D" w14:textId="77777777" w:rsidR="00BB6EB1" w:rsidRPr="000A6354" w:rsidRDefault="00BB6EB1" w:rsidP="003C5A23">
      <w:pPr>
        <w:keepNext/>
        <w:keepLines/>
        <w:widowControl/>
        <w:spacing w:before="240" w:after="240"/>
        <w:jc w:val="both"/>
        <w:rPr>
          <w:b/>
          <w:color w:val="000000"/>
        </w:rPr>
      </w:pPr>
      <w:r w:rsidRPr="000A6354">
        <w:rPr>
          <w:b/>
          <w:color w:val="000000"/>
        </w:rPr>
        <w:t>A. Všeobecná časť</w:t>
      </w:r>
    </w:p>
    <w:p w14:paraId="18B8F4B3" w14:textId="7D470A11" w:rsidR="001D5299" w:rsidRPr="000A6354" w:rsidRDefault="00295014" w:rsidP="003C5A23">
      <w:pPr>
        <w:keepNext/>
        <w:keepLines/>
        <w:widowControl/>
        <w:spacing w:before="120" w:after="120"/>
        <w:ind w:firstLine="709"/>
        <w:jc w:val="both"/>
        <w:rPr>
          <w:rStyle w:val="Zstupntext"/>
          <w:color w:val="000000"/>
        </w:rPr>
      </w:pPr>
      <w:r w:rsidRPr="000A6354">
        <w:rPr>
          <w:rStyle w:val="Zstupntext"/>
          <w:color w:val="000000"/>
        </w:rPr>
        <w:t>Návrh zákona</w:t>
      </w:r>
      <w:r w:rsidR="00CB3EB1" w:rsidRPr="000A6354">
        <w:rPr>
          <w:rStyle w:val="Zstupntext"/>
          <w:color w:val="000000"/>
        </w:rPr>
        <w:t xml:space="preserve">, ktorým sa mení a dopĺňa zákon </w:t>
      </w:r>
      <w:r w:rsidR="002F69ED">
        <w:rPr>
          <w:rStyle w:val="Zstupntext"/>
          <w:color w:val="000000"/>
        </w:rPr>
        <w:t>č. </w:t>
      </w:r>
      <w:r w:rsidR="00CB3EB1" w:rsidRPr="000A6354">
        <w:rPr>
          <w:rStyle w:val="Zstupntext"/>
          <w:color w:val="000000"/>
        </w:rPr>
        <w:t xml:space="preserve">56/2018 </w:t>
      </w:r>
      <w:r w:rsidR="002F69ED">
        <w:rPr>
          <w:rStyle w:val="Zstupntext"/>
          <w:color w:val="000000"/>
        </w:rPr>
        <w:t>Z. z.</w:t>
      </w:r>
      <w:r w:rsidR="00CB3EB1" w:rsidRPr="000A6354">
        <w:rPr>
          <w:rStyle w:val="Zstupntext"/>
          <w:color w:val="000000"/>
        </w:rPr>
        <w:t xml:space="preserve"> o posudzovaní zhody výrobku, sprístupňovaní určeného výrobku na trhu a o zmene a doplnení niektorých zákonov</w:t>
      </w:r>
      <w:r w:rsidRPr="000A6354">
        <w:rPr>
          <w:rStyle w:val="Zstupntext"/>
          <w:color w:val="000000"/>
        </w:rPr>
        <w:t xml:space="preserve"> </w:t>
      </w:r>
      <w:r w:rsidR="00F17F46" w:rsidRPr="00F17F46">
        <w:rPr>
          <w:rStyle w:val="Zstupntext"/>
          <w:color w:val="000000"/>
        </w:rPr>
        <w:t>a</w:t>
      </w:r>
      <w:r w:rsidR="00587853">
        <w:rPr>
          <w:rStyle w:val="Zstupntext"/>
          <w:color w:val="000000"/>
        </w:rPr>
        <w:t> </w:t>
      </w:r>
      <w:r w:rsidR="00F17F46" w:rsidRPr="00F17F46">
        <w:rPr>
          <w:rStyle w:val="Zstupntext"/>
          <w:color w:val="000000"/>
        </w:rPr>
        <w:t>ktorým</w:t>
      </w:r>
      <w:r w:rsidR="00587853">
        <w:rPr>
          <w:rStyle w:val="Zstupntext"/>
          <w:color w:val="000000"/>
        </w:rPr>
        <w:t xml:space="preserve"> </w:t>
      </w:r>
      <w:r w:rsidR="00F17F46" w:rsidRPr="00F17F46">
        <w:rPr>
          <w:rStyle w:val="Zstupntext"/>
          <w:color w:val="000000"/>
        </w:rPr>
        <w:t>sa menia a dopĺňajú niektoré zákony</w:t>
      </w:r>
      <w:r w:rsidR="00F17F46" w:rsidRPr="00F17F46" w:rsidDel="00F17F46">
        <w:rPr>
          <w:rStyle w:val="Zstupntext"/>
          <w:color w:val="000000"/>
        </w:rPr>
        <w:t xml:space="preserve"> </w:t>
      </w:r>
      <w:r w:rsidR="00CB3EB1" w:rsidRPr="000A6354">
        <w:rPr>
          <w:rStyle w:val="Zstupntext"/>
          <w:color w:val="000000"/>
        </w:rPr>
        <w:t xml:space="preserve">(ďalej len „návrh zákona“) </w:t>
      </w:r>
      <w:r w:rsidRPr="000A6354">
        <w:rPr>
          <w:rStyle w:val="Zstupntext"/>
          <w:color w:val="000000"/>
        </w:rPr>
        <w:t xml:space="preserve">predkladá </w:t>
      </w:r>
      <w:r w:rsidR="00CB3EB1" w:rsidRPr="000A6354">
        <w:rPr>
          <w:rStyle w:val="Zstupntext"/>
          <w:color w:val="000000"/>
        </w:rPr>
        <w:t>predsedníčka</w:t>
      </w:r>
      <w:r w:rsidRPr="000A6354">
        <w:rPr>
          <w:rStyle w:val="Zstupntext"/>
          <w:color w:val="000000"/>
        </w:rPr>
        <w:t xml:space="preserve"> Úradu pre normalizáciu, metrológiu a skúšobníctvo Slovenskej republik</w:t>
      </w:r>
      <w:r w:rsidR="00CB3EB1" w:rsidRPr="000A6354">
        <w:rPr>
          <w:rStyle w:val="Zstupntext"/>
          <w:color w:val="000000"/>
        </w:rPr>
        <w:t xml:space="preserve">y (ďalej len „úrad“) na základe </w:t>
      </w:r>
      <w:r w:rsidRPr="000A6354">
        <w:rPr>
          <w:rStyle w:val="Zstupntext"/>
          <w:color w:val="000000"/>
        </w:rPr>
        <w:t xml:space="preserve">bodu </w:t>
      </w:r>
      <w:r w:rsidR="00CB3EB1" w:rsidRPr="000A6354">
        <w:rPr>
          <w:rStyle w:val="Zstupntext"/>
          <w:color w:val="000000"/>
        </w:rPr>
        <w:t>B</w:t>
      </w:r>
      <w:r w:rsidRPr="000A6354">
        <w:rPr>
          <w:rStyle w:val="Zstupntext"/>
          <w:color w:val="000000"/>
        </w:rPr>
        <w:t xml:space="preserve">.1. uznesenia vlády Slovenskej republiky </w:t>
      </w:r>
      <w:r w:rsidR="002F69ED">
        <w:rPr>
          <w:rStyle w:val="Zstupntext"/>
          <w:color w:val="000000"/>
        </w:rPr>
        <w:t>č. </w:t>
      </w:r>
      <w:r w:rsidRPr="000A6354">
        <w:rPr>
          <w:rStyle w:val="Zstupntext"/>
          <w:color w:val="000000"/>
        </w:rPr>
        <w:t>4/</w:t>
      </w:r>
      <w:r w:rsidR="00CB3EB1" w:rsidRPr="000A6354">
        <w:rPr>
          <w:rStyle w:val="Zstupntext"/>
          <w:color w:val="000000"/>
        </w:rPr>
        <w:t>2020</w:t>
      </w:r>
      <w:r w:rsidRPr="000A6354">
        <w:rPr>
          <w:rStyle w:val="Zstupntext"/>
          <w:color w:val="000000"/>
        </w:rPr>
        <w:t xml:space="preserve"> z </w:t>
      </w:r>
      <w:r w:rsidR="00CB3EB1" w:rsidRPr="000A6354">
        <w:rPr>
          <w:rStyle w:val="Zstupntext"/>
          <w:color w:val="000000"/>
        </w:rPr>
        <w:t xml:space="preserve">15. januára 2020 </w:t>
      </w:r>
      <w:r w:rsidR="00B16441" w:rsidRPr="000A6354">
        <w:rPr>
          <w:rStyle w:val="Zstupntext"/>
          <w:color w:val="000000"/>
        </w:rPr>
        <w:t>k návrhu na určenie zodpovednosti ministerstiev, ostatných ústredných orgánov štátnej správy a</w:t>
      </w:r>
      <w:r w:rsidR="003C5A23">
        <w:rPr>
          <w:rStyle w:val="Zstupntext"/>
          <w:color w:val="000000"/>
        </w:rPr>
        <w:t> </w:t>
      </w:r>
      <w:r w:rsidR="00B16441" w:rsidRPr="000A6354">
        <w:rPr>
          <w:rStyle w:val="Zstupntext"/>
          <w:color w:val="000000"/>
        </w:rPr>
        <w:t>niektorých</w:t>
      </w:r>
      <w:r w:rsidR="003C5A23">
        <w:rPr>
          <w:rStyle w:val="Zstupntext"/>
          <w:color w:val="000000"/>
        </w:rPr>
        <w:t xml:space="preserve"> </w:t>
      </w:r>
      <w:r w:rsidR="00B16441" w:rsidRPr="000A6354">
        <w:rPr>
          <w:rStyle w:val="Zstupntext"/>
          <w:color w:val="000000"/>
        </w:rPr>
        <w:t>orgánov verejnej moci za aplikáciu a prijatie opatrení na vnútroštátnej úrovni k</w:t>
      </w:r>
      <w:r w:rsidR="003C5A23">
        <w:rPr>
          <w:rStyle w:val="Zstupntext"/>
          <w:color w:val="000000"/>
        </w:rPr>
        <w:t> </w:t>
      </w:r>
      <w:r w:rsidR="00B16441" w:rsidRPr="000A6354">
        <w:rPr>
          <w:rStyle w:val="Zstupntext"/>
          <w:color w:val="000000"/>
        </w:rPr>
        <w:t>nariadeniam</w:t>
      </w:r>
      <w:r w:rsidR="003C5A23">
        <w:rPr>
          <w:rStyle w:val="Zstupntext"/>
          <w:color w:val="000000"/>
        </w:rPr>
        <w:t xml:space="preserve"> </w:t>
      </w:r>
      <w:r w:rsidR="00B16441" w:rsidRPr="000A6354">
        <w:rPr>
          <w:rStyle w:val="Zstupntext"/>
          <w:color w:val="000000"/>
        </w:rPr>
        <w:t>Európskej únie a rozhodnutiam Európskej únie</w:t>
      </w:r>
      <w:r w:rsidR="00EC5AE6" w:rsidRPr="000A6354">
        <w:rPr>
          <w:rStyle w:val="Zstupntext"/>
          <w:color w:val="000000"/>
        </w:rPr>
        <w:t xml:space="preserve"> a</w:t>
      </w:r>
      <w:r w:rsidR="00C96A1E" w:rsidRPr="000A6354">
        <w:rPr>
          <w:rStyle w:val="Zstupntext"/>
          <w:color w:val="000000"/>
        </w:rPr>
        <w:t xml:space="preserve"> bodov B.7 a B.12 </w:t>
      </w:r>
      <w:r w:rsidR="00EC5AE6" w:rsidRPr="000A6354">
        <w:rPr>
          <w:rStyle w:val="Zstupntext"/>
          <w:color w:val="000000"/>
        </w:rPr>
        <w:t xml:space="preserve">uznesenia vlády </w:t>
      </w:r>
      <w:r w:rsidR="00C96A1E" w:rsidRPr="000A6354">
        <w:rPr>
          <w:rStyle w:val="Zstupntext"/>
          <w:color w:val="000000"/>
        </w:rPr>
        <w:t xml:space="preserve">Slovenskej republiky </w:t>
      </w:r>
      <w:r w:rsidR="002F69ED">
        <w:rPr>
          <w:rStyle w:val="Zstupntext"/>
          <w:color w:val="000000"/>
        </w:rPr>
        <w:t>č. </w:t>
      </w:r>
      <w:r w:rsidR="00EC5AE6" w:rsidRPr="000A6354">
        <w:rPr>
          <w:rStyle w:val="Zstupntext"/>
          <w:color w:val="000000"/>
        </w:rPr>
        <w:t xml:space="preserve">335/2019 </w:t>
      </w:r>
      <w:r w:rsidR="00C96A1E" w:rsidRPr="000A6354">
        <w:rPr>
          <w:rStyle w:val="Zstupntext"/>
          <w:color w:val="000000"/>
        </w:rPr>
        <w:t xml:space="preserve">z 3. júla 2019 </w:t>
      </w:r>
      <w:r w:rsidR="00716E89" w:rsidRPr="000A6354">
        <w:rPr>
          <w:rStyle w:val="Zstupntext"/>
          <w:color w:val="000000"/>
        </w:rPr>
        <w:t xml:space="preserve">k </w:t>
      </w:r>
      <w:r w:rsidR="00D1728E">
        <w:rPr>
          <w:rStyle w:val="Zstupntext"/>
          <w:color w:val="000000"/>
        </w:rPr>
        <w:t>i</w:t>
      </w:r>
      <w:r w:rsidR="00D1728E" w:rsidRPr="000A6354">
        <w:rPr>
          <w:rStyle w:val="Zstupntext"/>
          <w:color w:val="000000"/>
        </w:rPr>
        <w:t xml:space="preserve">mplementácii </w:t>
      </w:r>
      <w:r w:rsidR="00716E89" w:rsidRPr="000A6354">
        <w:rPr>
          <w:rStyle w:val="Zstupntext"/>
          <w:color w:val="000000"/>
        </w:rPr>
        <w:t xml:space="preserve">nariadenia EP a Rady </w:t>
      </w:r>
      <w:r w:rsidR="002F69ED">
        <w:rPr>
          <w:rStyle w:val="Zstupntext"/>
          <w:color w:val="000000"/>
        </w:rPr>
        <w:t>č. </w:t>
      </w:r>
      <w:r w:rsidR="00716E89" w:rsidRPr="000A6354">
        <w:rPr>
          <w:rStyle w:val="Zstupntext"/>
          <w:color w:val="000000"/>
        </w:rPr>
        <w:t>2018/1724 o zriadení jednotnej digitálnej brány v podmienkach SR</w:t>
      </w:r>
      <w:r w:rsidR="00B16441" w:rsidRPr="000A6354">
        <w:rPr>
          <w:rStyle w:val="Zstupntext"/>
          <w:color w:val="000000"/>
        </w:rPr>
        <w:t>.</w:t>
      </w:r>
    </w:p>
    <w:p w14:paraId="0A9034B2" w14:textId="1207B1BD" w:rsidR="00C17195" w:rsidRPr="000A6354" w:rsidRDefault="003F4295" w:rsidP="003C5A23">
      <w:pPr>
        <w:keepNext/>
        <w:keepLines/>
        <w:widowControl/>
        <w:spacing w:before="120" w:after="120"/>
        <w:ind w:firstLine="709"/>
        <w:jc w:val="both"/>
      </w:pPr>
      <w:r w:rsidRPr="000A6354">
        <w:t xml:space="preserve">Zákon </w:t>
      </w:r>
      <w:r w:rsidR="002F69ED">
        <w:t>č. </w:t>
      </w:r>
      <w:r w:rsidRPr="000A6354">
        <w:t xml:space="preserve">56/2018 </w:t>
      </w:r>
      <w:r w:rsidR="002F69ED">
        <w:t>Z. z.</w:t>
      </w:r>
      <w:r w:rsidRPr="000A6354">
        <w:t xml:space="preserve"> </w:t>
      </w:r>
      <w:r w:rsidR="000A6354" w:rsidRPr="000A6354">
        <w:t xml:space="preserve">o posudzovaní zhody výrobku, sprístupňovaní určeného výrobku na trhu a o zmene a doplnení niektorých zákonov (ďalej len „zákon </w:t>
      </w:r>
      <w:r w:rsidR="002F69ED">
        <w:t>č. </w:t>
      </w:r>
      <w:r w:rsidR="000A6354" w:rsidRPr="000A6354">
        <w:t xml:space="preserve">56/2018 </w:t>
      </w:r>
      <w:r w:rsidR="002F69ED">
        <w:t>Z. z.</w:t>
      </w:r>
      <w:r w:rsidR="000A6354" w:rsidRPr="000A6354">
        <w:t xml:space="preserve">“) </w:t>
      </w:r>
      <w:r w:rsidRPr="000A6354">
        <w:t xml:space="preserve">je rámcovým zákonom pre sprístupňovanie určených výrobkov na trhu, obsahom </w:t>
      </w:r>
      <w:r w:rsidR="00C96A1E" w:rsidRPr="000A6354">
        <w:t xml:space="preserve">ktorého </w:t>
      </w:r>
      <w:r w:rsidRPr="000A6354">
        <w:t xml:space="preserve">sú základné princípy Nového legislatívneho rámca Európskej únie </w:t>
      </w:r>
      <w:r w:rsidR="00C96A1E" w:rsidRPr="000A6354">
        <w:t xml:space="preserve">v </w:t>
      </w:r>
      <w:r w:rsidRPr="000A6354">
        <w:t>podmienk</w:t>
      </w:r>
      <w:r w:rsidR="00C96A1E" w:rsidRPr="000A6354">
        <w:t>ach</w:t>
      </w:r>
      <w:r w:rsidRPr="000A6354">
        <w:t xml:space="preserve"> Slovenskej republiky </w:t>
      </w:r>
      <w:r w:rsidR="00C96A1E" w:rsidRPr="000A6354">
        <w:t xml:space="preserve">a prostredníctvom ktorého </w:t>
      </w:r>
      <w:r w:rsidRPr="000A6354">
        <w:t>dochádza k zosúladeniu všetkých spoločných požiadaviek, zavedeniu terminológie pre oblasť posudzovania zhody, autorizácie a notifikácie, pravidiel pre sprístupňovanie určených výrobkov na trhu a postupu orgánov dohľadu pri dohľade nad určenými výrobkami. Komplexne upravuje sprístupňovanie určených výrobkov na trhu, povinnosti jednotlivých hospodárskych subjektov v oblasti posudzovania zhody určených výrobkov, procesné ustanovenia týkajúce sa autorizácie orgánov posudzovania zhody a</w:t>
      </w:r>
      <w:r w:rsidR="003C5A23">
        <w:t> </w:t>
      </w:r>
      <w:r w:rsidRPr="000A6354">
        <w:t>procesné</w:t>
      </w:r>
      <w:r w:rsidR="003C5A23">
        <w:t xml:space="preserve"> </w:t>
      </w:r>
      <w:r w:rsidRPr="000A6354">
        <w:t>ustanovenia upravujúce notifikáciu autorizovaných osôb voči Európskej komisii a</w:t>
      </w:r>
      <w:r w:rsidR="003C5A23">
        <w:t> </w:t>
      </w:r>
      <w:r w:rsidRPr="000A6354">
        <w:t>členským</w:t>
      </w:r>
      <w:r w:rsidR="003C5A23">
        <w:t xml:space="preserve"> </w:t>
      </w:r>
      <w:r w:rsidRPr="000A6354">
        <w:t>štátom Európskej únie a upravuje postupy orgánov dohľadu pri vykonávaní</w:t>
      </w:r>
      <w:r w:rsidR="00700FC4" w:rsidRPr="000A6354">
        <w:t xml:space="preserve"> dohľadu nad určenými výrobkami.</w:t>
      </w:r>
      <w:r w:rsidR="00C17195" w:rsidRPr="000A6354">
        <w:t xml:space="preserve"> </w:t>
      </w:r>
    </w:p>
    <w:p w14:paraId="594256F2" w14:textId="764643DB" w:rsidR="00AA1793" w:rsidRDefault="003F4295" w:rsidP="003C5A23">
      <w:pPr>
        <w:keepNext/>
        <w:keepLines/>
        <w:widowControl/>
        <w:spacing w:before="120" w:after="120"/>
        <w:ind w:firstLine="709"/>
        <w:jc w:val="both"/>
      </w:pPr>
      <w:r w:rsidRPr="000A6354">
        <w:t>Návrhom zákona sa zabezpeč</w:t>
      </w:r>
      <w:r w:rsidR="003C64DE" w:rsidRPr="000A6354">
        <w:t>í</w:t>
      </w:r>
      <w:r w:rsidRPr="000A6354">
        <w:t xml:space="preserve"> </w:t>
      </w:r>
      <w:r w:rsidR="00700FC4" w:rsidRPr="000A6354">
        <w:t>čiastočn</w:t>
      </w:r>
      <w:r w:rsidR="003C64DE" w:rsidRPr="000A6354">
        <w:t>á</w:t>
      </w:r>
      <w:r w:rsidR="00700FC4" w:rsidRPr="000A6354">
        <w:t xml:space="preserve"> implementáci</w:t>
      </w:r>
      <w:r w:rsidR="003C64DE" w:rsidRPr="000A6354">
        <w:t>a</w:t>
      </w:r>
      <w:r w:rsidRPr="000A6354">
        <w:t xml:space="preserve"> nariadenia Európskeho parlamentu a Rady (EÚ) 2019/1020 z 20. júna 2019 o dohľade nad trhom a súlade výrobkov a</w:t>
      </w:r>
      <w:r w:rsidR="003C5A23">
        <w:t> </w:t>
      </w:r>
      <w:r w:rsidRPr="000A6354">
        <w:t>o</w:t>
      </w:r>
      <w:r w:rsidR="003C5A23">
        <w:t> </w:t>
      </w:r>
      <w:r w:rsidRPr="000A6354">
        <w:t>zmene</w:t>
      </w:r>
      <w:r w:rsidR="003C5A23">
        <w:t xml:space="preserve"> </w:t>
      </w:r>
      <w:r w:rsidRPr="000A6354">
        <w:t xml:space="preserve">smernice 2004/42/ES a nariadení (ES) </w:t>
      </w:r>
      <w:r w:rsidR="002F69ED">
        <w:t>č. </w:t>
      </w:r>
      <w:r w:rsidRPr="000A6354">
        <w:t xml:space="preserve">765/2008 a (EÚ) </w:t>
      </w:r>
      <w:r w:rsidR="002F69ED">
        <w:t>č. </w:t>
      </w:r>
      <w:r w:rsidRPr="000A6354">
        <w:t>305/2011 (ďalej len „nariadenie (EÚ) 2019/1020“)</w:t>
      </w:r>
      <w:r w:rsidR="00700FC4" w:rsidRPr="000A6354">
        <w:t xml:space="preserve"> v časti dohľadu nad trhom nad určenými výrobkami</w:t>
      </w:r>
      <w:r w:rsidRPr="000A6354">
        <w:t>. Nariadenie (EÚ) 2019/1020 čiastočne nahr</w:t>
      </w:r>
      <w:r w:rsidR="003C64DE" w:rsidRPr="000A6354">
        <w:t>ádza</w:t>
      </w:r>
      <w:r w:rsidRPr="000A6354">
        <w:t xml:space="preserve"> pôvodné nariadenie Európskeho parlamentu a Rady (ES) </w:t>
      </w:r>
      <w:r w:rsidR="002F69ED">
        <w:t>č. </w:t>
      </w:r>
      <w:r w:rsidRPr="000A6354">
        <w:t>765/2008 z 9. júla 2008, ktorým sa stanovujú požiadavky akreditácie a dohľadu nad trhom v</w:t>
      </w:r>
      <w:r w:rsidR="003C5A23">
        <w:t> </w:t>
      </w:r>
      <w:r w:rsidRPr="000A6354">
        <w:t>súvislosti</w:t>
      </w:r>
      <w:r w:rsidR="003C5A23">
        <w:t xml:space="preserve"> </w:t>
      </w:r>
      <w:r w:rsidRPr="000A6354">
        <w:t xml:space="preserve">s uvádzaním výrobkov na trh a ktorým sa zrušuje nariadenie (EHS) </w:t>
      </w:r>
      <w:r w:rsidR="002F69ED">
        <w:t>č. </w:t>
      </w:r>
      <w:r w:rsidRPr="000A6354">
        <w:t>339/93 (</w:t>
      </w:r>
      <w:r w:rsidR="00700FC4" w:rsidRPr="000A6354">
        <w:t>ďalej len „</w:t>
      </w:r>
      <w:r w:rsidRPr="000A6354">
        <w:t xml:space="preserve">nariadenie (ES) </w:t>
      </w:r>
      <w:r w:rsidR="002F69ED">
        <w:t>č. </w:t>
      </w:r>
      <w:r w:rsidRPr="000A6354">
        <w:t>765/2008</w:t>
      </w:r>
      <w:r w:rsidR="00700FC4" w:rsidRPr="000A6354">
        <w:t>“</w:t>
      </w:r>
      <w:r w:rsidRPr="000A6354">
        <w:t xml:space="preserve">), konkrétne časť nariadenia (ES) </w:t>
      </w:r>
      <w:r w:rsidR="002F69ED">
        <w:t>č. </w:t>
      </w:r>
      <w:r w:rsidRPr="000A6354">
        <w:t xml:space="preserve">765/2008 upravujúcu dohľad nad trhom. Predmetné ustanovenia upravujúce dohľad nad trhom nad určenými výrobkami </w:t>
      </w:r>
      <w:r w:rsidR="00700FC4" w:rsidRPr="000A6354">
        <w:t xml:space="preserve">podľa nariadenia (ES) </w:t>
      </w:r>
      <w:r w:rsidR="002F69ED">
        <w:t>č. </w:t>
      </w:r>
      <w:r w:rsidR="00700FC4" w:rsidRPr="000A6354">
        <w:t xml:space="preserve">765/2008 </w:t>
      </w:r>
      <w:r w:rsidRPr="000A6354">
        <w:t xml:space="preserve">sú v súčasnosti implementované najmä zákonom </w:t>
      </w:r>
      <w:r w:rsidR="002F69ED">
        <w:t>č. </w:t>
      </w:r>
      <w:r w:rsidRPr="000A6354">
        <w:t xml:space="preserve">56/2018 </w:t>
      </w:r>
      <w:r w:rsidR="002F69ED">
        <w:t>Z. z.</w:t>
      </w:r>
      <w:r w:rsidRPr="000A6354">
        <w:t xml:space="preserve"> </w:t>
      </w:r>
    </w:p>
    <w:p w14:paraId="610E6A4A" w14:textId="2852F2E7" w:rsidR="003F4295" w:rsidRPr="000A6354" w:rsidRDefault="00AA1793" w:rsidP="003C5A23">
      <w:pPr>
        <w:keepNext/>
        <w:keepLines/>
        <w:widowControl/>
        <w:spacing w:before="120" w:after="120"/>
        <w:ind w:firstLine="709"/>
        <w:jc w:val="both"/>
      </w:pPr>
      <w:r>
        <w:t>N</w:t>
      </w:r>
      <w:r w:rsidRPr="00DC1E4A">
        <w:rPr>
          <w:rStyle w:val="Zstupntext"/>
          <w:color w:val="000000"/>
        </w:rPr>
        <w:t>a základe nových priamo účinných nariadení</w:t>
      </w:r>
      <w:r w:rsidR="00E4364C">
        <w:rPr>
          <w:rStyle w:val="Zstupntext"/>
          <w:color w:val="000000"/>
        </w:rPr>
        <w:t xml:space="preserve"> -</w:t>
      </w:r>
      <w:r w:rsidRPr="00DC1E4A">
        <w:rPr>
          <w:rStyle w:val="Zstupntext"/>
          <w:color w:val="000000"/>
        </w:rPr>
        <w:t xml:space="preserve"> nariadenia Európskeho parlamentu a</w:t>
      </w:r>
      <w:r w:rsidR="003C5A23">
        <w:rPr>
          <w:rStyle w:val="Zstupntext"/>
          <w:color w:val="000000"/>
        </w:rPr>
        <w:t> </w:t>
      </w:r>
      <w:r w:rsidRPr="00DC1E4A">
        <w:rPr>
          <w:rStyle w:val="Zstupntext"/>
          <w:color w:val="000000"/>
        </w:rPr>
        <w:t>Rady</w:t>
      </w:r>
      <w:r w:rsidR="003C5A23">
        <w:rPr>
          <w:rStyle w:val="Zstupntext"/>
          <w:color w:val="000000"/>
        </w:rPr>
        <w:t xml:space="preserve"> </w:t>
      </w:r>
      <w:r w:rsidRPr="00DC1E4A">
        <w:rPr>
          <w:rStyle w:val="Zstupntext"/>
          <w:color w:val="000000"/>
        </w:rPr>
        <w:t xml:space="preserve">(EÚ) 2019/1009 z 5. júna 2019, ktorým sa stanovujú pravidlá sprístupňovania EÚ produktov na hnojenie na trhu, menia nariadenia (ES) </w:t>
      </w:r>
      <w:r w:rsidR="002F69ED">
        <w:rPr>
          <w:rStyle w:val="Zstupntext"/>
          <w:color w:val="000000"/>
        </w:rPr>
        <w:t>č. </w:t>
      </w:r>
      <w:r w:rsidRPr="00DC1E4A">
        <w:rPr>
          <w:rStyle w:val="Zstupntext"/>
          <w:color w:val="000000"/>
        </w:rPr>
        <w:t xml:space="preserve">1069/2009 a (ES) </w:t>
      </w:r>
      <w:r w:rsidR="002F69ED">
        <w:rPr>
          <w:rStyle w:val="Zstupntext"/>
          <w:color w:val="000000"/>
        </w:rPr>
        <w:t>č. </w:t>
      </w:r>
      <w:r w:rsidRPr="00DC1E4A">
        <w:rPr>
          <w:rStyle w:val="Zstupntext"/>
          <w:color w:val="000000"/>
        </w:rPr>
        <w:t xml:space="preserve">1107/2009 a ruší nariadenie (ES) </w:t>
      </w:r>
      <w:r w:rsidR="002F69ED">
        <w:rPr>
          <w:rStyle w:val="Zstupntext"/>
          <w:color w:val="000000"/>
        </w:rPr>
        <w:t>č. </w:t>
      </w:r>
      <w:r w:rsidRPr="00DC1E4A">
        <w:rPr>
          <w:rStyle w:val="Zstupntext"/>
          <w:color w:val="000000"/>
        </w:rPr>
        <w:t>2003/2003</w:t>
      </w:r>
      <w:r>
        <w:rPr>
          <w:rStyle w:val="Zstupntext"/>
          <w:color w:val="000000"/>
        </w:rPr>
        <w:t xml:space="preserve"> (ďalej len „</w:t>
      </w:r>
      <w:r w:rsidRPr="00DC1E4A">
        <w:rPr>
          <w:rStyle w:val="Zstupntext"/>
          <w:color w:val="000000"/>
        </w:rPr>
        <w:t>nariadeni</w:t>
      </w:r>
      <w:r w:rsidR="00D1728E">
        <w:rPr>
          <w:rStyle w:val="Zstupntext"/>
          <w:color w:val="000000"/>
        </w:rPr>
        <w:t>e</w:t>
      </w:r>
      <w:r w:rsidRPr="00DC1E4A">
        <w:rPr>
          <w:rStyle w:val="Zstupntext"/>
          <w:color w:val="000000"/>
        </w:rPr>
        <w:t xml:space="preserve"> (EÚ) 2019/1009</w:t>
      </w:r>
      <w:r>
        <w:rPr>
          <w:rStyle w:val="Zstupntext"/>
          <w:color w:val="000000"/>
        </w:rPr>
        <w:t>“)</w:t>
      </w:r>
      <w:r w:rsidRPr="00DC1E4A">
        <w:rPr>
          <w:rStyle w:val="Zstupntext"/>
          <w:color w:val="000000"/>
        </w:rPr>
        <w:t xml:space="preserve"> a delegovaného nariadenia Komisie (EÚ) 2019/945 z 12. marca 2019 o bezpilotných leteckých systémoch a</w:t>
      </w:r>
      <w:r w:rsidR="003C5A23">
        <w:rPr>
          <w:rStyle w:val="Zstupntext"/>
          <w:color w:val="000000"/>
        </w:rPr>
        <w:t> </w:t>
      </w:r>
      <w:r w:rsidRPr="00DC1E4A">
        <w:rPr>
          <w:rStyle w:val="Zstupntext"/>
          <w:color w:val="000000"/>
        </w:rPr>
        <w:t>o</w:t>
      </w:r>
      <w:r w:rsidR="003C5A23">
        <w:rPr>
          <w:rStyle w:val="Zstupntext"/>
          <w:color w:val="000000"/>
        </w:rPr>
        <w:t> </w:t>
      </w:r>
      <w:r w:rsidRPr="00DC1E4A">
        <w:rPr>
          <w:rStyle w:val="Zstupntext"/>
          <w:color w:val="000000"/>
        </w:rPr>
        <w:t>prevádzkovateľoch</w:t>
      </w:r>
      <w:r w:rsidR="003C5A23">
        <w:rPr>
          <w:rStyle w:val="Zstupntext"/>
          <w:color w:val="000000"/>
        </w:rPr>
        <w:t xml:space="preserve"> </w:t>
      </w:r>
      <w:r w:rsidRPr="00DC1E4A">
        <w:rPr>
          <w:rStyle w:val="Zstupntext"/>
          <w:color w:val="000000"/>
        </w:rPr>
        <w:t>bezpilotných leteckých systémov z tretích krajín</w:t>
      </w:r>
      <w:r>
        <w:rPr>
          <w:rStyle w:val="Zstupntext"/>
          <w:color w:val="000000"/>
        </w:rPr>
        <w:t xml:space="preserve"> (ďalej len „</w:t>
      </w:r>
      <w:r w:rsidRPr="00DC1E4A">
        <w:rPr>
          <w:rStyle w:val="Zstupntext"/>
          <w:color w:val="000000"/>
        </w:rPr>
        <w:t>nariadeni</w:t>
      </w:r>
      <w:r w:rsidR="00D1728E">
        <w:rPr>
          <w:rStyle w:val="Zstupntext"/>
          <w:color w:val="000000"/>
        </w:rPr>
        <w:t>e</w:t>
      </w:r>
      <w:r w:rsidRPr="00DC1E4A">
        <w:rPr>
          <w:rStyle w:val="Zstupntext"/>
          <w:color w:val="000000"/>
        </w:rPr>
        <w:t xml:space="preserve"> Komisie (EÚ) 2019/945</w:t>
      </w:r>
      <w:r>
        <w:rPr>
          <w:rStyle w:val="Zstupntext"/>
          <w:color w:val="000000"/>
        </w:rPr>
        <w:t>“)</w:t>
      </w:r>
      <w:r w:rsidRPr="00DC1E4A">
        <w:rPr>
          <w:rStyle w:val="Zstupntext"/>
          <w:color w:val="000000"/>
        </w:rPr>
        <w:t>, sa ustanovujú</w:t>
      </w:r>
      <w:r>
        <w:rPr>
          <w:rStyle w:val="Zstupntext"/>
          <w:color w:val="000000"/>
        </w:rPr>
        <w:t xml:space="preserve"> aj</w:t>
      </w:r>
      <w:r w:rsidRPr="00DC1E4A">
        <w:rPr>
          <w:rStyle w:val="Zstupntext"/>
          <w:color w:val="000000"/>
        </w:rPr>
        <w:t xml:space="preserve"> orgány dohľadu nad určenými výrobkami </w:t>
      </w:r>
      <w:r w:rsidR="003C5A23">
        <w:rPr>
          <w:rStyle w:val="Zstupntext"/>
          <w:color w:val="000000"/>
        </w:rPr>
        <w:t>–</w:t>
      </w:r>
      <w:r w:rsidRPr="00DC1E4A">
        <w:rPr>
          <w:rStyle w:val="Zstupntext"/>
          <w:color w:val="000000"/>
        </w:rPr>
        <w:t xml:space="preserve"> hnojivá</w:t>
      </w:r>
      <w:r w:rsidR="003C5A23">
        <w:rPr>
          <w:rStyle w:val="Zstupntext"/>
          <w:color w:val="000000"/>
        </w:rPr>
        <w:t xml:space="preserve"> </w:t>
      </w:r>
      <w:r w:rsidRPr="00DC1E4A">
        <w:rPr>
          <w:rStyle w:val="Zstupntext"/>
          <w:color w:val="000000"/>
        </w:rPr>
        <w:t>a bezpilotné letecké systémy</w:t>
      </w:r>
      <w:r>
        <w:rPr>
          <w:rStyle w:val="Zstupntext"/>
          <w:color w:val="000000"/>
        </w:rPr>
        <w:t xml:space="preserve"> a ustanovuje sa, že úrad je notifikujúcim orgánom pre </w:t>
      </w:r>
      <w:r w:rsidRPr="00DC1E4A">
        <w:rPr>
          <w:rStyle w:val="Zstupntext"/>
          <w:color w:val="000000"/>
        </w:rPr>
        <w:t>nariadenia (EÚ) 2019/1009</w:t>
      </w:r>
      <w:r>
        <w:rPr>
          <w:rStyle w:val="Zstupntext"/>
          <w:color w:val="000000"/>
        </w:rPr>
        <w:t xml:space="preserve"> a </w:t>
      </w:r>
      <w:r w:rsidRPr="00DC1E4A">
        <w:rPr>
          <w:rStyle w:val="Zstupntext"/>
          <w:color w:val="000000"/>
        </w:rPr>
        <w:t>nariadenia Komisie (EÚ) 2019/945</w:t>
      </w:r>
      <w:r>
        <w:rPr>
          <w:rStyle w:val="Zstupntext"/>
          <w:color w:val="000000"/>
        </w:rPr>
        <w:t>.</w:t>
      </w:r>
    </w:p>
    <w:p w14:paraId="011073B3" w14:textId="5D8422C7" w:rsidR="00071ED6" w:rsidRPr="000A6354" w:rsidRDefault="003F4295" w:rsidP="003C5A23">
      <w:pPr>
        <w:keepNext/>
        <w:keepLines/>
        <w:widowControl/>
        <w:spacing w:before="120" w:after="120"/>
        <w:ind w:firstLine="709"/>
        <w:jc w:val="both"/>
      </w:pPr>
      <w:r w:rsidRPr="000A6354">
        <w:lastRenderedPageBreak/>
        <w:t xml:space="preserve">Predmetom návrhu zákona bude aj úprava niektorých ustanovení zákona </w:t>
      </w:r>
      <w:r w:rsidR="002F69ED">
        <w:t>č. </w:t>
      </w:r>
      <w:r w:rsidRPr="000A6354">
        <w:t xml:space="preserve">56/2018 </w:t>
      </w:r>
      <w:r w:rsidR="002F69ED">
        <w:t>Z. z.</w:t>
      </w:r>
      <w:r w:rsidRPr="000A6354">
        <w:t>, ktoré vyplynuli z aplikačnej praxe, najmä úprava procesných ustanovení týkajúcich sa autorizácie</w:t>
      </w:r>
      <w:r w:rsidR="00071ED6" w:rsidRPr="000A6354">
        <w:t>, ktorá by mala podnikateľským subjektom (autorizovaným a notifikovaným osobám) uľahčiť prehľad o ich rozsahu autorizácie</w:t>
      </w:r>
      <w:r w:rsidR="00D4639F">
        <w:t>,</w:t>
      </w:r>
      <w:r w:rsidR="00071ED6" w:rsidRPr="000A6354">
        <w:t xml:space="preserve"> ako aj jednoduchšie preukazovanie svojho oprávnenia v rámci iných správnych konaní. Ďalej sa spresňuje postup</w:t>
      </w:r>
      <w:r w:rsidRPr="000A6354">
        <w:t xml:space="preserve"> udeľovania tzv. výnimiek</w:t>
      </w:r>
      <w:r w:rsidR="00071ED6" w:rsidRPr="000A6354">
        <w:t xml:space="preserve"> úradom</w:t>
      </w:r>
      <w:r w:rsidRPr="000A6354">
        <w:t xml:space="preserve"> podľa </w:t>
      </w:r>
      <w:r w:rsidR="002F69ED">
        <w:t>§ </w:t>
      </w:r>
      <w:r w:rsidRPr="000A6354">
        <w:t xml:space="preserve">4 ods. 5 zákona </w:t>
      </w:r>
      <w:r w:rsidR="002F69ED">
        <w:t>č. </w:t>
      </w:r>
      <w:r w:rsidRPr="000A6354">
        <w:t xml:space="preserve">56/2018 </w:t>
      </w:r>
      <w:r w:rsidR="002F69ED">
        <w:t>Z. z.</w:t>
      </w:r>
      <w:r w:rsidRPr="000A6354">
        <w:t xml:space="preserve"> </w:t>
      </w:r>
      <w:r w:rsidR="007B41E8" w:rsidRPr="000A6354">
        <w:t xml:space="preserve">Zároveň sa </w:t>
      </w:r>
      <w:r w:rsidRPr="000A6354">
        <w:t>dop</w:t>
      </w:r>
      <w:r w:rsidR="007B41E8" w:rsidRPr="000A6354">
        <w:t>ĺňa oprávnenie</w:t>
      </w:r>
      <w:r w:rsidRPr="000A6354">
        <w:t xml:space="preserve"> úradu vykonávať kontrolu nad certifikátmi pre zdravotnícke pomôcky vydané notifikovanými osobami podľa smernice Rady </w:t>
      </w:r>
      <w:r w:rsidR="002F69ED">
        <w:t>č. </w:t>
      </w:r>
      <w:r w:rsidRPr="000A6354">
        <w:t>93/42/EHS zo 14. júna 1993 o zdravotníckych pomôckach</w:t>
      </w:r>
      <w:r w:rsidR="007B41E8" w:rsidRPr="000A6354">
        <w:t xml:space="preserve"> a smernice</w:t>
      </w:r>
      <w:r w:rsidR="002C3DA8" w:rsidRPr="000A6354">
        <w:t xml:space="preserve"> 98/79/ES Európskeho parlamentu a Rady z 27. októbra 1998 o diagnostických zdravotných pomôckach in vitro</w:t>
      </w:r>
      <w:r w:rsidR="007B41E8" w:rsidRPr="000A6354">
        <w:t>, ktorá vyplýva z čl. 120 ods. 3 nariadenia (EÚ) 2017/745 a čl.</w:t>
      </w:r>
      <w:r w:rsidR="003C5A23">
        <w:t> </w:t>
      </w:r>
      <w:r w:rsidR="007B41E8" w:rsidRPr="000A6354">
        <w:t xml:space="preserve">110 ods. </w:t>
      </w:r>
      <w:r w:rsidR="002C3DA8" w:rsidRPr="000A6354">
        <w:t xml:space="preserve">3 </w:t>
      </w:r>
      <w:r w:rsidR="007B41E8" w:rsidRPr="000A6354">
        <w:t>nariadenia (EÚ) 2017/746</w:t>
      </w:r>
      <w:r w:rsidRPr="000A6354">
        <w:t>.</w:t>
      </w:r>
      <w:r w:rsidR="00F17F46">
        <w:t xml:space="preserve"> </w:t>
      </w:r>
    </w:p>
    <w:p w14:paraId="6F335332" w14:textId="29547C9C" w:rsidR="00071ED6" w:rsidRDefault="00071ED6" w:rsidP="003C5A23">
      <w:pPr>
        <w:keepNext/>
        <w:keepLines/>
        <w:widowControl/>
        <w:spacing w:before="120" w:after="120"/>
        <w:ind w:firstLine="709"/>
        <w:jc w:val="both"/>
      </w:pPr>
      <w:r w:rsidRPr="000A6354">
        <w:t xml:space="preserve">V zákone Národnej rady Slovenskej republiky </w:t>
      </w:r>
      <w:r w:rsidR="002F69ED">
        <w:t>č. </w:t>
      </w:r>
      <w:r w:rsidRPr="000A6354">
        <w:t xml:space="preserve">145/1995 </w:t>
      </w:r>
      <w:r w:rsidR="002F69ED">
        <w:t>Z. z.</w:t>
      </w:r>
      <w:r w:rsidRPr="000A6354">
        <w:t xml:space="preserve"> o správnych poplatkoch v znení neskorších predpisov predkladateľ precizuje vymedzenie jednotlivých správnych poplatkov v rámci konania o udelení autorizácie a notifikácie, ktorých výška voči súčasnej právnej úprave ostáva nezmenená.</w:t>
      </w:r>
    </w:p>
    <w:p w14:paraId="1F0B95B6" w14:textId="48898267" w:rsidR="007B795C" w:rsidRDefault="007B795C" w:rsidP="003C5A23">
      <w:pPr>
        <w:keepNext/>
        <w:keepLines/>
        <w:widowControl/>
        <w:spacing w:before="120" w:after="120"/>
        <w:ind w:firstLine="709"/>
        <w:jc w:val="both"/>
      </w:pPr>
      <w:r>
        <w:rPr>
          <w:spacing w:val="-3"/>
        </w:rPr>
        <w:t>Predmetom návrhu zákona je aj zmena z</w:t>
      </w:r>
      <w:r w:rsidRPr="00B623DB">
        <w:rPr>
          <w:spacing w:val="-3"/>
        </w:rPr>
        <w:t>ákon</w:t>
      </w:r>
      <w:r>
        <w:rPr>
          <w:spacing w:val="-3"/>
        </w:rPr>
        <w:t>a</w:t>
      </w:r>
      <w:r w:rsidRPr="00B623DB">
        <w:rPr>
          <w:spacing w:val="-3"/>
        </w:rPr>
        <w:t xml:space="preserve"> </w:t>
      </w:r>
      <w:r w:rsidR="002F69ED">
        <w:rPr>
          <w:spacing w:val="-3"/>
        </w:rPr>
        <w:t>č. </w:t>
      </w:r>
      <w:r w:rsidRPr="00B623DB">
        <w:rPr>
          <w:spacing w:val="-3"/>
        </w:rPr>
        <w:t xml:space="preserve">529/2010 </w:t>
      </w:r>
      <w:r w:rsidR="002F69ED">
        <w:rPr>
          <w:spacing w:val="-3"/>
        </w:rPr>
        <w:t>Z. z.</w:t>
      </w:r>
      <w:r w:rsidRPr="00B623DB">
        <w:rPr>
          <w:spacing w:val="-3"/>
        </w:rPr>
        <w:t xml:space="preserve"> o environmentálnom navrhovaní a používaní výrobkov (zákon o </w:t>
      </w:r>
      <w:proofErr w:type="spellStart"/>
      <w:r w:rsidRPr="00B623DB">
        <w:rPr>
          <w:spacing w:val="-3"/>
        </w:rPr>
        <w:t>ekodizajne</w:t>
      </w:r>
      <w:proofErr w:type="spellEnd"/>
      <w:r w:rsidRPr="00B623DB">
        <w:rPr>
          <w:spacing w:val="-3"/>
        </w:rPr>
        <w:t xml:space="preserve">) </w:t>
      </w:r>
      <w:r>
        <w:rPr>
          <w:spacing w:val="-3"/>
        </w:rPr>
        <w:t xml:space="preserve">v znení zákona </w:t>
      </w:r>
      <w:r w:rsidR="002F69ED">
        <w:rPr>
          <w:spacing w:val="-3"/>
        </w:rPr>
        <w:t>č. </w:t>
      </w:r>
      <w:r>
        <w:rPr>
          <w:spacing w:val="-3"/>
        </w:rPr>
        <w:t xml:space="preserve">56/2018 </w:t>
      </w:r>
      <w:r w:rsidR="002F69ED">
        <w:rPr>
          <w:spacing w:val="-3"/>
        </w:rPr>
        <w:t>Z. z.</w:t>
      </w:r>
      <w:r>
        <w:rPr>
          <w:spacing w:val="-3"/>
        </w:rPr>
        <w:t>, z</w:t>
      </w:r>
      <w:r w:rsidRPr="00B623DB">
        <w:rPr>
          <w:spacing w:val="-3"/>
        </w:rPr>
        <w:t>ákon</w:t>
      </w:r>
      <w:r>
        <w:rPr>
          <w:spacing w:val="-3"/>
        </w:rPr>
        <w:t>a</w:t>
      </w:r>
      <w:r w:rsidRPr="00B623DB">
        <w:rPr>
          <w:spacing w:val="-3"/>
        </w:rPr>
        <w:t xml:space="preserve"> </w:t>
      </w:r>
      <w:r w:rsidR="002F69ED">
        <w:rPr>
          <w:spacing w:val="-3"/>
        </w:rPr>
        <w:t>č. </w:t>
      </w:r>
      <w:r w:rsidRPr="00B623DB">
        <w:rPr>
          <w:spacing w:val="-3"/>
        </w:rPr>
        <w:t xml:space="preserve">78/2012 </w:t>
      </w:r>
      <w:r w:rsidR="002F69ED">
        <w:rPr>
          <w:spacing w:val="-3"/>
        </w:rPr>
        <w:t>Z. z.</w:t>
      </w:r>
      <w:r w:rsidRPr="00B623DB">
        <w:rPr>
          <w:spacing w:val="-3"/>
        </w:rPr>
        <w:t xml:space="preserve"> o bezpečnosti hračiek a o zmene a doplnení zákona </w:t>
      </w:r>
      <w:r w:rsidR="002F69ED">
        <w:rPr>
          <w:spacing w:val="-3"/>
        </w:rPr>
        <w:t>č. </w:t>
      </w:r>
      <w:r w:rsidRPr="00B623DB">
        <w:rPr>
          <w:spacing w:val="-3"/>
        </w:rPr>
        <w:t xml:space="preserve">128/2002 </w:t>
      </w:r>
      <w:r w:rsidR="002F69ED">
        <w:rPr>
          <w:spacing w:val="-3"/>
        </w:rPr>
        <w:t>Z. z.</w:t>
      </w:r>
      <w:r w:rsidRPr="00B623DB">
        <w:rPr>
          <w:spacing w:val="-3"/>
        </w:rPr>
        <w:t xml:space="preserve"> o štátnej kontrole vnútorného trhu vo veciach ochrany spotrebiteľa a o zmene a doplnení niektorých zákonov v znení neskorších predpisov v</w:t>
      </w:r>
      <w:r>
        <w:rPr>
          <w:spacing w:val="-3"/>
        </w:rPr>
        <w:t xml:space="preserve"> znení zákona </w:t>
      </w:r>
      <w:r w:rsidR="002F69ED">
        <w:rPr>
          <w:spacing w:val="-3"/>
        </w:rPr>
        <w:t>č. </w:t>
      </w:r>
      <w:r>
        <w:rPr>
          <w:spacing w:val="-3"/>
        </w:rPr>
        <w:t xml:space="preserve">140/2013 </w:t>
      </w:r>
      <w:r w:rsidR="002F69ED">
        <w:rPr>
          <w:spacing w:val="-3"/>
        </w:rPr>
        <w:t>Z. z.</w:t>
      </w:r>
      <w:r>
        <w:rPr>
          <w:spacing w:val="-3"/>
        </w:rPr>
        <w:t xml:space="preserve"> a</w:t>
      </w:r>
      <w:r w:rsidRPr="00B623DB">
        <w:rPr>
          <w:spacing w:val="-3"/>
        </w:rPr>
        <w:t xml:space="preserve"> zákona </w:t>
      </w:r>
      <w:r w:rsidR="002F69ED">
        <w:rPr>
          <w:spacing w:val="-3"/>
        </w:rPr>
        <w:t>č. </w:t>
      </w:r>
      <w:r w:rsidRPr="00B623DB">
        <w:rPr>
          <w:spacing w:val="-3"/>
        </w:rPr>
        <w:t xml:space="preserve">391/2015 </w:t>
      </w:r>
      <w:r w:rsidR="002F69ED">
        <w:rPr>
          <w:spacing w:val="-3"/>
        </w:rPr>
        <w:t>Z. z.</w:t>
      </w:r>
      <w:r w:rsidRPr="00B623DB">
        <w:rPr>
          <w:spacing w:val="-3"/>
        </w:rPr>
        <w:t xml:space="preserve">, zákona </w:t>
      </w:r>
      <w:r w:rsidR="002F69ED">
        <w:rPr>
          <w:spacing w:val="-3"/>
        </w:rPr>
        <w:t>č. </w:t>
      </w:r>
      <w:r w:rsidRPr="00B623DB">
        <w:rPr>
          <w:spacing w:val="-3"/>
        </w:rPr>
        <w:t xml:space="preserve">51/2017 </w:t>
      </w:r>
      <w:r w:rsidR="002F69ED">
        <w:rPr>
          <w:spacing w:val="-3"/>
        </w:rPr>
        <w:t>Z. z.</w:t>
      </w:r>
      <w:r>
        <w:rPr>
          <w:spacing w:val="-3"/>
        </w:rPr>
        <w:t xml:space="preserve"> a zákona </w:t>
      </w:r>
      <w:r w:rsidR="002F69ED">
        <w:rPr>
          <w:spacing w:val="-3"/>
        </w:rPr>
        <w:t>č. </w:t>
      </w:r>
      <w:r>
        <w:rPr>
          <w:spacing w:val="-3"/>
        </w:rPr>
        <w:t xml:space="preserve">56/2018 </w:t>
      </w:r>
      <w:r w:rsidR="002F69ED">
        <w:rPr>
          <w:spacing w:val="-3"/>
        </w:rPr>
        <w:t>Z. z.</w:t>
      </w:r>
      <w:r>
        <w:rPr>
          <w:spacing w:val="-3"/>
        </w:rPr>
        <w:t xml:space="preserve"> a z</w:t>
      </w:r>
      <w:r>
        <w:t xml:space="preserve">ákona </w:t>
      </w:r>
      <w:r w:rsidR="002F69ED">
        <w:t>č. </w:t>
      </w:r>
      <w:r>
        <w:t xml:space="preserve">346/2013 </w:t>
      </w:r>
      <w:r w:rsidR="002F69ED">
        <w:t>Z. z.</w:t>
      </w:r>
      <w:r>
        <w:t xml:space="preserve"> o obmedzení používania určitých nebezpečných látok v elektrických zariadeniach a elektronických zariadeniach a ktorým sa mení zákon </w:t>
      </w:r>
      <w:r w:rsidR="002F69ED">
        <w:t>č. </w:t>
      </w:r>
      <w:r>
        <w:t xml:space="preserve">223/2001 </w:t>
      </w:r>
      <w:r w:rsidR="002F69ED">
        <w:t>Z. z.</w:t>
      </w:r>
      <w:r>
        <w:t xml:space="preserve"> o odpadoch a o zmene a doplnení niektorých zákonov v znení neskorších predpisov v znení zákona </w:t>
      </w:r>
      <w:r w:rsidR="002F69ED">
        <w:t>č. </w:t>
      </w:r>
      <w:r>
        <w:t xml:space="preserve">145/2019 </w:t>
      </w:r>
      <w:r w:rsidR="002F69ED">
        <w:t>Z. z.</w:t>
      </w:r>
      <w:r>
        <w:t xml:space="preserve"> a zákona </w:t>
      </w:r>
      <w:r w:rsidR="002F69ED">
        <w:t>č. </w:t>
      </w:r>
      <w:r>
        <w:t xml:space="preserve">314/2016 </w:t>
      </w:r>
      <w:r w:rsidR="002F69ED">
        <w:t>Z. z.</w:t>
      </w:r>
      <w:r>
        <w:t>, ktoré</w:t>
      </w:r>
      <w:r w:rsidRPr="000A6354">
        <w:t xml:space="preserve"> je</w:t>
      </w:r>
      <w:r>
        <w:t xml:space="preserve"> potrebné zosúladiť s</w:t>
      </w:r>
      <w:r w:rsidRPr="000A6354">
        <w:t xml:space="preserve"> </w:t>
      </w:r>
      <w:r>
        <w:t xml:space="preserve">nariadením (EÚ) 2019/1020 z dôvodu ustanovenia </w:t>
      </w:r>
      <w:r w:rsidRPr="007B795C">
        <w:t>povinnosti podľa článku 4 ods. 3 nariadenia (EÚ) 2019/1020, ktoré majú plniť hospodárske subjekty vymedzené v článku 4 ods. 2 nariadenia (EÚ) 2019/1020</w:t>
      </w:r>
      <w:r>
        <w:t>.</w:t>
      </w:r>
    </w:p>
    <w:p w14:paraId="1A7B1F64" w14:textId="78306E49" w:rsidR="00C0396F" w:rsidRDefault="00C23467" w:rsidP="003C5A23">
      <w:pPr>
        <w:keepNext/>
        <w:keepLines/>
        <w:widowControl/>
        <w:spacing w:before="120" w:after="120"/>
        <w:ind w:firstLine="709"/>
        <w:jc w:val="both"/>
      </w:pPr>
      <w:r>
        <w:t xml:space="preserve">Návrhom zákona sa mení aj zákon </w:t>
      </w:r>
      <w:r w:rsidR="002F69ED">
        <w:rPr>
          <w:bCs/>
          <w:szCs w:val="28"/>
        </w:rPr>
        <w:t>č. </w:t>
      </w:r>
      <w:r w:rsidRPr="007032D8">
        <w:rPr>
          <w:bCs/>
          <w:szCs w:val="28"/>
        </w:rPr>
        <w:t xml:space="preserve">58/2014 </w:t>
      </w:r>
      <w:r w:rsidR="002F69ED">
        <w:rPr>
          <w:bCs/>
          <w:szCs w:val="28"/>
        </w:rPr>
        <w:t>Z. z.</w:t>
      </w:r>
      <w:r w:rsidRPr="007032D8">
        <w:rPr>
          <w:bCs/>
          <w:szCs w:val="28"/>
        </w:rPr>
        <w:t xml:space="preserve"> o výbušninách, výbušných predmetoch a munícii a o zmene a doplnení niektorých zákonov v znení </w:t>
      </w:r>
      <w:r>
        <w:rPr>
          <w:bCs/>
          <w:szCs w:val="28"/>
        </w:rPr>
        <w:t>neskorších predpisov z dôvodu úpravy terminológie, procesov</w:t>
      </w:r>
      <w:r w:rsidRPr="000E0EF9">
        <w:rPr>
          <w:bCs/>
          <w:szCs w:val="28"/>
        </w:rPr>
        <w:t xml:space="preserve"> posudzovania zhody výbušnín, výbušných predmetov a mu</w:t>
      </w:r>
      <w:r>
        <w:rPr>
          <w:bCs/>
          <w:szCs w:val="28"/>
        </w:rPr>
        <w:t>nície na účely obrany a výstupných dokumentov</w:t>
      </w:r>
      <w:r w:rsidRPr="000E0EF9">
        <w:rPr>
          <w:bCs/>
          <w:szCs w:val="28"/>
        </w:rPr>
        <w:t xml:space="preserve"> posudzovania zhody so všeobecnou právnou úpravou v oblasti posudzovania zhody uv</w:t>
      </w:r>
      <w:r>
        <w:rPr>
          <w:bCs/>
          <w:szCs w:val="28"/>
        </w:rPr>
        <w:t xml:space="preserve">edenou v zákone </w:t>
      </w:r>
      <w:r w:rsidR="002F69ED">
        <w:rPr>
          <w:bCs/>
          <w:szCs w:val="28"/>
        </w:rPr>
        <w:t>č. </w:t>
      </w:r>
      <w:r>
        <w:rPr>
          <w:bCs/>
          <w:szCs w:val="28"/>
        </w:rPr>
        <w:t xml:space="preserve">56/2018 </w:t>
      </w:r>
      <w:r w:rsidR="002F69ED">
        <w:rPr>
          <w:bCs/>
          <w:szCs w:val="28"/>
        </w:rPr>
        <w:t>Z. z.</w:t>
      </w:r>
      <w:r>
        <w:rPr>
          <w:bCs/>
          <w:szCs w:val="28"/>
        </w:rPr>
        <w:t xml:space="preserve"> a dôvodu</w:t>
      </w:r>
      <w:r w:rsidRPr="000E0EF9">
        <w:rPr>
          <w:bCs/>
          <w:szCs w:val="28"/>
        </w:rPr>
        <w:t xml:space="preserve"> terminologické</w:t>
      </w:r>
      <w:r>
        <w:rPr>
          <w:bCs/>
          <w:szCs w:val="28"/>
        </w:rPr>
        <w:t>ho spresnenia</w:t>
      </w:r>
      <w:r w:rsidRPr="000E0EF9">
        <w:rPr>
          <w:bCs/>
          <w:szCs w:val="28"/>
        </w:rPr>
        <w:t xml:space="preserve"> niektorých ustanovení novelizovaného zákona </w:t>
      </w:r>
      <w:r w:rsidR="002F69ED">
        <w:rPr>
          <w:bCs/>
          <w:szCs w:val="28"/>
        </w:rPr>
        <w:t>č. </w:t>
      </w:r>
      <w:r w:rsidRPr="000E0EF9">
        <w:rPr>
          <w:bCs/>
          <w:szCs w:val="28"/>
        </w:rPr>
        <w:t xml:space="preserve">58/2014 </w:t>
      </w:r>
      <w:r w:rsidR="002F69ED">
        <w:rPr>
          <w:bCs/>
          <w:szCs w:val="28"/>
        </w:rPr>
        <w:t>Z. z.</w:t>
      </w:r>
      <w:r w:rsidR="00C0396F">
        <w:rPr>
          <w:bCs/>
          <w:szCs w:val="28"/>
        </w:rPr>
        <w:t xml:space="preserve"> </w:t>
      </w:r>
      <w:r w:rsidR="008F1979">
        <w:t>Zároveň v</w:t>
      </w:r>
      <w:r w:rsidR="008F1979" w:rsidRPr="009E0C95">
        <w:t xml:space="preserve"> nadväznosti na upravené znenie zákona </w:t>
      </w:r>
      <w:r w:rsidR="002F69ED">
        <w:t>č. </w:t>
      </w:r>
      <w:r w:rsidR="008F1979" w:rsidRPr="009E0C95">
        <w:t xml:space="preserve">58/2014 </w:t>
      </w:r>
      <w:r w:rsidR="002F69ED">
        <w:t>Z. z.</w:t>
      </w:r>
      <w:r w:rsidR="008F1979" w:rsidRPr="009E0C95">
        <w:t xml:space="preserve"> </w:t>
      </w:r>
      <w:r w:rsidR="008F1979">
        <w:t xml:space="preserve">sa mení </w:t>
      </w:r>
      <w:r w:rsidR="008F1979" w:rsidRPr="008C0BB3">
        <w:t xml:space="preserve">aj znenie splnomocňovacieho ustanovenia </w:t>
      </w:r>
      <w:r w:rsidR="002F69ED">
        <w:t>§ </w:t>
      </w:r>
      <w:r w:rsidR="008F1979" w:rsidRPr="008C0BB3">
        <w:t xml:space="preserve">87 ods. 2 písm. a) </w:t>
      </w:r>
      <w:r w:rsidR="008F1979" w:rsidRPr="009E0C95">
        <w:t xml:space="preserve">zákona </w:t>
      </w:r>
      <w:r w:rsidR="002F69ED">
        <w:t>č. </w:t>
      </w:r>
      <w:r w:rsidR="008F1979" w:rsidRPr="009E0C95">
        <w:t xml:space="preserve">58/2014 </w:t>
      </w:r>
      <w:r w:rsidR="002F69ED">
        <w:t>Z. z.</w:t>
      </w:r>
      <w:r w:rsidR="008F1979" w:rsidRPr="009E0C95">
        <w:t xml:space="preserve"> </w:t>
      </w:r>
      <w:r w:rsidR="008F1979" w:rsidRPr="008C0BB3">
        <w:t xml:space="preserve">tak, aby bolo </w:t>
      </w:r>
      <w:r w:rsidR="00C0396F">
        <w:t>zosúladené</w:t>
      </w:r>
      <w:r w:rsidR="008F1979" w:rsidRPr="008C0BB3">
        <w:t xml:space="preserve"> s terminológiou a požiadavkami vyplývajúcimi zo zákona </w:t>
      </w:r>
      <w:r w:rsidR="002F69ED">
        <w:t>č. </w:t>
      </w:r>
      <w:r w:rsidR="008F1979" w:rsidRPr="008C0BB3">
        <w:t xml:space="preserve">56/2018 </w:t>
      </w:r>
      <w:r w:rsidR="002F69ED">
        <w:t>Z. z.</w:t>
      </w:r>
      <w:r w:rsidR="008F1979" w:rsidRPr="008C0BB3">
        <w:t xml:space="preserve"> V tejto súvislosti je </w:t>
      </w:r>
      <w:r w:rsidR="008F1979">
        <w:t>pripravený návrh</w:t>
      </w:r>
      <w:r w:rsidR="008F1979" w:rsidRPr="008C0BB3">
        <w:t xml:space="preserve"> nového vykonávacieho právneho predpisu, ktorý by zodpovedal novej všeobecnej zákonnej právnej úprave</w:t>
      </w:r>
      <w:r w:rsidR="007B795C">
        <w:t xml:space="preserve"> a ktorý </w:t>
      </w:r>
      <w:r w:rsidR="00C0396F">
        <w:t>bude</w:t>
      </w:r>
      <w:r w:rsidR="007B795C">
        <w:t xml:space="preserve"> predmetom samostatného legislatívneho procesu.</w:t>
      </w:r>
    </w:p>
    <w:p w14:paraId="0070029E" w14:textId="4785B31A" w:rsidR="003F4295" w:rsidRPr="000A6354" w:rsidRDefault="00583DE8" w:rsidP="003C5A23">
      <w:pPr>
        <w:keepNext/>
        <w:keepLines/>
        <w:widowControl/>
        <w:spacing w:before="120" w:after="120"/>
        <w:ind w:firstLine="709"/>
        <w:jc w:val="both"/>
      </w:pPr>
      <w:r w:rsidRPr="000A6354">
        <w:lastRenderedPageBreak/>
        <w:t>P</w:t>
      </w:r>
      <w:r w:rsidR="003F4295" w:rsidRPr="000A6354">
        <w:t xml:space="preserve">redmetom návrhu zákona </w:t>
      </w:r>
      <w:r w:rsidRPr="000A6354">
        <w:t xml:space="preserve">bude zároveň </w:t>
      </w:r>
      <w:r w:rsidR="003F4295" w:rsidRPr="000A6354">
        <w:t xml:space="preserve">zmena zákona </w:t>
      </w:r>
      <w:r w:rsidR="002F69ED">
        <w:t>č. </w:t>
      </w:r>
      <w:r w:rsidR="003F4295" w:rsidRPr="000A6354">
        <w:t xml:space="preserve">55/2018 </w:t>
      </w:r>
      <w:r w:rsidR="002F69ED">
        <w:t>Z. z.</w:t>
      </w:r>
      <w:r w:rsidR="003F4295" w:rsidRPr="000A6354">
        <w:t xml:space="preserve"> o poskytovaní informácií o technickom predpise a o prekážkach voľného pohybu tovaru (ďalej len „zákon </w:t>
      </w:r>
      <w:r w:rsidR="002F69ED">
        <w:t>č. </w:t>
      </w:r>
      <w:r w:rsidR="003F4295" w:rsidRPr="000A6354">
        <w:t xml:space="preserve">55/2018 </w:t>
      </w:r>
      <w:r w:rsidR="002F69ED">
        <w:t>Z. z.</w:t>
      </w:r>
      <w:r w:rsidR="003F4295" w:rsidRPr="000A6354">
        <w:t xml:space="preserve">“), ktorý </w:t>
      </w:r>
      <w:r w:rsidRPr="000A6354">
        <w:t>je</w:t>
      </w:r>
      <w:r w:rsidR="003F4295" w:rsidRPr="000A6354">
        <w:t xml:space="preserve"> potrebné zosúladiť so znením nariadenia (EÚ) 2019/1020, ktoré od 16. júla 2021 rozširuje pôsobnosť tzv. kontaktného miesta </w:t>
      </w:r>
      <w:r w:rsidRPr="000A6354">
        <w:t>pre</w:t>
      </w:r>
      <w:r w:rsidR="003F4295" w:rsidRPr="000A6354">
        <w:t xml:space="preserve"> výrobky podľa </w:t>
      </w:r>
      <w:r w:rsidR="002F69ED">
        <w:t>§ </w:t>
      </w:r>
      <w:r w:rsidR="003F4295" w:rsidRPr="000A6354">
        <w:t xml:space="preserve">9 zákona </w:t>
      </w:r>
      <w:r w:rsidR="002F69ED">
        <w:t>č. </w:t>
      </w:r>
      <w:r w:rsidR="003F4295" w:rsidRPr="000A6354">
        <w:t xml:space="preserve">55/2018 </w:t>
      </w:r>
      <w:r w:rsidR="002F69ED">
        <w:t>Z. z.</w:t>
      </w:r>
      <w:r w:rsidR="003F4295" w:rsidRPr="000A6354">
        <w:t xml:space="preserve"> o povinnosť poskytovať informácie hospodárskym subjektom aj o</w:t>
      </w:r>
      <w:r w:rsidR="003C5A23">
        <w:t> </w:t>
      </w:r>
      <w:r w:rsidR="003F4295" w:rsidRPr="000A6354">
        <w:t>harmonizačných</w:t>
      </w:r>
      <w:r w:rsidR="003C5A23">
        <w:t xml:space="preserve"> </w:t>
      </w:r>
      <w:r w:rsidR="003F4295" w:rsidRPr="000A6354">
        <w:t>právnych predpisoch Európskej únie</w:t>
      </w:r>
      <w:r w:rsidR="00686297" w:rsidRPr="000A6354">
        <w:t>. Dopĺňajú sa povinnosti úradu v zmysle čl. 24 ods. 1 a 2 nariadenia Európskeho parlamentu a Rady (EÚ) 2018/1724 z</w:t>
      </w:r>
      <w:r w:rsidR="003C5A23">
        <w:t> </w:t>
      </w:r>
      <w:r w:rsidR="00686297" w:rsidRPr="000A6354">
        <w:t>2.</w:t>
      </w:r>
      <w:r w:rsidR="003C5A23">
        <w:t> </w:t>
      </w:r>
      <w:r w:rsidR="00686297" w:rsidRPr="000A6354">
        <w:t xml:space="preserve">októbra 2018 o zriadení jednotnej digitálnej brány na poskytovanie prístupu k informáciám, postupom a asistenčným službám a službám riešenia problémov a o zmene nariadenia (EÚ) </w:t>
      </w:r>
      <w:r w:rsidR="002F69ED">
        <w:t>č. </w:t>
      </w:r>
      <w:r w:rsidR="00686297" w:rsidRPr="000A6354">
        <w:t>1024/2012</w:t>
      </w:r>
      <w:r w:rsidR="002B002D" w:rsidRPr="000A6354">
        <w:t xml:space="preserve"> (ďalej len „nariadenie (EÚ) 2018/1724“)</w:t>
      </w:r>
      <w:r w:rsidR="00071ED6" w:rsidRPr="000A6354">
        <w:t xml:space="preserve">, ktoré vyplývajú úradu v postavení kontaktného miesta </w:t>
      </w:r>
      <w:r w:rsidRPr="000A6354">
        <w:t>pre</w:t>
      </w:r>
      <w:r w:rsidR="00071ED6" w:rsidRPr="000A6354">
        <w:t xml:space="preserve"> výrobky</w:t>
      </w:r>
      <w:r w:rsidR="00D4639F">
        <w:t>,</w:t>
      </w:r>
      <w:r w:rsidR="00686297" w:rsidRPr="000A6354">
        <w:t xml:space="preserve"> a</w:t>
      </w:r>
      <w:r w:rsidR="00071ED6" w:rsidRPr="000A6354">
        <w:t xml:space="preserve">ko aj povinnosť zabezpečiť v rámci jednotnej digitálnej brány </w:t>
      </w:r>
      <w:r w:rsidRPr="000A6354">
        <w:t xml:space="preserve">prístup </w:t>
      </w:r>
      <w:r w:rsidR="000C0576" w:rsidRPr="000A6354">
        <w:t xml:space="preserve">najmä hospodárskym subjektom </w:t>
      </w:r>
      <w:r w:rsidRPr="000A6354">
        <w:t xml:space="preserve">k informáciám </w:t>
      </w:r>
      <w:r w:rsidR="000C0576" w:rsidRPr="000A6354">
        <w:t xml:space="preserve">o získaní označenia CE, o pravidlách a požiadavkách týkajúcich sa </w:t>
      </w:r>
      <w:r w:rsidR="00071ED6" w:rsidRPr="000A6354">
        <w:t xml:space="preserve">výrobkov </w:t>
      </w:r>
      <w:r w:rsidR="000C0576" w:rsidRPr="000A6354">
        <w:t xml:space="preserve">a vzájomnom uznávaní výrobkov, na ktoré sa nevzťahujú špecifikácie </w:t>
      </w:r>
      <w:r w:rsidR="00E4364C">
        <w:t>Európskej ú</w:t>
      </w:r>
      <w:r w:rsidR="000C0576" w:rsidRPr="000A6354">
        <w:t xml:space="preserve">nie </w:t>
      </w:r>
      <w:r w:rsidR="00071ED6" w:rsidRPr="000A6354">
        <w:t>v rozsahu podľa prílohy I časť M bod</w:t>
      </w:r>
      <w:r w:rsidR="00E4364C">
        <w:t>ov</w:t>
      </w:r>
      <w:r w:rsidR="00071ED6" w:rsidRPr="000A6354">
        <w:t xml:space="preserve"> 1, 2 a 4 nariadenia (EÚ) 2018/1724</w:t>
      </w:r>
      <w:r w:rsidR="003F4295" w:rsidRPr="000A6354">
        <w:t>.</w:t>
      </w:r>
    </w:p>
    <w:p w14:paraId="64211F38" w14:textId="00D8E943" w:rsidR="00071ED6" w:rsidRPr="000A6354" w:rsidRDefault="00583DE8" w:rsidP="003C5A23">
      <w:pPr>
        <w:keepNext/>
        <w:keepLines/>
        <w:widowControl/>
        <w:spacing w:before="120" w:after="120"/>
        <w:ind w:firstLine="709"/>
        <w:jc w:val="both"/>
      </w:pPr>
      <w:r w:rsidRPr="000A6354">
        <w:t xml:space="preserve">Návrhom zákona sa </w:t>
      </w:r>
      <w:r w:rsidR="000C0576" w:rsidRPr="000A6354">
        <w:t>ďalej dopĺňa do z</w:t>
      </w:r>
      <w:r w:rsidR="00071ED6" w:rsidRPr="000A6354">
        <w:t>ákon</w:t>
      </w:r>
      <w:r w:rsidR="000C0576" w:rsidRPr="000A6354">
        <w:t>a</w:t>
      </w:r>
      <w:r w:rsidR="00071ED6" w:rsidRPr="000A6354">
        <w:t xml:space="preserve"> </w:t>
      </w:r>
      <w:r w:rsidR="002F69ED">
        <w:t>č. </w:t>
      </w:r>
      <w:r w:rsidR="00071ED6" w:rsidRPr="000A6354">
        <w:t xml:space="preserve">60/2018 </w:t>
      </w:r>
      <w:r w:rsidR="002F69ED">
        <w:t>Z. z.</w:t>
      </w:r>
      <w:r w:rsidR="00071ED6" w:rsidRPr="000A6354">
        <w:t xml:space="preserve"> o technickej normalizácii v znení zákona </w:t>
      </w:r>
      <w:r w:rsidR="002F69ED">
        <w:t>č. </w:t>
      </w:r>
      <w:r w:rsidR="00071ED6" w:rsidRPr="000A6354">
        <w:t xml:space="preserve">215/2019 </w:t>
      </w:r>
      <w:r w:rsidR="002F69ED">
        <w:t>Z. z.</w:t>
      </w:r>
      <w:r w:rsidR="00071ED6" w:rsidRPr="000A6354">
        <w:t xml:space="preserve"> povinnosť zabezpečiť v rámci jednotnej digitálnej brány </w:t>
      </w:r>
      <w:r w:rsidR="000C0576" w:rsidRPr="000A6354">
        <w:t xml:space="preserve">prístup najmä hospodárskym subjektom k informáciám </w:t>
      </w:r>
      <w:r w:rsidR="00071ED6" w:rsidRPr="000A6354">
        <w:t>v rozsahu podľa prílohy I časť M bod</w:t>
      </w:r>
      <w:r w:rsidR="002F69ED">
        <w:t> </w:t>
      </w:r>
      <w:r w:rsidR="00071ED6" w:rsidRPr="000A6354">
        <w:t>3 nariadenia (EÚ) 2018/1724, ktor</w:t>
      </w:r>
      <w:r w:rsidR="000C0576" w:rsidRPr="000A6354">
        <w:t xml:space="preserve">ým sa </w:t>
      </w:r>
      <w:r w:rsidR="00071ED6" w:rsidRPr="000A6354">
        <w:t>m</w:t>
      </w:r>
      <w:r w:rsidR="000C0576" w:rsidRPr="000A6354">
        <w:t>ajú</w:t>
      </w:r>
      <w:r w:rsidR="00071ED6" w:rsidRPr="000A6354">
        <w:t xml:space="preserve"> zabezpečiť verejne prístupné informácie </w:t>
      </w:r>
      <w:r w:rsidR="000C0576" w:rsidRPr="000A6354">
        <w:t>o</w:t>
      </w:r>
      <w:r w:rsidR="003C5A23">
        <w:t> </w:t>
      </w:r>
      <w:r w:rsidR="00071ED6" w:rsidRPr="000A6354">
        <w:t>technických</w:t>
      </w:r>
      <w:r w:rsidR="003C5A23">
        <w:t xml:space="preserve"> </w:t>
      </w:r>
      <w:r w:rsidR="00071ED6" w:rsidRPr="000A6354">
        <w:t>norm</w:t>
      </w:r>
      <w:r w:rsidR="000C0576" w:rsidRPr="000A6354">
        <w:t>ách</w:t>
      </w:r>
      <w:r w:rsidR="00071ED6" w:rsidRPr="000A6354">
        <w:t>, ktoré sa vzťahujú na výrobky či už v harmonizovanej alebo neharmonizovanej oblasti.</w:t>
      </w:r>
    </w:p>
    <w:p w14:paraId="65B78D8C" w14:textId="77777777" w:rsidR="009D7353" w:rsidRPr="000A6354" w:rsidRDefault="00295014" w:rsidP="003C5A23">
      <w:pPr>
        <w:keepNext/>
        <w:keepLines/>
        <w:widowControl/>
        <w:spacing w:before="120" w:after="120"/>
        <w:ind w:firstLine="709"/>
        <w:jc w:val="both"/>
        <w:rPr>
          <w:rStyle w:val="Zstupntext"/>
          <w:color w:val="000000"/>
        </w:rPr>
      </w:pPr>
      <w:r w:rsidRPr="000A6354">
        <w:rPr>
          <w:rStyle w:val="Zstupntext"/>
          <w:color w:val="000000"/>
        </w:rPr>
        <w:t xml:space="preserve">Návrh zákona </w:t>
      </w:r>
      <w:r w:rsidR="003F4295" w:rsidRPr="000A6354">
        <w:rPr>
          <w:rStyle w:val="Zstupntext"/>
          <w:color w:val="000000"/>
        </w:rPr>
        <w:t>má negatívny</w:t>
      </w:r>
      <w:r w:rsidR="00E4364C">
        <w:rPr>
          <w:rStyle w:val="Zstupntext"/>
          <w:color w:val="000000"/>
        </w:rPr>
        <w:t>, rozpočtovo zabezpečený</w:t>
      </w:r>
      <w:r w:rsidR="003F4295" w:rsidRPr="000A6354">
        <w:rPr>
          <w:rStyle w:val="Zstupntext"/>
          <w:color w:val="000000"/>
        </w:rPr>
        <w:t xml:space="preserve"> vplyv na rozpočet verejnej správy, </w:t>
      </w:r>
      <w:r w:rsidR="002B002D" w:rsidRPr="000A6354">
        <w:rPr>
          <w:rStyle w:val="Zstupntext"/>
          <w:color w:val="000000"/>
        </w:rPr>
        <w:t xml:space="preserve">pozitívny vplyv na informatizáciu spoločnosti, </w:t>
      </w:r>
      <w:r w:rsidR="00E4364C">
        <w:rPr>
          <w:rStyle w:val="Zstupntext"/>
          <w:color w:val="000000"/>
        </w:rPr>
        <w:t xml:space="preserve">negatívny vplyv na </w:t>
      </w:r>
      <w:r w:rsidR="00E4364C" w:rsidRPr="000A6354">
        <w:rPr>
          <w:rStyle w:val="Zstupntext"/>
          <w:color w:val="000000"/>
        </w:rPr>
        <w:t>podnikateľské prostredie</w:t>
      </w:r>
      <w:r w:rsidR="00E4364C">
        <w:rPr>
          <w:rStyle w:val="Zstupntext"/>
          <w:color w:val="000000"/>
        </w:rPr>
        <w:t>,</w:t>
      </w:r>
      <w:r w:rsidR="00E4364C" w:rsidRPr="000A6354">
        <w:rPr>
          <w:rStyle w:val="Zstupntext"/>
          <w:color w:val="000000"/>
        </w:rPr>
        <w:t xml:space="preserve"> </w:t>
      </w:r>
      <w:r w:rsidRPr="000A6354">
        <w:rPr>
          <w:rStyle w:val="Zstupntext"/>
          <w:color w:val="000000"/>
        </w:rPr>
        <w:t xml:space="preserve">nemá </w:t>
      </w:r>
      <w:r w:rsidR="003F4295" w:rsidRPr="000A6354">
        <w:rPr>
          <w:rStyle w:val="Zstupntext"/>
          <w:color w:val="000000"/>
        </w:rPr>
        <w:t>vplyvy na manželstvo, rodičovstvo a rodinu, nemá sociálny vplyv, vplyv na životné prostredie, a ani na služby verejnej správy pre občana.</w:t>
      </w:r>
    </w:p>
    <w:p w14:paraId="4DBE0FDF" w14:textId="77777777" w:rsidR="00F543E7" w:rsidRDefault="003F4295" w:rsidP="003C5A23">
      <w:pPr>
        <w:keepNext/>
        <w:keepLines/>
        <w:widowControl/>
        <w:spacing w:before="120" w:after="120"/>
        <w:ind w:firstLine="709"/>
        <w:jc w:val="both"/>
        <w:rPr>
          <w:rStyle w:val="Zstupntext"/>
          <w:color w:val="000000"/>
        </w:rPr>
      </w:pPr>
      <w:r w:rsidRPr="000A6354">
        <w:rPr>
          <w:rStyle w:val="Zstupntext"/>
          <w:color w:val="000000"/>
        </w:rPr>
        <w:t>Návrh zákona je v súlade s Ústavou Slovenskej republiky, s ústavnými zákonmi a</w:t>
      </w:r>
      <w:r w:rsidR="003C5A23">
        <w:rPr>
          <w:rStyle w:val="Zstupntext"/>
          <w:color w:val="000000"/>
        </w:rPr>
        <w:t> </w:t>
      </w:r>
      <w:r w:rsidRPr="000A6354">
        <w:rPr>
          <w:rStyle w:val="Zstupntext"/>
          <w:color w:val="000000"/>
        </w:rPr>
        <w:t>nálezmi</w:t>
      </w:r>
      <w:r w:rsidR="003C5A23">
        <w:rPr>
          <w:rStyle w:val="Zstupntext"/>
          <w:color w:val="000000"/>
        </w:rPr>
        <w:t xml:space="preserve"> </w:t>
      </w:r>
      <w:r w:rsidRPr="000A6354">
        <w:rPr>
          <w:rStyle w:val="Zstupntext"/>
          <w:color w:val="000000"/>
        </w:rPr>
        <w:t>Ústavného súdu Slovenskej republiky, so zákonmi a ostatnými všeobecne záväznými právnymi predpismi platnými v Slovenskej republike, s medzinárodnými zmluvami, ktorými je Slovenská republika viazaná, ako aj s právom Európskej únie.</w:t>
      </w:r>
    </w:p>
    <w:p w14:paraId="27A33037" w14:textId="77777777" w:rsidR="00D22CF6" w:rsidRDefault="00D22CF6">
      <w:pPr>
        <w:widowControl/>
        <w:adjustRightInd/>
        <w:spacing w:after="200" w:line="276" w:lineRule="auto"/>
        <w:rPr>
          <w:b/>
          <w:bCs/>
          <w:sz w:val="28"/>
          <w:szCs w:val="28"/>
        </w:rPr>
      </w:pPr>
      <w:r>
        <w:rPr>
          <w:b/>
          <w:bCs/>
          <w:sz w:val="28"/>
          <w:szCs w:val="28"/>
        </w:rPr>
        <w:br w:type="page"/>
      </w:r>
    </w:p>
    <w:p w14:paraId="2FDF595A" w14:textId="429D4D16" w:rsidR="00D22CF6" w:rsidRPr="00F26C06" w:rsidRDefault="00D22CF6" w:rsidP="00D22CF6">
      <w:pPr>
        <w:jc w:val="center"/>
        <w:rPr>
          <w:b/>
          <w:bCs/>
          <w:sz w:val="28"/>
          <w:szCs w:val="28"/>
        </w:rPr>
      </w:pPr>
      <w:r>
        <w:rPr>
          <w:b/>
          <w:bCs/>
          <w:sz w:val="28"/>
          <w:szCs w:val="28"/>
        </w:rPr>
        <w:lastRenderedPageBreak/>
        <w:t>Doložka vybraných vplyvov</w:t>
      </w:r>
    </w:p>
    <w:tbl>
      <w:tblPr>
        <w:tblStyle w:val="Mriekatabuky"/>
        <w:tblW w:w="9180" w:type="dxa"/>
        <w:tblLayout w:type="fixed"/>
        <w:tblLook w:val="04A0" w:firstRow="1" w:lastRow="0" w:firstColumn="1" w:lastColumn="0" w:noHBand="0" w:noVBand="1"/>
      </w:tblPr>
      <w:tblGrid>
        <w:gridCol w:w="4212"/>
        <w:gridCol w:w="705"/>
        <w:gridCol w:w="717"/>
        <w:gridCol w:w="569"/>
        <w:gridCol w:w="1417"/>
        <w:gridCol w:w="1560"/>
      </w:tblGrid>
      <w:tr w:rsidR="00D22CF6" w:rsidRPr="00A179AE" w14:paraId="3C15D4A3" w14:textId="77777777" w:rsidTr="00D22CF6">
        <w:tc>
          <w:tcPr>
            <w:tcW w:w="9180" w:type="dxa"/>
            <w:gridSpan w:val="6"/>
            <w:tcBorders>
              <w:bottom w:val="single" w:sz="4" w:space="0" w:color="FFFFFF" w:themeColor="background1"/>
            </w:tcBorders>
            <w:shd w:val="clear" w:color="auto" w:fill="E2E2E2"/>
          </w:tcPr>
          <w:p w14:paraId="26739B34"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Základné údaje</w:t>
            </w:r>
          </w:p>
        </w:tc>
      </w:tr>
      <w:tr w:rsidR="00D22CF6" w:rsidRPr="00A179AE" w14:paraId="73615112" w14:textId="77777777" w:rsidTr="00D22CF6">
        <w:tc>
          <w:tcPr>
            <w:tcW w:w="9180" w:type="dxa"/>
            <w:gridSpan w:val="6"/>
            <w:tcBorders>
              <w:bottom w:val="single" w:sz="4" w:space="0" w:color="FFFFFF" w:themeColor="background1"/>
            </w:tcBorders>
            <w:shd w:val="clear" w:color="auto" w:fill="E2E2E2"/>
          </w:tcPr>
          <w:p w14:paraId="2C8B3447" w14:textId="77777777" w:rsidR="00D22CF6" w:rsidRPr="00A179AE" w:rsidRDefault="00D22CF6" w:rsidP="00D22CF6">
            <w:pPr>
              <w:pStyle w:val="Odsekzoznamu"/>
              <w:ind w:left="142"/>
              <w:rPr>
                <w:rFonts w:ascii="Times New Roman" w:hAnsi="Times New Roman" w:cs="Times New Roman"/>
                <w:b/>
              </w:rPr>
            </w:pPr>
            <w:r w:rsidRPr="00A179AE">
              <w:rPr>
                <w:rFonts w:ascii="Times New Roman" w:hAnsi="Times New Roman" w:cs="Times New Roman"/>
                <w:b/>
              </w:rPr>
              <w:t>Názov materiálu</w:t>
            </w:r>
          </w:p>
        </w:tc>
      </w:tr>
      <w:tr w:rsidR="00D22CF6" w:rsidRPr="00A179AE" w14:paraId="2173654F" w14:textId="77777777" w:rsidTr="00D22CF6">
        <w:tc>
          <w:tcPr>
            <w:tcW w:w="9180" w:type="dxa"/>
            <w:gridSpan w:val="6"/>
            <w:tcBorders>
              <w:top w:val="single" w:sz="4" w:space="0" w:color="FFFFFF" w:themeColor="background1"/>
              <w:bottom w:val="single" w:sz="4" w:space="0" w:color="auto"/>
            </w:tcBorders>
          </w:tcPr>
          <w:p w14:paraId="7770121A" w14:textId="637A7E82" w:rsidR="00D22CF6" w:rsidRPr="00A179AE" w:rsidRDefault="00D22CF6" w:rsidP="00AA5537">
            <w:pPr>
              <w:jc w:val="both"/>
            </w:pPr>
            <w:r>
              <w:t xml:space="preserve">Návrh </w:t>
            </w:r>
            <w:r w:rsidRPr="00F95F21">
              <w:t xml:space="preserve">zákona, ktorým sa mení a dopĺňa zákon </w:t>
            </w:r>
            <w:r w:rsidR="002F69ED">
              <w:t>č. </w:t>
            </w:r>
            <w:r w:rsidRPr="00F95F21">
              <w:t xml:space="preserve">56/2018 </w:t>
            </w:r>
            <w:r w:rsidR="002F69ED">
              <w:t>Z. z.</w:t>
            </w:r>
            <w:r w:rsidRPr="00F95F21">
              <w:t xml:space="preserve"> o posudzovaní zhody výrobku, sprístupňovaní určeného výrobku na trhu a o zmene a doplnení niektorých zákonov a </w:t>
            </w:r>
            <w:r w:rsidRPr="006B4F7E">
              <w:t>ktorým sa menia a dopĺňajú niektoré zákony</w:t>
            </w:r>
          </w:p>
        </w:tc>
      </w:tr>
      <w:tr w:rsidR="00D22CF6" w:rsidRPr="00A179AE" w14:paraId="6BCC8F2B" w14:textId="77777777" w:rsidTr="00D22CF6">
        <w:tc>
          <w:tcPr>
            <w:tcW w:w="9180" w:type="dxa"/>
            <w:gridSpan w:val="6"/>
            <w:tcBorders>
              <w:top w:val="single" w:sz="4" w:space="0" w:color="auto"/>
              <w:left w:val="single" w:sz="4" w:space="0" w:color="auto"/>
              <w:bottom w:val="single" w:sz="4" w:space="0" w:color="FFFFFF" w:themeColor="background1"/>
            </w:tcBorders>
            <w:shd w:val="clear" w:color="auto" w:fill="E2E2E2"/>
          </w:tcPr>
          <w:p w14:paraId="630256E6" w14:textId="77777777" w:rsidR="00D22CF6" w:rsidRPr="00A179AE" w:rsidRDefault="00D22CF6" w:rsidP="00D22CF6">
            <w:pPr>
              <w:pStyle w:val="Odsekzoznamu"/>
              <w:ind w:left="142"/>
              <w:rPr>
                <w:rFonts w:ascii="Times New Roman" w:hAnsi="Times New Roman" w:cs="Times New Roman"/>
                <w:b/>
              </w:rPr>
            </w:pPr>
            <w:r w:rsidRPr="00A179AE">
              <w:rPr>
                <w:rFonts w:ascii="Times New Roman" w:hAnsi="Times New Roman" w:cs="Times New Roman"/>
                <w:b/>
              </w:rPr>
              <w:t>Predkladateľ (a spolupredkladateľ)</w:t>
            </w:r>
          </w:p>
        </w:tc>
      </w:tr>
      <w:tr w:rsidR="00D22CF6" w:rsidRPr="00A179AE" w14:paraId="29D67694" w14:textId="77777777" w:rsidTr="00D22CF6">
        <w:tc>
          <w:tcPr>
            <w:tcW w:w="9180" w:type="dxa"/>
            <w:gridSpan w:val="6"/>
            <w:tcBorders>
              <w:top w:val="single" w:sz="4" w:space="0" w:color="FFFFFF" w:themeColor="background1"/>
              <w:left w:val="single" w:sz="4" w:space="0" w:color="auto"/>
              <w:bottom w:val="single" w:sz="4" w:space="0" w:color="auto"/>
            </w:tcBorders>
            <w:shd w:val="clear" w:color="auto" w:fill="FFFFFF" w:themeFill="background1"/>
          </w:tcPr>
          <w:p w14:paraId="219D47C1" w14:textId="77777777" w:rsidR="00D22CF6" w:rsidRPr="00A179AE" w:rsidRDefault="00D22CF6" w:rsidP="00D22CF6">
            <w:r w:rsidRPr="003A19C3">
              <w:t>Úrad pre normalizáciu, metrológiu a skúšobníctvo Slovenskej republiky</w:t>
            </w:r>
          </w:p>
        </w:tc>
      </w:tr>
      <w:tr w:rsidR="00D22CF6" w:rsidRPr="00A179AE" w14:paraId="782AB003" w14:textId="77777777" w:rsidTr="00D22CF6">
        <w:tc>
          <w:tcPr>
            <w:tcW w:w="4212" w:type="dxa"/>
            <w:vMerge w:val="restart"/>
            <w:tcBorders>
              <w:top w:val="single" w:sz="4" w:space="0" w:color="auto"/>
              <w:left w:val="single" w:sz="4" w:space="0" w:color="auto"/>
              <w:bottom w:val="single" w:sz="4" w:space="0" w:color="FFFFFF" w:themeColor="background1"/>
            </w:tcBorders>
            <w:shd w:val="clear" w:color="auto" w:fill="E2E2E2"/>
            <w:vAlign w:val="center"/>
          </w:tcPr>
          <w:p w14:paraId="238FDFD6" w14:textId="77777777" w:rsidR="00D22CF6" w:rsidRPr="00A179AE" w:rsidRDefault="00D22CF6" w:rsidP="00D22CF6">
            <w:pPr>
              <w:pStyle w:val="Odsekzoznamu"/>
              <w:ind w:left="142"/>
              <w:rPr>
                <w:rFonts w:ascii="Times New Roman" w:hAnsi="Times New Roman" w:cs="Times New Roman"/>
                <w:b/>
              </w:rPr>
            </w:pPr>
            <w:r w:rsidRPr="00A179AE">
              <w:rPr>
                <w:rFonts w:ascii="Times New Roman" w:hAnsi="Times New Roman" w:cs="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hemeFill="background1"/>
              </w:tcPr>
              <w:p w14:paraId="618AE6F0" w14:textId="77777777" w:rsidR="00D22CF6" w:rsidRPr="00A179AE" w:rsidRDefault="00D22CF6" w:rsidP="00D22CF6">
                <w:pPr>
                  <w:jc w:val="center"/>
                </w:pPr>
                <w:r w:rsidRPr="00A179AE">
                  <w:rPr>
                    <w:rFonts w:ascii="MS Mincho" w:eastAsia="MS Mincho" w:hAnsi="MS Mincho" w:cs="MS Mincho" w:hint="eastAsia"/>
                  </w:rPr>
                  <w:t>☐</w:t>
                </w:r>
              </w:p>
            </w:tc>
          </w:sdtContent>
        </w:sdt>
        <w:tc>
          <w:tcPr>
            <w:tcW w:w="4263" w:type="dxa"/>
            <w:gridSpan w:val="4"/>
            <w:tcBorders>
              <w:top w:val="single" w:sz="4" w:space="0" w:color="auto"/>
              <w:left w:val="nil"/>
              <w:bottom w:val="single" w:sz="4" w:space="0" w:color="auto"/>
              <w:right w:val="single" w:sz="4" w:space="0" w:color="auto"/>
            </w:tcBorders>
            <w:shd w:val="clear" w:color="auto" w:fill="FFFFFF" w:themeFill="background1"/>
          </w:tcPr>
          <w:p w14:paraId="28CA68FE" w14:textId="77777777" w:rsidR="00D22CF6" w:rsidRPr="00A179AE" w:rsidRDefault="00D22CF6" w:rsidP="00D22CF6">
            <w:r w:rsidRPr="00A179AE">
              <w:t>Materiál nelegislatívnej povahy</w:t>
            </w:r>
          </w:p>
        </w:tc>
      </w:tr>
      <w:tr w:rsidR="00D22CF6" w:rsidRPr="00A179AE" w14:paraId="15EEA8D3" w14:textId="77777777" w:rsidTr="00D22CF6">
        <w:tc>
          <w:tcPr>
            <w:tcW w:w="4212" w:type="dxa"/>
            <w:vMerge/>
            <w:tcBorders>
              <w:top w:val="nil"/>
              <w:left w:val="single" w:sz="4" w:space="0" w:color="auto"/>
              <w:bottom w:val="single" w:sz="4" w:space="0" w:color="FFFFFF" w:themeColor="background1"/>
            </w:tcBorders>
            <w:shd w:val="clear" w:color="auto" w:fill="E2E2E2"/>
          </w:tcPr>
          <w:p w14:paraId="18AF57D5" w14:textId="77777777" w:rsidR="00D22CF6" w:rsidRPr="00A179AE" w:rsidRDefault="00D22CF6" w:rsidP="00D22CF6"/>
        </w:tc>
        <w:sdt>
          <w:sdtPr>
            <w:id w:val="-145588339"/>
            <w14:checkbox>
              <w14:checked w14:val="1"/>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hemeFill="background1"/>
              </w:tcPr>
              <w:p w14:paraId="19C939DB" w14:textId="77777777" w:rsidR="00D22CF6" w:rsidRPr="00A179AE" w:rsidRDefault="00D22CF6" w:rsidP="00D22CF6">
                <w:pPr>
                  <w:jc w:val="center"/>
                </w:pPr>
                <w:r>
                  <w:rPr>
                    <w:rFonts w:ascii="MS Gothic" w:eastAsia="MS Gothic" w:hAnsi="MS Gothic" w:hint="eastAsia"/>
                  </w:rPr>
                  <w:t>☒</w:t>
                </w:r>
              </w:p>
            </w:tc>
          </w:sdtContent>
        </w:sdt>
        <w:tc>
          <w:tcPr>
            <w:tcW w:w="4263" w:type="dxa"/>
            <w:gridSpan w:val="4"/>
            <w:tcBorders>
              <w:top w:val="single" w:sz="4" w:space="0" w:color="auto"/>
              <w:left w:val="nil"/>
              <w:bottom w:val="single" w:sz="4" w:space="0" w:color="auto"/>
            </w:tcBorders>
            <w:shd w:val="clear" w:color="auto" w:fill="FFFFFF" w:themeFill="background1"/>
          </w:tcPr>
          <w:p w14:paraId="57BD583B" w14:textId="77777777" w:rsidR="00D22CF6" w:rsidRPr="00A179AE" w:rsidRDefault="00D22CF6" w:rsidP="00D22CF6">
            <w:pPr>
              <w:ind w:left="175" w:hanging="175"/>
            </w:pPr>
            <w:r w:rsidRPr="00A179AE">
              <w:t>Materiál legislatívnej povahy</w:t>
            </w:r>
          </w:p>
        </w:tc>
      </w:tr>
      <w:tr w:rsidR="00D22CF6" w:rsidRPr="00A179AE" w14:paraId="42457E81" w14:textId="77777777" w:rsidTr="00D22CF6">
        <w:tc>
          <w:tcPr>
            <w:tcW w:w="4212" w:type="dxa"/>
            <w:vMerge/>
            <w:tcBorders>
              <w:top w:val="nil"/>
              <w:left w:val="single" w:sz="4" w:space="0" w:color="auto"/>
              <w:bottom w:val="single" w:sz="4" w:space="0" w:color="auto"/>
            </w:tcBorders>
            <w:shd w:val="clear" w:color="auto" w:fill="E2E2E2"/>
          </w:tcPr>
          <w:p w14:paraId="7FCF74E0" w14:textId="77777777" w:rsidR="00D22CF6" w:rsidRPr="00A179AE" w:rsidRDefault="00D22CF6" w:rsidP="00D22CF6"/>
        </w:tc>
        <w:sdt>
          <w:sdtPr>
            <w:id w:val="-1883475976"/>
            <w14:checkbox>
              <w14:checked w14:val="0"/>
              <w14:checkedState w14:val="2612" w14:font="MS Gothic"/>
              <w14:uncheckedState w14:val="2610" w14:font="MS Gothic"/>
            </w14:checkbox>
          </w:sdtPr>
          <w:sdtEndPr/>
          <w:sdtContent>
            <w:tc>
              <w:tcPr>
                <w:tcW w:w="705" w:type="dxa"/>
                <w:tcBorders>
                  <w:top w:val="single" w:sz="4" w:space="0" w:color="auto"/>
                  <w:left w:val="single" w:sz="4" w:space="0" w:color="auto"/>
                  <w:bottom w:val="single" w:sz="4" w:space="0" w:color="auto"/>
                  <w:right w:val="nil"/>
                </w:tcBorders>
                <w:shd w:val="clear" w:color="auto" w:fill="FFFFFF" w:themeFill="background1"/>
              </w:tcPr>
              <w:p w14:paraId="54C3A77D" w14:textId="77777777" w:rsidR="00D22CF6" w:rsidRPr="00A179AE" w:rsidRDefault="00D22CF6" w:rsidP="00D22CF6">
                <w:pPr>
                  <w:jc w:val="center"/>
                </w:pPr>
                <w:r>
                  <w:rPr>
                    <w:rFonts w:ascii="MS Gothic" w:eastAsia="MS Gothic" w:hAnsi="MS Gothic" w:hint="eastAsia"/>
                  </w:rPr>
                  <w:t>☐</w:t>
                </w:r>
              </w:p>
            </w:tc>
          </w:sdtContent>
        </w:sdt>
        <w:tc>
          <w:tcPr>
            <w:tcW w:w="4263" w:type="dxa"/>
            <w:gridSpan w:val="4"/>
            <w:tcBorders>
              <w:top w:val="single" w:sz="4" w:space="0" w:color="auto"/>
              <w:left w:val="nil"/>
              <w:bottom w:val="single" w:sz="4" w:space="0" w:color="auto"/>
            </w:tcBorders>
            <w:shd w:val="clear" w:color="auto" w:fill="FFFFFF" w:themeFill="background1"/>
          </w:tcPr>
          <w:p w14:paraId="70FD58D3" w14:textId="77777777" w:rsidR="00D22CF6" w:rsidRPr="00A179AE" w:rsidRDefault="00D22CF6" w:rsidP="00D22CF6">
            <w:r w:rsidRPr="005058B2">
              <w:t>Transpozícia práva EÚ</w:t>
            </w:r>
          </w:p>
        </w:tc>
      </w:tr>
      <w:tr w:rsidR="00D22CF6" w:rsidRPr="00A179AE" w14:paraId="13DDFF1A" w14:textId="77777777" w:rsidTr="00D22CF6">
        <w:tc>
          <w:tcPr>
            <w:tcW w:w="9180" w:type="dxa"/>
            <w:gridSpan w:val="6"/>
            <w:tcBorders>
              <w:top w:val="single" w:sz="4" w:space="0" w:color="auto"/>
              <w:left w:val="single" w:sz="4" w:space="0" w:color="auto"/>
              <w:bottom w:val="single" w:sz="4" w:space="0" w:color="FFFFFF" w:themeColor="background1"/>
            </w:tcBorders>
            <w:shd w:val="clear" w:color="auto" w:fill="FFFFFF" w:themeFill="background1"/>
          </w:tcPr>
          <w:p w14:paraId="7F12EB68" w14:textId="77777777" w:rsidR="00D22CF6" w:rsidRPr="00F26C06" w:rsidRDefault="00D22CF6" w:rsidP="00D22CF6">
            <w:pPr>
              <w:rPr>
                <w:i/>
              </w:rPr>
            </w:pPr>
            <w:r w:rsidRPr="00A179AE">
              <w:rPr>
                <w:i/>
              </w:rPr>
              <w:t>V prípade transpozície uveďte zoznam transponovaných predpisov:</w:t>
            </w:r>
          </w:p>
        </w:tc>
      </w:tr>
      <w:tr w:rsidR="00D22CF6" w:rsidRPr="00A179AE" w14:paraId="766703AC" w14:textId="77777777" w:rsidTr="00D22CF6">
        <w:tc>
          <w:tcPr>
            <w:tcW w:w="5634" w:type="dxa"/>
            <w:gridSpan w:val="3"/>
            <w:tcBorders>
              <w:top w:val="single" w:sz="4" w:space="0" w:color="000000" w:themeColor="text1"/>
              <w:left w:val="single" w:sz="4" w:space="0" w:color="auto"/>
              <w:bottom w:val="single" w:sz="4" w:space="0" w:color="FFFFFF" w:themeColor="background1"/>
              <w:right w:val="single" w:sz="4" w:space="0" w:color="auto"/>
            </w:tcBorders>
            <w:shd w:val="clear" w:color="auto" w:fill="E2E2E2"/>
          </w:tcPr>
          <w:p w14:paraId="469047E9" w14:textId="77777777" w:rsidR="00D22CF6" w:rsidRPr="00A179AE" w:rsidRDefault="00D22CF6" w:rsidP="00D22CF6">
            <w:pPr>
              <w:pStyle w:val="Odsekzoznamu"/>
              <w:ind w:left="142"/>
              <w:rPr>
                <w:rFonts w:ascii="Times New Roman" w:hAnsi="Times New Roman" w:cs="Times New Roman"/>
                <w:b/>
              </w:rPr>
            </w:pPr>
            <w:r w:rsidRPr="00A179AE">
              <w:rPr>
                <w:rFonts w:ascii="Times New Roman" w:hAnsi="Times New Roman" w:cs="Times New Roman"/>
                <w:b/>
              </w:rPr>
              <w:t>Termín začiatku a ukončenia PPK</w:t>
            </w:r>
          </w:p>
        </w:tc>
        <w:tc>
          <w:tcPr>
            <w:tcW w:w="3546" w:type="dxa"/>
            <w:gridSpan w:val="3"/>
            <w:tcBorders>
              <w:top w:val="single" w:sz="4" w:space="0" w:color="000000" w:themeColor="text1"/>
              <w:left w:val="single" w:sz="4" w:space="0" w:color="auto"/>
              <w:bottom w:val="single" w:sz="4" w:space="0" w:color="auto"/>
              <w:right w:val="single" w:sz="4" w:space="0" w:color="auto"/>
            </w:tcBorders>
          </w:tcPr>
          <w:p w14:paraId="282389B7" w14:textId="77777777" w:rsidR="00D22CF6" w:rsidRPr="00A179AE" w:rsidRDefault="00D22CF6" w:rsidP="00D22CF6">
            <w:pPr>
              <w:rPr>
                <w:i/>
              </w:rPr>
            </w:pPr>
            <w:r>
              <w:rPr>
                <w:i/>
              </w:rPr>
              <w:t xml:space="preserve">august 2020 </w:t>
            </w:r>
          </w:p>
        </w:tc>
      </w:tr>
      <w:tr w:rsidR="00D22CF6" w:rsidRPr="00A179AE" w14:paraId="03368F86" w14:textId="77777777" w:rsidTr="00D22CF6">
        <w:tc>
          <w:tcPr>
            <w:tcW w:w="5634"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6904E7A6" w14:textId="77777777" w:rsidR="00D22CF6" w:rsidRPr="00A179AE" w:rsidRDefault="00D22CF6" w:rsidP="00D22CF6">
            <w:pPr>
              <w:pStyle w:val="Odsekzoznamu"/>
              <w:ind w:left="142"/>
              <w:rPr>
                <w:rFonts w:ascii="Times New Roman" w:hAnsi="Times New Roman" w:cs="Times New Roman"/>
                <w:b/>
              </w:rPr>
            </w:pPr>
            <w:r w:rsidRPr="00A179AE">
              <w:rPr>
                <w:rFonts w:ascii="Times New Roman" w:hAnsi="Times New Roman" w:cs="Times New Roman"/>
                <w:b/>
              </w:rPr>
              <w:t>Predpokladaný termín predloženia na MPK</w:t>
            </w:r>
            <w:r>
              <w:rPr>
                <w:rFonts w:ascii="Times New Roman" w:hAnsi="Times New Roman" w:cs="Times New Roman"/>
                <w:b/>
              </w:rPr>
              <w:t>*</w:t>
            </w:r>
          </w:p>
        </w:tc>
        <w:tc>
          <w:tcPr>
            <w:tcW w:w="3546" w:type="dxa"/>
            <w:gridSpan w:val="3"/>
            <w:tcBorders>
              <w:top w:val="single" w:sz="4" w:space="0" w:color="auto"/>
              <w:left w:val="single" w:sz="4" w:space="0" w:color="auto"/>
              <w:bottom w:val="single" w:sz="4" w:space="0" w:color="auto"/>
              <w:right w:val="single" w:sz="4" w:space="0" w:color="auto"/>
            </w:tcBorders>
          </w:tcPr>
          <w:p w14:paraId="7C37C968" w14:textId="77777777" w:rsidR="00D22CF6" w:rsidRPr="00A179AE" w:rsidRDefault="00D22CF6" w:rsidP="00D22CF6">
            <w:pPr>
              <w:rPr>
                <w:i/>
              </w:rPr>
            </w:pPr>
            <w:r>
              <w:rPr>
                <w:i/>
              </w:rPr>
              <w:t>september 2020</w:t>
            </w:r>
          </w:p>
        </w:tc>
      </w:tr>
      <w:tr w:rsidR="00D22CF6" w:rsidRPr="00A179AE" w14:paraId="00F81E4A" w14:textId="77777777" w:rsidTr="00D22CF6">
        <w:tc>
          <w:tcPr>
            <w:tcW w:w="5634" w:type="dxa"/>
            <w:gridSpan w:val="3"/>
            <w:tcBorders>
              <w:top w:val="single" w:sz="4" w:space="0" w:color="auto"/>
              <w:left w:val="single" w:sz="4" w:space="0" w:color="auto"/>
              <w:bottom w:val="single" w:sz="4" w:space="0" w:color="FFFFFF" w:themeColor="background1"/>
              <w:right w:val="single" w:sz="4" w:space="0" w:color="auto"/>
            </w:tcBorders>
            <w:shd w:val="clear" w:color="auto" w:fill="E2E2E2"/>
          </w:tcPr>
          <w:p w14:paraId="5F2CBB27" w14:textId="77777777" w:rsidR="00D22CF6" w:rsidRPr="00A179AE" w:rsidRDefault="00D22CF6" w:rsidP="00D22CF6">
            <w:pPr>
              <w:pStyle w:val="Odsekzoznamu"/>
              <w:ind w:left="142"/>
              <w:rPr>
                <w:rFonts w:ascii="Times New Roman" w:hAnsi="Times New Roman" w:cs="Times New Roman"/>
                <w:b/>
              </w:rPr>
            </w:pPr>
            <w:r w:rsidRPr="00A179AE">
              <w:rPr>
                <w:rFonts w:ascii="Times New Roman" w:hAnsi="Times New Roman" w:cs="Times New Roman"/>
                <w:b/>
              </w:rPr>
              <w:t>Predpokladaný termín predloženia na Rokovanie vlády SR</w:t>
            </w:r>
            <w:r>
              <w:rPr>
                <w:rFonts w:ascii="Times New Roman" w:hAnsi="Times New Roman" w:cs="Times New Roman"/>
                <w:b/>
              </w:rPr>
              <w:t>*</w:t>
            </w:r>
          </w:p>
        </w:tc>
        <w:tc>
          <w:tcPr>
            <w:tcW w:w="3546" w:type="dxa"/>
            <w:gridSpan w:val="3"/>
            <w:tcBorders>
              <w:top w:val="single" w:sz="4" w:space="0" w:color="auto"/>
              <w:left w:val="single" w:sz="4" w:space="0" w:color="auto"/>
              <w:bottom w:val="single" w:sz="4" w:space="0" w:color="auto"/>
              <w:right w:val="single" w:sz="4" w:space="0" w:color="auto"/>
            </w:tcBorders>
          </w:tcPr>
          <w:p w14:paraId="5214BF34" w14:textId="77777777" w:rsidR="00D22CF6" w:rsidRPr="00B75A24" w:rsidRDefault="00D22CF6" w:rsidP="00D22CF6">
            <w:pPr>
              <w:rPr>
                <w:i/>
              </w:rPr>
            </w:pPr>
            <w:r w:rsidRPr="00B75A24">
              <w:rPr>
                <w:i/>
              </w:rPr>
              <w:t>apríl 2020</w:t>
            </w:r>
          </w:p>
        </w:tc>
      </w:tr>
      <w:tr w:rsidR="00D22CF6" w:rsidRPr="00A179AE" w14:paraId="4A972ECA" w14:textId="77777777" w:rsidTr="00D22CF6">
        <w:tc>
          <w:tcPr>
            <w:tcW w:w="9180" w:type="dxa"/>
            <w:gridSpan w:val="6"/>
            <w:tcBorders>
              <w:top w:val="single" w:sz="4" w:space="0" w:color="auto"/>
              <w:left w:val="nil"/>
              <w:bottom w:val="single" w:sz="4" w:space="0" w:color="auto"/>
              <w:right w:val="nil"/>
            </w:tcBorders>
            <w:shd w:val="clear" w:color="auto" w:fill="FFFFFF" w:themeFill="background1"/>
          </w:tcPr>
          <w:p w14:paraId="49AE9BAE" w14:textId="77777777" w:rsidR="00D22CF6" w:rsidRPr="00A179AE" w:rsidRDefault="00D22CF6" w:rsidP="00D22CF6"/>
        </w:tc>
      </w:tr>
      <w:tr w:rsidR="00D22CF6" w:rsidRPr="00A179AE" w14:paraId="5FA3E1A5" w14:textId="77777777" w:rsidTr="00D22CF6">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24EAD2C0"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Defin</w:t>
            </w:r>
            <w:r>
              <w:rPr>
                <w:rFonts w:ascii="Times New Roman" w:hAnsi="Times New Roman" w:cs="Times New Roman"/>
                <w:b/>
              </w:rPr>
              <w:t>ovanie</w:t>
            </w:r>
            <w:r w:rsidRPr="00A179AE">
              <w:rPr>
                <w:rFonts w:ascii="Times New Roman" w:hAnsi="Times New Roman" w:cs="Times New Roman"/>
                <w:b/>
              </w:rPr>
              <w:t xml:space="preserve"> problému</w:t>
            </w:r>
          </w:p>
        </w:tc>
      </w:tr>
      <w:tr w:rsidR="00D22CF6" w:rsidRPr="00A179AE" w14:paraId="0FE896DE" w14:textId="77777777" w:rsidTr="00D22CF6">
        <w:trPr>
          <w:trHeight w:val="718"/>
        </w:trPr>
        <w:tc>
          <w:tcPr>
            <w:tcW w:w="9180"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D14653D" w14:textId="77777777" w:rsidR="00D22CF6" w:rsidRPr="00A179AE" w:rsidRDefault="00D22CF6" w:rsidP="00D22CF6">
            <w:pPr>
              <w:rPr>
                <w:i/>
              </w:rPr>
            </w:pPr>
            <w:r w:rsidRPr="00A179AE">
              <w:rPr>
                <w:i/>
              </w:rPr>
              <w:t>Uveďte základné problémy, na ktoré navrhovaná regulácia reaguje.</w:t>
            </w:r>
          </w:p>
          <w:p w14:paraId="027C9707" w14:textId="2783159B" w:rsidR="00D22CF6" w:rsidRPr="005064AD" w:rsidRDefault="00D22CF6" w:rsidP="00D22CF6">
            <w:pPr>
              <w:jc w:val="both"/>
            </w:pPr>
            <w:r>
              <w:t xml:space="preserve">Návrh </w:t>
            </w:r>
            <w:r w:rsidRPr="00F95F21">
              <w:t xml:space="preserve">zákona, ktorým sa mení a dopĺňa zákon </w:t>
            </w:r>
            <w:r w:rsidR="002F69ED">
              <w:t>č. </w:t>
            </w:r>
            <w:r w:rsidRPr="00F95F21">
              <w:t xml:space="preserve">56/2018 </w:t>
            </w:r>
            <w:r w:rsidR="002F69ED">
              <w:t>Z. z.</w:t>
            </w:r>
            <w:r w:rsidRPr="00F95F21">
              <w:t xml:space="preserve"> o posudzovaní zhody výrobku, sprístupňovaní určeného </w:t>
            </w:r>
            <w:r w:rsidRPr="005064AD">
              <w:t xml:space="preserve">výrobku na trhu a o zmene a doplnení niektorých zákonov a </w:t>
            </w:r>
            <w:r w:rsidRPr="006B4F7E">
              <w:t>ktorým sa menia a dopĺňajú niektoré zákony</w:t>
            </w:r>
            <w:r w:rsidRPr="006B4F7E" w:rsidDel="006B4F7E">
              <w:t xml:space="preserve"> </w:t>
            </w:r>
            <w:r w:rsidRPr="008D0D62">
              <w:t>(ďalej len „</w:t>
            </w:r>
            <w:r>
              <w:t xml:space="preserve">návrh </w:t>
            </w:r>
            <w:r w:rsidRPr="008D0D62">
              <w:t>zákon</w:t>
            </w:r>
            <w:r>
              <w:t>a</w:t>
            </w:r>
            <w:r w:rsidRPr="008D0D62">
              <w:t>“)</w:t>
            </w:r>
            <w:r w:rsidRPr="005064AD">
              <w:t>,  mení z</w:t>
            </w:r>
            <w:r w:rsidRPr="005064AD">
              <w:rPr>
                <w:rFonts w:eastAsia="TeX Gyre Bonum"/>
              </w:rPr>
              <w:t xml:space="preserve">ákon Národnej rady Slovenskej republiky </w:t>
            </w:r>
            <w:r w:rsidR="002F69ED">
              <w:rPr>
                <w:rFonts w:eastAsia="TeX Gyre Bonum"/>
              </w:rPr>
              <w:t>č. </w:t>
            </w:r>
            <w:r w:rsidRPr="005064AD">
              <w:rPr>
                <w:rFonts w:eastAsia="TeX Gyre Bonum"/>
              </w:rPr>
              <w:t xml:space="preserve">145/1995 </w:t>
            </w:r>
            <w:r w:rsidR="002F69ED">
              <w:rPr>
                <w:rFonts w:eastAsia="TeX Gyre Bonum"/>
              </w:rPr>
              <w:t>Z. z.</w:t>
            </w:r>
            <w:r w:rsidRPr="005064AD">
              <w:rPr>
                <w:rFonts w:eastAsia="TeX Gyre Bonum"/>
              </w:rPr>
              <w:t xml:space="preserve"> o správnych poplatkoch v </w:t>
            </w:r>
            <w:r w:rsidRPr="005064AD">
              <w:rPr>
                <w:rFonts w:eastAsia="TeX Gyre Bonum"/>
                <w:spacing w:val="-3"/>
              </w:rPr>
              <w:t>znení neskorších predpisov,</w:t>
            </w:r>
            <w:r>
              <w:rPr>
                <w:rFonts w:eastAsia="TeX Gyre Bonum"/>
                <w:spacing w:val="-3"/>
              </w:rPr>
              <w:t xml:space="preserve"> z</w:t>
            </w:r>
            <w:r w:rsidRPr="00B623DB">
              <w:rPr>
                <w:rFonts w:eastAsia="TeX Gyre Bonum"/>
                <w:spacing w:val="-3"/>
              </w:rPr>
              <w:t xml:space="preserve">ákon </w:t>
            </w:r>
            <w:r w:rsidR="002F69ED">
              <w:rPr>
                <w:rFonts w:eastAsia="TeX Gyre Bonum"/>
                <w:spacing w:val="-3"/>
              </w:rPr>
              <w:t>č. </w:t>
            </w:r>
            <w:r w:rsidRPr="00B623DB">
              <w:rPr>
                <w:rFonts w:eastAsia="TeX Gyre Bonum"/>
                <w:spacing w:val="-3"/>
              </w:rPr>
              <w:t xml:space="preserve">529/2010 </w:t>
            </w:r>
            <w:r w:rsidR="002F69ED">
              <w:rPr>
                <w:rFonts w:eastAsia="TeX Gyre Bonum"/>
                <w:spacing w:val="-3"/>
              </w:rPr>
              <w:t>Z. z.</w:t>
            </w:r>
            <w:r w:rsidRPr="00B623DB">
              <w:rPr>
                <w:rFonts w:eastAsia="TeX Gyre Bonum"/>
                <w:spacing w:val="-3"/>
              </w:rPr>
              <w:t xml:space="preserve"> o environmentálnom navrhovaní a používaní výrobkov (zákon o</w:t>
            </w:r>
            <w:r w:rsidR="00AA5537">
              <w:rPr>
                <w:rFonts w:eastAsia="TeX Gyre Bonum"/>
                <w:spacing w:val="-3"/>
              </w:rPr>
              <w:t> </w:t>
            </w:r>
            <w:proofErr w:type="spellStart"/>
            <w:r w:rsidRPr="00B623DB">
              <w:rPr>
                <w:rFonts w:eastAsia="TeX Gyre Bonum"/>
                <w:spacing w:val="-3"/>
              </w:rPr>
              <w:t>ekodizajne</w:t>
            </w:r>
            <w:proofErr w:type="spellEnd"/>
            <w:r w:rsidR="00AA5537">
              <w:rPr>
                <w:rFonts w:eastAsia="TeX Gyre Bonum"/>
                <w:spacing w:val="-3"/>
              </w:rPr>
              <w:t>)</w:t>
            </w:r>
            <w:r w:rsidRPr="00B623DB">
              <w:rPr>
                <w:rFonts w:eastAsia="TeX Gyre Bonum"/>
                <w:spacing w:val="-3"/>
              </w:rPr>
              <w:t xml:space="preserve"> </w:t>
            </w:r>
            <w:r>
              <w:rPr>
                <w:rFonts w:eastAsia="TeX Gyre Bonum"/>
                <w:spacing w:val="-3"/>
              </w:rPr>
              <w:t xml:space="preserve">v znení zákona </w:t>
            </w:r>
            <w:r w:rsidR="002F69ED">
              <w:rPr>
                <w:rFonts w:eastAsia="TeX Gyre Bonum"/>
                <w:spacing w:val="-3"/>
              </w:rPr>
              <w:t>č. </w:t>
            </w:r>
            <w:r>
              <w:rPr>
                <w:rFonts w:eastAsia="TeX Gyre Bonum"/>
                <w:spacing w:val="-3"/>
              </w:rPr>
              <w:t xml:space="preserve">56/2018 </w:t>
            </w:r>
            <w:r w:rsidR="002F69ED">
              <w:rPr>
                <w:rFonts w:eastAsia="TeX Gyre Bonum"/>
                <w:spacing w:val="-3"/>
              </w:rPr>
              <w:t>Z. z.</w:t>
            </w:r>
            <w:r>
              <w:rPr>
                <w:rFonts w:eastAsia="TeX Gyre Bonum"/>
                <w:spacing w:val="-3"/>
              </w:rPr>
              <w:t>, z</w:t>
            </w:r>
            <w:r w:rsidRPr="00B623DB">
              <w:rPr>
                <w:rFonts w:eastAsia="TeX Gyre Bonum"/>
                <w:spacing w:val="-3"/>
              </w:rPr>
              <w:t xml:space="preserve">ákon </w:t>
            </w:r>
            <w:r w:rsidR="002F69ED">
              <w:rPr>
                <w:rFonts w:eastAsia="TeX Gyre Bonum"/>
                <w:spacing w:val="-3"/>
              </w:rPr>
              <w:t>č. </w:t>
            </w:r>
            <w:r w:rsidRPr="00B623DB">
              <w:rPr>
                <w:rFonts w:eastAsia="TeX Gyre Bonum"/>
                <w:spacing w:val="-3"/>
              </w:rPr>
              <w:t xml:space="preserve">78/2012 </w:t>
            </w:r>
            <w:r w:rsidR="002F69ED">
              <w:rPr>
                <w:rFonts w:eastAsia="TeX Gyre Bonum"/>
                <w:spacing w:val="-3"/>
              </w:rPr>
              <w:t>Z. z.</w:t>
            </w:r>
            <w:r w:rsidRPr="00B623DB">
              <w:rPr>
                <w:rFonts w:eastAsia="TeX Gyre Bonum"/>
                <w:spacing w:val="-3"/>
              </w:rPr>
              <w:t xml:space="preserve"> o bezpečnosti hračiek a</w:t>
            </w:r>
            <w:r>
              <w:rPr>
                <w:rFonts w:eastAsia="TeX Gyre Bonum"/>
                <w:spacing w:val="-3"/>
              </w:rPr>
              <w:t> </w:t>
            </w:r>
            <w:r w:rsidRPr="00B623DB">
              <w:rPr>
                <w:rFonts w:eastAsia="TeX Gyre Bonum"/>
                <w:spacing w:val="-3"/>
              </w:rPr>
              <w:t>o</w:t>
            </w:r>
            <w:r>
              <w:rPr>
                <w:rFonts w:eastAsia="TeX Gyre Bonum"/>
                <w:spacing w:val="-3"/>
              </w:rPr>
              <w:t> </w:t>
            </w:r>
            <w:r w:rsidRPr="00B623DB">
              <w:rPr>
                <w:rFonts w:eastAsia="TeX Gyre Bonum"/>
                <w:spacing w:val="-3"/>
              </w:rPr>
              <w:t>zmene</w:t>
            </w:r>
            <w:r>
              <w:rPr>
                <w:rFonts w:eastAsia="TeX Gyre Bonum"/>
                <w:spacing w:val="-3"/>
              </w:rPr>
              <w:t xml:space="preserve"> </w:t>
            </w:r>
            <w:r w:rsidRPr="00B623DB">
              <w:rPr>
                <w:rFonts w:eastAsia="TeX Gyre Bonum"/>
                <w:spacing w:val="-3"/>
              </w:rPr>
              <w:t xml:space="preserve">a doplnení zákona </w:t>
            </w:r>
            <w:r w:rsidR="002F69ED">
              <w:rPr>
                <w:rFonts w:eastAsia="TeX Gyre Bonum"/>
                <w:spacing w:val="-3"/>
              </w:rPr>
              <w:t>č. </w:t>
            </w:r>
            <w:r w:rsidRPr="00B623DB">
              <w:rPr>
                <w:rFonts w:eastAsia="TeX Gyre Bonum"/>
                <w:spacing w:val="-3"/>
              </w:rPr>
              <w:t xml:space="preserve">128/2002 </w:t>
            </w:r>
            <w:r w:rsidR="002F69ED">
              <w:rPr>
                <w:rFonts w:eastAsia="TeX Gyre Bonum"/>
                <w:spacing w:val="-3"/>
              </w:rPr>
              <w:t>Z. z.</w:t>
            </w:r>
            <w:r w:rsidRPr="00B623DB">
              <w:rPr>
                <w:rFonts w:eastAsia="TeX Gyre Bonum"/>
                <w:spacing w:val="-3"/>
              </w:rPr>
              <w:t xml:space="preserve"> o štátnej kontrole vnútorného trhu vo veciach ochrany spotrebiteľa a</w:t>
            </w:r>
            <w:r>
              <w:rPr>
                <w:rFonts w:eastAsia="TeX Gyre Bonum"/>
                <w:spacing w:val="-3"/>
              </w:rPr>
              <w:t> </w:t>
            </w:r>
            <w:r w:rsidRPr="00B623DB">
              <w:rPr>
                <w:rFonts w:eastAsia="TeX Gyre Bonum"/>
                <w:spacing w:val="-3"/>
              </w:rPr>
              <w:t>o</w:t>
            </w:r>
            <w:r>
              <w:rPr>
                <w:rFonts w:eastAsia="TeX Gyre Bonum"/>
                <w:spacing w:val="-3"/>
              </w:rPr>
              <w:t> </w:t>
            </w:r>
            <w:r w:rsidRPr="00B623DB">
              <w:rPr>
                <w:rFonts w:eastAsia="TeX Gyre Bonum"/>
                <w:spacing w:val="-3"/>
              </w:rPr>
              <w:t>zmene</w:t>
            </w:r>
            <w:r>
              <w:rPr>
                <w:rFonts w:eastAsia="TeX Gyre Bonum"/>
                <w:spacing w:val="-3"/>
              </w:rPr>
              <w:t xml:space="preserve"> </w:t>
            </w:r>
            <w:r w:rsidRPr="00B623DB">
              <w:rPr>
                <w:rFonts w:eastAsia="TeX Gyre Bonum"/>
                <w:spacing w:val="-3"/>
              </w:rPr>
              <w:t>a doplnení niektorých zákonov v znení neskorších predpisov v</w:t>
            </w:r>
            <w:r w:rsidR="00AA5537">
              <w:rPr>
                <w:rFonts w:eastAsia="TeX Gyre Bonum"/>
                <w:spacing w:val="-3"/>
              </w:rPr>
              <w:t> </w:t>
            </w:r>
            <w:r w:rsidRPr="00B623DB">
              <w:rPr>
                <w:rFonts w:eastAsia="TeX Gyre Bonum"/>
                <w:spacing w:val="-3"/>
              </w:rPr>
              <w:t>znení</w:t>
            </w:r>
            <w:r w:rsidR="00AA5537">
              <w:rPr>
                <w:rFonts w:eastAsia="TeX Gyre Bonum"/>
                <w:spacing w:val="-3"/>
              </w:rPr>
              <w:t xml:space="preserve"> </w:t>
            </w:r>
            <w:r w:rsidRPr="00B623DB">
              <w:rPr>
                <w:rFonts w:eastAsia="TeX Gyre Bonum"/>
                <w:spacing w:val="-3"/>
              </w:rPr>
              <w:t xml:space="preserve">zákona </w:t>
            </w:r>
            <w:r w:rsidR="002F69ED">
              <w:rPr>
                <w:rFonts w:eastAsia="TeX Gyre Bonum"/>
                <w:spacing w:val="-3"/>
              </w:rPr>
              <w:t>č. </w:t>
            </w:r>
            <w:r w:rsidRPr="00B623DB">
              <w:rPr>
                <w:rFonts w:eastAsia="TeX Gyre Bonum"/>
                <w:spacing w:val="-3"/>
              </w:rPr>
              <w:t xml:space="preserve">140/2013 </w:t>
            </w:r>
            <w:r w:rsidR="002F69ED">
              <w:rPr>
                <w:rFonts w:eastAsia="TeX Gyre Bonum"/>
                <w:spacing w:val="-3"/>
              </w:rPr>
              <w:t>Z. z.</w:t>
            </w:r>
            <w:r w:rsidRPr="00B623DB">
              <w:rPr>
                <w:rFonts w:eastAsia="TeX Gyre Bonum"/>
                <w:spacing w:val="-3"/>
              </w:rPr>
              <w:t xml:space="preserve">, zákona </w:t>
            </w:r>
            <w:r w:rsidR="002F69ED">
              <w:rPr>
                <w:rFonts w:eastAsia="TeX Gyre Bonum"/>
                <w:spacing w:val="-3"/>
              </w:rPr>
              <w:t>č. </w:t>
            </w:r>
            <w:r w:rsidRPr="00B623DB">
              <w:rPr>
                <w:rFonts w:eastAsia="TeX Gyre Bonum"/>
                <w:spacing w:val="-3"/>
              </w:rPr>
              <w:t xml:space="preserve">391/2015 </w:t>
            </w:r>
            <w:r w:rsidR="002F69ED">
              <w:rPr>
                <w:rFonts w:eastAsia="TeX Gyre Bonum"/>
                <w:spacing w:val="-3"/>
              </w:rPr>
              <w:t>Z. z.</w:t>
            </w:r>
            <w:r w:rsidRPr="00B623DB">
              <w:rPr>
                <w:rFonts w:eastAsia="TeX Gyre Bonum"/>
                <w:spacing w:val="-3"/>
              </w:rPr>
              <w:t xml:space="preserve">, zákona </w:t>
            </w:r>
            <w:r w:rsidR="002F69ED">
              <w:rPr>
                <w:rFonts w:eastAsia="TeX Gyre Bonum"/>
                <w:spacing w:val="-3"/>
              </w:rPr>
              <w:t>č. </w:t>
            </w:r>
            <w:r w:rsidRPr="00B623DB">
              <w:rPr>
                <w:rFonts w:eastAsia="TeX Gyre Bonum"/>
                <w:spacing w:val="-3"/>
              </w:rPr>
              <w:t xml:space="preserve">51/2017 </w:t>
            </w:r>
            <w:r w:rsidR="002F69ED">
              <w:rPr>
                <w:rFonts w:eastAsia="TeX Gyre Bonum"/>
                <w:spacing w:val="-3"/>
              </w:rPr>
              <w:t>Z. z.</w:t>
            </w:r>
            <w:r>
              <w:rPr>
                <w:rFonts w:eastAsia="TeX Gyre Bonum"/>
                <w:spacing w:val="-3"/>
              </w:rPr>
              <w:t xml:space="preserve"> a zákona </w:t>
            </w:r>
            <w:r w:rsidR="002F69ED">
              <w:rPr>
                <w:rFonts w:eastAsia="TeX Gyre Bonum"/>
                <w:spacing w:val="-3"/>
              </w:rPr>
              <w:t>č. </w:t>
            </w:r>
            <w:r>
              <w:rPr>
                <w:rFonts w:eastAsia="TeX Gyre Bonum"/>
                <w:spacing w:val="-3"/>
              </w:rPr>
              <w:t xml:space="preserve">56/2018 </w:t>
            </w:r>
            <w:r w:rsidR="002F69ED">
              <w:rPr>
                <w:rFonts w:eastAsia="TeX Gyre Bonum"/>
                <w:spacing w:val="-3"/>
              </w:rPr>
              <w:t>Z. z.</w:t>
            </w:r>
            <w:r>
              <w:rPr>
                <w:rFonts w:eastAsia="TeX Gyre Bonum"/>
                <w:spacing w:val="-3"/>
              </w:rPr>
              <w:t xml:space="preserve"> a z</w:t>
            </w:r>
            <w:r w:rsidRPr="00B623DB">
              <w:rPr>
                <w:rFonts w:eastAsia="TeX Gyre Bonum"/>
                <w:spacing w:val="-3"/>
              </w:rPr>
              <w:t xml:space="preserve">ákon </w:t>
            </w:r>
            <w:r w:rsidR="002F69ED">
              <w:rPr>
                <w:rFonts w:eastAsia="TeX Gyre Bonum"/>
                <w:spacing w:val="-3"/>
              </w:rPr>
              <w:t>č. </w:t>
            </w:r>
            <w:r w:rsidRPr="00B623DB">
              <w:rPr>
                <w:rFonts w:eastAsia="TeX Gyre Bonum"/>
                <w:spacing w:val="-3"/>
              </w:rPr>
              <w:t xml:space="preserve">346/2013 </w:t>
            </w:r>
            <w:r w:rsidR="002F69ED">
              <w:rPr>
                <w:rFonts w:eastAsia="TeX Gyre Bonum"/>
                <w:spacing w:val="-3"/>
              </w:rPr>
              <w:t>Z. z.</w:t>
            </w:r>
            <w:r w:rsidRPr="00B623DB">
              <w:rPr>
                <w:rFonts w:eastAsia="TeX Gyre Bonum"/>
                <w:spacing w:val="-3"/>
              </w:rPr>
              <w:t xml:space="preserve"> o obmedzení používania určitých nebezpečných látok v elektrických zariadeniach a elektronických zariadeniach a ktorým sa mení zákon </w:t>
            </w:r>
            <w:r w:rsidR="002F69ED">
              <w:rPr>
                <w:rFonts w:eastAsia="TeX Gyre Bonum"/>
                <w:spacing w:val="-3"/>
              </w:rPr>
              <w:t>č. </w:t>
            </w:r>
            <w:r w:rsidRPr="00B623DB">
              <w:rPr>
                <w:rFonts w:eastAsia="TeX Gyre Bonum"/>
                <w:spacing w:val="-3"/>
              </w:rPr>
              <w:t xml:space="preserve">223/2001 </w:t>
            </w:r>
            <w:r w:rsidR="002F69ED">
              <w:rPr>
                <w:rFonts w:eastAsia="TeX Gyre Bonum"/>
                <w:spacing w:val="-3"/>
              </w:rPr>
              <w:t>Z. z.</w:t>
            </w:r>
            <w:r w:rsidRPr="00B623DB">
              <w:rPr>
                <w:rFonts w:eastAsia="TeX Gyre Bonum"/>
                <w:spacing w:val="-3"/>
              </w:rPr>
              <w:t xml:space="preserve"> o odpadoch a o zmene a doplnení niektorých zákonov v znení neskorších predpisov v znení zákona </w:t>
            </w:r>
            <w:r w:rsidR="002F69ED">
              <w:rPr>
                <w:rFonts w:eastAsia="TeX Gyre Bonum"/>
                <w:spacing w:val="-3"/>
              </w:rPr>
              <w:t>č. </w:t>
            </w:r>
            <w:r w:rsidRPr="00B623DB">
              <w:rPr>
                <w:rFonts w:eastAsia="TeX Gyre Bonum"/>
                <w:spacing w:val="-3"/>
              </w:rPr>
              <w:t xml:space="preserve">145/2019 </w:t>
            </w:r>
            <w:r w:rsidR="002F69ED">
              <w:rPr>
                <w:rFonts w:eastAsia="TeX Gyre Bonum"/>
                <w:spacing w:val="-3"/>
              </w:rPr>
              <w:t>Z. z.</w:t>
            </w:r>
            <w:r w:rsidRPr="00B623DB">
              <w:rPr>
                <w:rFonts w:eastAsia="TeX Gyre Bonum"/>
                <w:spacing w:val="-3"/>
              </w:rPr>
              <w:t xml:space="preserve"> a zákona </w:t>
            </w:r>
            <w:r w:rsidR="002F69ED">
              <w:rPr>
                <w:rFonts w:eastAsia="TeX Gyre Bonum"/>
                <w:spacing w:val="-3"/>
              </w:rPr>
              <w:t>č. </w:t>
            </w:r>
            <w:r w:rsidRPr="00B623DB">
              <w:rPr>
                <w:rFonts w:eastAsia="TeX Gyre Bonum"/>
                <w:spacing w:val="-3"/>
              </w:rPr>
              <w:t xml:space="preserve">314/2016 </w:t>
            </w:r>
            <w:r w:rsidR="002F69ED">
              <w:rPr>
                <w:rFonts w:eastAsia="TeX Gyre Bonum"/>
                <w:spacing w:val="-3"/>
              </w:rPr>
              <w:t>Z. z.</w:t>
            </w:r>
            <w:r>
              <w:rPr>
                <w:rFonts w:eastAsia="TeX Gyre Bonum"/>
                <w:spacing w:val="-3"/>
              </w:rPr>
              <w:t>,</w:t>
            </w:r>
            <w:r w:rsidRPr="00B623DB">
              <w:rPr>
                <w:rFonts w:eastAsia="TeX Gyre Bonum"/>
                <w:spacing w:val="-3"/>
              </w:rPr>
              <w:t xml:space="preserve"> </w:t>
            </w:r>
            <w:r>
              <w:rPr>
                <w:bCs/>
                <w:szCs w:val="28"/>
              </w:rPr>
              <w:t>z</w:t>
            </w:r>
            <w:r w:rsidRPr="007032D8">
              <w:rPr>
                <w:bCs/>
                <w:szCs w:val="28"/>
              </w:rPr>
              <w:t xml:space="preserve">ákon </w:t>
            </w:r>
            <w:r w:rsidR="002F69ED">
              <w:rPr>
                <w:bCs/>
                <w:szCs w:val="28"/>
              </w:rPr>
              <w:t>č. </w:t>
            </w:r>
            <w:r w:rsidRPr="007032D8">
              <w:rPr>
                <w:bCs/>
                <w:szCs w:val="28"/>
              </w:rPr>
              <w:t xml:space="preserve">58/2014 </w:t>
            </w:r>
            <w:r w:rsidR="002F69ED">
              <w:rPr>
                <w:bCs/>
                <w:szCs w:val="28"/>
              </w:rPr>
              <w:t>Z. z.</w:t>
            </w:r>
            <w:r w:rsidRPr="007032D8">
              <w:rPr>
                <w:bCs/>
                <w:szCs w:val="28"/>
              </w:rPr>
              <w:t xml:space="preserve"> o výbušninách, výbušných predmetoch a</w:t>
            </w:r>
            <w:r>
              <w:rPr>
                <w:bCs/>
                <w:szCs w:val="28"/>
              </w:rPr>
              <w:t> </w:t>
            </w:r>
            <w:r w:rsidRPr="007032D8">
              <w:rPr>
                <w:bCs/>
                <w:szCs w:val="28"/>
              </w:rPr>
              <w:t>munícii</w:t>
            </w:r>
            <w:r>
              <w:rPr>
                <w:bCs/>
                <w:szCs w:val="28"/>
              </w:rPr>
              <w:t xml:space="preserve"> </w:t>
            </w:r>
            <w:r w:rsidRPr="007032D8">
              <w:rPr>
                <w:bCs/>
                <w:szCs w:val="28"/>
              </w:rPr>
              <w:t xml:space="preserve">a o zmene a doplnení niektorých zákonov v znení </w:t>
            </w:r>
            <w:r>
              <w:rPr>
                <w:bCs/>
                <w:szCs w:val="28"/>
              </w:rPr>
              <w:t>neskorších predpisov,</w:t>
            </w:r>
            <w:r w:rsidRPr="005064AD">
              <w:rPr>
                <w:rFonts w:eastAsia="TeX Gyre Bonum"/>
                <w:spacing w:val="-3"/>
              </w:rPr>
              <w:t xml:space="preserve"> </w:t>
            </w:r>
            <w:r w:rsidRPr="005064AD">
              <w:t xml:space="preserve">zákon </w:t>
            </w:r>
            <w:r w:rsidR="002F69ED">
              <w:t>č. </w:t>
            </w:r>
            <w:r w:rsidRPr="005064AD">
              <w:t xml:space="preserve">55/2018 </w:t>
            </w:r>
            <w:r w:rsidR="002F69ED">
              <w:t>Z. z.</w:t>
            </w:r>
            <w:r w:rsidRPr="005064AD">
              <w:t xml:space="preserve"> o</w:t>
            </w:r>
            <w:r>
              <w:t> </w:t>
            </w:r>
            <w:r w:rsidRPr="005064AD">
              <w:t>poskytovaní</w:t>
            </w:r>
            <w:r>
              <w:t xml:space="preserve"> </w:t>
            </w:r>
            <w:r w:rsidRPr="005064AD">
              <w:t>informácií o technickom predpise a</w:t>
            </w:r>
            <w:r w:rsidR="00AA5537">
              <w:t> </w:t>
            </w:r>
            <w:r w:rsidRPr="005064AD">
              <w:t>o</w:t>
            </w:r>
            <w:r w:rsidR="00AA5537">
              <w:t> </w:t>
            </w:r>
            <w:r w:rsidRPr="005064AD">
              <w:t>prekážkach</w:t>
            </w:r>
            <w:r w:rsidR="00AA5537">
              <w:t xml:space="preserve"> </w:t>
            </w:r>
            <w:r w:rsidRPr="005064AD">
              <w:t xml:space="preserve">voľného pohybu tovaru (ďalej len „zákon </w:t>
            </w:r>
            <w:r w:rsidR="002F69ED">
              <w:t>č. </w:t>
            </w:r>
            <w:r w:rsidRPr="005064AD">
              <w:t xml:space="preserve">55/2018 </w:t>
            </w:r>
            <w:r w:rsidR="002F69ED">
              <w:t>Z. z.</w:t>
            </w:r>
            <w:r w:rsidRPr="005064AD">
              <w:t xml:space="preserve">“) a zákon </w:t>
            </w:r>
            <w:r w:rsidR="002F69ED">
              <w:rPr>
                <w:rFonts w:eastAsia="TeX Gyre Bonum"/>
              </w:rPr>
              <w:t>č. </w:t>
            </w:r>
            <w:r w:rsidRPr="005064AD">
              <w:rPr>
                <w:rFonts w:eastAsia="TeX Gyre Bonum"/>
              </w:rPr>
              <w:t xml:space="preserve">60/2018 </w:t>
            </w:r>
            <w:r w:rsidR="002F69ED">
              <w:rPr>
                <w:rFonts w:eastAsia="TeX Gyre Bonum"/>
              </w:rPr>
              <w:t>Z. z.</w:t>
            </w:r>
            <w:r w:rsidRPr="005064AD">
              <w:rPr>
                <w:rFonts w:eastAsia="TeX Gyre Bonum"/>
              </w:rPr>
              <w:t xml:space="preserve"> o technickej normalizácii v znení zákona </w:t>
            </w:r>
            <w:r w:rsidR="002F69ED">
              <w:rPr>
                <w:rFonts w:eastAsia="TeX Gyre Bonum"/>
              </w:rPr>
              <w:t>č. </w:t>
            </w:r>
            <w:r w:rsidRPr="005064AD">
              <w:rPr>
                <w:rFonts w:eastAsia="TeX Gyre Bonum"/>
              </w:rPr>
              <w:t xml:space="preserve">215/2019 </w:t>
            </w:r>
            <w:r w:rsidR="002F69ED">
              <w:rPr>
                <w:rFonts w:eastAsia="TeX Gyre Bonum"/>
              </w:rPr>
              <w:t>Z. z.</w:t>
            </w:r>
          </w:p>
          <w:p w14:paraId="00BA8E0F" w14:textId="47311D39" w:rsidR="00D22CF6" w:rsidRPr="003A19C3" w:rsidRDefault="00D22CF6" w:rsidP="00D22CF6">
            <w:pPr>
              <w:jc w:val="both"/>
            </w:pPr>
            <w:r w:rsidRPr="005064AD">
              <w:t xml:space="preserve">Úprava rámcového zákona </w:t>
            </w:r>
            <w:r w:rsidR="002F69ED">
              <w:t>č. </w:t>
            </w:r>
            <w:r w:rsidRPr="005064AD">
              <w:t xml:space="preserve">56/2018 </w:t>
            </w:r>
            <w:r w:rsidR="002F69ED">
              <w:t>Z. z.</w:t>
            </w:r>
            <w:r w:rsidRPr="005064AD">
              <w:t xml:space="preserve"> o posudzovaní zhody výrobku, sprístupňovaní určeného výrobku na trhu a o zmene a doplnení</w:t>
            </w:r>
            <w:r w:rsidRPr="008D0D62">
              <w:t xml:space="preserve"> niektorých zákonov (ďalej len „zákon </w:t>
            </w:r>
            <w:r w:rsidR="002F69ED">
              <w:t>č. </w:t>
            </w:r>
            <w:r w:rsidRPr="008D0D62">
              <w:t xml:space="preserve">56/2018 </w:t>
            </w:r>
            <w:r w:rsidR="002F69ED">
              <w:t>Z. z.</w:t>
            </w:r>
            <w:r w:rsidRPr="008D0D62">
              <w:t xml:space="preserve">“) najmä v časti upravujúcej výkon dohľadu nad určenými výrobkami a informačné povinnosti, ktoré je potrebné zosúladiť s novým nariadením Európskeho parlamentu a Rady (EÚ) 2019/1020 z 20. júna 2019 o dohľade nad trhom a súlade výrobkov a o zmene smernice 2004/42/ES a nariadení (ES) </w:t>
            </w:r>
            <w:r w:rsidR="002F69ED">
              <w:t>č. </w:t>
            </w:r>
            <w:r w:rsidRPr="008D0D62">
              <w:t xml:space="preserve">765/2008 a (EÚ) </w:t>
            </w:r>
            <w:r w:rsidR="002F69ED">
              <w:t>č. </w:t>
            </w:r>
            <w:r w:rsidRPr="008D0D62">
              <w:t>305/2011 (ďalej len „nariadenie (EÚ) 2019/1020“) a implementácia nariadenia Európskeho parlamentu a Rady (EÚ) 2018/1724 z 2. októbra 2018 o zriadení jednotnej digitálnej brány na poskytovanie prístupu k informáciám, postupom a asistenčným službám a službám riešenia problémov a</w:t>
            </w:r>
            <w:r w:rsidR="00D95C82">
              <w:t> </w:t>
            </w:r>
            <w:r w:rsidRPr="008D0D62">
              <w:t>o</w:t>
            </w:r>
            <w:r w:rsidR="00D95C82">
              <w:t> </w:t>
            </w:r>
            <w:r w:rsidRPr="008D0D62">
              <w:t>zmene</w:t>
            </w:r>
            <w:r w:rsidR="00D95C82">
              <w:t xml:space="preserve"> </w:t>
            </w:r>
            <w:r w:rsidRPr="008D0D62">
              <w:t>nariadenia (ďalej len „nariadenie (EÚ) 2018/1724“) v súlade s</w:t>
            </w:r>
            <w:r>
              <w:t> </w:t>
            </w:r>
            <w:r w:rsidRPr="008D0D62">
              <w:t>uznesením</w:t>
            </w:r>
            <w:r>
              <w:t xml:space="preserve"> </w:t>
            </w:r>
            <w:r w:rsidRPr="008D0D62">
              <w:t xml:space="preserve">vlády SR </w:t>
            </w:r>
            <w:r w:rsidR="002F69ED">
              <w:lastRenderedPageBreak/>
              <w:t>č. </w:t>
            </w:r>
            <w:r w:rsidRPr="008D0D62">
              <w:t>335/2019, v rámci ktorého sa ÚNMS SR priamo týkajú úlohy uvedené v bodoch B.7</w:t>
            </w:r>
            <w:r>
              <w:t xml:space="preserve"> a </w:t>
            </w:r>
            <w:r w:rsidRPr="008D0D62">
              <w:t>B.12 uznesenia. Ďal</w:t>
            </w:r>
            <w:r>
              <w:t>ej sa zjednodušenie procesných ustanovení upravujúcich vydávanie rozhodnutí o autorizácii, v rámci ktorého nové rozhodnutie o autorizácii vždy nahradí celé pôvodné rozhodnutie o autorizácii (aj v prípade zmeny len napr. postupu posudzovania zhody alebo technického predpisu z oblasti posudzovania zhody), čím sa uľahčí podnikateľským subjektom (autorizovaným a notifikovaným osobám) prehľad o ich rozsahu autorizácie a jednoduchšie preukazovanie svojho oprávnenia v rámci iných správnych konaní.</w:t>
            </w:r>
          </w:p>
        </w:tc>
      </w:tr>
      <w:tr w:rsidR="00D22CF6" w:rsidRPr="00A179AE" w14:paraId="6CED366D" w14:textId="77777777" w:rsidTr="00D22CF6">
        <w:tc>
          <w:tcPr>
            <w:tcW w:w="9180" w:type="dxa"/>
            <w:gridSpan w:val="6"/>
            <w:tcBorders>
              <w:top w:val="single" w:sz="4" w:space="0" w:color="auto"/>
              <w:left w:val="single" w:sz="4" w:space="0" w:color="auto"/>
              <w:bottom w:val="nil"/>
              <w:right w:val="single" w:sz="4" w:space="0" w:color="auto"/>
            </w:tcBorders>
            <w:shd w:val="clear" w:color="auto" w:fill="E2E2E2"/>
          </w:tcPr>
          <w:p w14:paraId="68F07CB6"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Ciele a výsledný stav</w:t>
            </w:r>
          </w:p>
        </w:tc>
      </w:tr>
      <w:tr w:rsidR="00D22CF6" w:rsidRPr="00A179AE" w14:paraId="5E6A4543" w14:textId="77777777" w:rsidTr="00D22CF6">
        <w:trPr>
          <w:trHeight w:val="741"/>
        </w:trPr>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634DDD9F" w14:textId="77777777" w:rsidR="00D22CF6" w:rsidRPr="00A179AE" w:rsidRDefault="00D22CF6" w:rsidP="00D22CF6">
            <w:pPr>
              <w:rPr>
                <w:i/>
              </w:rPr>
            </w:pPr>
            <w:r w:rsidRPr="00A179AE">
              <w:rPr>
                <w:i/>
              </w:rPr>
              <w:t>Uveďte hlavné ciele navrhovaného predpisu (aký výsledný stav chcete reguláciou dosiahnuť).</w:t>
            </w:r>
          </w:p>
          <w:p w14:paraId="3D3BF780" w14:textId="4562DBAB" w:rsidR="00D22CF6" w:rsidRDefault="00D22CF6" w:rsidP="00D22CF6">
            <w:pPr>
              <w:jc w:val="both"/>
            </w:pPr>
            <w:r>
              <w:t xml:space="preserve">Úprava zákona </w:t>
            </w:r>
            <w:r w:rsidR="002F69ED">
              <w:t>č. </w:t>
            </w:r>
            <w:r>
              <w:t xml:space="preserve">56/2018 </w:t>
            </w:r>
            <w:r w:rsidR="002F69ED">
              <w:t>Z. z.</w:t>
            </w:r>
            <w:r>
              <w:t xml:space="preserve"> z dôvodu implementácie nariadenia (EÚ) 2019/1020 a</w:t>
            </w:r>
            <w:r w:rsidR="00D95C82">
              <w:t> </w:t>
            </w:r>
            <w:r>
              <w:t>n</w:t>
            </w:r>
            <w:r w:rsidRPr="00567FD0">
              <w:t>ariadeni</w:t>
            </w:r>
            <w:r>
              <w:t>a</w:t>
            </w:r>
            <w:r w:rsidR="00D95C82">
              <w:t xml:space="preserve"> </w:t>
            </w:r>
            <w:r w:rsidRPr="00567FD0">
              <w:t>(EÚ) 2018/1724</w:t>
            </w:r>
            <w:r>
              <w:t xml:space="preserve">. Nariadenie (EÚ) 2019/1020 čiastočne nahrádza pôvodné nariadenie Európskeho parlamentu a Rady (ES) </w:t>
            </w:r>
            <w:r w:rsidR="002F69ED">
              <w:t>č. </w:t>
            </w:r>
            <w:r>
              <w:t xml:space="preserve">765/2008 z 9. júla 2008, ktorým sa stanovujú požiadavky akreditácie a dohľadu nad trhom v súvislosti s uvádzaním výrobkov na trh a ktorým sa zrušuje nariadenie (EHS) </w:t>
            </w:r>
            <w:r w:rsidR="002F69ED">
              <w:t>č. </w:t>
            </w:r>
            <w:r>
              <w:t xml:space="preserve">339/93 (ďalej len „nariadenie (ES) </w:t>
            </w:r>
            <w:r w:rsidR="002F69ED">
              <w:t>č. </w:t>
            </w:r>
            <w:r>
              <w:t xml:space="preserve">765/2008“), konkrétne časť nariadenia (ES) </w:t>
            </w:r>
            <w:r w:rsidR="002F69ED">
              <w:t>č. </w:t>
            </w:r>
            <w:r>
              <w:t xml:space="preserve">765/2008 upravujúcu dohľad nad trhom. Predmetné ustanovenia upravujúce dohľad nad trhom nad určenými výrobkami sú v súčasnosti implementované najmä zákonom </w:t>
            </w:r>
            <w:r w:rsidR="002F69ED">
              <w:t>č. </w:t>
            </w:r>
            <w:r>
              <w:t xml:space="preserve">56/2018 </w:t>
            </w:r>
            <w:r w:rsidR="002F69ED">
              <w:t>Z. z.</w:t>
            </w:r>
            <w:r>
              <w:t xml:space="preserve">  </w:t>
            </w:r>
          </w:p>
          <w:p w14:paraId="4092C211" w14:textId="4E91FFCA" w:rsidR="00D22CF6" w:rsidRDefault="00D22CF6" w:rsidP="00D22CF6">
            <w:pPr>
              <w:jc w:val="both"/>
            </w:pPr>
            <w:r>
              <w:t xml:space="preserve">Predmetom návrhu zákona je aj úprava niektorých ustanovení zákona </w:t>
            </w:r>
            <w:r w:rsidR="002F69ED">
              <w:t>č. </w:t>
            </w:r>
            <w:r>
              <w:t xml:space="preserve">56/2018 </w:t>
            </w:r>
            <w:r w:rsidR="002F69ED">
              <w:t>Z. z.</w:t>
            </w:r>
            <w:r>
              <w:t>, ktoré vyplynuli z aplikačnej praxe, najmä úprava procesných ustanovení týkajúcich sa autorizácie a</w:t>
            </w:r>
            <w:r w:rsidR="00D95C82">
              <w:t> </w:t>
            </w:r>
            <w:r>
              <w:t>notifikácie</w:t>
            </w:r>
            <w:r w:rsidR="00D95C82">
              <w:t>,</w:t>
            </w:r>
            <w:r>
              <w:t xml:space="preserve"> udeľovania tzv. výnimiek podľa </w:t>
            </w:r>
            <w:r w:rsidR="002F69ED">
              <w:t>§ </w:t>
            </w:r>
            <w:r>
              <w:t xml:space="preserve">4 ods. 5 zákona </w:t>
            </w:r>
            <w:r w:rsidR="002F69ED">
              <w:t>č. </w:t>
            </w:r>
            <w:r>
              <w:t xml:space="preserve">56/2018 </w:t>
            </w:r>
            <w:r w:rsidR="002F69ED">
              <w:t>Z. z.</w:t>
            </w:r>
            <w:r>
              <w:t xml:space="preserve"> a doplnenie povinnosti úradu vykonávať kontrolu nad certifikátmi pre zdravotnícke pomôcky vydané notifikovanými osobami podľa smernice Rady </w:t>
            </w:r>
            <w:r w:rsidR="002F69ED">
              <w:t>č. </w:t>
            </w:r>
            <w:r>
              <w:t>93/42/EHS zo 14. júna 1993 o</w:t>
            </w:r>
            <w:r w:rsidR="00D95C82">
              <w:t> </w:t>
            </w:r>
            <w:r>
              <w:t>zdravotníckych</w:t>
            </w:r>
            <w:r w:rsidR="00D95C82">
              <w:t xml:space="preserve"> </w:t>
            </w:r>
            <w:r>
              <w:t>pomôckach.</w:t>
            </w:r>
          </w:p>
          <w:p w14:paraId="592BD47A" w14:textId="271A1C8F" w:rsidR="00D22CF6" w:rsidRDefault="00D22CF6" w:rsidP="00D22CF6">
            <w:pPr>
              <w:jc w:val="both"/>
            </w:pPr>
            <w:r>
              <w:t xml:space="preserve">Predmetom návrhu zákona je aj zmena zákona </w:t>
            </w:r>
            <w:r w:rsidR="002F69ED">
              <w:t>č. </w:t>
            </w:r>
            <w:r>
              <w:t xml:space="preserve">55/2018 </w:t>
            </w:r>
            <w:r w:rsidR="002F69ED">
              <w:t>Z. z.</w:t>
            </w:r>
            <w:r>
              <w:t>, ktorý je potrebné zosúladiť s</w:t>
            </w:r>
            <w:r w:rsidR="00D95C82">
              <w:t> </w:t>
            </w:r>
            <w:r>
              <w:t>nariadením</w:t>
            </w:r>
            <w:r w:rsidR="00D95C82">
              <w:t xml:space="preserve"> </w:t>
            </w:r>
            <w:r>
              <w:t xml:space="preserve">(EÚ) 2019/1020, ktoré od 16. júla 2021 rozširuje pôsobnosť tzv. kontaktného miesta pre výrobky podľa </w:t>
            </w:r>
            <w:r w:rsidR="002F69ED">
              <w:t>§ </w:t>
            </w:r>
            <w:r>
              <w:t xml:space="preserve">9 zákona </w:t>
            </w:r>
            <w:r w:rsidR="002F69ED">
              <w:t>č. </w:t>
            </w:r>
            <w:r>
              <w:t xml:space="preserve">55/2018 </w:t>
            </w:r>
            <w:r w:rsidR="002F69ED">
              <w:t>Z. z.</w:t>
            </w:r>
            <w:r>
              <w:t xml:space="preserve"> o povinnosť poskytovať informácie hospodárskym subjektom aj o harmonizačných právnych predpisoch Európskej únie.</w:t>
            </w:r>
          </w:p>
          <w:p w14:paraId="01831F0C" w14:textId="4E42B8A1" w:rsidR="00D22CF6" w:rsidRDefault="00D22CF6" w:rsidP="00D22CF6">
            <w:pPr>
              <w:jc w:val="both"/>
            </w:pPr>
            <w:r>
              <w:t xml:space="preserve">Predmetom návrhu zákona je aj zmena zákona </w:t>
            </w:r>
            <w:r w:rsidR="002F69ED">
              <w:t>č. </w:t>
            </w:r>
            <w:r>
              <w:t xml:space="preserve">55/2018 </w:t>
            </w:r>
            <w:r w:rsidR="002F69ED">
              <w:t>Z. z.</w:t>
            </w:r>
            <w:r>
              <w:t xml:space="preserve"> a zákona </w:t>
            </w:r>
            <w:r w:rsidR="002F69ED">
              <w:rPr>
                <w:rFonts w:eastAsia="TeX Gyre Bonum"/>
              </w:rPr>
              <w:t>č. </w:t>
            </w:r>
            <w:r w:rsidRPr="008B1E25">
              <w:rPr>
                <w:rFonts w:eastAsia="TeX Gyre Bonum"/>
              </w:rPr>
              <w:t xml:space="preserve">60/2018 </w:t>
            </w:r>
            <w:r w:rsidR="002F69ED">
              <w:rPr>
                <w:rFonts w:eastAsia="TeX Gyre Bonum"/>
              </w:rPr>
              <w:t>Z. z.</w:t>
            </w:r>
            <w:r w:rsidRPr="008B1E25">
              <w:rPr>
                <w:rFonts w:eastAsia="TeX Gyre Bonum"/>
              </w:rPr>
              <w:t xml:space="preserve"> o</w:t>
            </w:r>
            <w:r w:rsidR="00D95C82">
              <w:rPr>
                <w:rFonts w:eastAsia="TeX Gyre Bonum"/>
              </w:rPr>
              <w:t> </w:t>
            </w:r>
            <w:r w:rsidRPr="008B1E25">
              <w:rPr>
                <w:rFonts w:eastAsia="TeX Gyre Bonum"/>
              </w:rPr>
              <w:t>technickej</w:t>
            </w:r>
            <w:r w:rsidR="00D95C82">
              <w:rPr>
                <w:rFonts w:eastAsia="TeX Gyre Bonum"/>
              </w:rPr>
              <w:t xml:space="preserve"> </w:t>
            </w:r>
            <w:r w:rsidRPr="008B1E25">
              <w:rPr>
                <w:rFonts w:eastAsia="TeX Gyre Bonum"/>
              </w:rPr>
              <w:t xml:space="preserve">normalizácii v znení zákona </w:t>
            </w:r>
            <w:r w:rsidR="002F69ED">
              <w:rPr>
                <w:rFonts w:eastAsia="TeX Gyre Bonum"/>
              </w:rPr>
              <w:t>č. </w:t>
            </w:r>
            <w:r w:rsidRPr="008B1E25">
              <w:rPr>
                <w:rFonts w:eastAsia="TeX Gyre Bonum"/>
              </w:rPr>
              <w:t xml:space="preserve">215/2019 </w:t>
            </w:r>
            <w:r w:rsidR="002F69ED">
              <w:rPr>
                <w:rFonts w:eastAsia="TeX Gyre Bonum"/>
              </w:rPr>
              <w:t>Z. z.</w:t>
            </w:r>
            <w:r>
              <w:rPr>
                <w:rFonts w:eastAsia="TeX Gyre Bonum"/>
              </w:rPr>
              <w:t xml:space="preserve"> v súvislosti s </w:t>
            </w:r>
            <w:r>
              <w:t>implementáciou n</w:t>
            </w:r>
            <w:r w:rsidRPr="00567FD0">
              <w:t>ariadeni</w:t>
            </w:r>
            <w:r>
              <w:t>a</w:t>
            </w:r>
            <w:r w:rsidRPr="00567FD0">
              <w:t xml:space="preserve"> (EÚ) 2018/1724</w:t>
            </w:r>
            <w:r>
              <w:t>.</w:t>
            </w:r>
          </w:p>
          <w:p w14:paraId="1E4AB0DB" w14:textId="6A49F064" w:rsidR="00D22CF6" w:rsidRDefault="00D22CF6" w:rsidP="00D22CF6">
            <w:pPr>
              <w:jc w:val="both"/>
            </w:pPr>
            <w:r>
              <w:rPr>
                <w:rFonts w:eastAsia="TeX Gyre Bonum"/>
                <w:spacing w:val="-3"/>
              </w:rPr>
              <w:t>Predmetom zákona je aj zmena z</w:t>
            </w:r>
            <w:r w:rsidRPr="00B623DB">
              <w:rPr>
                <w:rFonts w:eastAsia="TeX Gyre Bonum"/>
                <w:spacing w:val="-3"/>
              </w:rPr>
              <w:t>ákon</w:t>
            </w:r>
            <w:r>
              <w:rPr>
                <w:rFonts w:eastAsia="TeX Gyre Bonum"/>
                <w:spacing w:val="-3"/>
              </w:rPr>
              <w:t>a</w:t>
            </w:r>
            <w:r w:rsidRPr="00B623DB">
              <w:rPr>
                <w:rFonts w:eastAsia="TeX Gyre Bonum"/>
                <w:spacing w:val="-3"/>
              </w:rPr>
              <w:t xml:space="preserve"> </w:t>
            </w:r>
            <w:r w:rsidR="002F69ED">
              <w:rPr>
                <w:rFonts w:eastAsia="TeX Gyre Bonum"/>
                <w:spacing w:val="-3"/>
              </w:rPr>
              <w:t>č. </w:t>
            </w:r>
            <w:r w:rsidRPr="00B623DB">
              <w:rPr>
                <w:rFonts w:eastAsia="TeX Gyre Bonum"/>
                <w:spacing w:val="-3"/>
              </w:rPr>
              <w:t xml:space="preserve">529/2010 </w:t>
            </w:r>
            <w:r w:rsidR="002F69ED">
              <w:rPr>
                <w:rFonts w:eastAsia="TeX Gyre Bonum"/>
                <w:spacing w:val="-3"/>
              </w:rPr>
              <w:t>Z. z.</w:t>
            </w:r>
            <w:r w:rsidRPr="00B623DB">
              <w:rPr>
                <w:rFonts w:eastAsia="TeX Gyre Bonum"/>
                <w:spacing w:val="-3"/>
              </w:rPr>
              <w:t xml:space="preserve"> o environmentálnom navrhovaní a</w:t>
            </w:r>
            <w:r w:rsidR="00D95C82">
              <w:rPr>
                <w:rFonts w:eastAsia="TeX Gyre Bonum"/>
                <w:spacing w:val="-3"/>
              </w:rPr>
              <w:t> </w:t>
            </w:r>
            <w:r w:rsidRPr="00B623DB">
              <w:rPr>
                <w:rFonts w:eastAsia="TeX Gyre Bonum"/>
                <w:spacing w:val="-3"/>
              </w:rPr>
              <w:t>používaní</w:t>
            </w:r>
            <w:r w:rsidR="00D95C82">
              <w:rPr>
                <w:rFonts w:eastAsia="TeX Gyre Bonum"/>
                <w:spacing w:val="-3"/>
              </w:rPr>
              <w:t xml:space="preserve"> </w:t>
            </w:r>
            <w:r w:rsidRPr="00B623DB">
              <w:rPr>
                <w:rFonts w:eastAsia="TeX Gyre Bonum"/>
                <w:spacing w:val="-3"/>
              </w:rPr>
              <w:t xml:space="preserve">výrobkov (zákon o </w:t>
            </w:r>
            <w:proofErr w:type="spellStart"/>
            <w:r w:rsidRPr="00B623DB">
              <w:rPr>
                <w:rFonts w:eastAsia="TeX Gyre Bonum"/>
                <w:spacing w:val="-3"/>
              </w:rPr>
              <w:t>ekodizajne</w:t>
            </w:r>
            <w:proofErr w:type="spellEnd"/>
            <w:r w:rsidRPr="00B623DB">
              <w:rPr>
                <w:rFonts w:eastAsia="TeX Gyre Bonum"/>
                <w:spacing w:val="-3"/>
              </w:rPr>
              <w:t xml:space="preserve">) </w:t>
            </w:r>
            <w:r>
              <w:rPr>
                <w:rFonts w:eastAsia="TeX Gyre Bonum"/>
                <w:spacing w:val="-3"/>
              </w:rPr>
              <w:t xml:space="preserve">v znení zákona </w:t>
            </w:r>
            <w:r w:rsidR="002F69ED">
              <w:rPr>
                <w:rFonts w:eastAsia="TeX Gyre Bonum"/>
                <w:spacing w:val="-3"/>
              </w:rPr>
              <w:t>č. </w:t>
            </w:r>
            <w:r>
              <w:rPr>
                <w:rFonts w:eastAsia="TeX Gyre Bonum"/>
                <w:spacing w:val="-3"/>
              </w:rPr>
              <w:t xml:space="preserve">56/2018 </w:t>
            </w:r>
            <w:r w:rsidR="002F69ED">
              <w:rPr>
                <w:rFonts w:eastAsia="TeX Gyre Bonum"/>
                <w:spacing w:val="-3"/>
              </w:rPr>
              <w:t>Z. z.</w:t>
            </w:r>
            <w:r>
              <w:rPr>
                <w:rFonts w:eastAsia="TeX Gyre Bonum"/>
                <w:spacing w:val="-3"/>
              </w:rPr>
              <w:t>, z</w:t>
            </w:r>
            <w:r w:rsidRPr="00B623DB">
              <w:rPr>
                <w:rFonts w:eastAsia="TeX Gyre Bonum"/>
                <w:spacing w:val="-3"/>
              </w:rPr>
              <w:t>ákon</w:t>
            </w:r>
            <w:r>
              <w:rPr>
                <w:rFonts w:eastAsia="TeX Gyre Bonum"/>
                <w:spacing w:val="-3"/>
              </w:rPr>
              <w:t>a</w:t>
            </w:r>
            <w:r w:rsidRPr="00B623DB">
              <w:rPr>
                <w:rFonts w:eastAsia="TeX Gyre Bonum"/>
                <w:spacing w:val="-3"/>
              </w:rPr>
              <w:t xml:space="preserve"> </w:t>
            </w:r>
            <w:r w:rsidR="002F69ED">
              <w:rPr>
                <w:rFonts w:eastAsia="TeX Gyre Bonum"/>
                <w:spacing w:val="-3"/>
              </w:rPr>
              <w:t>č. </w:t>
            </w:r>
            <w:r w:rsidRPr="00B623DB">
              <w:rPr>
                <w:rFonts w:eastAsia="TeX Gyre Bonum"/>
                <w:spacing w:val="-3"/>
              </w:rPr>
              <w:t xml:space="preserve">78/2012 </w:t>
            </w:r>
            <w:r w:rsidR="002F69ED">
              <w:rPr>
                <w:rFonts w:eastAsia="TeX Gyre Bonum"/>
                <w:spacing w:val="-3"/>
              </w:rPr>
              <w:t>Z. z.</w:t>
            </w:r>
            <w:r w:rsidRPr="00B623DB">
              <w:rPr>
                <w:rFonts w:eastAsia="TeX Gyre Bonum"/>
                <w:spacing w:val="-3"/>
              </w:rPr>
              <w:t xml:space="preserve"> o bezpečnosti hračiek a o zmene a</w:t>
            </w:r>
            <w:r>
              <w:rPr>
                <w:rFonts w:eastAsia="TeX Gyre Bonum"/>
                <w:spacing w:val="-3"/>
              </w:rPr>
              <w:t> </w:t>
            </w:r>
            <w:r w:rsidRPr="00B623DB">
              <w:rPr>
                <w:rFonts w:eastAsia="TeX Gyre Bonum"/>
                <w:spacing w:val="-3"/>
              </w:rPr>
              <w:t>doplnení</w:t>
            </w:r>
            <w:r>
              <w:rPr>
                <w:rFonts w:eastAsia="TeX Gyre Bonum"/>
                <w:spacing w:val="-3"/>
              </w:rPr>
              <w:t xml:space="preserve"> </w:t>
            </w:r>
            <w:r w:rsidRPr="00B623DB">
              <w:rPr>
                <w:rFonts w:eastAsia="TeX Gyre Bonum"/>
                <w:spacing w:val="-3"/>
              </w:rPr>
              <w:t xml:space="preserve">zákona </w:t>
            </w:r>
            <w:r w:rsidR="002F69ED">
              <w:rPr>
                <w:rFonts w:eastAsia="TeX Gyre Bonum"/>
                <w:spacing w:val="-3"/>
              </w:rPr>
              <w:t>č. </w:t>
            </w:r>
            <w:r w:rsidRPr="00B623DB">
              <w:rPr>
                <w:rFonts w:eastAsia="TeX Gyre Bonum"/>
                <w:spacing w:val="-3"/>
              </w:rPr>
              <w:t xml:space="preserve">128/2002 </w:t>
            </w:r>
            <w:r w:rsidR="002F69ED">
              <w:rPr>
                <w:rFonts w:eastAsia="TeX Gyre Bonum"/>
                <w:spacing w:val="-3"/>
              </w:rPr>
              <w:t>Z. z.</w:t>
            </w:r>
            <w:r w:rsidRPr="00B623DB">
              <w:rPr>
                <w:rFonts w:eastAsia="TeX Gyre Bonum"/>
                <w:spacing w:val="-3"/>
              </w:rPr>
              <w:t xml:space="preserve"> o štátnej kontrole vnútorného trhu vo veciach ochrany spotrebiteľa a o zmene a</w:t>
            </w:r>
            <w:r>
              <w:rPr>
                <w:rFonts w:eastAsia="TeX Gyre Bonum"/>
                <w:spacing w:val="-3"/>
              </w:rPr>
              <w:t> </w:t>
            </w:r>
            <w:r w:rsidRPr="00B623DB">
              <w:rPr>
                <w:rFonts w:eastAsia="TeX Gyre Bonum"/>
                <w:spacing w:val="-3"/>
              </w:rPr>
              <w:t>doplnení</w:t>
            </w:r>
            <w:r>
              <w:rPr>
                <w:rFonts w:eastAsia="TeX Gyre Bonum"/>
                <w:spacing w:val="-3"/>
              </w:rPr>
              <w:t xml:space="preserve"> </w:t>
            </w:r>
            <w:r w:rsidRPr="00B623DB">
              <w:rPr>
                <w:rFonts w:eastAsia="TeX Gyre Bonum"/>
                <w:spacing w:val="-3"/>
              </w:rPr>
              <w:t>niektorých zákonov v</w:t>
            </w:r>
            <w:r w:rsidR="00D95C82">
              <w:rPr>
                <w:rFonts w:eastAsia="TeX Gyre Bonum"/>
                <w:spacing w:val="-3"/>
              </w:rPr>
              <w:t> </w:t>
            </w:r>
            <w:r w:rsidRPr="00B623DB">
              <w:rPr>
                <w:rFonts w:eastAsia="TeX Gyre Bonum"/>
                <w:spacing w:val="-3"/>
              </w:rPr>
              <w:t>znení</w:t>
            </w:r>
            <w:r w:rsidR="00D95C82">
              <w:rPr>
                <w:rFonts w:eastAsia="TeX Gyre Bonum"/>
                <w:spacing w:val="-3"/>
              </w:rPr>
              <w:t xml:space="preserve"> </w:t>
            </w:r>
            <w:r w:rsidRPr="00B623DB">
              <w:rPr>
                <w:rFonts w:eastAsia="TeX Gyre Bonum"/>
                <w:spacing w:val="-3"/>
              </w:rPr>
              <w:t>neskorších predpisov v</w:t>
            </w:r>
            <w:r>
              <w:rPr>
                <w:rFonts w:eastAsia="TeX Gyre Bonum"/>
                <w:spacing w:val="-3"/>
              </w:rPr>
              <w:t xml:space="preserve"> znení zákona </w:t>
            </w:r>
            <w:r w:rsidR="002F69ED">
              <w:rPr>
                <w:rFonts w:eastAsia="TeX Gyre Bonum"/>
                <w:spacing w:val="-3"/>
              </w:rPr>
              <w:t>č. </w:t>
            </w:r>
            <w:r>
              <w:rPr>
                <w:rFonts w:eastAsia="TeX Gyre Bonum"/>
                <w:spacing w:val="-3"/>
              </w:rPr>
              <w:t xml:space="preserve">140/2013 </w:t>
            </w:r>
            <w:r w:rsidR="002F69ED">
              <w:rPr>
                <w:rFonts w:eastAsia="TeX Gyre Bonum"/>
                <w:spacing w:val="-3"/>
              </w:rPr>
              <w:t>Z. z.</w:t>
            </w:r>
            <w:r>
              <w:rPr>
                <w:rFonts w:eastAsia="TeX Gyre Bonum"/>
                <w:spacing w:val="-3"/>
              </w:rPr>
              <w:t xml:space="preserve"> a</w:t>
            </w:r>
            <w:r w:rsidRPr="00B623DB">
              <w:rPr>
                <w:rFonts w:eastAsia="TeX Gyre Bonum"/>
                <w:spacing w:val="-3"/>
              </w:rPr>
              <w:t xml:space="preserve"> zákona </w:t>
            </w:r>
            <w:r w:rsidR="002F69ED">
              <w:rPr>
                <w:rFonts w:eastAsia="TeX Gyre Bonum"/>
                <w:spacing w:val="-3"/>
              </w:rPr>
              <w:t>č. </w:t>
            </w:r>
            <w:r w:rsidRPr="00B623DB">
              <w:rPr>
                <w:rFonts w:eastAsia="TeX Gyre Bonum"/>
                <w:spacing w:val="-3"/>
              </w:rPr>
              <w:t xml:space="preserve">391/2015 </w:t>
            </w:r>
            <w:r w:rsidR="002F69ED">
              <w:rPr>
                <w:rFonts w:eastAsia="TeX Gyre Bonum"/>
                <w:spacing w:val="-3"/>
              </w:rPr>
              <w:t>Z. z.</w:t>
            </w:r>
            <w:r w:rsidRPr="00B623DB">
              <w:rPr>
                <w:rFonts w:eastAsia="TeX Gyre Bonum"/>
                <w:spacing w:val="-3"/>
              </w:rPr>
              <w:t xml:space="preserve">, zákona </w:t>
            </w:r>
            <w:r w:rsidR="002F69ED">
              <w:rPr>
                <w:rFonts w:eastAsia="TeX Gyre Bonum"/>
                <w:spacing w:val="-3"/>
              </w:rPr>
              <w:t>č. </w:t>
            </w:r>
            <w:r w:rsidRPr="00B623DB">
              <w:rPr>
                <w:rFonts w:eastAsia="TeX Gyre Bonum"/>
                <w:spacing w:val="-3"/>
              </w:rPr>
              <w:t xml:space="preserve">51/2017 </w:t>
            </w:r>
            <w:r w:rsidR="002F69ED">
              <w:rPr>
                <w:rFonts w:eastAsia="TeX Gyre Bonum"/>
                <w:spacing w:val="-3"/>
              </w:rPr>
              <w:t>Z. z.</w:t>
            </w:r>
            <w:r>
              <w:rPr>
                <w:rFonts w:eastAsia="TeX Gyre Bonum"/>
                <w:spacing w:val="-3"/>
              </w:rPr>
              <w:t xml:space="preserve"> a zákona </w:t>
            </w:r>
            <w:r w:rsidR="002F69ED">
              <w:rPr>
                <w:rFonts w:eastAsia="TeX Gyre Bonum"/>
                <w:spacing w:val="-3"/>
              </w:rPr>
              <w:t>č. </w:t>
            </w:r>
            <w:r>
              <w:rPr>
                <w:rFonts w:eastAsia="TeX Gyre Bonum"/>
                <w:spacing w:val="-3"/>
              </w:rPr>
              <w:t xml:space="preserve">56/2018 </w:t>
            </w:r>
            <w:r w:rsidR="002F69ED">
              <w:rPr>
                <w:rFonts w:eastAsia="TeX Gyre Bonum"/>
                <w:spacing w:val="-3"/>
              </w:rPr>
              <w:t>Z. z.</w:t>
            </w:r>
            <w:r>
              <w:rPr>
                <w:rFonts w:eastAsia="TeX Gyre Bonum"/>
                <w:spacing w:val="-3"/>
              </w:rPr>
              <w:t xml:space="preserve"> a z</w:t>
            </w:r>
            <w:r>
              <w:t xml:space="preserve">ákona </w:t>
            </w:r>
            <w:r w:rsidR="002F69ED">
              <w:t>č. </w:t>
            </w:r>
            <w:r>
              <w:t xml:space="preserve">346/2013 </w:t>
            </w:r>
            <w:r w:rsidR="002F69ED">
              <w:t>Z. z.</w:t>
            </w:r>
            <w:r>
              <w:t xml:space="preserve"> o obmedzení používania určitých nebezpečných látok v elektrických zariadeniach a elektronických zariadeniach a</w:t>
            </w:r>
            <w:r w:rsidR="00D95C82">
              <w:t> </w:t>
            </w:r>
            <w:r>
              <w:t>ktorým</w:t>
            </w:r>
            <w:r w:rsidR="00D95C82">
              <w:t xml:space="preserve"> </w:t>
            </w:r>
            <w:r>
              <w:t xml:space="preserve">sa mení zákon </w:t>
            </w:r>
            <w:r w:rsidR="002F69ED">
              <w:t>č. </w:t>
            </w:r>
            <w:r>
              <w:t xml:space="preserve">223/2001 </w:t>
            </w:r>
            <w:r w:rsidR="002F69ED">
              <w:t>Z. z.</w:t>
            </w:r>
            <w:r>
              <w:t xml:space="preserve"> o odpadoch a o zmene a doplnení niektorých zákonov v znení neskorších predpisov</w:t>
            </w:r>
            <w:r>
              <w:rPr>
                <w:rFonts w:eastAsia="TeX Gyre Bonum"/>
              </w:rPr>
              <w:t xml:space="preserve"> v znení zákona </w:t>
            </w:r>
            <w:r w:rsidR="002F69ED">
              <w:rPr>
                <w:rFonts w:eastAsia="TeX Gyre Bonum"/>
              </w:rPr>
              <w:t>č. </w:t>
            </w:r>
            <w:r>
              <w:rPr>
                <w:rFonts w:eastAsia="TeX Gyre Bonum"/>
              </w:rPr>
              <w:t xml:space="preserve">145/2019 </w:t>
            </w:r>
            <w:r w:rsidR="002F69ED">
              <w:rPr>
                <w:rFonts w:eastAsia="TeX Gyre Bonum"/>
              </w:rPr>
              <w:t>Z. z.</w:t>
            </w:r>
            <w:r>
              <w:rPr>
                <w:rFonts w:eastAsia="TeX Gyre Bonum"/>
              </w:rPr>
              <w:t xml:space="preserve"> a zákona </w:t>
            </w:r>
            <w:r w:rsidR="002F69ED">
              <w:rPr>
                <w:rFonts w:eastAsia="TeX Gyre Bonum"/>
              </w:rPr>
              <w:t>č. </w:t>
            </w:r>
            <w:r>
              <w:rPr>
                <w:rFonts w:eastAsia="TeX Gyre Bonum"/>
              </w:rPr>
              <w:t xml:space="preserve">314/2016 </w:t>
            </w:r>
            <w:r w:rsidR="002F69ED">
              <w:rPr>
                <w:rFonts w:eastAsia="TeX Gyre Bonum"/>
              </w:rPr>
              <w:t>Z. z.</w:t>
            </w:r>
            <w:r>
              <w:rPr>
                <w:rFonts w:eastAsia="TeX Gyre Bonum"/>
              </w:rPr>
              <w:t xml:space="preserve"> z dôvodu implementácie nariadenia </w:t>
            </w:r>
            <w:r w:rsidRPr="008D0D62">
              <w:t>(EÚ) 2019/1020</w:t>
            </w:r>
            <w:r>
              <w:t>.</w:t>
            </w:r>
          </w:p>
          <w:p w14:paraId="326F7C74" w14:textId="7A8FFCA2" w:rsidR="00D22CF6" w:rsidRDefault="00D22CF6" w:rsidP="00D22CF6">
            <w:pPr>
              <w:jc w:val="both"/>
            </w:pPr>
            <w:r>
              <w:t xml:space="preserve">Predmetom návrhu zákona je aj zmena zákona </w:t>
            </w:r>
            <w:r w:rsidR="002F69ED">
              <w:rPr>
                <w:bCs/>
                <w:szCs w:val="28"/>
              </w:rPr>
              <w:t>č. </w:t>
            </w:r>
            <w:r w:rsidRPr="007032D8">
              <w:rPr>
                <w:bCs/>
                <w:szCs w:val="28"/>
              </w:rPr>
              <w:t xml:space="preserve">58/2014 </w:t>
            </w:r>
            <w:r w:rsidR="002F69ED">
              <w:rPr>
                <w:bCs/>
                <w:szCs w:val="28"/>
              </w:rPr>
              <w:t>Z. z.</w:t>
            </w:r>
            <w:r w:rsidRPr="007032D8">
              <w:rPr>
                <w:bCs/>
                <w:szCs w:val="28"/>
              </w:rPr>
              <w:t xml:space="preserve"> o výbušninách, výbušných predmetoch a munícii a o zmene a doplnení niektorých zákonov v znení </w:t>
            </w:r>
            <w:r>
              <w:rPr>
                <w:bCs/>
                <w:szCs w:val="28"/>
              </w:rPr>
              <w:t>neskorších predpisov z dôvodu úpravy terminológie, procesov</w:t>
            </w:r>
            <w:r w:rsidRPr="000E0EF9">
              <w:rPr>
                <w:bCs/>
                <w:szCs w:val="28"/>
              </w:rPr>
              <w:t xml:space="preserve"> posudzovania zhody výbušnín, výbušných predmetov a mu</w:t>
            </w:r>
            <w:r>
              <w:rPr>
                <w:bCs/>
                <w:szCs w:val="28"/>
              </w:rPr>
              <w:t>nície na účely obrany a výstupných dokumentov</w:t>
            </w:r>
            <w:r w:rsidRPr="000E0EF9">
              <w:rPr>
                <w:bCs/>
                <w:szCs w:val="28"/>
              </w:rPr>
              <w:t xml:space="preserve"> posudzovania zhody so všeobecnou právnou úpravou v oblasti posudzovania zhody uv</w:t>
            </w:r>
            <w:r>
              <w:rPr>
                <w:bCs/>
                <w:szCs w:val="28"/>
              </w:rPr>
              <w:t xml:space="preserve">edenou v zákone </w:t>
            </w:r>
            <w:r w:rsidR="002F69ED">
              <w:rPr>
                <w:bCs/>
                <w:szCs w:val="28"/>
              </w:rPr>
              <w:t>č. </w:t>
            </w:r>
            <w:r>
              <w:rPr>
                <w:bCs/>
                <w:szCs w:val="28"/>
              </w:rPr>
              <w:t xml:space="preserve">56/2018 </w:t>
            </w:r>
            <w:r w:rsidR="002F69ED">
              <w:rPr>
                <w:bCs/>
                <w:szCs w:val="28"/>
              </w:rPr>
              <w:t>Z. z.</w:t>
            </w:r>
            <w:r>
              <w:rPr>
                <w:bCs/>
                <w:szCs w:val="28"/>
              </w:rPr>
              <w:t xml:space="preserve"> a dôvodu</w:t>
            </w:r>
            <w:r w:rsidRPr="000E0EF9">
              <w:rPr>
                <w:bCs/>
                <w:szCs w:val="28"/>
              </w:rPr>
              <w:t xml:space="preserve"> terminologické</w:t>
            </w:r>
            <w:r>
              <w:rPr>
                <w:bCs/>
                <w:szCs w:val="28"/>
              </w:rPr>
              <w:t>ho spresnenia</w:t>
            </w:r>
            <w:r w:rsidRPr="000E0EF9">
              <w:rPr>
                <w:bCs/>
                <w:szCs w:val="28"/>
              </w:rPr>
              <w:t xml:space="preserve"> niektorých ustanovení novelizovaného zákona </w:t>
            </w:r>
            <w:r w:rsidR="002F69ED">
              <w:rPr>
                <w:bCs/>
                <w:szCs w:val="28"/>
              </w:rPr>
              <w:t>č. </w:t>
            </w:r>
            <w:r w:rsidRPr="000E0EF9">
              <w:rPr>
                <w:bCs/>
                <w:szCs w:val="28"/>
              </w:rPr>
              <w:t xml:space="preserve">58/2014 </w:t>
            </w:r>
            <w:r w:rsidR="002F69ED">
              <w:rPr>
                <w:bCs/>
                <w:szCs w:val="28"/>
              </w:rPr>
              <w:t>Z. z.</w:t>
            </w:r>
            <w:r>
              <w:rPr>
                <w:bCs/>
                <w:szCs w:val="28"/>
              </w:rPr>
              <w:t xml:space="preserve"> </w:t>
            </w:r>
            <w:r>
              <w:t xml:space="preserve">Zároveň v nadväznosti na upravené znenie zákona </w:t>
            </w:r>
            <w:r w:rsidR="002F69ED">
              <w:t>č. </w:t>
            </w:r>
            <w:r>
              <w:t xml:space="preserve">58/2014 </w:t>
            </w:r>
            <w:r w:rsidR="002F69ED">
              <w:t>Z. z.</w:t>
            </w:r>
            <w:r>
              <w:t xml:space="preserve"> sa mení aj znenie splnomocňovacieho ustanovenia </w:t>
            </w:r>
            <w:r w:rsidR="002F69ED">
              <w:t>§ </w:t>
            </w:r>
            <w:r>
              <w:t xml:space="preserve">87 ods. 2 písm. a) zákona </w:t>
            </w:r>
            <w:r w:rsidR="002F69ED">
              <w:t>č. </w:t>
            </w:r>
            <w:r>
              <w:t xml:space="preserve">58/2014 </w:t>
            </w:r>
            <w:r w:rsidR="002F69ED">
              <w:t>Z. z.</w:t>
            </w:r>
            <w:r>
              <w:t xml:space="preserve"> tak, aby bolo zladené s terminológiou a požiadavkami vyplývajúcimi zo zákona </w:t>
            </w:r>
            <w:r w:rsidR="002F69ED">
              <w:t>č. </w:t>
            </w:r>
            <w:r>
              <w:t xml:space="preserve">56/2018 </w:t>
            </w:r>
            <w:r w:rsidR="002F69ED">
              <w:t>Z. z.</w:t>
            </w:r>
          </w:p>
          <w:p w14:paraId="7A064AA3" w14:textId="77777777" w:rsidR="00D22CF6" w:rsidRPr="00A179AE" w:rsidRDefault="00D22CF6" w:rsidP="00D22CF6">
            <w:pPr>
              <w:jc w:val="both"/>
            </w:pPr>
          </w:p>
        </w:tc>
      </w:tr>
      <w:tr w:rsidR="00D22CF6" w:rsidRPr="00A179AE" w14:paraId="6D804AA2" w14:textId="77777777" w:rsidTr="00D22CF6">
        <w:tc>
          <w:tcPr>
            <w:tcW w:w="9180" w:type="dxa"/>
            <w:gridSpan w:val="6"/>
            <w:tcBorders>
              <w:top w:val="single" w:sz="4" w:space="0" w:color="auto"/>
              <w:left w:val="single" w:sz="4" w:space="0" w:color="auto"/>
              <w:bottom w:val="nil"/>
              <w:right w:val="single" w:sz="4" w:space="0" w:color="auto"/>
            </w:tcBorders>
            <w:shd w:val="clear" w:color="auto" w:fill="E2E2E2"/>
          </w:tcPr>
          <w:p w14:paraId="2DF00F1B"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Dotknuté subjekty</w:t>
            </w:r>
          </w:p>
        </w:tc>
      </w:tr>
      <w:tr w:rsidR="00D22CF6" w:rsidRPr="00A179AE" w14:paraId="2F06F0DF" w14:textId="77777777" w:rsidTr="00D22CF6">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6DBC2228" w14:textId="77777777" w:rsidR="00D22CF6" w:rsidRPr="00A179AE" w:rsidRDefault="00D22CF6" w:rsidP="00D22CF6">
            <w:pPr>
              <w:rPr>
                <w:i/>
              </w:rPr>
            </w:pPr>
            <w:r w:rsidRPr="00A179AE">
              <w:rPr>
                <w:i/>
              </w:rPr>
              <w:t>Uveďte subjekty, ktorých sa zmeny návrhu dotknú priamo aj nepriamo:</w:t>
            </w:r>
          </w:p>
          <w:p w14:paraId="65775BBB" w14:textId="77777777" w:rsidR="00D22CF6" w:rsidRPr="003A19C3" w:rsidRDefault="00D22CF6" w:rsidP="00D22CF6">
            <w:pPr>
              <w:jc w:val="both"/>
            </w:pPr>
            <w:r>
              <w:t xml:space="preserve">Autorizované a </w:t>
            </w:r>
            <w:r w:rsidRPr="003A19C3">
              <w:t>notifikované osoby, výrobcovia, splnomocnení zástupcovia</w:t>
            </w:r>
            <w:r>
              <w:t xml:space="preserve"> výrobcov</w:t>
            </w:r>
            <w:r w:rsidRPr="003A19C3">
              <w:t>, dovozcovia</w:t>
            </w:r>
            <w:r>
              <w:t>, distribútori a poskytovatelia logistických služieb určených výrobkov, orgány dohľadu, hospodárske subjekty v EÚ</w:t>
            </w:r>
            <w:r w:rsidRPr="003A19C3">
              <w:t>.</w:t>
            </w:r>
          </w:p>
        </w:tc>
      </w:tr>
      <w:tr w:rsidR="00D22CF6" w:rsidRPr="00A179AE" w14:paraId="73FBC945" w14:textId="77777777" w:rsidTr="00D22CF6">
        <w:tc>
          <w:tcPr>
            <w:tcW w:w="9180" w:type="dxa"/>
            <w:gridSpan w:val="6"/>
            <w:tcBorders>
              <w:top w:val="single" w:sz="4" w:space="0" w:color="auto"/>
              <w:left w:val="single" w:sz="4" w:space="0" w:color="auto"/>
              <w:bottom w:val="nil"/>
              <w:right w:val="single" w:sz="4" w:space="0" w:color="auto"/>
            </w:tcBorders>
            <w:shd w:val="clear" w:color="auto" w:fill="E2E2E2"/>
          </w:tcPr>
          <w:p w14:paraId="38536FFB"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Alternatívne riešenia</w:t>
            </w:r>
          </w:p>
        </w:tc>
      </w:tr>
      <w:tr w:rsidR="00D22CF6" w:rsidRPr="00A179AE" w14:paraId="79E3BBB0" w14:textId="77777777" w:rsidTr="00D22CF6">
        <w:trPr>
          <w:trHeight w:val="709"/>
        </w:trPr>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1D655B26" w14:textId="77777777" w:rsidR="00D22CF6" w:rsidRPr="00A179AE" w:rsidRDefault="00D22CF6" w:rsidP="00D22CF6">
            <w:pPr>
              <w:rPr>
                <w:i/>
              </w:rPr>
            </w:pPr>
            <w:r w:rsidRPr="00A179AE">
              <w:rPr>
                <w:i/>
              </w:rPr>
              <w:t>Aké alternatívne riešenia boli posudzované?</w:t>
            </w:r>
          </w:p>
          <w:p w14:paraId="546676AD" w14:textId="117D77A5" w:rsidR="00D22CF6" w:rsidRPr="004C5676" w:rsidRDefault="00D22CF6" w:rsidP="00D22CF6">
            <w:pPr>
              <w:jc w:val="both"/>
            </w:pPr>
            <w:r>
              <w:t>Alternatívne riešenia neboli zvažované. Nulový variant v rámci alternatívnych riešení predkladateľ neuplatnil, keďže ide o implementáciu právneho predpisu vyššej sily, a to nariadenia (EÚ) 2019/1020, nariadenia (EÚ) 2018/1724,  nariadenia (EÚ) 2017/745, nariadenia (EÚ) 2017/746, nariadenia</w:t>
            </w:r>
            <w:r w:rsidRPr="00A4503E">
              <w:t xml:space="preserve"> Európskeho parlamentu a Rady (EÚ) 2019/1009 z</w:t>
            </w:r>
            <w:r w:rsidR="00D95C82">
              <w:t> </w:t>
            </w:r>
            <w:r w:rsidRPr="00A4503E">
              <w:t>5.</w:t>
            </w:r>
            <w:r w:rsidR="00D95C82">
              <w:t> </w:t>
            </w:r>
            <w:r w:rsidRPr="00A4503E">
              <w:t xml:space="preserve">júna 2019, ktorým sa stanovujú pravidlá sprístupňovania EÚ produktov na hnojenie na trhu, menia nariadenia (ES) </w:t>
            </w:r>
            <w:r w:rsidR="002F69ED">
              <w:t>č. </w:t>
            </w:r>
            <w:r w:rsidRPr="00A4503E">
              <w:t xml:space="preserve">1069/2009 a (ES) </w:t>
            </w:r>
            <w:r w:rsidR="002F69ED">
              <w:t>č. </w:t>
            </w:r>
            <w:r w:rsidRPr="00A4503E">
              <w:t xml:space="preserve">1107/2009 a ruší nariadenie (ES) </w:t>
            </w:r>
            <w:r w:rsidR="002F69ED">
              <w:t>č. </w:t>
            </w:r>
            <w:r w:rsidRPr="00A4503E">
              <w:t>2003/2003 (ďalej len „nariadenie (EÚ) 2019/1009“) a  delegované</w:t>
            </w:r>
            <w:r>
              <w:t>ho</w:t>
            </w:r>
            <w:r w:rsidRPr="00A4503E">
              <w:t xml:space="preserve"> </w:t>
            </w:r>
            <w:r>
              <w:t>nariadenia</w:t>
            </w:r>
            <w:r w:rsidRPr="00A4503E">
              <w:t xml:space="preserve"> Komisie (EÚ) 2019/945 z 12. marca 2019 o</w:t>
            </w:r>
            <w:r>
              <w:t> </w:t>
            </w:r>
            <w:r w:rsidRPr="00A4503E">
              <w:t>bezpilotných</w:t>
            </w:r>
            <w:r>
              <w:t xml:space="preserve"> </w:t>
            </w:r>
            <w:r w:rsidRPr="00A4503E">
              <w:t>leteckých systémoch a o prevádzkovateľoch bezpilotných leteckých systémov z tretích krajín (ďalej len „nariadenie (EÚ) 2019/945“)</w:t>
            </w:r>
            <w:r>
              <w:t>.</w:t>
            </w:r>
          </w:p>
        </w:tc>
      </w:tr>
      <w:tr w:rsidR="00D22CF6" w:rsidRPr="00A179AE" w14:paraId="27E7C792" w14:textId="77777777" w:rsidTr="00D22CF6">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30A43DE8"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Vykonávacie predpisy</w:t>
            </w:r>
          </w:p>
        </w:tc>
      </w:tr>
      <w:tr w:rsidR="00D22CF6" w:rsidRPr="00A179AE" w14:paraId="78D07B36" w14:textId="77777777" w:rsidTr="00D22CF6">
        <w:trPr>
          <w:trHeight w:val="318"/>
        </w:trPr>
        <w:tc>
          <w:tcPr>
            <w:tcW w:w="6203" w:type="dxa"/>
            <w:gridSpan w:val="4"/>
            <w:tcBorders>
              <w:top w:val="single" w:sz="4" w:space="0" w:color="FFFFFF" w:themeColor="background1"/>
              <w:left w:val="single" w:sz="4" w:space="0" w:color="auto"/>
              <w:bottom w:val="nil"/>
              <w:right w:val="nil"/>
            </w:tcBorders>
            <w:shd w:val="clear" w:color="auto" w:fill="FFFFFF" w:themeFill="background1"/>
          </w:tcPr>
          <w:p w14:paraId="01E00129" w14:textId="77777777" w:rsidR="00D22CF6" w:rsidRPr="00A179AE" w:rsidRDefault="00D22CF6" w:rsidP="00D22CF6">
            <w:pPr>
              <w:rPr>
                <w:i/>
              </w:rPr>
            </w:pPr>
            <w:r w:rsidRPr="00A179AE">
              <w:rPr>
                <w:i/>
              </w:rPr>
              <w:t xml:space="preserve">Predpokladá sa prijatie/zmena  vykonávacích </w:t>
            </w:r>
            <w:r w:rsidRPr="00A4557C">
              <w:rPr>
                <w:i/>
              </w:rPr>
              <w:t>predpisov?</w:t>
            </w:r>
          </w:p>
        </w:tc>
        <w:tc>
          <w:tcPr>
            <w:tcW w:w="1417" w:type="dxa"/>
            <w:tcBorders>
              <w:top w:val="single" w:sz="4" w:space="0" w:color="FFFFFF" w:themeColor="background1"/>
              <w:left w:val="nil"/>
              <w:bottom w:val="nil"/>
              <w:right w:val="nil"/>
            </w:tcBorders>
            <w:shd w:val="clear" w:color="auto" w:fill="FFFFFF" w:themeFill="background1"/>
          </w:tcPr>
          <w:p w14:paraId="09994290" w14:textId="77777777" w:rsidR="00D22CF6" w:rsidRPr="00A179AE" w:rsidRDefault="00B873EC" w:rsidP="00D22CF6">
            <w:pPr>
              <w:jc w:val="center"/>
            </w:pPr>
            <w:sdt>
              <w:sdtPr>
                <w:id w:val="-1407611648"/>
                <w14:checkbox>
                  <w14:checked w14:val="0"/>
                  <w14:checkedState w14:val="2612" w14:font="MS Gothic"/>
                  <w14:uncheckedState w14:val="2610" w14:font="MS Gothic"/>
                </w14:checkbox>
              </w:sdtPr>
              <w:sdtEndPr/>
              <w:sdtContent>
                <w:r w:rsidR="00D22CF6">
                  <w:rPr>
                    <w:rFonts w:ascii="MS Gothic" w:eastAsia="MS Gothic" w:hAnsi="MS Gothic" w:hint="eastAsia"/>
                  </w:rPr>
                  <w:t>☐</w:t>
                </w:r>
              </w:sdtContent>
            </w:sdt>
            <w:r w:rsidR="00D22CF6" w:rsidRPr="00A179AE">
              <w:t xml:space="preserve">  Áno</w:t>
            </w:r>
          </w:p>
        </w:tc>
        <w:tc>
          <w:tcPr>
            <w:tcW w:w="1560" w:type="dxa"/>
            <w:tcBorders>
              <w:top w:val="single" w:sz="4" w:space="0" w:color="FFFFFF" w:themeColor="background1"/>
              <w:left w:val="nil"/>
              <w:bottom w:val="nil"/>
              <w:right w:val="single" w:sz="4" w:space="0" w:color="auto"/>
            </w:tcBorders>
            <w:shd w:val="clear" w:color="auto" w:fill="FFFFFF" w:themeFill="background1"/>
          </w:tcPr>
          <w:p w14:paraId="579B386C" w14:textId="77777777" w:rsidR="00D22CF6" w:rsidRPr="00A179AE" w:rsidRDefault="00B873EC" w:rsidP="00D22CF6">
            <w:pPr>
              <w:jc w:val="center"/>
            </w:pPr>
            <w:sdt>
              <w:sdtPr>
                <w:id w:val="-1625842802"/>
                <w14:checkbox>
                  <w14:checked w14:val="1"/>
                  <w14:checkedState w14:val="2612" w14:font="MS Gothic"/>
                  <w14:uncheckedState w14:val="2610" w14:font="MS Gothic"/>
                </w14:checkbox>
              </w:sdtPr>
              <w:sdtEndPr/>
              <w:sdtContent>
                <w:r w:rsidR="00D22CF6">
                  <w:rPr>
                    <w:rFonts w:ascii="MS Gothic" w:eastAsia="MS Gothic" w:hAnsi="MS Gothic" w:hint="eastAsia"/>
                  </w:rPr>
                  <w:t>☒</w:t>
                </w:r>
              </w:sdtContent>
            </w:sdt>
            <w:r w:rsidR="00D22CF6" w:rsidRPr="00A179AE">
              <w:t xml:space="preserve">  Nie</w:t>
            </w:r>
          </w:p>
        </w:tc>
      </w:tr>
      <w:tr w:rsidR="00D22CF6" w:rsidRPr="00A179AE" w14:paraId="1D7D4686" w14:textId="77777777" w:rsidTr="00D22CF6">
        <w:tc>
          <w:tcPr>
            <w:tcW w:w="9180" w:type="dxa"/>
            <w:gridSpan w:val="6"/>
            <w:tcBorders>
              <w:top w:val="nil"/>
              <w:left w:val="single" w:sz="4" w:space="0" w:color="auto"/>
              <w:bottom w:val="single" w:sz="4" w:space="0" w:color="auto"/>
              <w:right w:val="single" w:sz="4" w:space="0" w:color="auto"/>
            </w:tcBorders>
            <w:shd w:val="clear" w:color="auto" w:fill="FFFFFF" w:themeFill="background1"/>
          </w:tcPr>
          <w:p w14:paraId="7113BE6D" w14:textId="77777777" w:rsidR="00D22CF6" w:rsidRPr="00A179AE" w:rsidRDefault="00D22CF6" w:rsidP="00D22CF6"/>
        </w:tc>
      </w:tr>
      <w:tr w:rsidR="00D22CF6" w:rsidRPr="00A179AE" w14:paraId="32E060C1" w14:textId="77777777" w:rsidTr="00D22CF6">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6A073DF2"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 xml:space="preserve">Transpozícia práva EÚ </w:t>
            </w:r>
          </w:p>
        </w:tc>
      </w:tr>
      <w:tr w:rsidR="00D22CF6" w:rsidRPr="00A179AE" w14:paraId="64991F78" w14:textId="77777777" w:rsidTr="00D22CF6">
        <w:trPr>
          <w:trHeight w:val="157"/>
        </w:trPr>
        <w:tc>
          <w:tcPr>
            <w:tcW w:w="9180" w:type="dxa"/>
            <w:gridSpan w:val="6"/>
            <w:tcBorders>
              <w:top w:val="nil"/>
              <w:left w:val="single" w:sz="4" w:space="0" w:color="000000" w:themeColor="text1"/>
              <w:bottom w:val="nil"/>
              <w:right w:val="single" w:sz="4" w:space="0" w:color="auto"/>
            </w:tcBorders>
            <w:shd w:val="clear" w:color="auto" w:fill="FFFFFF" w:themeFill="background1"/>
          </w:tcPr>
          <w:p w14:paraId="64EC9EE8" w14:textId="77777777" w:rsidR="00D22CF6" w:rsidRPr="00A179AE" w:rsidRDefault="00D22CF6" w:rsidP="00D22CF6">
            <w:pPr>
              <w:rPr>
                <w:i/>
              </w:rPr>
            </w:pPr>
            <w:r w:rsidRPr="00A179AE">
              <w:rPr>
                <w:i/>
              </w:rPr>
              <w:t>Uveďte, v ktorých ustanoveniach ide národná právna úprava nad rámec minimálnych požiadaviek EÚ spolu s odôvodnením.</w:t>
            </w:r>
          </w:p>
        </w:tc>
      </w:tr>
      <w:tr w:rsidR="00D22CF6" w:rsidRPr="00A179AE" w14:paraId="3289A64F" w14:textId="77777777" w:rsidTr="00D22CF6">
        <w:trPr>
          <w:trHeight w:val="248"/>
        </w:trPr>
        <w:tc>
          <w:tcPr>
            <w:tcW w:w="9180" w:type="dxa"/>
            <w:gridSpan w:val="6"/>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61591BBA" w14:textId="77777777" w:rsidR="00D22CF6" w:rsidRPr="00A179AE" w:rsidRDefault="00D22CF6" w:rsidP="00D22CF6">
            <w:r w:rsidRPr="00AC587B">
              <w:t>Národná právna úprava nejde nad rámec minimálnych požiadaviek EÚ.</w:t>
            </w:r>
          </w:p>
        </w:tc>
      </w:tr>
      <w:tr w:rsidR="00D22CF6" w:rsidRPr="00A179AE" w14:paraId="409C36B1" w14:textId="77777777" w:rsidTr="00D22CF6">
        <w:tc>
          <w:tcPr>
            <w:tcW w:w="9180" w:type="dxa"/>
            <w:gridSpan w:val="6"/>
            <w:tcBorders>
              <w:top w:val="single" w:sz="4" w:space="0" w:color="auto"/>
              <w:left w:val="single" w:sz="4" w:space="0" w:color="auto"/>
              <w:bottom w:val="single" w:sz="4" w:space="0" w:color="FFFFFF" w:themeColor="background1"/>
              <w:right w:val="single" w:sz="4" w:space="0" w:color="auto"/>
            </w:tcBorders>
            <w:shd w:val="clear" w:color="auto" w:fill="E2E2E2"/>
          </w:tcPr>
          <w:p w14:paraId="65BDE237"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Preskúmanie účelnosti</w:t>
            </w:r>
            <w:r>
              <w:rPr>
                <w:rFonts w:ascii="Times New Roman" w:hAnsi="Times New Roman" w:cs="Times New Roman"/>
                <w:b/>
              </w:rPr>
              <w:t>**</w:t>
            </w:r>
          </w:p>
        </w:tc>
      </w:tr>
      <w:tr w:rsidR="00D22CF6" w:rsidRPr="00A179AE" w14:paraId="26CE97A7" w14:textId="77777777" w:rsidTr="00D22CF6">
        <w:tc>
          <w:tcPr>
            <w:tcW w:w="9180" w:type="dxa"/>
            <w:gridSpan w:val="6"/>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3EAEE8E" w14:textId="77777777" w:rsidR="00D22CF6" w:rsidRPr="00A179AE" w:rsidRDefault="00D22CF6" w:rsidP="00D22CF6">
            <w:pPr>
              <w:rPr>
                <w:i/>
              </w:rPr>
            </w:pPr>
            <w:r w:rsidRPr="00A179AE">
              <w:rPr>
                <w:i/>
              </w:rPr>
              <w:t>Uveďte termín, kedy by malo dôjsť k preskúmaniu účinnosti a účelnosti navrhovaného predpisu.</w:t>
            </w:r>
          </w:p>
        </w:tc>
      </w:tr>
      <w:tr w:rsidR="00D22CF6" w:rsidRPr="00A179AE" w14:paraId="733F4956" w14:textId="77777777" w:rsidTr="00D22CF6">
        <w:trPr>
          <w:trHeight w:val="715"/>
        </w:trPr>
        <w:tc>
          <w:tcPr>
            <w:tcW w:w="9180" w:type="dxa"/>
            <w:gridSpan w:val="6"/>
            <w:tcBorders>
              <w:top w:val="single" w:sz="4" w:space="0" w:color="auto"/>
              <w:left w:val="nil"/>
              <w:bottom w:val="nil"/>
              <w:right w:val="nil"/>
            </w:tcBorders>
            <w:shd w:val="clear" w:color="auto" w:fill="FFFFFF" w:themeFill="background1"/>
          </w:tcPr>
          <w:p w14:paraId="5E9CA1E1" w14:textId="08805E58" w:rsidR="00D22CF6" w:rsidRDefault="00D22CF6" w:rsidP="00D95C82">
            <w:pPr>
              <w:ind w:left="142" w:hanging="142"/>
              <w:jc w:val="both"/>
            </w:pPr>
            <w:r>
              <w:t xml:space="preserve">* vyplniť iba v prípade, </w:t>
            </w:r>
            <w:r w:rsidRPr="004C60B8">
              <w:t>ak materiál nie je zahrnutý do Plánu práce vlády Slovenskej republiky alebo Plán</w:t>
            </w:r>
            <w:r>
              <w:t>u</w:t>
            </w:r>
            <w:r w:rsidRPr="004C60B8">
              <w:t xml:space="preserve"> legislatívnych úloh vlády Slovenskej republiky.</w:t>
            </w:r>
            <w:r>
              <w:t xml:space="preserve"> </w:t>
            </w:r>
          </w:p>
          <w:p w14:paraId="39FB2821" w14:textId="77777777" w:rsidR="00D22CF6" w:rsidRPr="00A179AE" w:rsidRDefault="00D22CF6" w:rsidP="00D22CF6">
            <w:r>
              <w:t>** nepovinné</w:t>
            </w:r>
          </w:p>
        </w:tc>
      </w:tr>
    </w:tbl>
    <w:p w14:paraId="5DED4FCB" w14:textId="40124E06" w:rsidR="00D22CF6" w:rsidRDefault="00D22CF6" w:rsidP="00D22CF6"/>
    <w:tbl>
      <w:tblPr>
        <w:tblStyle w:val="Mriekatabuky"/>
        <w:tblW w:w="9180" w:type="dxa"/>
        <w:tblLayout w:type="fixed"/>
        <w:tblLook w:val="04A0" w:firstRow="1" w:lastRow="0" w:firstColumn="1" w:lastColumn="0" w:noHBand="0" w:noVBand="1"/>
      </w:tblPr>
      <w:tblGrid>
        <w:gridCol w:w="3812"/>
        <w:gridCol w:w="541"/>
        <w:gridCol w:w="1281"/>
        <w:gridCol w:w="569"/>
        <w:gridCol w:w="1133"/>
        <w:gridCol w:w="547"/>
        <w:gridCol w:w="1297"/>
      </w:tblGrid>
      <w:tr w:rsidR="00D22CF6" w:rsidRPr="00A179AE" w14:paraId="49ED6218" w14:textId="77777777" w:rsidTr="00D22CF6">
        <w:trPr>
          <w:trHeight w:val="577"/>
        </w:trPr>
        <w:tc>
          <w:tcPr>
            <w:tcW w:w="9180" w:type="dxa"/>
            <w:gridSpan w:val="7"/>
            <w:tcBorders>
              <w:top w:val="single" w:sz="4" w:space="0" w:color="auto"/>
              <w:left w:val="single" w:sz="4" w:space="0" w:color="auto"/>
              <w:bottom w:val="single" w:sz="4" w:space="0" w:color="FFFFFF" w:themeColor="background1"/>
              <w:right w:val="single" w:sz="4" w:space="0" w:color="auto"/>
            </w:tcBorders>
            <w:shd w:val="clear" w:color="auto" w:fill="E2E2E2"/>
            <w:vAlign w:val="center"/>
          </w:tcPr>
          <w:p w14:paraId="741AF9C8"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Vplyvy navrhovaného materiálu</w:t>
            </w:r>
          </w:p>
        </w:tc>
      </w:tr>
      <w:tr w:rsidR="00D22CF6" w:rsidRPr="00A179AE" w14:paraId="3BB0E75F" w14:textId="77777777" w:rsidTr="00D22CF6">
        <w:tc>
          <w:tcPr>
            <w:tcW w:w="3812" w:type="dxa"/>
            <w:tcBorders>
              <w:top w:val="single" w:sz="4" w:space="0" w:color="auto"/>
              <w:left w:val="single" w:sz="4" w:space="0" w:color="auto"/>
              <w:bottom w:val="nil"/>
              <w:right w:val="single" w:sz="4" w:space="0" w:color="auto"/>
            </w:tcBorders>
            <w:shd w:val="clear" w:color="auto" w:fill="E2E2E2"/>
          </w:tcPr>
          <w:p w14:paraId="32D9170D" w14:textId="77777777" w:rsidR="00D22CF6" w:rsidRPr="00A179AE" w:rsidRDefault="00D22CF6" w:rsidP="00D22CF6">
            <w:pPr>
              <w:rPr>
                <w:b/>
              </w:rPr>
            </w:pPr>
            <w:r w:rsidRPr="00A179AE">
              <w:rPr>
                <w:b/>
              </w:rPr>
              <w:t>Vplyvy na rozpočet verejnej správy</w:t>
            </w:r>
          </w:p>
        </w:tc>
        <w:sdt>
          <w:sdtPr>
            <w:rPr>
              <w:b/>
            </w:rPr>
            <w:id w:val="1121575439"/>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D560984" w14:textId="77777777" w:rsidR="00D22CF6" w:rsidRPr="00A179AE" w:rsidRDefault="00D22CF6" w:rsidP="00D22CF6">
                <w:pPr>
                  <w:jc w:val="center"/>
                  <w:rPr>
                    <w:b/>
                  </w:rPr>
                </w:pPr>
                <w:r>
                  <w:rPr>
                    <w:rFonts w:ascii="MS Gothic" w:eastAsia="MS Gothic" w:hAnsi="MS Gothic" w:hint="eastAsia"/>
                    <w:b/>
                  </w:rPr>
                  <w:t>☐</w:t>
                </w:r>
              </w:p>
            </w:tc>
          </w:sdtContent>
        </w:sdt>
        <w:tc>
          <w:tcPr>
            <w:tcW w:w="1281" w:type="dxa"/>
            <w:tcBorders>
              <w:top w:val="single" w:sz="4" w:space="0" w:color="auto"/>
              <w:left w:val="nil"/>
              <w:bottom w:val="single" w:sz="4" w:space="0" w:color="auto"/>
              <w:right w:val="nil"/>
            </w:tcBorders>
          </w:tcPr>
          <w:p w14:paraId="78B7E4D7" w14:textId="77777777" w:rsidR="00D22CF6" w:rsidRPr="00A179AE" w:rsidRDefault="00D22CF6" w:rsidP="00D22CF6">
            <w:pPr>
              <w:rPr>
                <w:b/>
              </w:rPr>
            </w:pPr>
            <w:r w:rsidRPr="009E0A07">
              <w:rPr>
                <w:b/>
              </w:rPr>
              <w:t>Pozitívne</w:t>
            </w:r>
          </w:p>
        </w:tc>
        <w:sdt>
          <w:sdtPr>
            <w:rPr>
              <w:b/>
            </w:rPr>
            <w:id w:val="-9164058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41D30EC8"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58EAE01A" w14:textId="77777777" w:rsidR="00D22CF6" w:rsidRPr="00A179AE" w:rsidRDefault="00D22CF6" w:rsidP="00D22CF6">
            <w:pPr>
              <w:rPr>
                <w:b/>
              </w:rPr>
            </w:pPr>
            <w:r w:rsidRPr="00A179AE">
              <w:rPr>
                <w:b/>
              </w:rPr>
              <w:t>Žiadne</w:t>
            </w:r>
          </w:p>
        </w:tc>
        <w:sdt>
          <w:sdtPr>
            <w:rPr>
              <w:b/>
            </w:rPr>
            <w:id w:val="-853649096"/>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45A4304B" w14:textId="77777777" w:rsidR="00D22CF6" w:rsidRPr="00A179AE" w:rsidRDefault="00D22CF6" w:rsidP="00D22CF6">
                <w:pPr>
                  <w:ind w:left="-107" w:right="-108"/>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14:paraId="46DD87D6" w14:textId="77777777" w:rsidR="00D22CF6" w:rsidRPr="00A179AE" w:rsidRDefault="00D22CF6" w:rsidP="00D22CF6">
            <w:pPr>
              <w:ind w:left="34"/>
              <w:rPr>
                <w:b/>
              </w:rPr>
            </w:pPr>
            <w:r w:rsidRPr="00A179AE">
              <w:rPr>
                <w:b/>
              </w:rPr>
              <w:t>Negatívne</w:t>
            </w:r>
          </w:p>
        </w:tc>
      </w:tr>
      <w:tr w:rsidR="00D22CF6" w:rsidRPr="00A179AE" w14:paraId="3B86572C" w14:textId="77777777" w:rsidTr="00D22CF6">
        <w:tc>
          <w:tcPr>
            <w:tcW w:w="3812" w:type="dxa"/>
            <w:tcBorders>
              <w:top w:val="nil"/>
              <w:left w:val="single" w:sz="4" w:space="0" w:color="auto"/>
              <w:bottom w:val="single" w:sz="4" w:space="0" w:color="000000" w:themeColor="text1"/>
              <w:right w:val="single" w:sz="4" w:space="0" w:color="auto"/>
            </w:tcBorders>
            <w:shd w:val="clear" w:color="auto" w:fill="E2E2E2"/>
          </w:tcPr>
          <w:p w14:paraId="0CA8FE0F" w14:textId="77777777" w:rsidR="00D22CF6" w:rsidRPr="00A179AE" w:rsidRDefault="00D22CF6" w:rsidP="00D22CF6">
            <w:r w:rsidRPr="00A179AE">
              <w:t xml:space="preserve">    z toho rozpočtovo zabezpečené vplyvy</w:t>
            </w:r>
          </w:p>
        </w:tc>
        <w:sdt>
          <w:sdtPr>
            <w:id w:val="-2073729125"/>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4A27310F" w14:textId="77777777" w:rsidR="00D22CF6" w:rsidRPr="00670A7B" w:rsidRDefault="00D22CF6" w:rsidP="00D22CF6">
                <w:pPr>
                  <w:jc w:val="center"/>
                </w:pPr>
                <w:r>
                  <w:rPr>
                    <w:rFonts w:ascii="MS Gothic" w:eastAsia="MS Gothic" w:hAnsi="MS Gothic" w:hint="eastAsia"/>
                  </w:rPr>
                  <w:t>☒</w:t>
                </w:r>
              </w:p>
            </w:tc>
          </w:sdtContent>
        </w:sdt>
        <w:tc>
          <w:tcPr>
            <w:tcW w:w="1281" w:type="dxa"/>
            <w:tcBorders>
              <w:top w:val="single" w:sz="4" w:space="0" w:color="auto"/>
              <w:left w:val="nil"/>
              <w:bottom w:val="single" w:sz="4" w:space="0" w:color="auto"/>
              <w:right w:val="nil"/>
            </w:tcBorders>
          </w:tcPr>
          <w:p w14:paraId="5C91DB59" w14:textId="77777777" w:rsidR="00D22CF6" w:rsidRPr="00670A7B" w:rsidRDefault="00D22CF6" w:rsidP="00D22CF6">
            <w:r w:rsidRPr="00670A7B">
              <w:t>Áno</w:t>
            </w:r>
          </w:p>
        </w:tc>
        <w:sdt>
          <w:sdtPr>
            <w:id w:val="-54388876"/>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6298C96F" w14:textId="77777777" w:rsidR="00D22CF6" w:rsidRPr="00670A7B" w:rsidRDefault="00D22CF6" w:rsidP="00D22CF6">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14:paraId="1A749AF1" w14:textId="77777777" w:rsidR="00D22CF6" w:rsidRPr="00670A7B" w:rsidRDefault="00D22CF6" w:rsidP="00D22CF6">
            <w:r w:rsidRPr="00670A7B">
              <w:t>Nie</w:t>
            </w:r>
          </w:p>
        </w:tc>
        <w:sdt>
          <w:sdtPr>
            <w:id w:val="361940775"/>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0668CD72" w14:textId="77777777" w:rsidR="00D22CF6" w:rsidRPr="00670A7B" w:rsidRDefault="00D22CF6" w:rsidP="00D22CF6">
                <w:pPr>
                  <w:ind w:left="-107" w:right="-108"/>
                  <w:jc w:val="center"/>
                </w:pPr>
                <w:r w:rsidRPr="00670A7B">
                  <w:rPr>
                    <w:rFonts w:ascii="MS Gothic" w:eastAsia="MS Gothic" w:hAnsi="MS Gothic"/>
                  </w:rPr>
                  <w:t>☐</w:t>
                </w:r>
              </w:p>
            </w:tc>
          </w:sdtContent>
        </w:sdt>
        <w:tc>
          <w:tcPr>
            <w:tcW w:w="1297" w:type="dxa"/>
            <w:tcBorders>
              <w:top w:val="single" w:sz="4" w:space="0" w:color="auto"/>
              <w:left w:val="nil"/>
              <w:bottom w:val="single" w:sz="4" w:space="0" w:color="auto"/>
              <w:right w:val="single" w:sz="4" w:space="0" w:color="auto"/>
            </w:tcBorders>
          </w:tcPr>
          <w:p w14:paraId="7D9E433C" w14:textId="77777777" w:rsidR="00D22CF6" w:rsidRPr="00670A7B" w:rsidRDefault="00D22CF6" w:rsidP="00D22CF6">
            <w:pPr>
              <w:ind w:left="34"/>
            </w:pPr>
            <w:r w:rsidRPr="00670A7B">
              <w:t>Čiastočne</w:t>
            </w:r>
          </w:p>
        </w:tc>
      </w:tr>
      <w:tr w:rsidR="00D22CF6" w:rsidRPr="00A179AE" w14:paraId="04C44191" w14:textId="77777777" w:rsidTr="00D22CF6">
        <w:tc>
          <w:tcPr>
            <w:tcW w:w="3812" w:type="dxa"/>
            <w:tcBorders>
              <w:top w:val="single" w:sz="4" w:space="0" w:color="000000" w:themeColor="text1"/>
              <w:left w:val="single" w:sz="4" w:space="0" w:color="auto"/>
              <w:bottom w:val="nil"/>
              <w:right w:val="single" w:sz="4" w:space="0" w:color="auto"/>
            </w:tcBorders>
            <w:shd w:val="clear" w:color="auto" w:fill="E2E2E2"/>
          </w:tcPr>
          <w:p w14:paraId="2BCB0EEC" w14:textId="77777777" w:rsidR="00D22CF6" w:rsidRPr="00A179AE" w:rsidRDefault="00D22CF6" w:rsidP="00D22CF6">
            <w:pPr>
              <w:rPr>
                <w:b/>
              </w:rPr>
            </w:pPr>
            <w:r w:rsidRPr="00A179AE">
              <w:rPr>
                <w:b/>
              </w:rPr>
              <w:t>Vplyvy na podnikateľské prostredie</w:t>
            </w:r>
          </w:p>
        </w:tc>
        <w:sdt>
          <w:sdtPr>
            <w:rPr>
              <w:b/>
            </w:rPr>
            <w:id w:val="1328319843"/>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280848B4"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81" w:type="dxa"/>
            <w:tcBorders>
              <w:top w:val="single" w:sz="4" w:space="0" w:color="auto"/>
              <w:left w:val="nil"/>
              <w:bottom w:val="single" w:sz="4" w:space="0" w:color="auto"/>
              <w:right w:val="nil"/>
            </w:tcBorders>
          </w:tcPr>
          <w:p w14:paraId="60D9FA7B" w14:textId="77777777" w:rsidR="00D22CF6" w:rsidRPr="00A179AE" w:rsidRDefault="00D22CF6" w:rsidP="00D22CF6">
            <w:pPr>
              <w:ind w:right="-108"/>
              <w:rPr>
                <w:b/>
              </w:rPr>
            </w:pPr>
            <w:r w:rsidRPr="00A179AE">
              <w:rPr>
                <w:b/>
              </w:rPr>
              <w:t>Pozitívne</w:t>
            </w:r>
          </w:p>
        </w:tc>
        <w:sdt>
          <w:sdtPr>
            <w:rPr>
              <w:b/>
            </w:rPr>
            <w:id w:val="1564608664"/>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256B1967"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18BA3A4B" w14:textId="77777777" w:rsidR="00D22CF6" w:rsidRPr="00A179AE" w:rsidRDefault="00D22CF6" w:rsidP="00D22CF6">
            <w:pPr>
              <w:rPr>
                <w:b/>
              </w:rPr>
            </w:pPr>
            <w:r w:rsidRPr="00A179AE">
              <w:rPr>
                <w:b/>
              </w:rPr>
              <w:t>Žiadne</w:t>
            </w:r>
          </w:p>
        </w:tc>
        <w:sdt>
          <w:sdtPr>
            <w:rPr>
              <w:b/>
            </w:rPr>
            <w:id w:val="2173546"/>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3B5B19BA" w14:textId="77777777" w:rsidR="00D22CF6" w:rsidRPr="00A179AE" w:rsidRDefault="00D22CF6" w:rsidP="00D22CF6">
                <w:pPr>
                  <w:jc w:val="center"/>
                  <w:rPr>
                    <w:b/>
                  </w:rPr>
                </w:pPr>
                <w:r>
                  <w:rPr>
                    <w:rFonts w:ascii="MS Gothic" w:eastAsia="MS Gothic" w:hAnsi="MS Gothic" w:hint="eastAsia"/>
                    <w:b/>
                  </w:rPr>
                  <w:t>☒</w:t>
                </w:r>
              </w:p>
            </w:tc>
          </w:sdtContent>
        </w:sdt>
        <w:tc>
          <w:tcPr>
            <w:tcW w:w="1297" w:type="dxa"/>
            <w:tcBorders>
              <w:top w:val="single" w:sz="4" w:space="0" w:color="auto"/>
              <w:left w:val="nil"/>
              <w:bottom w:val="single" w:sz="4" w:space="0" w:color="auto"/>
              <w:right w:val="single" w:sz="4" w:space="0" w:color="auto"/>
            </w:tcBorders>
          </w:tcPr>
          <w:p w14:paraId="30F6BD2D" w14:textId="77777777" w:rsidR="00D22CF6" w:rsidRPr="00A179AE" w:rsidRDefault="00D22CF6" w:rsidP="00D22CF6">
            <w:pPr>
              <w:ind w:left="54"/>
              <w:rPr>
                <w:b/>
              </w:rPr>
            </w:pPr>
            <w:r w:rsidRPr="00A179AE">
              <w:rPr>
                <w:b/>
              </w:rPr>
              <w:t>Negatívne</w:t>
            </w:r>
          </w:p>
        </w:tc>
      </w:tr>
      <w:tr w:rsidR="00D22CF6" w:rsidRPr="00A179AE" w14:paraId="08C5466B" w14:textId="77777777" w:rsidTr="00D22CF6">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tcPr>
          <w:p w14:paraId="7813FF76" w14:textId="77777777" w:rsidR="00D22CF6" w:rsidRPr="00A179AE" w:rsidRDefault="00D22CF6" w:rsidP="00D22CF6">
            <w:r w:rsidRPr="00A179AE">
              <w:t xml:space="preserve">    z toho vplyvy na MSP</w:t>
            </w:r>
          </w:p>
        </w:tc>
        <w:sdt>
          <w:sdtPr>
            <w:id w:val="193193809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000000" w:themeColor="text1"/>
                  <w:bottom w:val="single" w:sz="4" w:space="0" w:color="auto"/>
                  <w:right w:val="nil"/>
                </w:tcBorders>
              </w:tcPr>
              <w:p w14:paraId="323C3D04" w14:textId="77777777" w:rsidR="00D22CF6" w:rsidRPr="00A179AE" w:rsidRDefault="00D22CF6" w:rsidP="00D22CF6">
                <w:pPr>
                  <w:jc w:val="center"/>
                </w:pPr>
                <w:r w:rsidRPr="00A179AE">
                  <w:rPr>
                    <w:rFonts w:ascii="MS Mincho" w:eastAsia="MS Mincho" w:hAnsi="MS Mincho" w:cs="MS Mincho" w:hint="eastAsia"/>
                  </w:rPr>
                  <w:t>☐</w:t>
                </w:r>
              </w:p>
            </w:tc>
          </w:sdtContent>
        </w:sdt>
        <w:tc>
          <w:tcPr>
            <w:tcW w:w="1281" w:type="dxa"/>
            <w:tcBorders>
              <w:top w:val="single" w:sz="4" w:space="0" w:color="auto"/>
              <w:left w:val="nil"/>
              <w:bottom w:val="single" w:sz="4" w:space="0" w:color="auto"/>
              <w:right w:val="nil"/>
            </w:tcBorders>
          </w:tcPr>
          <w:p w14:paraId="4BFD92B3" w14:textId="77777777" w:rsidR="00D22CF6" w:rsidRPr="00A179AE" w:rsidRDefault="00D22CF6" w:rsidP="00D22CF6">
            <w:pPr>
              <w:ind w:right="-108"/>
            </w:pPr>
            <w:r w:rsidRPr="00A179AE">
              <w:t>Pozitívne</w:t>
            </w:r>
          </w:p>
        </w:tc>
        <w:sdt>
          <w:sdtPr>
            <w:id w:val="-1696063787"/>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59F1CB78" w14:textId="77777777" w:rsidR="00D22CF6" w:rsidRPr="00A179AE" w:rsidRDefault="00D22CF6" w:rsidP="00D22CF6">
                <w:pPr>
                  <w:jc w:val="center"/>
                </w:pPr>
                <w:r>
                  <w:rPr>
                    <w:rFonts w:ascii="MS Gothic" w:eastAsia="MS Gothic" w:hAnsi="MS Gothic" w:hint="eastAsia"/>
                  </w:rPr>
                  <w:t>☐</w:t>
                </w:r>
              </w:p>
            </w:tc>
          </w:sdtContent>
        </w:sdt>
        <w:tc>
          <w:tcPr>
            <w:tcW w:w="1133" w:type="dxa"/>
            <w:tcBorders>
              <w:top w:val="single" w:sz="4" w:space="0" w:color="auto"/>
              <w:left w:val="nil"/>
              <w:bottom w:val="single" w:sz="4" w:space="0" w:color="auto"/>
              <w:right w:val="nil"/>
            </w:tcBorders>
          </w:tcPr>
          <w:p w14:paraId="2C17B0C2" w14:textId="77777777" w:rsidR="00D22CF6" w:rsidRPr="00A179AE" w:rsidRDefault="00D22CF6" w:rsidP="00D22CF6">
            <w:r w:rsidRPr="00A179AE">
              <w:t>Žiadne</w:t>
            </w:r>
          </w:p>
        </w:tc>
        <w:sdt>
          <w:sdtPr>
            <w:id w:val="671765022"/>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23E4C71D" w14:textId="77777777" w:rsidR="00D22CF6" w:rsidRPr="00A179AE" w:rsidRDefault="00D22CF6" w:rsidP="00D22CF6">
                <w:pPr>
                  <w:jc w:val="center"/>
                </w:pPr>
                <w:r>
                  <w:rPr>
                    <w:rFonts w:ascii="MS Gothic" w:eastAsia="MS Gothic" w:hAnsi="MS Gothic" w:hint="eastAsia"/>
                  </w:rPr>
                  <w:t>☒</w:t>
                </w:r>
              </w:p>
            </w:tc>
          </w:sdtContent>
        </w:sdt>
        <w:tc>
          <w:tcPr>
            <w:tcW w:w="1297" w:type="dxa"/>
            <w:tcBorders>
              <w:top w:val="single" w:sz="4" w:space="0" w:color="auto"/>
              <w:left w:val="nil"/>
              <w:bottom w:val="single" w:sz="4" w:space="0" w:color="auto"/>
              <w:right w:val="single" w:sz="4" w:space="0" w:color="auto"/>
            </w:tcBorders>
          </w:tcPr>
          <w:p w14:paraId="1AB765B3" w14:textId="77777777" w:rsidR="00D22CF6" w:rsidRPr="00A179AE" w:rsidRDefault="00D22CF6" w:rsidP="00D22CF6">
            <w:pPr>
              <w:ind w:left="54"/>
            </w:pPr>
            <w:r w:rsidRPr="00A179AE">
              <w:t>Negatívne</w:t>
            </w:r>
          </w:p>
        </w:tc>
      </w:tr>
      <w:tr w:rsidR="00D22CF6" w:rsidRPr="00A179AE" w14:paraId="3DE44DE5" w14:textId="77777777" w:rsidTr="00D22CF6">
        <w:tc>
          <w:tcPr>
            <w:tcW w:w="3812" w:type="dxa"/>
            <w:tcBorders>
              <w:top w:val="single" w:sz="4" w:space="0" w:color="000000" w:themeColor="text1"/>
              <w:left w:val="single" w:sz="4" w:space="0" w:color="auto"/>
              <w:bottom w:val="single" w:sz="4" w:space="0" w:color="auto"/>
              <w:right w:val="single" w:sz="4" w:space="0" w:color="auto"/>
            </w:tcBorders>
            <w:shd w:val="clear" w:color="auto" w:fill="E2E2E2"/>
          </w:tcPr>
          <w:p w14:paraId="132B27CD" w14:textId="77777777" w:rsidR="00D22CF6" w:rsidRPr="00A179AE" w:rsidRDefault="00D22CF6" w:rsidP="00D22CF6">
            <w:pPr>
              <w:rPr>
                <w:b/>
              </w:rPr>
            </w:pPr>
            <w:r w:rsidRPr="00A179AE">
              <w:rPr>
                <w:b/>
              </w:rPr>
              <w:t>Sociálne vplyvy</w:t>
            </w:r>
          </w:p>
        </w:tc>
        <w:sdt>
          <w:sdtPr>
            <w:rPr>
              <w:b/>
            </w:rPr>
            <w:id w:val="449357865"/>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79A2AE66"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81" w:type="dxa"/>
            <w:tcBorders>
              <w:top w:val="single" w:sz="4" w:space="0" w:color="auto"/>
              <w:left w:val="nil"/>
              <w:bottom w:val="single" w:sz="4" w:space="0" w:color="auto"/>
              <w:right w:val="nil"/>
            </w:tcBorders>
          </w:tcPr>
          <w:p w14:paraId="71097178" w14:textId="77777777" w:rsidR="00D22CF6" w:rsidRPr="00A179AE" w:rsidRDefault="00D22CF6" w:rsidP="00D22CF6">
            <w:pPr>
              <w:ind w:right="-108"/>
              <w:rPr>
                <w:b/>
              </w:rPr>
            </w:pPr>
            <w:r w:rsidRPr="00A179AE">
              <w:rPr>
                <w:b/>
              </w:rPr>
              <w:t>Pozitívne</w:t>
            </w:r>
          </w:p>
        </w:tc>
        <w:sdt>
          <w:sdtPr>
            <w:rPr>
              <w:b/>
            </w:rPr>
            <w:id w:val="-171942536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1252F086"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12E1F5C3" w14:textId="77777777" w:rsidR="00D22CF6" w:rsidRPr="00A179AE" w:rsidRDefault="00D22CF6" w:rsidP="00D22CF6">
            <w:pPr>
              <w:rPr>
                <w:b/>
              </w:rPr>
            </w:pPr>
            <w:r w:rsidRPr="00A179AE">
              <w:rPr>
                <w:b/>
              </w:rPr>
              <w:t>Žiadne</w:t>
            </w:r>
          </w:p>
        </w:tc>
        <w:sdt>
          <w:sdtPr>
            <w:rPr>
              <w:b/>
            </w:rPr>
            <w:id w:val="-87083354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019DEC58"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14:paraId="2280AFC8" w14:textId="77777777" w:rsidR="00D22CF6" w:rsidRPr="00A179AE" w:rsidRDefault="00D22CF6" w:rsidP="00D22CF6">
            <w:pPr>
              <w:ind w:left="54"/>
              <w:rPr>
                <w:b/>
              </w:rPr>
            </w:pPr>
            <w:r w:rsidRPr="00A179AE">
              <w:rPr>
                <w:b/>
              </w:rPr>
              <w:t>Negatívne</w:t>
            </w:r>
          </w:p>
        </w:tc>
      </w:tr>
      <w:tr w:rsidR="00D22CF6" w:rsidRPr="00A179AE" w14:paraId="50671491" w14:textId="77777777" w:rsidTr="00D22CF6">
        <w:tc>
          <w:tcPr>
            <w:tcW w:w="3812" w:type="dxa"/>
            <w:tcBorders>
              <w:top w:val="single" w:sz="4" w:space="0" w:color="auto"/>
              <w:left w:val="single" w:sz="4" w:space="0" w:color="auto"/>
              <w:bottom w:val="single" w:sz="4" w:space="0" w:color="auto"/>
              <w:right w:val="single" w:sz="4" w:space="0" w:color="auto"/>
            </w:tcBorders>
            <w:shd w:val="clear" w:color="auto" w:fill="E2E2E2"/>
          </w:tcPr>
          <w:p w14:paraId="7A8D1F0B" w14:textId="77777777" w:rsidR="00D22CF6" w:rsidRPr="00A179AE" w:rsidRDefault="00D22CF6" w:rsidP="00D22CF6">
            <w:pPr>
              <w:rPr>
                <w:b/>
              </w:rPr>
            </w:pPr>
            <w:r w:rsidRPr="00A179AE">
              <w:rPr>
                <w:b/>
              </w:rPr>
              <w:t>Vplyvy na životné prostredie</w:t>
            </w:r>
          </w:p>
        </w:tc>
        <w:sdt>
          <w:sdtPr>
            <w:rPr>
              <w:b/>
            </w:rPr>
            <w:id w:val="304755157"/>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12ECF138" w14:textId="77777777" w:rsidR="00D22CF6" w:rsidRPr="00670A7B" w:rsidRDefault="00D22CF6" w:rsidP="00D22CF6">
                <w:pPr>
                  <w:jc w:val="center"/>
                  <w:rPr>
                    <w:b/>
                  </w:rPr>
                </w:pPr>
                <w:r w:rsidRPr="00670A7B">
                  <w:rPr>
                    <w:rFonts w:ascii="MS Gothic" w:eastAsia="MS Gothic" w:hAnsi="MS Gothic" w:cs="MS Mincho" w:hint="eastAsia"/>
                    <w:b/>
                  </w:rPr>
                  <w:t>☐</w:t>
                </w:r>
              </w:p>
            </w:tc>
          </w:sdtContent>
        </w:sdt>
        <w:tc>
          <w:tcPr>
            <w:tcW w:w="1281" w:type="dxa"/>
            <w:tcBorders>
              <w:top w:val="single" w:sz="4" w:space="0" w:color="auto"/>
              <w:left w:val="nil"/>
              <w:bottom w:val="single" w:sz="4" w:space="0" w:color="auto"/>
              <w:right w:val="nil"/>
            </w:tcBorders>
          </w:tcPr>
          <w:p w14:paraId="26EEAD83" w14:textId="77777777" w:rsidR="00D22CF6" w:rsidRPr="00670A7B" w:rsidRDefault="00D22CF6" w:rsidP="00D22CF6">
            <w:pPr>
              <w:ind w:right="-108"/>
              <w:rPr>
                <w:b/>
              </w:rPr>
            </w:pPr>
            <w:r w:rsidRPr="00670A7B">
              <w:rPr>
                <w:b/>
              </w:rPr>
              <w:t>Pozitívne</w:t>
            </w:r>
          </w:p>
        </w:tc>
        <w:sdt>
          <w:sdtPr>
            <w:rPr>
              <w:b/>
            </w:rPr>
            <w:id w:val="235136192"/>
            <w14:checkbox>
              <w14:checked w14:val="1"/>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2D834EF6"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2178FB13" w14:textId="77777777" w:rsidR="00D22CF6" w:rsidRPr="00A179AE" w:rsidRDefault="00D22CF6" w:rsidP="00D22CF6">
            <w:pPr>
              <w:rPr>
                <w:b/>
              </w:rPr>
            </w:pPr>
            <w:r w:rsidRPr="00A179AE">
              <w:rPr>
                <w:b/>
              </w:rPr>
              <w:t>Žiadne</w:t>
            </w:r>
          </w:p>
        </w:tc>
        <w:sdt>
          <w:sdtPr>
            <w:rPr>
              <w:b/>
            </w:rPr>
            <w:id w:val="-131020046"/>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3944DB39"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14:paraId="219AF2F3" w14:textId="77777777" w:rsidR="00D22CF6" w:rsidRPr="00A179AE" w:rsidRDefault="00D22CF6" w:rsidP="00D22CF6">
            <w:pPr>
              <w:ind w:left="54"/>
              <w:rPr>
                <w:b/>
              </w:rPr>
            </w:pPr>
            <w:r w:rsidRPr="00A179AE">
              <w:rPr>
                <w:b/>
              </w:rPr>
              <w:t>Negatívne</w:t>
            </w:r>
          </w:p>
        </w:tc>
      </w:tr>
      <w:tr w:rsidR="00D22CF6" w:rsidRPr="00A179AE" w14:paraId="4487FC3B" w14:textId="77777777" w:rsidTr="00D22CF6">
        <w:tc>
          <w:tcPr>
            <w:tcW w:w="3812" w:type="dxa"/>
            <w:tcBorders>
              <w:top w:val="single" w:sz="4" w:space="0" w:color="auto"/>
              <w:left w:val="single" w:sz="4" w:space="0" w:color="auto"/>
              <w:bottom w:val="single" w:sz="4" w:space="0" w:color="auto"/>
              <w:right w:val="single" w:sz="4" w:space="0" w:color="auto"/>
            </w:tcBorders>
            <w:shd w:val="clear" w:color="auto" w:fill="E2E2E2"/>
          </w:tcPr>
          <w:p w14:paraId="1D8CD2AC" w14:textId="77777777" w:rsidR="00D22CF6" w:rsidRPr="00A179AE" w:rsidRDefault="00D22CF6" w:rsidP="00D22CF6">
            <w:pPr>
              <w:rPr>
                <w:b/>
              </w:rPr>
            </w:pPr>
            <w:r w:rsidRPr="00A179AE">
              <w:rPr>
                <w:b/>
              </w:rPr>
              <w:t>Vplyvy na informatizáciu</w:t>
            </w:r>
          </w:p>
        </w:tc>
        <w:sdt>
          <w:sdtPr>
            <w:rPr>
              <w:b/>
            </w:rPr>
            <w:id w:val="-940751000"/>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tcPr>
              <w:p w14:paraId="3E7ADBB6" w14:textId="77777777" w:rsidR="00D22CF6" w:rsidRPr="00670A7B" w:rsidRDefault="00D22CF6" w:rsidP="00D22CF6">
                <w:pPr>
                  <w:jc w:val="center"/>
                  <w:rPr>
                    <w:b/>
                  </w:rPr>
                </w:pPr>
                <w:r>
                  <w:rPr>
                    <w:rFonts w:ascii="MS Gothic" w:eastAsia="MS Gothic" w:hAnsi="MS Gothic" w:hint="eastAsia"/>
                    <w:b/>
                  </w:rPr>
                  <w:t>☒</w:t>
                </w:r>
              </w:p>
            </w:tc>
          </w:sdtContent>
        </w:sdt>
        <w:tc>
          <w:tcPr>
            <w:tcW w:w="1281" w:type="dxa"/>
            <w:tcBorders>
              <w:top w:val="single" w:sz="4" w:space="0" w:color="auto"/>
              <w:left w:val="nil"/>
              <w:bottom w:val="single" w:sz="4" w:space="0" w:color="auto"/>
              <w:right w:val="nil"/>
            </w:tcBorders>
          </w:tcPr>
          <w:p w14:paraId="0A4BBD0C" w14:textId="77777777" w:rsidR="00D22CF6" w:rsidRPr="00670A7B" w:rsidRDefault="00D22CF6" w:rsidP="00D22CF6">
            <w:pPr>
              <w:ind w:right="-108"/>
              <w:rPr>
                <w:b/>
              </w:rPr>
            </w:pPr>
            <w:r w:rsidRPr="00670A7B">
              <w:rPr>
                <w:b/>
              </w:rPr>
              <w:t>Pozitívne</w:t>
            </w:r>
          </w:p>
        </w:tc>
        <w:sdt>
          <w:sdtPr>
            <w:rPr>
              <w:b/>
            </w:rPr>
            <w:id w:val="-1126152168"/>
            <w14:checkbox>
              <w14:checked w14:val="0"/>
              <w14:checkedState w14:val="2612" w14:font="MS Gothic"/>
              <w14:uncheckedState w14:val="2610" w14:font="MS Gothic"/>
            </w14:checkbox>
          </w:sdtPr>
          <w:sdtEndPr/>
          <w:sdtContent>
            <w:tc>
              <w:tcPr>
                <w:tcW w:w="569" w:type="dxa"/>
                <w:tcBorders>
                  <w:top w:val="single" w:sz="4" w:space="0" w:color="auto"/>
                  <w:left w:val="nil"/>
                  <w:bottom w:val="single" w:sz="4" w:space="0" w:color="auto"/>
                  <w:right w:val="nil"/>
                </w:tcBorders>
              </w:tcPr>
              <w:p w14:paraId="16A0265E"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tcPr>
          <w:p w14:paraId="18EC8FAF" w14:textId="77777777" w:rsidR="00D22CF6" w:rsidRPr="00A179AE" w:rsidRDefault="00D22CF6" w:rsidP="00D22CF6">
            <w:pPr>
              <w:rPr>
                <w:b/>
              </w:rPr>
            </w:pPr>
            <w:r w:rsidRPr="00A179AE">
              <w:rPr>
                <w:b/>
              </w:rPr>
              <w:t>Žiadne</w:t>
            </w:r>
          </w:p>
        </w:tc>
        <w:sdt>
          <w:sdtPr>
            <w:rPr>
              <w:b/>
            </w:rPr>
            <w:id w:val="378831873"/>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tcPr>
              <w:p w14:paraId="4650F481"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97" w:type="dxa"/>
            <w:tcBorders>
              <w:top w:val="single" w:sz="4" w:space="0" w:color="auto"/>
              <w:left w:val="nil"/>
              <w:bottom w:val="single" w:sz="4" w:space="0" w:color="auto"/>
              <w:right w:val="single" w:sz="4" w:space="0" w:color="auto"/>
            </w:tcBorders>
          </w:tcPr>
          <w:p w14:paraId="2AC0E117" w14:textId="77777777" w:rsidR="00D22CF6" w:rsidRPr="00A179AE" w:rsidRDefault="00D22CF6" w:rsidP="00D22CF6">
            <w:pPr>
              <w:ind w:left="54"/>
              <w:rPr>
                <w:b/>
              </w:rPr>
            </w:pPr>
            <w:r w:rsidRPr="00A179AE">
              <w:rPr>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D22CF6" w:rsidRPr="00A179AE" w14:paraId="18F571D9" w14:textId="77777777" w:rsidTr="00D22CF6">
        <w:tc>
          <w:tcPr>
            <w:tcW w:w="3812" w:type="dxa"/>
            <w:tcBorders>
              <w:top w:val="single" w:sz="4" w:space="0" w:color="auto"/>
              <w:left w:val="single" w:sz="4" w:space="0" w:color="auto"/>
              <w:bottom w:val="nil"/>
              <w:right w:val="single" w:sz="4" w:space="0" w:color="auto"/>
            </w:tcBorders>
            <w:shd w:val="clear" w:color="auto" w:fill="E2E2E2"/>
          </w:tcPr>
          <w:p w14:paraId="2FE44B36" w14:textId="77777777" w:rsidR="00D22CF6" w:rsidRPr="00653ADA" w:rsidRDefault="00D22CF6" w:rsidP="00D22CF6">
            <w:pPr>
              <w:rPr>
                <w:b/>
              </w:rPr>
            </w:pPr>
            <w:r>
              <w:rPr>
                <w:rFonts w:eastAsia="Calibri"/>
                <w:b/>
                <w:lang w:eastAsia="en-US"/>
              </w:rPr>
              <w:t>V</w:t>
            </w:r>
            <w:r w:rsidRPr="00127DAC">
              <w:rPr>
                <w:rFonts w:eastAsia="Calibri"/>
                <w:b/>
                <w:lang w:eastAsia="en-US"/>
              </w:rPr>
              <w:t>plyv</w:t>
            </w:r>
            <w:r>
              <w:rPr>
                <w:rFonts w:eastAsia="Calibri"/>
                <w:b/>
                <w:lang w:eastAsia="en-US"/>
              </w:rPr>
              <w:t>y</w:t>
            </w:r>
            <w:r w:rsidRPr="00127DAC">
              <w:rPr>
                <w:rFonts w:eastAsia="Calibri"/>
                <w:b/>
                <w:lang w:eastAsia="en-US"/>
              </w:rPr>
              <w:t xml:space="preserve"> na služby verejnej správy pre občana</w:t>
            </w:r>
            <w:r>
              <w:rPr>
                <w:rFonts w:eastAsia="Calibri"/>
                <w:b/>
                <w:lang w:eastAsia="en-US"/>
              </w:rPr>
              <w:t>, z toho</w:t>
            </w:r>
          </w:p>
        </w:tc>
        <w:tc>
          <w:tcPr>
            <w:tcW w:w="541" w:type="dxa"/>
            <w:tcBorders>
              <w:top w:val="single" w:sz="4" w:space="0" w:color="auto"/>
              <w:left w:val="single" w:sz="4" w:space="0" w:color="auto"/>
              <w:bottom w:val="nil"/>
              <w:right w:val="nil"/>
            </w:tcBorders>
            <w:shd w:val="clear" w:color="auto" w:fill="auto"/>
          </w:tcPr>
          <w:p w14:paraId="6426200C" w14:textId="77777777" w:rsidR="00D22CF6" w:rsidRPr="00653ADA" w:rsidRDefault="00D22CF6" w:rsidP="00D22CF6">
            <w:pPr>
              <w:jc w:val="center"/>
              <w:rPr>
                <w:rFonts w:eastAsia="MS Mincho"/>
                <w:b/>
              </w:rPr>
            </w:pPr>
          </w:p>
        </w:tc>
        <w:tc>
          <w:tcPr>
            <w:tcW w:w="1281" w:type="dxa"/>
            <w:tcBorders>
              <w:top w:val="single" w:sz="4" w:space="0" w:color="auto"/>
              <w:left w:val="nil"/>
              <w:bottom w:val="nil"/>
              <w:right w:val="nil"/>
            </w:tcBorders>
            <w:shd w:val="clear" w:color="auto" w:fill="auto"/>
          </w:tcPr>
          <w:p w14:paraId="25A84680" w14:textId="77777777" w:rsidR="00D22CF6" w:rsidRPr="00653ADA" w:rsidRDefault="00D22CF6" w:rsidP="00D22CF6">
            <w:pPr>
              <w:ind w:right="-108"/>
              <w:rPr>
                <w:b/>
              </w:rPr>
            </w:pPr>
          </w:p>
        </w:tc>
        <w:tc>
          <w:tcPr>
            <w:tcW w:w="569" w:type="dxa"/>
            <w:tcBorders>
              <w:top w:val="single" w:sz="4" w:space="0" w:color="auto"/>
              <w:left w:val="nil"/>
              <w:bottom w:val="nil"/>
              <w:right w:val="nil"/>
            </w:tcBorders>
            <w:shd w:val="clear" w:color="auto" w:fill="auto"/>
          </w:tcPr>
          <w:p w14:paraId="43A563AF" w14:textId="77777777" w:rsidR="00D22CF6" w:rsidRPr="00653ADA" w:rsidRDefault="00D22CF6" w:rsidP="00D22CF6">
            <w:pPr>
              <w:jc w:val="center"/>
              <w:rPr>
                <w:rFonts w:eastAsia="MS Mincho"/>
                <w:b/>
              </w:rPr>
            </w:pPr>
          </w:p>
        </w:tc>
        <w:tc>
          <w:tcPr>
            <w:tcW w:w="1133" w:type="dxa"/>
            <w:tcBorders>
              <w:top w:val="single" w:sz="4" w:space="0" w:color="auto"/>
              <w:left w:val="nil"/>
              <w:bottom w:val="nil"/>
              <w:right w:val="nil"/>
            </w:tcBorders>
            <w:shd w:val="clear" w:color="auto" w:fill="auto"/>
          </w:tcPr>
          <w:p w14:paraId="3AEDF97B" w14:textId="77777777" w:rsidR="00D22CF6" w:rsidRPr="00653ADA" w:rsidRDefault="00D22CF6" w:rsidP="00D22CF6">
            <w:pPr>
              <w:rPr>
                <w:b/>
              </w:rPr>
            </w:pPr>
          </w:p>
        </w:tc>
        <w:tc>
          <w:tcPr>
            <w:tcW w:w="547" w:type="dxa"/>
            <w:tcBorders>
              <w:top w:val="single" w:sz="4" w:space="0" w:color="auto"/>
              <w:left w:val="nil"/>
              <w:bottom w:val="nil"/>
              <w:right w:val="nil"/>
            </w:tcBorders>
            <w:shd w:val="clear" w:color="auto" w:fill="auto"/>
          </w:tcPr>
          <w:p w14:paraId="5688B368" w14:textId="77777777" w:rsidR="00D22CF6" w:rsidRPr="00653ADA" w:rsidRDefault="00D22CF6" w:rsidP="00D22CF6">
            <w:pPr>
              <w:jc w:val="center"/>
              <w:rPr>
                <w:rFonts w:eastAsia="MS Mincho"/>
                <w:b/>
              </w:rPr>
            </w:pPr>
          </w:p>
        </w:tc>
        <w:tc>
          <w:tcPr>
            <w:tcW w:w="1297" w:type="dxa"/>
            <w:tcBorders>
              <w:top w:val="single" w:sz="4" w:space="0" w:color="auto"/>
              <w:left w:val="nil"/>
              <w:bottom w:val="nil"/>
              <w:right w:val="single" w:sz="4" w:space="0" w:color="auto"/>
            </w:tcBorders>
            <w:shd w:val="clear" w:color="auto" w:fill="auto"/>
          </w:tcPr>
          <w:p w14:paraId="555780CF" w14:textId="77777777" w:rsidR="00D22CF6" w:rsidRPr="00653ADA" w:rsidRDefault="00D22CF6" w:rsidP="00D22CF6">
            <w:pPr>
              <w:ind w:left="54"/>
              <w:rPr>
                <w:b/>
              </w:rPr>
            </w:pPr>
          </w:p>
        </w:tc>
      </w:tr>
      <w:tr w:rsidR="00D22CF6" w:rsidRPr="009634B3" w14:paraId="4C1B490B" w14:textId="77777777" w:rsidTr="00D22CF6">
        <w:tc>
          <w:tcPr>
            <w:tcW w:w="3812" w:type="dxa"/>
            <w:tcBorders>
              <w:top w:val="nil"/>
              <w:left w:val="single" w:sz="4" w:space="0" w:color="auto"/>
              <w:bottom w:val="nil"/>
              <w:right w:val="single" w:sz="4" w:space="0" w:color="auto"/>
            </w:tcBorders>
            <w:shd w:val="clear" w:color="auto" w:fill="E2E2E2"/>
          </w:tcPr>
          <w:p w14:paraId="1B1D53D9" w14:textId="77777777" w:rsidR="00D22CF6" w:rsidRPr="009634B3" w:rsidRDefault="00D22CF6" w:rsidP="00D22CF6">
            <w:pPr>
              <w:ind w:left="196" w:hanging="196"/>
              <w:rPr>
                <w:rFonts w:eastAsia="Calibri"/>
                <w:b/>
                <w:lang w:eastAsia="en-US"/>
              </w:rPr>
            </w:pPr>
            <w:r w:rsidRPr="009634B3">
              <w:rPr>
                <w:rFonts w:eastAsia="Calibri"/>
                <w:b/>
                <w:lang w:eastAsia="en-US"/>
              </w:rPr>
              <w:t xml:space="preserve">    </w:t>
            </w:r>
            <w:r w:rsidRPr="00501E2B">
              <w:rPr>
                <w:rFonts w:eastAsia="Calibri"/>
                <w:b/>
                <w:lang w:eastAsia="en-US"/>
              </w:rPr>
              <w:t>vplyvy služieb verejnej správy na občana</w:t>
            </w:r>
          </w:p>
        </w:tc>
        <w:sdt>
          <w:sdtPr>
            <w:rPr>
              <w:b/>
            </w:rPr>
            <w:id w:val="-1688362683"/>
            <w14:checkbox>
              <w14:checked w14:val="0"/>
              <w14:checkedState w14:val="2612" w14:font="MS Gothic"/>
              <w14:uncheckedState w14:val="2610" w14:font="MS Gothic"/>
            </w14:checkbox>
          </w:sdtPr>
          <w:sdtEndPr/>
          <w:sdtContent>
            <w:tc>
              <w:tcPr>
                <w:tcW w:w="541" w:type="dxa"/>
                <w:tcBorders>
                  <w:top w:val="nil"/>
                  <w:left w:val="single" w:sz="4" w:space="0" w:color="auto"/>
                  <w:bottom w:val="nil"/>
                  <w:right w:val="nil"/>
                </w:tcBorders>
                <w:shd w:val="clear" w:color="auto" w:fill="auto"/>
              </w:tcPr>
              <w:p w14:paraId="4F266048" w14:textId="77777777" w:rsidR="00D22CF6" w:rsidRPr="00A179AE" w:rsidRDefault="00D22CF6" w:rsidP="00D22CF6">
                <w:pPr>
                  <w:jc w:val="center"/>
                  <w:rPr>
                    <w:b/>
                  </w:rPr>
                </w:pPr>
                <w:r>
                  <w:rPr>
                    <w:rFonts w:ascii="MS Gothic" w:eastAsia="MS Gothic" w:hAnsi="MS Gothic" w:hint="eastAsia"/>
                    <w:b/>
                  </w:rPr>
                  <w:t>☐</w:t>
                </w:r>
              </w:p>
            </w:tc>
          </w:sdtContent>
        </w:sdt>
        <w:tc>
          <w:tcPr>
            <w:tcW w:w="1281" w:type="dxa"/>
            <w:tcBorders>
              <w:top w:val="nil"/>
              <w:left w:val="nil"/>
              <w:bottom w:val="nil"/>
              <w:right w:val="nil"/>
            </w:tcBorders>
            <w:shd w:val="clear" w:color="auto" w:fill="auto"/>
          </w:tcPr>
          <w:p w14:paraId="0E4889B1" w14:textId="77777777" w:rsidR="00D22CF6" w:rsidRPr="00A179AE" w:rsidRDefault="00D22CF6" w:rsidP="00D22CF6">
            <w:pPr>
              <w:ind w:right="-108"/>
              <w:rPr>
                <w:b/>
              </w:rPr>
            </w:pPr>
            <w:r w:rsidRPr="00A179AE">
              <w:rPr>
                <w:b/>
              </w:rPr>
              <w:t>Pozitívne</w:t>
            </w:r>
          </w:p>
        </w:tc>
        <w:sdt>
          <w:sdtPr>
            <w:rPr>
              <w:b/>
            </w:rPr>
            <w:id w:val="884985506"/>
            <w14:checkbox>
              <w14:checked w14:val="1"/>
              <w14:checkedState w14:val="2612" w14:font="MS Gothic"/>
              <w14:uncheckedState w14:val="2610" w14:font="MS Gothic"/>
            </w14:checkbox>
          </w:sdtPr>
          <w:sdtEndPr/>
          <w:sdtContent>
            <w:tc>
              <w:tcPr>
                <w:tcW w:w="569" w:type="dxa"/>
                <w:tcBorders>
                  <w:top w:val="nil"/>
                  <w:left w:val="nil"/>
                  <w:bottom w:val="nil"/>
                  <w:right w:val="nil"/>
                </w:tcBorders>
                <w:shd w:val="clear" w:color="auto" w:fill="auto"/>
              </w:tcPr>
              <w:p w14:paraId="0FD7157C"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nil"/>
              <w:left w:val="nil"/>
              <w:bottom w:val="nil"/>
              <w:right w:val="nil"/>
            </w:tcBorders>
            <w:shd w:val="clear" w:color="auto" w:fill="auto"/>
          </w:tcPr>
          <w:p w14:paraId="495FE2C7" w14:textId="77777777" w:rsidR="00D22CF6" w:rsidRPr="00A179AE" w:rsidRDefault="00D22CF6" w:rsidP="00D22CF6">
            <w:pPr>
              <w:rPr>
                <w:b/>
              </w:rPr>
            </w:pPr>
            <w:r w:rsidRPr="00A179AE">
              <w:rPr>
                <w:b/>
              </w:rPr>
              <w:t>Žiadne</w:t>
            </w:r>
          </w:p>
        </w:tc>
        <w:sdt>
          <w:sdtPr>
            <w:rPr>
              <w:b/>
            </w:rPr>
            <w:id w:val="-2146805846"/>
            <w14:checkbox>
              <w14:checked w14:val="0"/>
              <w14:checkedState w14:val="2612" w14:font="MS Gothic"/>
              <w14:uncheckedState w14:val="2610" w14:font="MS Gothic"/>
            </w14:checkbox>
          </w:sdtPr>
          <w:sdtEndPr/>
          <w:sdtContent>
            <w:tc>
              <w:tcPr>
                <w:tcW w:w="547" w:type="dxa"/>
                <w:tcBorders>
                  <w:top w:val="nil"/>
                  <w:left w:val="nil"/>
                  <w:bottom w:val="nil"/>
                  <w:right w:val="nil"/>
                </w:tcBorders>
                <w:shd w:val="clear" w:color="auto" w:fill="auto"/>
              </w:tcPr>
              <w:p w14:paraId="7E8BD6FD"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97" w:type="dxa"/>
            <w:tcBorders>
              <w:top w:val="nil"/>
              <w:left w:val="nil"/>
              <w:bottom w:val="nil"/>
              <w:right w:val="single" w:sz="4" w:space="0" w:color="auto"/>
            </w:tcBorders>
            <w:shd w:val="clear" w:color="auto" w:fill="auto"/>
          </w:tcPr>
          <w:p w14:paraId="55C39AED" w14:textId="77777777" w:rsidR="00D22CF6" w:rsidRPr="00A179AE" w:rsidRDefault="00D22CF6" w:rsidP="00D22CF6">
            <w:pPr>
              <w:ind w:left="54"/>
              <w:rPr>
                <w:b/>
              </w:rPr>
            </w:pPr>
            <w:r w:rsidRPr="00A179AE">
              <w:rPr>
                <w:b/>
              </w:rPr>
              <w:t>Negatívne</w:t>
            </w:r>
          </w:p>
        </w:tc>
      </w:tr>
      <w:tr w:rsidR="00D22CF6" w:rsidRPr="009634B3" w14:paraId="6FB7F4F5" w14:textId="77777777" w:rsidTr="00D22CF6">
        <w:tc>
          <w:tcPr>
            <w:tcW w:w="3812" w:type="dxa"/>
            <w:tcBorders>
              <w:top w:val="nil"/>
              <w:left w:val="single" w:sz="4" w:space="0" w:color="auto"/>
              <w:bottom w:val="single" w:sz="4" w:space="0" w:color="auto"/>
              <w:right w:val="single" w:sz="4" w:space="0" w:color="auto"/>
            </w:tcBorders>
            <w:shd w:val="clear" w:color="auto" w:fill="E2E2E2"/>
          </w:tcPr>
          <w:p w14:paraId="4DCE07C2" w14:textId="77777777" w:rsidR="00D22CF6" w:rsidRPr="009634B3" w:rsidRDefault="00D22CF6" w:rsidP="00D22CF6">
            <w:pPr>
              <w:ind w:left="168" w:hanging="168"/>
              <w:rPr>
                <w:rFonts w:eastAsia="Calibri"/>
                <w:b/>
                <w:lang w:eastAsia="en-US"/>
              </w:rPr>
            </w:pPr>
            <w:r>
              <w:rPr>
                <w:rFonts w:eastAsia="Calibri"/>
                <w:b/>
                <w:lang w:eastAsia="en-US"/>
              </w:rPr>
              <w:t xml:space="preserve">    </w:t>
            </w:r>
            <w:r w:rsidRPr="009634B3">
              <w:rPr>
                <w:rFonts w:eastAsia="Calibri"/>
                <w:b/>
                <w:lang w:eastAsia="en-US"/>
              </w:rPr>
              <w:t>vplyvy na procesy služieb vo verejnej správe</w:t>
            </w:r>
          </w:p>
        </w:tc>
        <w:sdt>
          <w:sdtPr>
            <w:rPr>
              <w:b/>
            </w:rPr>
            <w:id w:val="-113984565"/>
            <w14:checkbox>
              <w14:checked w14:val="0"/>
              <w14:checkedState w14:val="2612" w14:font="MS Gothic"/>
              <w14:uncheckedState w14:val="2610" w14:font="MS Gothic"/>
            </w14:checkbox>
          </w:sdtPr>
          <w:sdtEndPr/>
          <w:sdtContent>
            <w:tc>
              <w:tcPr>
                <w:tcW w:w="541" w:type="dxa"/>
                <w:tcBorders>
                  <w:top w:val="nil"/>
                  <w:left w:val="single" w:sz="4" w:space="0" w:color="auto"/>
                  <w:bottom w:val="single" w:sz="4" w:space="0" w:color="auto"/>
                  <w:right w:val="nil"/>
                </w:tcBorders>
                <w:shd w:val="clear" w:color="auto" w:fill="auto"/>
              </w:tcPr>
              <w:p w14:paraId="740C725E"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81" w:type="dxa"/>
            <w:tcBorders>
              <w:top w:val="nil"/>
              <w:left w:val="nil"/>
              <w:bottom w:val="single" w:sz="4" w:space="0" w:color="auto"/>
              <w:right w:val="nil"/>
            </w:tcBorders>
            <w:shd w:val="clear" w:color="auto" w:fill="auto"/>
          </w:tcPr>
          <w:p w14:paraId="1C8C78A3" w14:textId="77777777" w:rsidR="00D22CF6" w:rsidRPr="00A179AE" w:rsidRDefault="00D22CF6" w:rsidP="00D22CF6">
            <w:pPr>
              <w:ind w:right="-108"/>
              <w:rPr>
                <w:b/>
              </w:rPr>
            </w:pPr>
            <w:r w:rsidRPr="00A179AE">
              <w:rPr>
                <w:b/>
              </w:rPr>
              <w:t>Pozitívne</w:t>
            </w:r>
          </w:p>
        </w:tc>
        <w:sdt>
          <w:sdtPr>
            <w:rPr>
              <w:b/>
            </w:rPr>
            <w:id w:val="-1325040833"/>
            <w14:checkbox>
              <w14:checked w14:val="1"/>
              <w14:checkedState w14:val="2612" w14:font="MS Gothic"/>
              <w14:uncheckedState w14:val="2610" w14:font="MS Gothic"/>
            </w14:checkbox>
          </w:sdtPr>
          <w:sdtEndPr/>
          <w:sdtContent>
            <w:tc>
              <w:tcPr>
                <w:tcW w:w="569" w:type="dxa"/>
                <w:tcBorders>
                  <w:top w:val="nil"/>
                  <w:left w:val="nil"/>
                  <w:bottom w:val="single" w:sz="4" w:space="0" w:color="auto"/>
                  <w:right w:val="nil"/>
                </w:tcBorders>
                <w:shd w:val="clear" w:color="auto" w:fill="auto"/>
              </w:tcPr>
              <w:p w14:paraId="53FCBBB0" w14:textId="77777777" w:rsidR="00D22CF6" w:rsidRPr="00A179AE" w:rsidRDefault="00D22CF6" w:rsidP="00D22CF6">
                <w:pPr>
                  <w:jc w:val="center"/>
                  <w:rPr>
                    <w:b/>
                  </w:rPr>
                </w:pPr>
                <w:r>
                  <w:rPr>
                    <w:rFonts w:ascii="MS Gothic" w:eastAsia="MS Gothic" w:hAnsi="MS Gothic" w:hint="eastAsia"/>
                    <w:b/>
                  </w:rPr>
                  <w:t>☒</w:t>
                </w:r>
              </w:p>
            </w:tc>
          </w:sdtContent>
        </w:sdt>
        <w:tc>
          <w:tcPr>
            <w:tcW w:w="1133" w:type="dxa"/>
            <w:tcBorders>
              <w:top w:val="nil"/>
              <w:left w:val="nil"/>
              <w:bottom w:val="single" w:sz="4" w:space="0" w:color="auto"/>
              <w:right w:val="nil"/>
            </w:tcBorders>
            <w:shd w:val="clear" w:color="auto" w:fill="auto"/>
          </w:tcPr>
          <w:p w14:paraId="21B92ACD" w14:textId="77777777" w:rsidR="00D22CF6" w:rsidRPr="00A179AE" w:rsidRDefault="00D22CF6" w:rsidP="00D22CF6">
            <w:pPr>
              <w:rPr>
                <w:b/>
              </w:rPr>
            </w:pPr>
            <w:r w:rsidRPr="00A179AE">
              <w:rPr>
                <w:b/>
              </w:rPr>
              <w:t>Žiadne</w:t>
            </w:r>
          </w:p>
        </w:tc>
        <w:sdt>
          <w:sdtPr>
            <w:rPr>
              <w:b/>
            </w:rPr>
            <w:id w:val="2018029189"/>
            <w14:checkbox>
              <w14:checked w14:val="0"/>
              <w14:checkedState w14:val="2612" w14:font="MS Gothic"/>
              <w14:uncheckedState w14:val="2610" w14:font="MS Gothic"/>
            </w14:checkbox>
          </w:sdtPr>
          <w:sdtEndPr/>
          <w:sdtContent>
            <w:tc>
              <w:tcPr>
                <w:tcW w:w="547" w:type="dxa"/>
                <w:tcBorders>
                  <w:top w:val="nil"/>
                  <w:left w:val="nil"/>
                  <w:bottom w:val="single" w:sz="4" w:space="0" w:color="auto"/>
                  <w:right w:val="nil"/>
                </w:tcBorders>
                <w:shd w:val="clear" w:color="auto" w:fill="auto"/>
              </w:tcPr>
              <w:p w14:paraId="57ABC879" w14:textId="77777777" w:rsidR="00D22CF6" w:rsidRPr="00A179AE" w:rsidRDefault="00D22CF6" w:rsidP="00D22CF6">
                <w:pPr>
                  <w:jc w:val="center"/>
                  <w:rPr>
                    <w:b/>
                  </w:rPr>
                </w:pPr>
                <w:r w:rsidRPr="00A179AE">
                  <w:rPr>
                    <w:rFonts w:ascii="MS Mincho" w:eastAsia="MS Mincho" w:hAnsi="MS Mincho" w:cs="MS Mincho" w:hint="eastAsia"/>
                    <w:b/>
                  </w:rPr>
                  <w:t>☐</w:t>
                </w:r>
              </w:p>
            </w:tc>
          </w:sdtContent>
        </w:sdt>
        <w:tc>
          <w:tcPr>
            <w:tcW w:w="1297" w:type="dxa"/>
            <w:tcBorders>
              <w:top w:val="nil"/>
              <w:left w:val="nil"/>
              <w:bottom w:val="single" w:sz="4" w:space="0" w:color="auto"/>
              <w:right w:val="single" w:sz="4" w:space="0" w:color="auto"/>
            </w:tcBorders>
            <w:shd w:val="clear" w:color="auto" w:fill="auto"/>
          </w:tcPr>
          <w:p w14:paraId="7436A72A" w14:textId="77777777" w:rsidR="00D22CF6" w:rsidRPr="00A179AE" w:rsidRDefault="00D22CF6" w:rsidP="00D22CF6">
            <w:pPr>
              <w:ind w:left="54"/>
              <w:rPr>
                <w:b/>
              </w:rPr>
            </w:pPr>
            <w:r w:rsidRPr="00A179AE">
              <w:rPr>
                <w:b/>
              </w:rPr>
              <w:t>Negatívne</w:t>
            </w:r>
          </w:p>
        </w:tc>
      </w:tr>
    </w:tbl>
    <w:p w14:paraId="7F3D6132" w14:textId="3FAFF956" w:rsidR="00D22CF6" w:rsidRDefault="00D22CF6" w:rsidP="00D22CF6">
      <w:pPr>
        <w:ind w:right="141"/>
        <w:rPr>
          <w:b/>
        </w:rPr>
      </w:pPr>
    </w:p>
    <w:p w14:paraId="5CFD27E4" w14:textId="77777777" w:rsidR="00D95C82" w:rsidRPr="00A179AE" w:rsidRDefault="00D95C82" w:rsidP="00D22CF6">
      <w:pPr>
        <w:ind w:right="141"/>
        <w:rPr>
          <w:b/>
        </w:rPr>
      </w:pPr>
    </w:p>
    <w:tbl>
      <w:tblPr>
        <w:tblStyle w:val="Mriekatabuky"/>
        <w:tblW w:w="9176" w:type="dxa"/>
        <w:tblLayout w:type="fixed"/>
        <w:tblLook w:val="04A0" w:firstRow="1" w:lastRow="0" w:firstColumn="1" w:lastColumn="0" w:noHBand="0" w:noVBand="1"/>
      </w:tblPr>
      <w:tblGrid>
        <w:gridCol w:w="9176"/>
      </w:tblGrid>
      <w:tr w:rsidR="00D22CF6" w:rsidRPr="00A179AE" w14:paraId="14E641B0" w14:textId="77777777" w:rsidTr="00D22CF6">
        <w:trPr>
          <w:trHeight w:val="56"/>
        </w:trPr>
        <w:tc>
          <w:tcPr>
            <w:tcW w:w="9176" w:type="dxa"/>
            <w:tcBorders>
              <w:top w:val="single" w:sz="4" w:space="0" w:color="auto"/>
              <w:left w:val="single" w:sz="4" w:space="0" w:color="auto"/>
              <w:bottom w:val="nil"/>
              <w:right w:val="single" w:sz="4" w:space="0" w:color="auto"/>
            </w:tcBorders>
            <w:shd w:val="clear" w:color="auto" w:fill="E2E2E2"/>
          </w:tcPr>
          <w:p w14:paraId="70C6C7A7"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Poznámky</w:t>
            </w:r>
          </w:p>
        </w:tc>
      </w:tr>
      <w:tr w:rsidR="00D22CF6" w:rsidRPr="00A179AE" w14:paraId="70738E76" w14:textId="77777777" w:rsidTr="00D22CF6">
        <w:trPr>
          <w:trHeight w:val="713"/>
        </w:trPr>
        <w:tc>
          <w:tcPr>
            <w:tcW w:w="9176" w:type="dxa"/>
            <w:tcBorders>
              <w:top w:val="nil"/>
              <w:left w:val="single" w:sz="4" w:space="0" w:color="auto"/>
              <w:bottom w:val="single" w:sz="4" w:space="0" w:color="FFFFFF" w:themeColor="background1"/>
              <w:right w:val="single" w:sz="4" w:space="0" w:color="auto"/>
            </w:tcBorders>
            <w:shd w:val="clear" w:color="auto" w:fill="auto"/>
          </w:tcPr>
          <w:p w14:paraId="6072C5B1" w14:textId="4E867C42" w:rsidR="00D22CF6" w:rsidRPr="000541C7" w:rsidRDefault="00D22CF6" w:rsidP="00D22CF6">
            <w:pPr>
              <w:jc w:val="both"/>
            </w:pPr>
            <w:r w:rsidRPr="000541C7">
              <w:t>K predkladanému</w:t>
            </w:r>
            <w:r w:rsidR="00D95C82">
              <w:t xml:space="preserve"> </w:t>
            </w:r>
            <w:r w:rsidRPr="000541C7">
              <w:t>návrhu zákona</w:t>
            </w:r>
            <w:r>
              <w:t xml:space="preserve"> uskutočnil </w:t>
            </w:r>
            <w:r w:rsidRPr="000541C7">
              <w:t xml:space="preserve">Úrad pre normalizáciu, metrológiu a skúšobníctvo Slovenskej republiky </w:t>
            </w:r>
            <w:r>
              <w:t xml:space="preserve">(ďalej len „úrad“) konzultácie podľa Jednotnej metodiky na posudzovanie vybraných vplyvov, v rámci ktorej oslovil ministerstvá a orgány dohľadu z dôvodu ustanovenia orgánov trhového dohľadu k jednotlivým určeným výrobkom (hnojivá, </w:t>
            </w:r>
            <w:proofErr w:type="spellStart"/>
            <w:r>
              <w:t>drony</w:t>
            </w:r>
            <w:proofErr w:type="spellEnd"/>
            <w:r>
              <w:t>), ktoré ustanovujú technické predpisy z oblasti posudzovania zhody, ako aj zamestnávateľské zväzy a autorizované a notifikované osoby. Úrad</w:t>
            </w:r>
            <w:r w:rsidRPr="000541C7">
              <w:t xml:space="preserve"> </w:t>
            </w:r>
            <w:r>
              <w:t xml:space="preserve">v rámci konzultácií zaslal na pripomienkovanie uvedeným subjektom návrh novely zákona </w:t>
            </w:r>
            <w:r w:rsidR="002F69ED">
              <w:t>č. </w:t>
            </w:r>
            <w:r w:rsidRPr="00D752E5">
              <w:t xml:space="preserve">56/2018 </w:t>
            </w:r>
            <w:r w:rsidR="002F69ED">
              <w:t>Z. z.</w:t>
            </w:r>
            <w:r>
              <w:t xml:space="preserve"> vo forme konsolidovaného znenia zákona </w:t>
            </w:r>
            <w:r w:rsidR="002F69ED">
              <w:t>č. </w:t>
            </w:r>
            <w:r>
              <w:t xml:space="preserve">56/2018 </w:t>
            </w:r>
            <w:r w:rsidR="002F69ED">
              <w:t>Z. z.</w:t>
            </w:r>
            <w:r>
              <w:t xml:space="preserve"> a zákona </w:t>
            </w:r>
            <w:r w:rsidR="002F69ED">
              <w:t>č. </w:t>
            </w:r>
            <w:r>
              <w:t xml:space="preserve">55/2018 </w:t>
            </w:r>
            <w:r w:rsidR="002F69ED">
              <w:t>Z. z.</w:t>
            </w:r>
            <w:r>
              <w:t>, ktoré obsahovali plánované zmeny v revízii.</w:t>
            </w:r>
          </w:p>
          <w:p w14:paraId="2E16FF74" w14:textId="29E11A9B" w:rsidR="00D22CF6" w:rsidRPr="008D0D62" w:rsidRDefault="00D22CF6" w:rsidP="00D22CF6">
            <w:pPr>
              <w:ind w:firstLine="709"/>
              <w:jc w:val="both"/>
            </w:pPr>
            <w:r w:rsidRPr="00670A7B">
              <w:t xml:space="preserve">Predkladaný návrh zákona upravuje </w:t>
            </w:r>
            <w:r>
              <w:t>pôsobnosť orgánov</w:t>
            </w:r>
            <w:r w:rsidRPr="00670A7B">
              <w:t xml:space="preserve"> dohľadu nad dodržiavaním povinností podľa návrhu zákona a technických predpisov </w:t>
            </w:r>
            <w:r w:rsidRPr="00E81707">
              <w:t>z oblasti posudzovania zhody</w:t>
            </w:r>
            <w:r w:rsidRPr="008D0D62">
              <w:t>, ktoré vyplývajú z nariadenia (EÚ) 2019/1020, ktoré nadobúda účinnosť dňa 16.7.202</w:t>
            </w:r>
            <w:r w:rsidRPr="00E81707">
              <w:t>1</w:t>
            </w:r>
            <w:r w:rsidRPr="008D0D62">
              <w:t>. Návrh zákona ďalej novelizuje jednotlivé zákony ustanovené v článkoch II až IV návrhu zákona, v</w:t>
            </w:r>
            <w:r w:rsidR="00D95C82">
              <w:t> </w:t>
            </w:r>
            <w:r w:rsidRPr="008D0D62">
              <w:t>dôsledku</w:t>
            </w:r>
            <w:r w:rsidR="00D95C82">
              <w:t xml:space="preserve"> </w:t>
            </w:r>
            <w:r w:rsidRPr="008D0D62">
              <w:t>čoho vyplynula potreba úradu na navýšenie zamestnancov z dôvodu odborného a technického zabezpečenia nových kompetenci</w:t>
            </w:r>
            <w:r>
              <w:t>í</w:t>
            </w:r>
            <w:r w:rsidRPr="008D0D62">
              <w:t xml:space="preserve"> a činností, nakoľko úradu pribudnú povinnosti  súvisiace so zabezpečením úloh notifikujúcej autority pre dva úplne nové právne predpisy (</w:t>
            </w:r>
            <w:r w:rsidRPr="00A4503E">
              <w:t xml:space="preserve">nariadenie </w:t>
            </w:r>
            <w:r>
              <w:t xml:space="preserve">(EÚ) </w:t>
            </w:r>
            <w:r w:rsidRPr="00A4503E">
              <w:t>2019/1009</w:t>
            </w:r>
            <w:r>
              <w:t xml:space="preserve"> a</w:t>
            </w:r>
            <w:r w:rsidRPr="00A4503E">
              <w:t xml:space="preserve"> </w:t>
            </w:r>
            <w:r>
              <w:t xml:space="preserve">nariadenie (EÚ) </w:t>
            </w:r>
            <w:r w:rsidRPr="00A4503E">
              <w:t>2019/945</w:t>
            </w:r>
            <w:r>
              <w:t>)</w:t>
            </w:r>
            <w:r w:rsidRPr="008D0D62" w:rsidDel="00A4503E">
              <w:t xml:space="preserve"> </w:t>
            </w:r>
            <w:r w:rsidRPr="008D0D62">
              <w:t xml:space="preserve">ako aj rozšírenie činností tzv. kontaktného miesta pre výrobky podľa </w:t>
            </w:r>
            <w:r w:rsidR="002F69ED">
              <w:t>§ </w:t>
            </w:r>
            <w:r w:rsidRPr="008D0D62">
              <w:t xml:space="preserve">9 zákona </w:t>
            </w:r>
            <w:r w:rsidR="002F69ED">
              <w:t>č. </w:t>
            </w:r>
            <w:r w:rsidRPr="008D0D62">
              <w:t xml:space="preserve">55/2018 </w:t>
            </w:r>
            <w:r w:rsidR="002F69ED">
              <w:t>Z. z.</w:t>
            </w:r>
            <w:r w:rsidRPr="008D0D62">
              <w:t xml:space="preserve"> o povinnosť poskytovať informácie hospodárskym subjektom v celej EÚ nie len o neharmonizovanej legislatíve týkajúcej sa výrobkov v Slovenskej republike</w:t>
            </w:r>
            <w:r>
              <w:t>,</w:t>
            </w:r>
            <w:r w:rsidRPr="008D0D62">
              <w:t xml:space="preserve"> ale aj o</w:t>
            </w:r>
            <w:r>
              <w:t> </w:t>
            </w:r>
            <w:r w:rsidRPr="008D0D62">
              <w:t>harmonizačných</w:t>
            </w:r>
            <w:r>
              <w:t xml:space="preserve"> </w:t>
            </w:r>
            <w:r w:rsidRPr="008D0D62">
              <w:t>právnych predpisoch Európskej únie týkajúcich sa výrobkov.</w:t>
            </w:r>
          </w:p>
          <w:p w14:paraId="4352CB0D" w14:textId="77777777" w:rsidR="00D22CF6" w:rsidRPr="00280DE5" w:rsidRDefault="00D22CF6" w:rsidP="00D22CF6">
            <w:pPr>
              <w:ind w:firstLine="709"/>
              <w:jc w:val="both"/>
            </w:pPr>
            <w:r w:rsidRPr="00FE493D">
              <w:t>Pozitívne vplyvy na informatizáciu spoločnosti vo vzťahu k účinnej právnej úprave, ktorá sa len nahradí novou právnou úpravou, sa menia v nadväznosti na požiadavky nariadenia (EÚ) 2018/1724.</w:t>
            </w:r>
          </w:p>
          <w:p w14:paraId="5A447741" w14:textId="77777777" w:rsidR="00D22CF6" w:rsidRDefault="00D22CF6" w:rsidP="00D22CF6">
            <w:pPr>
              <w:ind w:firstLine="709"/>
              <w:jc w:val="both"/>
            </w:pPr>
            <w:r w:rsidRPr="00280DE5">
              <w:t xml:space="preserve">Vplyvy na </w:t>
            </w:r>
            <w:r w:rsidRPr="008D0D62">
              <w:t>životné prostredie sa vo vzťahu k účinnej právnej úprave, ktorá sa len nahradí novou právnou úpravou, nemenia.</w:t>
            </w:r>
          </w:p>
          <w:p w14:paraId="0F9FE809" w14:textId="60CF519A" w:rsidR="00D22CF6" w:rsidRDefault="00D22CF6" w:rsidP="00D22CF6">
            <w:pPr>
              <w:ind w:firstLine="709"/>
              <w:jc w:val="both"/>
            </w:pPr>
            <w:r>
              <w:rPr>
                <w:rFonts w:ascii="Times" w:hAnsi="Times" w:cs="Times"/>
              </w:rPr>
              <w:t xml:space="preserve">Návrh zákona má v časti týkajúcej sa implementácie nariadenia (EÚ) 2019/1020 negatívny vplyv na podnikateľské prostredie, avšak je potrebné podotknúť, že tieto vplyvy na podnikateľské prostredie boli predmetom posudzovania vplyvov v rámci prípravy samotného návrhu </w:t>
            </w:r>
            <w:r w:rsidRPr="0082673A">
              <w:rPr>
                <w:rFonts w:ascii="Times" w:hAnsi="Times" w:cs="Times"/>
              </w:rPr>
              <w:t xml:space="preserve">COM(2017) 795 </w:t>
            </w:r>
            <w:proofErr w:type="spellStart"/>
            <w:r w:rsidRPr="0082673A">
              <w:rPr>
                <w:rFonts w:ascii="Times" w:hAnsi="Times" w:cs="Times"/>
              </w:rPr>
              <w:t>final</w:t>
            </w:r>
            <w:proofErr w:type="spellEnd"/>
            <w:r>
              <w:rPr>
                <w:rFonts w:ascii="Times" w:hAnsi="Times" w:cs="Times"/>
              </w:rPr>
              <w:t xml:space="preserve"> priamo účinného nariadenia (EÚ) 2019/1020. Odhadovaný finančný vplyv nariadenia (EÚ) 2019/1020 je uvedený v Legislatívnom finančnom výkaze, ktorý tvorí prílohu predmetného dokumentu. Analýza vplyvov na podnikateľské prostredie bola zároveň vypracovaná k </w:t>
            </w:r>
            <w:r w:rsidRPr="00614B0D">
              <w:rPr>
                <w:rFonts w:ascii="Times" w:hAnsi="Times" w:cs="Times"/>
              </w:rPr>
              <w:t>návrh</w:t>
            </w:r>
            <w:r>
              <w:rPr>
                <w:rFonts w:ascii="Times" w:hAnsi="Times" w:cs="Times"/>
              </w:rPr>
              <w:t>u</w:t>
            </w:r>
            <w:r w:rsidRPr="00614B0D">
              <w:rPr>
                <w:rFonts w:ascii="Times" w:hAnsi="Times" w:cs="Times"/>
              </w:rPr>
              <w:t xml:space="preserve"> riadneho predbežného stanoviska k návrhu nariadenia Európskeho parlamentu a Rady, ktorým sa stanovujú pravidlá a postupy dodržiavania a</w:t>
            </w:r>
            <w:r w:rsidR="00D95C82">
              <w:rPr>
                <w:rFonts w:ascii="Times" w:hAnsi="Times" w:cs="Times"/>
              </w:rPr>
              <w:t> </w:t>
            </w:r>
            <w:r w:rsidRPr="00614B0D">
              <w:rPr>
                <w:rFonts w:ascii="Times" w:hAnsi="Times" w:cs="Times"/>
              </w:rPr>
              <w:t>presadzovania</w:t>
            </w:r>
            <w:r w:rsidR="00D95C82">
              <w:rPr>
                <w:rFonts w:ascii="Times" w:hAnsi="Times" w:cs="Times"/>
              </w:rPr>
              <w:t xml:space="preserve"> </w:t>
            </w:r>
            <w:r w:rsidRPr="00614B0D">
              <w:rPr>
                <w:rFonts w:ascii="Times" w:hAnsi="Times" w:cs="Times"/>
              </w:rPr>
              <w:t xml:space="preserve">harmonizačných právnych predpisov Únie týkajúcich sa výrobkov a ktorým sa menia nariadenia Európskeho parlamentu a Rady (EÚ) </w:t>
            </w:r>
            <w:r w:rsidR="002F69ED">
              <w:rPr>
                <w:rFonts w:ascii="Times" w:hAnsi="Times" w:cs="Times"/>
              </w:rPr>
              <w:t>č. </w:t>
            </w:r>
            <w:r w:rsidRPr="00614B0D">
              <w:rPr>
                <w:rFonts w:ascii="Times" w:hAnsi="Times" w:cs="Times"/>
              </w:rPr>
              <w:t xml:space="preserve">305/2011, (EÚ) </w:t>
            </w:r>
            <w:r w:rsidR="002F69ED">
              <w:rPr>
                <w:rFonts w:ascii="Times" w:hAnsi="Times" w:cs="Times"/>
              </w:rPr>
              <w:t>č. </w:t>
            </w:r>
            <w:r w:rsidRPr="00614B0D">
              <w:rPr>
                <w:rFonts w:ascii="Times" w:hAnsi="Times" w:cs="Times"/>
              </w:rPr>
              <w:t>528/2012, (EÚ) 2016/424, (EÚ) 2016/425, (EÚ) 2016/426 a (EÚ) 2017/1369 a</w:t>
            </w:r>
            <w:r>
              <w:rPr>
                <w:rFonts w:ascii="Times" w:hAnsi="Times" w:cs="Times"/>
              </w:rPr>
              <w:t> </w:t>
            </w:r>
            <w:r w:rsidRPr="00614B0D">
              <w:rPr>
                <w:rFonts w:ascii="Times" w:hAnsi="Times" w:cs="Times"/>
              </w:rPr>
              <w:t>smernice</w:t>
            </w:r>
            <w:r>
              <w:rPr>
                <w:rFonts w:ascii="Times" w:hAnsi="Times" w:cs="Times"/>
              </w:rPr>
              <w:t xml:space="preserve"> </w:t>
            </w:r>
            <w:r w:rsidRPr="00614B0D">
              <w:rPr>
                <w:rFonts w:ascii="Times" w:hAnsi="Times" w:cs="Times"/>
              </w:rPr>
              <w:t>Európskeho parlamentu a Rady 2004/42/ES, 2009/48/ES, 2010/35/EÚ, 2013/29/EÚ, 2013/53/EÚ, 2014/28/EÚ, 2014/29/EÚ, 2014/30/EÚ, 2014/31/EÚ, 2014/32/EÚ, 2014/33/EÚ, 2014/34/EÚ, 2014/35/EÚ, 2014</w:t>
            </w:r>
            <w:r>
              <w:rPr>
                <w:rFonts w:ascii="Times" w:hAnsi="Times" w:cs="Times"/>
              </w:rPr>
              <w:t xml:space="preserve">/53/EÚ, 2014/68/EÚ a 2014/90/EÚ, ktoré bolo </w:t>
            </w:r>
            <w:r w:rsidRPr="00614B0D">
              <w:rPr>
                <w:rFonts w:ascii="Times" w:hAnsi="Times" w:cs="Times"/>
              </w:rPr>
              <w:t>Ministerstvo</w:t>
            </w:r>
            <w:r>
              <w:rPr>
                <w:rFonts w:ascii="Times" w:hAnsi="Times" w:cs="Times"/>
              </w:rPr>
              <w:t xml:space="preserve">m hospodárstva SR predložené </w:t>
            </w:r>
            <w:r w:rsidRPr="00614B0D">
              <w:rPr>
                <w:rFonts w:ascii="Times" w:hAnsi="Times" w:cs="Times"/>
              </w:rPr>
              <w:t>na medzirez</w:t>
            </w:r>
            <w:r>
              <w:rPr>
                <w:rFonts w:ascii="Times" w:hAnsi="Times" w:cs="Times"/>
              </w:rPr>
              <w:t>ortné pripomienkové konanie. Preto boli oba uvedené dokumenty zohľadnené pri vypracovaní Analýzy vplyvov na podnikateľské prostredie k predkladanému návrhu zákona.</w:t>
            </w:r>
          </w:p>
          <w:p w14:paraId="04955892" w14:textId="25E6D397" w:rsidR="00D22CF6" w:rsidRPr="002E33F1" w:rsidRDefault="00D22CF6" w:rsidP="00D22CF6">
            <w:pPr>
              <w:ind w:firstLine="709"/>
              <w:jc w:val="both"/>
            </w:pPr>
            <w:r w:rsidRPr="005058B2">
              <w:t>Návrh zákona preciz</w:t>
            </w:r>
            <w:r>
              <w:t>uje</w:t>
            </w:r>
            <w:r w:rsidRPr="005058B2">
              <w:t xml:space="preserve"> </w:t>
            </w:r>
            <w:r>
              <w:t xml:space="preserve">procesné </w:t>
            </w:r>
            <w:r w:rsidRPr="005058B2">
              <w:t xml:space="preserve">ustanovenia </w:t>
            </w:r>
            <w:r>
              <w:t>o</w:t>
            </w:r>
            <w:r w:rsidRPr="005058B2">
              <w:t xml:space="preserve"> autorizácii, </w:t>
            </w:r>
            <w:r>
              <w:t>ustanovenia</w:t>
            </w:r>
            <w:r w:rsidRPr="005058B2">
              <w:t xml:space="preserve"> </w:t>
            </w:r>
            <w:r>
              <w:t>o</w:t>
            </w:r>
            <w:r w:rsidR="00D95C82">
              <w:t> </w:t>
            </w:r>
            <w:r>
              <w:t>informačných</w:t>
            </w:r>
            <w:r w:rsidR="00D95C82">
              <w:t xml:space="preserve"> </w:t>
            </w:r>
            <w:r>
              <w:t xml:space="preserve">povinnostiach,  o výkone dohľadu nad trhom nad </w:t>
            </w:r>
            <w:r w:rsidRPr="008D0D62">
              <w:t>určenými výrobkami a</w:t>
            </w:r>
            <w:r w:rsidR="00D95C82">
              <w:t> </w:t>
            </w:r>
            <w:r w:rsidRPr="008D0D62">
              <w:t>čiastočne</w:t>
            </w:r>
            <w:r w:rsidR="00D95C82">
              <w:t xml:space="preserve"> </w:t>
            </w:r>
            <w:r w:rsidRPr="008D0D62">
              <w:t>precizuje postupy orgánov dohľadu, ale výhradne len pri vymožiteľnosti práv a povinností hospodárskych subjektov ustanovených v návrhu zákona, ktoré vyplývajú z</w:t>
            </w:r>
            <w:r w:rsidR="00D95C82">
              <w:t> </w:t>
            </w:r>
            <w:r w:rsidRPr="008D0D62">
              <w:t>prijatej</w:t>
            </w:r>
            <w:r w:rsidR="00D95C82">
              <w:t xml:space="preserve"> </w:t>
            </w:r>
            <w:r w:rsidRPr="008D0D62">
              <w:t>európskej legislatívy a ktorými sa zabezpečuje zlepšenie transpozície jednotlivých smerníc Nového prístupu ako aj čiastočná implementácia nariadenia (EÚ)  2019/1020 a</w:t>
            </w:r>
            <w:r w:rsidR="00D95C82">
              <w:t> </w:t>
            </w:r>
            <w:r w:rsidRPr="008D0D62">
              <w:t>nariadenia</w:t>
            </w:r>
            <w:r w:rsidR="00D95C82">
              <w:t xml:space="preserve"> </w:t>
            </w:r>
            <w:r w:rsidRPr="008D0D62">
              <w:t xml:space="preserve">(EÚ) 2018/1724. Príslušné ustanovenia predpisov EÚ nie sú návrhom zákona </w:t>
            </w:r>
            <w:r w:rsidRPr="008D0D62">
              <w:lastRenderedPageBreak/>
              <w:t>žiadnym spôsobom rozšírené nad rámec práva Európskej únie.</w:t>
            </w:r>
          </w:p>
        </w:tc>
      </w:tr>
      <w:tr w:rsidR="00D22CF6" w:rsidRPr="00A179AE" w14:paraId="0CEE15AD" w14:textId="77777777" w:rsidTr="00D22CF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1C2D3244"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lastRenderedPageBreak/>
              <w:t>Kontakt na spracovateľa</w:t>
            </w:r>
          </w:p>
        </w:tc>
      </w:tr>
      <w:tr w:rsidR="00D22CF6" w:rsidRPr="00A179AE" w14:paraId="4B09020F" w14:textId="77777777" w:rsidTr="00D22CF6">
        <w:trPr>
          <w:trHeight w:val="300"/>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4C23F74" w14:textId="77777777" w:rsidR="00D22CF6" w:rsidRPr="008D0D62" w:rsidRDefault="00D22CF6" w:rsidP="00D22CF6">
            <w:r w:rsidRPr="008D0D62">
              <w:t xml:space="preserve">JUDr. Bernadeta </w:t>
            </w:r>
            <w:proofErr w:type="spellStart"/>
            <w:r w:rsidRPr="008D0D62">
              <w:t>Kundrátová</w:t>
            </w:r>
            <w:proofErr w:type="spellEnd"/>
            <w:r w:rsidRPr="008D0D62">
              <w:t xml:space="preserve">, </w:t>
            </w:r>
            <w:hyperlink r:id="rId8" w:history="1">
              <w:r w:rsidRPr="005064AD">
                <w:rPr>
                  <w:rStyle w:val="Hypertextovprepojenie"/>
                </w:rPr>
                <w:t>bernadeta.kundratova@normoff.gov.sk</w:t>
              </w:r>
            </w:hyperlink>
            <w:r>
              <w:t xml:space="preserve">, </w:t>
            </w:r>
            <w:r w:rsidRPr="000E0EF9">
              <w:t xml:space="preserve">02/20 90 72 </w:t>
            </w:r>
            <w:r>
              <w:t>92</w:t>
            </w:r>
            <w:r w:rsidRPr="008D0D62">
              <w:t>.</w:t>
            </w:r>
          </w:p>
        </w:tc>
      </w:tr>
      <w:tr w:rsidR="00D22CF6" w:rsidRPr="00A179AE" w14:paraId="39F68527" w14:textId="77777777" w:rsidTr="00D22CF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33A0C6C7" w14:textId="77777777" w:rsidR="00D22CF6" w:rsidRPr="00A179AE" w:rsidRDefault="00D22CF6" w:rsidP="00D22CF6">
            <w:pPr>
              <w:pStyle w:val="Odsekzoznamu"/>
              <w:numPr>
                <w:ilvl w:val="0"/>
                <w:numId w:val="1"/>
              </w:numPr>
              <w:spacing w:after="0" w:line="240" w:lineRule="auto"/>
              <w:ind w:left="426"/>
              <w:rPr>
                <w:rFonts w:ascii="Times New Roman" w:hAnsi="Times New Roman" w:cs="Times New Roman"/>
                <w:b/>
              </w:rPr>
            </w:pPr>
            <w:r w:rsidRPr="00A179AE">
              <w:rPr>
                <w:rFonts w:ascii="Times New Roman" w:hAnsi="Times New Roman" w:cs="Times New Roman"/>
                <w:b/>
              </w:rPr>
              <w:t>Zdroje</w:t>
            </w:r>
          </w:p>
        </w:tc>
      </w:tr>
      <w:tr w:rsidR="00D22CF6" w:rsidRPr="00A179AE" w14:paraId="70004322" w14:textId="77777777" w:rsidTr="00D22CF6">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415F003C" w14:textId="77777777" w:rsidR="00D22CF6" w:rsidRPr="004D6E58" w:rsidRDefault="00D22CF6" w:rsidP="00D22CF6">
            <w:pPr>
              <w:rPr>
                <w:i/>
              </w:rPr>
            </w:pPr>
            <w:r w:rsidRPr="004D6E58">
              <w:rPr>
                <w:i/>
              </w:rPr>
              <w:t>Uveďte zdroje (štatistiky, prieskumy, spoluprácu s odborníkmi a iné), z ktorých ste pri vypracovávaní doložky, príp. analýz vplyvov vychádzali.</w:t>
            </w:r>
          </w:p>
          <w:p w14:paraId="7498DA2E" w14:textId="77777777" w:rsidR="00D22CF6" w:rsidRPr="004D6E58" w:rsidRDefault="00D22CF6" w:rsidP="00D22CF6">
            <w:pPr>
              <w:ind w:firstLine="709"/>
              <w:jc w:val="both"/>
            </w:pPr>
            <w:r w:rsidRPr="004D6E58">
              <w:t>Keďže ide o implementáciu jednotlivých nariadení Európskeho parlamentu a Rady, ktoré sú priamo účinné a ktoré len implementujú časti uvedených nariadení v prípade potreby vyplývajúcej priamo zo znenia jednotlivých nariadení, predkladateľ pri získavaní relevantných údajov a informácií vychádzal výlučne z uvedených nariadení.</w:t>
            </w:r>
          </w:p>
          <w:p w14:paraId="26F7157E" w14:textId="77777777" w:rsidR="00D22CF6" w:rsidRPr="004D6E58" w:rsidRDefault="00D22CF6" w:rsidP="00D22CF6">
            <w:pPr>
              <w:ind w:firstLine="709"/>
              <w:jc w:val="both"/>
            </w:pPr>
            <w:r w:rsidRPr="004D6E58">
              <w:t>Úrad pri vypracovaní analýzy vplyvov na rozpočet verejnej správy vychádzal z analýz a dostupných informácii ako aj priemerných výdavkov na zamestnanca.</w:t>
            </w:r>
          </w:p>
        </w:tc>
      </w:tr>
      <w:tr w:rsidR="00D22CF6" w:rsidRPr="00A179AE" w14:paraId="3F1B8A78" w14:textId="77777777" w:rsidTr="00D22CF6">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tcPr>
          <w:p w14:paraId="551C70AD" w14:textId="77777777" w:rsidR="00D22CF6" w:rsidRPr="004D6E58" w:rsidRDefault="00D22CF6" w:rsidP="00D22CF6">
            <w:pPr>
              <w:pStyle w:val="Odsekzoznamu"/>
              <w:numPr>
                <w:ilvl w:val="0"/>
                <w:numId w:val="1"/>
              </w:numPr>
              <w:spacing w:after="0" w:line="240" w:lineRule="auto"/>
              <w:ind w:left="426"/>
              <w:rPr>
                <w:rFonts w:ascii="Times New Roman" w:hAnsi="Times New Roman" w:cs="Times New Roman"/>
                <w:b/>
                <w:sz w:val="20"/>
                <w:szCs w:val="20"/>
              </w:rPr>
            </w:pPr>
            <w:r w:rsidRPr="004D6E58">
              <w:rPr>
                <w:rFonts w:ascii="Times New Roman" w:hAnsi="Times New Roman" w:cs="Times New Roman"/>
                <w:b/>
                <w:sz w:val="20"/>
                <w:szCs w:val="20"/>
              </w:rPr>
              <w:t>Stanovisko Komisie pre posudzovanie vybraných vplyvov z PPK</w:t>
            </w:r>
          </w:p>
        </w:tc>
      </w:tr>
      <w:tr w:rsidR="00D22CF6" w:rsidRPr="00A179AE" w14:paraId="6F624382" w14:textId="77777777" w:rsidTr="00D22CF6">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1E9BED78" w14:textId="77777777" w:rsidR="00D22CF6" w:rsidRPr="004D6E58" w:rsidRDefault="00D22CF6" w:rsidP="00D22CF6">
            <w:pPr>
              <w:rPr>
                <w:i/>
              </w:rPr>
            </w:pPr>
            <w:r w:rsidRPr="004D6E58">
              <w:rPr>
                <w:i/>
              </w:rPr>
              <w:t>Uveďte stanovisko Komisie pre posudzovanie vybraných vplyvov, ktoré Vám bolo zaslané v rámci predbežného pripomienkového konania</w:t>
            </w:r>
          </w:p>
          <w:p w14:paraId="5EF1E032" w14:textId="77777777" w:rsidR="00D22CF6" w:rsidRPr="004D6E58" w:rsidRDefault="00D22CF6" w:rsidP="00D22CF6">
            <w:pPr>
              <w:ind w:firstLine="709"/>
              <w:jc w:val="both"/>
              <w:rPr>
                <w:bCs/>
              </w:rPr>
            </w:pPr>
            <w:r w:rsidRPr="004D6E58">
              <w:rPr>
                <w:bCs/>
              </w:rPr>
              <w:t>Stála pracovná komisia na posudzovanie vybraných vplyvov vyjadr</w:t>
            </w:r>
            <w:r>
              <w:rPr>
                <w:bCs/>
              </w:rPr>
              <w:t>ila k návrhu zákona nesúhlasné stanovisko a </w:t>
            </w:r>
            <w:r w:rsidRPr="004D6E58">
              <w:rPr>
                <w:bCs/>
              </w:rPr>
              <w:t>uplat</w:t>
            </w:r>
            <w:r>
              <w:rPr>
                <w:bCs/>
              </w:rPr>
              <w:t xml:space="preserve">nila </w:t>
            </w:r>
            <w:r w:rsidRPr="004D6E58">
              <w:rPr>
                <w:bCs/>
              </w:rPr>
              <w:t>k materiálu zásadné pripomienky:</w:t>
            </w:r>
          </w:p>
          <w:p w14:paraId="0032C292" w14:textId="77777777" w:rsidR="00D22CF6" w:rsidRPr="004D6E58" w:rsidRDefault="00D22CF6" w:rsidP="00D22CF6">
            <w:pPr>
              <w:jc w:val="both"/>
              <w:rPr>
                <w:b/>
                <w:bCs/>
              </w:rPr>
            </w:pPr>
            <w:r w:rsidRPr="004D6E58">
              <w:rPr>
                <w:b/>
                <w:bCs/>
              </w:rPr>
              <w:t>K doložke vybraných vplyvov</w:t>
            </w:r>
          </w:p>
          <w:p w14:paraId="365F1DCD" w14:textId="77777777" w:rsidR="00D22CF6" w:rsidRPr="004D6E58" w:rsidRDefault="00D22CF6" w:rsidP="00D22CF6">
            <w:pPr>
              <w:jc w:val="both"/>
              <w:rPr>
                <w:bCs/>
              </w:rPr>
            </w:pPr>
            <w:r w:rsidRPr="004D6E58">
              <w:rPr>
                <w:bCs/>
              </w:rPr>
              <w:t>Komisia žiada predkladateľa, aby v súlade s Jednotnou metodikou na posudzovanie vybraných vplyvov dopracoval Doložku vybraných vplyvov a v bode 9. vyznačil negatívne vplyvy na podnikateľské prostredie z</w:t>
            </w:r>
            <w:r>
              <w:rPr>
                <w:bCs/>
              </w:rPr>
              <w:t> </w:t>
            </w:r>
            <w:r w:rsidRPr="004D6E58">
              <w:rPr>
                <w:bCs/>
              </w:rPr>
              <w:t>dôvodu</w:t>
            </w:r>
            <w:r>
              <w:rPr>
                <w:bCs/>
              </w:rPr>
              <w:t>,</w:t>
            </w:r>
            <w:r w:rsidRPr="004D6E58">
              <w:rPr>
                <w:bCs/>
              </w:rPr>
              <w:t xml:space="preserve"> že uvedený návrh zákona zavádza dodatočnú reguláciu pri posudzovaní zhody výrobku a</w:t>
            </w:r>
            <w:r>
              <w:rPr>
                <w:bCs/>
              </w:rPr>
              <w:t> </w:t>
            </w:r>
            <w:r w:rsidRPr="004D6E58">
              <w:rPr>
                <w:bCs/>
              </w:rPr>
              <w:t>sprístupňovaní</w:t>
            </w:r>
            <w:r>
              <w:rPr>
                <w:bCs/>
              </w:rPr>
              <w:t xml:space="preserve"> </w:t>
            </w:r>
            <w:r w:rsidRPr="004D6E58">
              <w:rPr>
                <w:bCs/>
              </w:rPr>
              <w:t xml:space="preserve">určeného výrobku na trhu. </w:t>
            </w:r>
          </w:p>
          <w:p w14:paraId="7A07153E" w14:textId="096381F0" w:rsidR="00D22CF6" w:rsidRPr="004D6E58" w:rsidRDefault="00D22CF6" w:rsidP="00D22CF6">
            <w:pPr>
              <w:jc w:val="both"/>
              <w:rPr>
                <w:bCs/>
              </w:rPr>
            </w:pPr>
            <w:r w:rsidRPr="004D6E58">
              <w:rPr>
                <w:bCs/>
              </w:rPr>
              <w:t>Zároveň žiadame predkladateľa, aby dopracoval Analýzu vplyvov na podnikateľské prostredie a</w:t>
            </w:r>
            <w:r w:rsidR="00D95C82">
              <w:rPr>
                <w:bCs/>
              </w:rPr>
              <w:t> </w:t>
            </w:r>
            <w:r w:rsidRPr="004D6E58">
              <w:rPr>
                <w:bCs/>
              </w:rPr>
              <w:t>vyčíslil</w:t>
            </w:r>
            <w:r w:rsidR="00D95C82">
              <w:rPr>
                <w:bCs/>
              </w:rPr>
              <w:t xml:space="preserve"> </w:t>
            </w:r>
            <w:r w:rsidRPr="004D6E58">
              <w:rPr>
                <w:bCs/>
              </w:rPr>
              <w:t>náklady na reguláciu spojenú s plnením povinnosti podnikateľských subjektov v</w:t>
            </w:r>
            <w:r w:rsidR="00D95C82">
              <w:rPr>
                <w:bCs/>
              </w:rPr>
              <w:t> </w:t>
            </w:r>
            <w:r w:rsidRPr="004D6E58">
              <w:rPr>
                <w:bCs/>
              </w:rPr>
              <w:t>zmysle</w:t>
            </w:r>
            <w:r w:rsidR="00D95C82">
              <w:rPr>
                <w:bCs/>
              </w:rPr>
              <w:t xml:space="preserve"> </w:t>
            </w:r>
            <w:r w:rsidRPr="004D6E58">
              <w:rPr>
                <w:bCs/>
              </w:rPr>
              <w:t>uvedeného zákona, a tiež celkové náklady regulácie, t. j. priame finančné náklady, napr. poplatky za autorizáciu rozhodnutí, nepriame finančné náklady spojené s povinnosťou plniť zákonné podmienky a administratívne náklady spojené s plnením informačných povinností, strpenia dohľadu a pod.</w:t>
            </w:r>
            <w:r>
              <w:rPr>
                <w:bCs/>
              </w:rPr>
              <w:t xml:space="preserve"> </w:t>
            </w:r>
            <w:r>
              <w:t xml:space="preserve">– </w:t>
            </w:r>
            <w:r w:rsidRPr="002B2700">
              <w:rPr>
                <w:i/>
                <w:u w:val="single"/>
              </w:rPr>
              <w:t>materiál bol podľa pripomienky upravený. V doložke vybraných vplyvov bol vyznačený negatívny vplyv na podnikateľské prostredie</w:t>
            </w:r>
            <w:r>
              <w:rPr>
                <w:i/>
                <w:u w:val="single"/>
              </w:rPr>
              <w:t>,</w:t>
            </w:r>
            <w:r w:rsidRPr="002B2700">
              <w:rPr>
                <w:i/>
                <w:u w:val="single"/>
              </w:rPr>
              <w:t xml:space="preserve"> a zároveň bola dopracovaná Analýza vplyvov na podnikateľské prostredie.</w:t>
            </w:r>
            <w:r w:rsidRPr="002B2700">
              <w:rPr>
                <w:u w:val="single"/>
              </w:rPr>
              <w:t xml:space="preserve"> </w:t>
            </w:r>
          </w:p>
          <w:p w14:paraId="7CC6D698" w14:textId="77777777" w:rsidR="00D22CF6" w:rsidRPr="004D6E58" w:rsidRDefault="00D22CF6" w:rsidP="00D22CF6">
            <w:pPr>
              <w:jc w:val="both"/>
              <w:rPr>
                <w:b/>
                <w:bCs/>
              </w:rPr>
            </w:pPr>
            <w:r w:rsidRPr="004D6E58">
              <w:rPr>
                <w:b/>
                <w:bCs/>
              </w:rPr>
              <w:t>K analýze vplyvov na rozpočet verejnej správy</w:t>
            </w:r>
          </w:p>
          <w:p w14:paraId="732374C9" w14:textId="77777777" w:rsidR="00D22CF6" w:rsidRDefault="00D22CF6" w:rsidP="00D22CF6">
            <w:pPr>
              <w:jc w:val="both"/>
              <w:rPr>
                <w:bCs/>
                <w:i/>
                <w:u w:val="single"/>
              </w:rPr>
            </w:pPr>
            <w:r w:rsidRPr="004D6E58">
              <w:rPr>
                <w:bCs/>
              </w:rPr>
              <w:t>Podľa doložky vybraných vplyvov má materiál negatívny vplyv na rozpočet verejnej správy, ktorý nie je rozpočtovo zabezpečený. Predkladateľ v analýze vplyvov žiada zvýšenie počtu zamestnancov o 1 osobu s</w:t>
            </w:r>
            <w:r>
              <w:rPr>
                <w:bCs/>
              </w:rPr>
              <w:t> </w:t>
            </w:r>
            <w:r w:rsidRPr="004D6E58">
              <w:rPr>
                <w:bCs/>
              </w:rPr>
              <w:t>osobnými</w:t>
            </w:r>
            <w:r>
              <w:rPr>
                <w:bCs/>
              </w:rPr>
              <w:t xml:space="preserve"> </w:t>
            </w:r>
            <w:r w:rsidRPr="004D6E58">
              <w:rPr>
                <w:bCs/>
              </w:rPr>
              <w:t>výdavkami 33 570 eur, z toho mzdy 24 876 eur v rokoch 2021 – 2023 každoročne. Financovanie predmetného návrhu žiadame zabezpečiť v rámci limitu počtu zamestnancov a limitu výdavkov kapitoly ÚNMS SR na príslušný rozpočtový rok</w:t>
            </w:r>
            <w:r>
              <w:rPr>
                <w:bCs/>
              </w:rPr>
              <w:t xml:space="preserve">. – </w:t>
            </w:r>
            <w:r w:rsidRPr="004D4495">
              <w:rPr>
                <w:bCs/>
                <w:i/>
                <w:u w:val="single"/>
              </w:rPr>
              <w:t>pripomienka</w:t>
            </w:r>
            <w:r>
              <w:rPr>
                <w:bCs/>
                <w:i/>
                <w:u w:val="single"/>
              </w:rPr>
              <w:t xml:space="preserve"> </w:t>
            </w:r>
            <w:r w:rsidRPr="004D4495">
              <w:rPr>
                <w:bCs/>
                <w:i/>
                <w:u w:val="single"/>
              </w:rPr>
              <w:t>bola akceptovaná,</w:t>
            </w:r>
            <w:r w:rsidRPr="004D4495">
              <w:rPr>
                <w:bCs/>
                <w:u w:val="single"/>
              </w:rPr>
              <w:t xml:space="preserve"> </w:t>
            </w:r>
            <w:r w:rsidRPr="004D4495">
              <w:rPr>
                <w:bCs/>
                <w:i/>
                <w:u w:val="single"/>
              </w:rPr>
              <w:t>úrad</w:t>
            </w:r>
            <w:r>
              <w:rPr>
                <w:bCs/>
                <w:i/>
                <w:u w:val="single"/>
              </w:rPr>
              <w:t xml:space="preserve"> v zmysle toho upravil analýzu vplyvov na rozpočet verejnej správy.</w:t>
            </w:r>
          </w:p>
          <w:p w14:paraId="32442EB1" w14:textId="2216A8AE" w:rsidR="00D22CF6" w:rsidRPr="004D6E58" w:rsidRDefault="00D22CF6" w:rsidP="00D22CF6">
            <w:pPr>
              <w:jc w:val="both"/>
              <w:rPr>
                <w:bCs/>
              </w:rPr>
            </w:pPr>
            <w:r w:rsidRPr="00616571">
              <w:rPr>
                <w:bCs/>
              </w:rPr>
              <w:t>Nadväzne na rokovanie o návrhu rozpočtu kapitoly ÚNMS SR pre roky 2021 – 2023, MF SR dňa 2.10.2020 oznámilo ÚNMS SR, že nový limit počtu zamestnancov aparátu ÚNMS SR pre rok 2021, na základe čoho došlo k 10 % viazaniu limitu zamestnancov (pokles o 10 zamestnancov) a súčasne s tým k navýšeniu počtu zamestnancov aparátu o 1 zamestnanca v</w:t>
            </w:r>
            <w:r w:rsidR="00D95C82">
              <w:rPr>
                <w:bCs/>
              </w:rPr>
              <w:t> </w:t>
            </w:r>
            <w:r w:rsidRPr="00616571">
              <w:rPr>
                <w:bCs/>
              </w:rPr>
              <w:t>súvislosti</w:t>
            </w:r>
            <w:r w:rsidR="00D95C82">
              <w:rPr>
                <w:bCs/>
              </w:rPr>
              <w:t xml:space="preserve"> </w:t>
            </w:r>
            <w:r w:rsidRPr="00616571">
              <w:rPr>
                <w:bCs/>
              </w:rPr>
              <w:t xml:space="preserve">s dopadom novely zákona </w:t>
            </w:r>
            <w:r w:rsidR="002F69ED">
              <w:rPr>
                <w:bCs/>
              </w:rPr>
              <w:t>č. </w:t>
            </w:r>
            <w:r w:rsidRPr="00616571">
              <w:rPr>
                <w:bCs/>
              </w:rPr>
              <w:t xml:space="preserve">56/2018 </w:t>
            </w:r>
            <w:r w:rsidR="002F69ED">
              <w:rPr>
                <w:bCs/>
              </w:rPr>
              <w:t>Z. z.</w:t>
            </w:r>
            <w:r w:rsidRPr="00616571">
              <w:rPr>
                <w:bCs/>
              </w:rPr>
              <w:t xml:space="preserve"> o posudzovaní zhody výrobku. Po týchto úpravách limit počtu zamestnancov aparátu ÚNMS SR je 88, ktorý bol schválený uznesením vlády SR </w:t>
            </w:r>
            <w:r w:rsidR="002F69ED">
              <w:rPr>
                <w:bCs/>
              </w:rPr>
              <w:t>č. </w:t>
            </w:r>
            <w:r w:rsidRPr="00616571">
              <w:rPr>
                <w:bCs/>
              </w:rPr>
              <w:t xml:space="preserve">649/2020 (viď príloha </w:t>
            </w:r>
            <w:r w:rsidR="002F69ED">
              <w:rPr>
                <w:bCs/>
              </w:rPr>
              <w:t>č. </w:t>
            </w:r>
            <w:r w:rsidRPr="00616571">
              <w:rPr>
                <w:bCs/>
              </w:rPr>
              <w:t>1 k uzneseniu vlády) zo 14. októbra 2020 k</w:t>
            </w:r>
            <w:r w:rsidR="00D95C82">
              <w:rPr>
                <w:bCs/>
              </w:rPr>
              <w:t> </w:t>
            </w:r>
            <w:r w:rsidRPr="00616571">
              <w:rPr>
                <w:bCs/>
              </w:rPr>
              <w:t>návrhu</w:t>
            </w:r>
            <w:r w:rsidR="00D95C82">
              <w:rPr>
                <w:bCs/>
              </w:rPr>
              <w:t xml:space="preserve"> </w:t>
            </w:r>
            <w:r w:rsidRPr="00616571">
              <w:rPr>
                <w:bCs/>
              </w:rPr>
              <w:t>rozpočtu verejnej správy na roky 2021 až 2023.</w:t>
            </w:r>
          </w:p>
          <w:p w14:paraId="7CC016E3" w14:textId="77777777" w:rsidR="00D22CF6" w:rsidRPr="004D6E58" w:rsidRDefault="00D22CF6" w:rsidP="00D22CF6">
            <w:pPr>
              <w:jc w:val="both"/>
              <w:rPr>
                <w:b/>
                <w:bCs/>
              </w:rPr>
            </w:pPr>
            <w:r w:rsidRPr="004D6E58">
              <w:rPr>
                <w:b/>
                <w:bCs/>
              </w:rPr>
              <w:t>K analýze vplyvov na informatizáciu spoločnosti</w:t>
            </w:r>
          </w:p>
          <w:p w14:paraId="703AF374" w14:textId="76EDF6EF" w:rsidR="00D22CF6" w:rsidRDefault="00D22CF6" w:rsidP="00D22CF6">
            <w:pPr>
              <w:jc w:val="both"/>
              <w:rPr>
                <w:u w:val="single"/>
              </w:rPr>
            </w:pPr>
            <w:r w:rsidRPr="004D6E58">
              <w:rPr>
                <w:bCs/>
              </w:rPr>
              <w:t xml:space="preserve">Komisia žiada doplniť analýzu vplyvov v zmysle metodiky a s poukazom na </w:t>
            </w:r>
            <w:r w:rsidR="002F69ED">
              <w:rPr>
                <w:bCs/>
              </w:rPr>
              <w:t>§ </w:t>
            </w:r>
            <w:r w:rsidRPr="004D6E58">
              <w:rPr>
                <w:bCs/>
              </w:rPr>
              <w:t xml:space="preserve">12 ods. 1 písm. b) zákona </w:t>
            </w:r>
            <w:r w:rsidR="002F69ED">
              <w:rPr>
                <w:bCs/>
              </w:rPr>
              <w:t>č. </w:t>
            </w:r>
            <w:r w:rsidRPr="004D6E58">
              <w:rPr>
                <w:bCs/>
              </w:rPr>
              <w:t xml:space="preserve">95/2019 </w:t>
            </w:r>
            <w:r w:rsidR="002F69ED">
              <w:rPr>
                <w:bCs/>
              </w:rPr>
              <w:t>Z. z.</w:t>
            </w:r>
            <w:r w:rsidRPr="004D6E58">
              <w:rPr>
                <w:bCs/>
              </w:rPr>
              <w:t xml:space="preserve"> o informačných technológiách vo verejnej správe ..., kedy aj </w:t>
            </w:r>
            <w:r w:rsidRPr="004D6E58">
              <w:rPr>
                <w:bCs/>
              </w:rPr>
              <w:lastRenderedPageBreak/>
              <w:t xml:space="preserve">plánované služby/systémy treba zapisovať do </w:t>
            </w:r>
            <w:proofErr w:type="spellStart"/>
            <w:r w:rsidRPr="004D6E58">
              <w:rPr>
                <w:bCs/>
              </w:rPr>
              <w:t>MetaIS</w:t>
            </w:r>
            <w:proofErr w:type="spellEnd"/>
            <w:r>
              <w:rPr>
                <w:bCs/>
              </w:rPr>
              <w:t xml:space="preserve">. </w:t>
            </w:r>
            <w:r>
              <w:t xml:space="preserve">– </w:t>
            </w:r>
            <w:r w:rsidRPr="002B2700">
              <w:rPr>
                <w:i/>
                <w:u w:val="single"/>
              </w:rPr>
              <w:t>materiál bol podľa pripomienky upravený</w:t>
            </w:r>
            <w:r w:rsidRPr="002B2700">
              <w:rPr>
                <w:u w:val="single"/>
              </w:rPr>
              <w:t>.</w:t>
            </w:r>
          </w:p>
          <w:p w14:paraId="209AA60C" w14:textId="77777777" w:rsidR="00D22CF6" w:rsidRDefault="00D22CF6" w:rsidP="00D22CF6">
            <w:pPr>
              <w:jc w:val="both"/>
              <w:rPr>
                <w:bCs/>
              </w:rPr>
            </w:pPr>
            <w:r>
              <w:t xml:space="preserve">Materiál bol odoslaný na </w:t>
            </w:r>
            <w:r w:rsidRPr="00B05EE0">
              <w:rPr>
                <w:b/>
              </w:rPr>
              <w:t>záverečné posúdenie</w:t>
            </w:r>
            <w:r>
              <w:t xml:space="preserve"> </w:t>
            </w:r>
            <w:r w:rsidRPr="00B05EE0">
              <w:rPr>
                <w:b/>
              </w:rPr>
              <w:t>vplyvov</w:t>
            </w:r>
            <w:r>
              <w:t>, ku ktorému</w:t>
            </w:r>
            <w:r w:rsidRPr="00F26C06">
              <w:t xml:space="preserve"> </w:t>
            </w:r>
            <w:r w:rsidRPr="004D6E58">
              <w:rPr>
                <w:bCs/>
              </w:rPr>
              <w:t>Stála pracovná komisia na posudzovanie vybraných vplyvov vyjadr</w:t>
            </w:r>
            <w:r>
              <w:rPr>
                <w:bCs/>
              </w:rPr>
              <w:t xml:space="preserve">ila k návrhu zákona </w:t>
            </w:r>
            <w:r w:rsidRPr="0051069E">
              <w:rPr>
                <w:bCs/>
              </w:rPr>
              <w:t xml:space="preserve">súhlasné stanovisko s návrhom na dopracovanie: </w:t>
            </w:r>
          </w:p>
          <w:p w14:paraId="67E0EC67" w14:textId="77777777" w:rsidR="00D22CF6" w:rsidRPr="00355006" w:rsidRDefault="00D22CF6" w:rsidP="00D22CF6">
            <w:pPr>
              <w:jc w:val="both"/>
              <w:rPr>
                <w:bCs/>
              </w:rPr>
            </w:pPr>
            <w:r w:rsidRPr="00355006">
              <w:rPr>
                <w:bCs/>
              </w:rPr>
              <w:t>K vplyvom na podnikateľské prostredie</w:t>
            </w:r>
            <w:r>
              <w:rPr>
                <w:bCs/>
              </w:rPr>
              <w:t xml:space="preserve">: </w:t>
            </w:r>
            <w:r w:rsidRPr="00355006">
              <w:rPr>
                <w:bCs/>
              </w:rPr>
              <w:t>Komisia odporúča, aby predkladateľ v dodatočne zaslanej Analýze vplyvov na podnikateľské prostredie, v bode 3.3.4. v Súhrnnej tabuľke nákladov  v stĺpci „Náklady na celé podnikateľské prostredie“ vyznačil pri administratívnych nákl</w:t>
            </w:r>
            <w:r>
              <w:rPr>
                <w:bCs/>
              </w:rPr>
              <w:t xml:space="preserve">adoch a celkových nákladoch N/A- </w:t>
            </w:r>
            <w:r w:rsidRPr="0051069E">
              <w:rPr>
                <w:i/>
                <w:u w:val="single"/>
              </w:rPr>
              <w:t>Materiál bol podľa pripomienok upravený. Analýzy vplyvov na podnikateľské prostredie bola upravená.</w:t>
            </w:r>
          </w:p>
          <w:p w14:paraId="3ADA27A6" w14:textId="77777777" w:rsidR="00D22CF6" w:rsidRDefault="00D22CF6" w:rsidP="00D22CF6">
            <w:pPr>
              <w:jc w:val="both"/>
              <w:rPr>
                <w:i/>
                <w:u w:val="single"/>
              </w:rPr>
            </w:pPr>
            <w:r w:rsidRPr="00355006">
              <w:rPr>
                <w:bCs/>
              </w:rPr>
              <w:t>K vplyvom na informatizáciu</w:t>
            </w:r>
            <w:r>
              <w:rPr>
                <w:bCs/>
              </w:rPr>
              <w:t xml:space="preserve">: </w:t>
            </w:r>
            <w:r w:rsidRPr="00355006">
              <w:rPr>
                <w:bCs/>
              </w:rPr>
              <w:t>Komisia súhlasí s tvrdením predkladateľa, že predložený materiál má vplyv na informatizáciu spoločnosti. Do kolónky pre názov služby v bode 6.1. analýzy vplyvov na informatizáciu spoločnosti sa uvádza iba názov služby, ktorý je uvedený aj v</w:t>
            </w:r>
            <w:r>
              <w:rPr>
                <w:bCs/>
              </w:rPr>
              <w:t> </w:t>
            </w:r>
            <w:proofErr w:type="spellStart"/>
            <w:r w:rsidRPr="00355006">
              <w:rPr>
                <w:bCs/>
              </w:rPr>
              <w:t>MetaIS</w:t>
            </w:r>
            <w:proofErr w:type="spellEnd"/>
            <w:r>
              <w:rPr>
                <w:bCs/>
              </w:rPr>
              <w:t xml:space="preserve"> - </w:t>
            </w:r>
            <w:r w:rsidRPr="0051069E">
              <w:rPr>
                <w:i/>
                <w:u w:val="single"/>
              </w:rPr>
              <w:t>Materiál bol podľa pripomienok upravený. Analýza vplyvov na podnikateľské prostredie bola upravená.</w:t>
            </w:r>
          </w:p>
          <w:p w14:paraId="5E2FEB49" w14:textId="77777777" w:rsidR="00D22CF6" w:rsidRPr="00573A7A" w:rsidRDefault="00D22CF6" w:rsidP="00D22CF6">
            <w:pPr>
              <w:jc w:val="both"/>
              <w:rPr>
                <w:bCs/>
              </w:rPr>
            </w:pPr>
            <w:r w:rsidRPr="00F26C06">
              <w:t xml:space="preserve">Dňa 7. 4. 2021 bolo doručené </w:t>
            </w:r>
            <w:r w:rsidRPr="003335A4">
              <w:rPr>
                <w:b/>
              </w:rPr>
              <w:t>súhlasné stanovisko komisie pre posudzovanie vybraných vplyvov</w:t>
            </w:r>
            <w:r w:rsidRPr="00F26C06">
              <w:t xml:space="preserve">, kde boli uvedené </w:t>
            </w:r>
            <w:r>
              <w:t>ešte dve p</w:t>
            </w:r>
            <w:r w:rsidRPr="00F26C06">
              <w:t>ripomienky k návrhu zákona, ktoré sú v návrhu zapracované.</w:t>
            </w:r>
          </w:p>
        </w:tc>
      </w:tr>
    </w:tbl>
    <w:p w14:paraId="27C4B2F6" w14:textId="19482109" w:rsidR="00D22CF6" w:rsidRDefault="00D22CF6" w:rsidP="00D22CF6"/>
    <w:tbl>
      <w:tblPr>
        <w:tblStyle w:val="Mriekatabuky"/>
        <w:tblW w:w="0" w:type="auto"/>
        <w:tblLook w:val="04A0" w:firstRow="1" w:lastRow="0" w:firstColumn="1" w:lastColumn="0" w:noHBand="0" w:noVBand="1"/>
      </w:tblPr>
      <w:tblGrid>
        <w:gridCol w:w="9062"/>
      </w:tblGrid>
      <w:tr w:rsidR="00D22CF6" w:rsidRPr="00F04CCD" w14:paraId="02D7B382" w14:textId="77777777" w:rsidTr="00D22CF6">
        <w:trPr>
          <w:trHeight w:val="567"/>
        </w:trPr>
        <w:tc>
          <w:tcPr>
            <w:tcW w:w="9212" w:type="dxa"/>
            <w:shd w:val="clear" w:color="auto" w:fill="D9D9D9" w:themeFill="background1" w:themeFillShade="D9"/>
          </w:tcPr>
          <w:p w14:paraId="1C493C76" w14:textId="77777777" w:rsidR="00D22CF6" w:rsidRPr="00042C66" w:rsidRDefault="00D22CF6" w:rsidP="00D22CF6">
            <w:pPr>
              <w:jc w:val="center"/>
              <w:rPr>
                <w:b/>
              </w:rPr>
            </w:pPr>
            <w:r w:rsidRPr="008A1252">
              <w:rPr>
                <w:b/>
                <w:sz w:val="28"/>
              </w:rPr>
              <w:t xml:space="preserve">Analýza </w:t>
            </w:r>
            <w:r>
              <w:rPr>
                <w:b/>
                <w:sz w:val="28"/>
              </w:rPr>
              <w:t>v</w:t>
            </w:r>
            <w:r w:rsidRPr="00042C66">
              <w:rPr>
                <w:b/>
                <w:sz w:val="28"/>
              </w:rPr>
              <w:t>plyv</w:t>
            </w:r>
            <w:r>
              <w:rPr>
                <w:b/>
                <w:sz w:val="28"/>
              </w:rPr>
              <w:t>ov</w:t>
            </w:r>
            <w:r w:rsidRPr="00042C66">
              <w:rPr>
                <w:b/>
                <w:sz w:val="28"/>
              </w:rPr>
              <w:t xml:space="preserve"> na podnikateľské prostredie </w:t>
            </w:r>
          </w:p>
          <w:p w14:paraId="40A130BE" w14:textId="77777777" w:rsidR="00D22CF6" w:rsidRPr="00F04CCD" w:rsidRDefault="00D22CF6" w:rsidP="00D22CF6">
            <w:pPr>
              <w:jc w:val="center"/>
              <w:rPr>
                <w:b/>
              </w:rPr>
            </w:pPr>
            <w:r w:rsidRPr="00042C66">
              <w:rPr>
                <w:b/>
              </w:rPr>
              <w:t xml:space="preserve">(vrátane </w:t>
            </w:r>
            <w:r>
              <w:rPr>
                <w:b/>
              </w:rPr>
              <w:t xml:space="preserve">testu </w:t>
            </w:r>
            <w:r w:rsidRPr="00042C66">
              <w:rPr>
                <w:b/>
              </w:rPr>
              <w:t>MSP)</w:t>
            </w:r>
          </w:p>
        </w:tc>
      </w:tr>
      <w:tr w:rsidR="00D22CF6" w:rsidRPr="00F04CCD" w14:paraId="4199E9CF" w14:textId="77777777" w:rsidTr="00D22CF6">
        <w:trPr>
          <w:trHeight w:val="567"/>
        </w:trPr>
        <w:tc>
          <w:tcPr>
            <w:tcW w:w="9212" w:type="dxa"/>
            <w:shd w:val="clear" w:color="auto" w:fill="D9D9D9" w:themeFill="background1" w:themeFillShade="D9"/>
          </w:tcPr>
          <w:p w14:paraId="280E2478" w14:textId="77777777" w:rsidR="00D22CF6" w:rsidRPr="00042C66" w:rsidRDefault="00D22CF6" w:rsidP="00D22CF6">
            <w:pPr>
              <w:rPr>
                <w:b/>
              </w:rPr>
            </w:pPr>
            <w:r w:rsidRPr="00042C66">
              <w:rPr>
                <w:b/>
              </w:rPr>
              <w:t>Materiál bude mať vplyv s ohľadom na veľkostnú kategóriu podnikov:</w:t>
            </w:r>
          </w:p>
        </w:tc>
      </w:tr>
      <w:tr w:rsidR="00D22CF6" w:rsidRPr="00F04CCD" w14:paraId="3557F6AE" w14:textId="77777777" w:rsidTr="00D22CF6">
        <w:trPr>
          <w:trHeight w:val="567"/>
        </w:trPr>
        <w:tc>
          <w:tcPr>
            <w:tcW w:w="9212" w:type="dxa"/>
            <w:shd w:val="clear" w:color="auto" w:fill="auto"/>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90"/>
            </w:tblGrid>
            <w:tr w:rsidR="00D22CF6" w:rsidRPr="00F04CCD" w14:paraId="45F91037" w14:textId="77777777" w:rsidTr="00D22CF6">
              <w:sdt>
                <w:sdtPr>
                  <w:id w:val="43339831"/>
                  <w14:checkbox>
                    <w14:checked w14:val="0"/>
                    <w14:checkedState w14:val="2612" w14:font="MS Gothic"/>
                    <w14:uncheckedState w14:val="2610" w14:font="MS Gothic"/>
                  </w14:checkbox>
                </w:sdtPr>
                <w:sdtEndPr/>
                <w:sdtContent>
                  <w:tc>
                    <w:tcPr>
                      <w:tcW w:w="436" w:type="dxa"/>
                    </w:tcPr>
                    <w:p w14:paraId="48AB8F5A" w14:textId="77777777" w:rsidR="00D22CF6" w:rsidRPr="00F04CCD" w:rsidRDefault="00D22CF6" w:rsidP="00D22CF6">
                      <w:pPr>
                        <w:jc w:val="center"/>
                      </w:pPr>
                      <w:r w:rsidRPr="00F04CCD">
                        <w:rPr>
                          <w:rFonts w:ascii="MS Mincho" w:eastAsia="MS Mincho" w:hAnsi="MS Mincho" w:cs="MS Mincho" w:hint="eastAsia"/>
                        </w:rPr>
                        <w:t>☐</w:t>
                      </w:r>
                    </w:p>
                  </w:tc>
                </w:sdtContent>
              </w:sdt>
              <w:tc>
                <w:tcPr>
                  <w:tcW w:w="8545" w:type="dxa"/>
                </w:tcPr>
                <w:p w14:paraId="78A751C6" w14:textId="77777777" w:rsidR="00D22CF6" w:rsidRPr="00F04CCD" w:rsidRDefault="00D22CF6" w:rsidP="00D22CF6">
                  <w:pPr>
                    <w:rPr>
                      <w:b/>
                    </w:rPr>
                  </w:pPr>
                  <w:r w:rsidRPr="00F04CCD">
                    <w:rPr>
                      <w:b/>
                    </w:rPr>
                    <w:t xml:space="preserve">iba na MSP (0 - 249 zamestnancov) </w:t>
                  </w:r>
                </w:p>
              </w:tc>
            </w:tr>
            <w:tr w:rsidR="00D22CF6" w:rsidRPr="00F04CCD" w14:paraId="163A014A" w14:textId="77777777" w:rsidTr="00D22CF6">
              <w:sdt>
                <w:sdtPr>
                  <w:id w:val="-79453833"/>
                  <w14:checkbox>
                    <w14:checked w14:val="0"/>
                    <w14:checkedState w14:val="2612" w14:font="MS Gothic"/>
                    <w14:uncheckedState w14:val="2610" w14:font="MS Gothic"/>
                  </w14:checkbox>
                </w:sdtPr>
                <w:sdtEndPr/>
                <w:sdtContent>
                  <w:tc>
                    <w:tcPr>
                      <w:tcW w:w="436" w:type="dxa"/>
                    </w:tcPr>
                    <w:p w14:paraId="7EEFEE69" w14:textId="77777777" w:rsidR="00D22CF6" w:rsidRPr="00F04CCD" w:rsidRDefault="00D22CF6" w:rsidP="00D22CF6">
                      <w:pPr>
                        <w:jc w:val="center"/>
                      </w:pPr>
                      <w:r w:rsidRPr="00F04CCD">
                        <w:rPr>
                          <w:rFonts w:ascii="MS Mincho" w:eastAsia="MS Mincho" w:hAnsi="MS Mincho" w:cs="MS Mincho" w:hint="eastAsia"/>
                        </w:rPr>
                        <w:t>☐</w:t>
                      </w:r>
                    </w:p>
                  </w:tc>
                </w:sdtContent>
              </w:sdt>
              <w:tc>
                <w:tcPr>
                  <w:tcW w:w="8545" w:type="dxa"/>
                </w:tcPr>
                <w:p w14:paraId="559A2994" w14:textId="77777777" w:rsidR="00D22CF6" w:rsidRPr="00F04CCD" w:rsidRDefault="00D22CF6" w:rsidP="00D22CF6">
                  <w:pPr>
                    <w:rPr>
                      <w:b/>
                    </w:rPr>
                  </w:pPr>
                  <w:r w:rsidRPr="00F04CCD">
                    <w:rPr>
                      <w:b/>
                    </w:rPr>
                    <w:t>iba na veľké podniky (250 a viac zamestnancov)</w:t>
                  </w:r>
                </w:p>
              </w:tc>
            </w:tr>
            <w:tr w:rsidR="00D22CF6" w:rsidRPr="00F04CCD" w14:paraId="5C2F6A97" w14:textId="77777777" w:rsidTr="00D22CF6">
              <w:sdt>
                <w:sdtPr>
                  <w:id w:val="1290634502"/>
                  <w14:checkbox>
                    <w14:checked w14:val="1"/>
                    <w14:checkedState w14:val="2612" w14:font="MS Gothic"/>
                    <w14:uncheckedState w14:val="2610" w14:font="MS Gothic"/>
                  </w14:checkbox>
                </w:sdtPr>
                <w:sdtEndPr/>
                <w:sdtContent>
                  <w:tc>
                    <w:tcPr>
                      <w:tcW w:w="436" w:type="dxa"/>
                    </w:tcPr>
                    <w:p w14:paraId="4A502449" w14:textId="77777777" w:rsidR="00D22CF6" w:rsidRPr="00F04CCD" w:rsidRDefault="00D22CF6" w:rsidP="00D22CF6">
                      <w:pPr>
                        <w:jc w:val="center"/>
                      </w:pPr>
                      <w:r>
                        <w:rPr>
                          <w:rFonts w:ascii="MS Gothic" w:eastAsia="MS Gothic" w:hAnsi="MS Gothic" w:hint="eastAsia"/>
                        </w:rPr>
                        <w:t>☒</w:t>
                      </w:r>
                    </w:p>
                  </w:tc>
                </w:sdtContent>
              </w:sdt>
              <w:tc>
                <w:tcPr>
                  <w:tcW w:w="8545" w:type="dxa"/>
                </w:tcPr>
                <w:p w14:paraId="7F8CEB64" w14:textId="77777777" w:rsidR="00D22CF6" w:rsidRPr="00F04CCD" w:rsidRDefault="00D22CF6" w:rsidP="00D22CF6">
                  <w:r w:rsidRPr="00F04CCD">
                    <w:rPr>
                      <w:b/>
                    </w:rPr>
                    <w:t xml:space="preserve">na všetky </w:t>
                  </w:r>
                  <w:r>
                    <w:rPr>
                      <w:b/>
                    </w:rPr>
                    <w:t>kategórie</w:t>
                  </w:r>
                  <w:r w:rsidRPr="00F04CCD">
                    <w:rPr>
                      <w:b/>
                    </w:rPr>
                    <w:t xml:space="preserve"> podnikov</w:t>
                  </w:r>
                </w:p>
              </w:tc>
            </w:tr>
          </w:tbl>
          <w:p w14:paraId="22190816" w14:textId="77777777" w:rsidR="00D22CF6" w:rsidRPr="00F04CCD" w:rsidRDefault="00D22CF6" w:rsidP="00D22CF6">
            <w:pPr>
              <w:rPr>
                <w:b/>
              </w:rPr>
            </w:pPr>
          </w:p>
        </w:tc>
      </w:tr>
      <w:tr w:rsidR="00D22CF6" w:rsidRPr="00F04CCD" w14:paraId="13261A1C" w14:textId="77777777" w:rsidTr="00D22CF6">
        <w:tc>
          <w:tcPr>
            <w:tcW w:w="9212" w:type="dxa"/>
            <w:shd w:val="clear" w:color="auto" w:fill="D9D9D9" w:themeFill="background1" w:themeFillShade="D9"/>
          </w:tcPr>
          <w:p w14:paraId="0A9F3E04" w14:textId="77777777" w:rsidR="00D22CF6" w:rsidRPr="00042C66" w:rsidRDefault="00D22CF6" w:rsidP="00D22CF6">
            <w:pPr>
              <w:rPr>
                <w:b/>
              </w:rPr>
            </w:pPr>
            <w:r>
              <w:rPr>
                <w:b/>
              </w:rPr>
              <w:t>3</w:t>
            </w:r>
            <w:r w:rsidRPr="00042C66">
              <w:rPr>
                <w:b/>
              </w:rPr>
              <w:t>.1 Dotknuté podnikateľské subjekty</w:t>
            </w:r>
          </w:p>
          <w:p w14:paraId="1A1AD9E6" w14:textId="77777777" w:rsidR="00D22CF6" w:rsidRPr="00F04CCD" w:rsidRDefault="00D22CF6" w:rsidP="00D22CF6">
            <w:pPr>
              <w:ind w:left="284"/>
              <w:rPr>
                <w:b/>
              </w:rPr>
            </w:pPr>
            <w:r w:rsidRPr="00042C66">
              <w:t xml:space="preserve"> - </w:t>
            </w:r>
            <w:r w:rsidRPr="00042C66">
              <w:rPr>
                <w:b/>
              </w:rPr>
              <w:t>z toho MSP</w:t>
            </w:r>
          </w:p>
        </w:tc>
      </w:tr>
      <w:tr w:rsidR="00D22CF6" w:rsidRPr="00F04CCD" w14:paraId="48468252" w14:textId="77777777" w:rsidTr="00D22CF6">
        <w:tc>
          <w:tcPr>
            <w:tcW w:w="9212" w:type="dxa"/>
            <w:tcBorders>
              <w:bottom w:val="single" w:sz="4" w:space="0" w:color="auto"/>
            </w:tcBorders>
          </w:tcPr>
          <w:p w14:paraId="37C45793" w14:textId="77777777" w:rsidR="00D22CF6" w:rsidRPr="00F04CCD" w:rsidRDefault="00D22CF6" w:rsidP="00D22CF6">
            <w:pPr>
              <w:rPr>
                <w:i/>
              </w:rPr>
            </w:pPr>
            <w:r w:rsidRPr="00F04CCD">
              <w:rPr>
                <w:i/>
              </w:rPr>
              <w:t>Uveďte, aké podnikateľské subjekty budú predkladaným návrhom ovplyvnené.</w:t>
            </w:r>
          </w:p>
          <w:p w14:paraId="02606D1C" w14:textId="77777777" w:rsidR="00D22CF6" w:rsidRPr="00F04CCD" w:rsidRDefault="00D22CF6" w:rsidP="00D22CF6">
            <w:pPr>
              <w:rPr>
                <w:i/>
              </w:rPr>
            </w:pPr>
            <w:r w:rsidRPr="00F04CCD">
              <w:rPr>
                <w:i/>
              </w:rPr>
              <w:t>Aký je ich počet?</w:t>
            </w:r>
          </w:p>
        </w:tc>
      </w:tr>
      <w:tr w:rsidR="00D22CF6" w:rsidRPr="00F04CCD" w14:paraId="168C195A" w14:textId="77777777" w:rsidTr="00D22CF6">
        <w:trPr>
          <w:trHeight w:val="1440"/>
        </w:trPr>
        <w:tc>
          <w:tcPr>
            <w:tcW w:w="9212" w:type="dxa"/>
            <w:tcBorders>
              <w:bottom w:val="single" w:sz="4" w:space="0" w:color="auto"/>
            </w:tcBorders>
          </w:tcPr>
          <w:p w14:paraId="540251A4" w14:textId="0EC7ED55" w:rsidR="00D22CF6" w:rsidRDefault="00D22CF6" w:rsidP="00D22CF6">
            <w:pPr>
              <w:jc w:val="both"/>
            </w:pPr>
            <w:r w:rsidRPr="00EA7B6E">
              <w:t xml:space="preserve">Návrh zákona, </w:t>
            </w:r>
            <w:r w:rsidRPr="001A16EE">
              <w:t xml:space="preserve">ktorým sa mení a dopĺňa zákon </w:t>
            </w:r>
            <w:r w:rsidR="002F69ED">
              <w:t>č. </w:t>
            </w:r>
            <w:r w:rsidRPr="001A16EE">
              <w:t xml:space="preserve">56/2018 </w:t>
            </w:r>
            <w:r w:rsidR="002F69ED">
              <w:t>Z. z.</w:t>
            </w:r>
            <w:r w:rsidRPr="001A16EE">
              <w:t xml:space="preserve"> o posudzovaní zhody výrobku, sprístupňovaní určeného výrobku na trhu a o zmene a doplnení niektorých zákonov a ktorým sa menia a dopĺňajú niektoré zákony </w:t>
            </w:r>
            <w:r>
              <w:t>(ďalej len „návrh zákona“) bude mať vplyv na špecifické odvetvie hospodárstva - výrobcov, splnomocnených zástupcov, dovozcov a</w:t>
            </w:r>
            <w:r w:rsidR="00D95C82">
              <w:t> </w:t>
            </w:r>
            <w:r>
              <w:t>distribútorov</w:t>
            </w:r>
            <w:r w:rsidR="00D95C82">
              <w:t xml:space="preserve"> </w:t>
            </w:r>
            <w:r>
              <w:t>určených výrobkov (ďalej len „hospodársky subjekt“) pri ich sprístupňovaní na trhu.</w:t>
            </w:r>
          </w:p>
          <w:p w14:paraId="7802E6DA" w14:textId="77777777" w:rsidR="00D22CF6" w:rsidRDefault="00D22CF6" w:rsidP="00D22CF6">
            <w:pPr>
              <w:jc w:val="both"/>
            </w:pPr>
          </w:p>
          <w:p w14:paraId="225F3714" w14:textId="77777777" w:rsidR="00D22CF6" w:rsidRDefault="00D22CF6" w:rsidP="00D22CF6">
            <w:pPr>
              <w:jc w:val="both"/>
            </w:pPr>
            <w:r>
              <w:t xml:space="preserve">Počet výrobcov a splnomocnených zástupcov výrobcov podľa štatistickej klasifikácie ekonomických činností SK NACE je cca 900. Približný počet všetkých hospodárskych subjektov nie je možné presne odhadnúť, nakoľko všeobecne záväzných právnych predpisov ustanovujúcich kategórie určených výrobkov je asi 30 výrobkových skupín. Presný počet splnomocnených zástupcov sa nedá určiť, nakoľko ich splnomocňujú výrobcovia na základe dvojstranného právneho vzťahu podľa súkromného práva.    </w:t>
            </w:r>
          </w:p>
          <w:p w14:paraId="44965AF3" w14:textId="77777777" w:rsidR="00D22CF6" w:rsidRDefault="00D22CF6" w:rsidP="00D22CF6">
            <w:pPr>
              <w:jc w:val="both"/>
            </w:pPr>
            <w:r>
              <w:t>Počet dovozcov a distribútorov elektrických zariadení nemožno určiť z dôvodu, že túto činnosť možno vykonávať na základe voľného živnostenského oprávnenia (kúpa tovaru na účely jeho predaja konečnému spotrebiteľovi (maloobchod) alebo iným prevádzkovateľom živnosti (veľkoobchod), z takto uvedeného predmetu činnosti nie je možné určiť, či ide alebo nejde o sprístupňovanie určených výrobkov na trhu v zmysle návrhu zákona.</w:t>
            </w:r>
          </w:p>
          <w:p w14:paraId="4EFA92A3" w14:textId="77777777" w:rsidR="00D95C82" w:rsidRDefault="00D95C82" w:rsidP="00D22CF6">
            <w:pPr>
              <w:jc w:val="both"/>
            </w:pPr>
          </w:p>
          <w:p w14:paraId="39D0B3BD" w14:textId="572C064D" w:rsidR="00D95C82" w:rsidRPr="00B65087" w:rsidRDefault="00D95C82" w:rsidP="00D22CF6">
            <w:pPr>
              <w:jc w:val="both"/>
            </w:pPr>
          </w:p>
        </w:tc>
      </w:tr>
      <w:tr w:rsidR="00D22CF6" w:rsidRPr="00F04CCD" w14:paraId="429CE656" w14:textId="77777777" w:rsidTr="00D22CF6">
        <w:trPr>
          <w:trHeight w:val="339"/>
        </w:trPr>
        <w:tc>
          <w:tcPr>
            <w:tcW w:w="9212" w:type="dxa"/>
            <w:tcBorders>
              <w:bottom w:val="single" w:sz="4" w:space="0" w:color="auto"/>
            </w:tcBorders>
            <w:shd w:val="clear" w:color="auto" w:fill="D9D9D9" w:themeFill="background1" w:themeFillShade="D9"/>
          </w:tcPr>
          <w:p w14:paraId="17B5544F" w14:textId="77777777" w:rsidR="00D22CF6" w:rsidRPr="00042C66" w:rsidRDefault="00D22CF6" w:rsidP="00D22CF6">
            <w:pPr>
              <w:rPr>
                <w:b/>
              </w:rPr>
            </w:pPr>
            <w:r>
              <w:rPr>
                <w:b/>
              </w:rPr>
              <w:lastRenderedPageBreak/>
              <w:t>3</w:t>
            </w:r>
            <w:r w:rsidRPr="00042C66">
              <w:rPr>
                <w:b/>
              </w:rPr>
              <w:t>.2 Vyhodnotenie konzultácií</w:t>
            </w:r>
          </w:p>
          <w:p w14:paraId="22702089" w14:textId="77777777" w:rsidR="00D22CF6" w:rsidRPr="00F04CCD" w:rsidRDefault="00D22CF6" w:rsidP="00D22CF6">
            <w:pPr>
              <w:rPr>
                <w:b/>
              </w:rPr>
            </w:pPr>
            <w:r w:rsidRPr="00042C66">
              <w:t xml:space="preserve">       - </w:t>
            </w:r>
            <w:r w:rsidRPr="00042C66">
              <w:rPr>
                <w:b/>
              </w:rPr>
              <w:t>z toho MSP</w:t>
            </w:r>
          </w:p>
        </w:tc>
      </w:tr>
      <w:tr w:rsidR="00D22CF6" w:rsidRPr="00F04CCD" w14:paraId="62F628BE" w14:textId="77777777" w:rsidTr="00D22CF6">
        <w:trPr>
          <w:trHeight w:val="557"/>
        </w:trPr>
        <w:tc>
          <w:tcPr>
            <w:tcW w:w="9212" w:type="dxa"/>
            <w:tcBorders>
              <w:bottom w:val="single" w:sz="4" w:space="0" w:color="auto"/>
            </w:tcBorders>
          </w:tcPr>
          <w:p w14:paraId="183D3E6C" w14:textId="77777777" w:rsidR="00D22CF6" w:rsidRPr="00F04CCD" w:rsidRDefault="00D22CF6" w:rsidP="00D95C82">
            <w:pPr>
              <w:jc w:val="both"/>
              <w:rPr>
                <w:i/>
              </w:rPr>
            </w:pPr>
            <w:r w:rsidRPr="00F04CCD">
              <w:rPr>
                <w:i/>
              </w:rPr>
              <w:t>Uveďte, akou formou (verejné alebo cielené konzultácie a prečo)</w:t>
            </w:r>
            <w:r>
              <w:rPr>
                <w:i/>
              </w:rPr>
              <w:t xml:space="preserve"> a </w:t>
            </w:r>
            <w:r w:rsidRPr="00F04CCD">
              <w:rPr>
                <w:i/>
              </w:rPr>
              <w:t>s kým bol návrh konzultovaný.</w:t>
            </w:r>
          </w:p>
          <w:p w14:paraId="00906C29" w14:textId="77777777" w:rsidR="00D22CF6" w:rsidRPr="00F04CCD" w:rsidRDefault="00D22CF6" w:rsidP="00D22CF6">
            <w:pPr>
              <w:rPr>
                <w:i/>
              </w:rPr>
            </w:pPr>
            <w:r w:rsidRPr="00F04CCD">
              <w:rPr>
                <w:i/>
              </w:rPr>
              <w:t>Ako dlho trvali konzultácie?</w:t>
            </w:r>
          </w:p>
          <w:p w14:paraId="3F9219D7" w14:textId="77777777" w:rsidR="00D22CF6" w:rsidRPr="000D2622" w:rsidRDefault="00D22CF6" w:rsidP="00D22CF6">
            <w:pPr>
              <w:rPr>
                <w:i/>
              </w:rPr>
            </w:pPr>
            <w:r w:rsidRPr="00F04CCD">
              <w:rPr>
                <w:i/>
              </w:rPr>
              <w:t xml:space="preserve">Uveďte hlavné body konzultácií a výsledky konzultácií. </w:t>
            </w:r>
          </w:p>
        </w:tc>
      </w:tr>
      <w:tr w:rsidR="00D22CF6" w:rsidRPr="00F04CCD" w14:paraId="64B98478" w14:textId="77777777" w:rsidTr="00D22CF6">
        <w:trPr>
          <w:trHeight w:val="795"/>
        </w:trPr>
        <w:tc>
          <w:tcPr>
            <w:tcW w:w="9212" w:type="dxa"/>
            <w:tcBorders>
              <w:bottom w:val="single" w:sz="4" w:space="0" w:color="auto"/>
            </w:tcBorders>
          </w:tcPr>
          <w:p w14:paraId="1885EBF3" w14:textId="77777777" w:rsidR="00D22CF6" w:rsidRPr="0024168B" w:rsidRDefault="00D22CF6" w:rsidP="00D22CF6">
            <w:pPr>
              <w:jc w:val="both"/>
              <w:rPr>
                <w:i/>
              </w:rPr>
            </w:pPr>
            <w:r>
              <w:t>Vzhľadom na to, že návrh zákona upravuje aj pravidlá pre výkon dohľadu, ktorý je vykonávaný orgánmi štátnej správy, návrh bude s podnikateľmi konzultovaný v rámci riadneho procesu pripomienkovania (proces MPK).</w:t>
            </w:r>
          </w:p>
        </w:tc>
      </w:tr>
      <w:tr w:rsidR="00D22CF6" w:rsidRPr="00F04CCD" w14:paraId="6A0AB841" w14:textId="77777777" w:rsidTr="00D22CF6">
        <w:tc>
          <w:tcPr>
            <w:tcW w:w="9212" w:type="dxa"/>
            <w:shd w:val="clear" w:color="auto" w:fill="D9D9D9" w:themeFill="background1" w:themeFillShade="D9"/>
          </w:tcPr>
          <w:p w14:paraId="3C1BDC77" w14:textId="77777777" w:rsidR="00D22CF6" w:rsidRPr="00042C66" w:rsidRDefault="00D22CF6" w:rsidP="00D22CF6">
            <w:pPr>
              <w:rPr>
                <w:b/>
              </w:rPr>
            </w:pPr>
            <w:r>
              <w:rPr>
                <w:b/>
              </w:rPr>
              <w:t>3</w:t>
            </w:r>
            <w:r w:rsidRPr="00042C66">
              <w:rPr>
                <w:b/>
              </w:rPr>
              <w:t>.3 Náklady regulácie</w:t>
            </w:r>
          </w:p>
          <w:p w14:paraId="13E59826" w14:textId="77777777" w:rsidR="00D22CF6" w:rsidRPr="00F04CCD" w:rsidRDefault="00D22CF6" w:rsidP="00D22CF6">
            <w:pPr>
              <w:rPr>
                <w:b/>
              </w:rPr>
            </w:pPr>
            <w:r w:rsidRPr="00042C66">
              <w:t xml:space="preserve">      - </w:t>
            </w:r>
            <w:r w:rsidRPr="00042C66">
              <w:rPr>
                <w:b/>
              </w:rPr>
              <w:t>z toho MSP</w:t>
            </w:r>
          </w:p>
        </w:tc>
      </w:tr>
      <w:tr w:rsidR="00D22CF6" w:rsidRPr="00F04CCD" w14:paraId="58EB5700" w14:textId="77777777" w:rsidTr="00D22CF6">
        <w:tc>
          <w:tcPr>
            <w:tcW w:w="9212" w:type="dxa"/>
            <w:tcBorders>
              <w:bottom w:val="single" w:sz="4" w:space="0" w:color="auto"/>
            </w:tcBorders>
          </w:tcPr>
          <w:p w14:paraId="384B7646" w14:textId="77777777" w:rsidR="00D22CF6" w:rsidRPr="00F04CCD" w:rsidRDefault="00D22CF6" w:rsidP="00D22CF6">
            <w:pPr>
              <w:rPr>
                <w:b/>
                <w:i/>
              </w:rPr>
            </w:pPr>
            <w:r>
              <w:rPr>
                <w:b/>
                <w:i/>
              </w:rPr>
              <w:t>3</w:t>
            </w:r>
            <w:r w:rsidRPr="00F04CCD">
              <w:rPr>
                <w:b/>
                <w:i/>
              </w:rPr>
              <w:t>.3.1 Priame finančné náklady</w:t>
            </w:r>
          </w:p>
          <w:p w14:paraId="42051B0B" w14:textId="77777777" w:rsidR="00D22CF6" w:rsidRPr="00F04CCD" w:rsidRDefault="00D22CF6" w:rsidP="00D95C82">
            <w:pPr>
              <w:jc w:val="both"/>
              <w:rPr>
                <w:i/>
              </w:rPr>
            </w:pPr>
            <w:r w:rsidRPr="00F04CCD">
              <w:rPr>
                <w:i/>
              </w:rPr>
              <w:t xml:space="preserve">Dochádza k zvýšeniu/zníženiu priamych finančných nákladov (poplatky, odvody, dane clá...)? Ak áno, popíšte a vyčíslite ich. Uveďte tiež spôsob ich výpočtu. </w:t>
            </w:r>
          </w:p>
        </w:tc>
      </w:tr>
      <w:tr w:rsidR="00D22CF6" w:rsidRPr="00F04CCD" w14:paraId="523D1BE1" w14:textId="77777777" w:rsidTr="00D22CF6">
        <w:tc>
          <w:tcPr>
            <w:tcW w:w="9212" w:type="dxa"/>
            <w:tcBorders>
              <w:bottom w:val="single" w:sz="4" w:space="0" w:color="auto"/>
            </w:tcBorders>
          </w:tcPr>
          <w:p w14:paraId="57758B51" w14:textId="77777777" w:rsidR="00D22CF6" w:rsidRPr="00040B6B" w:rsidRDefault="00D22CF6" w:rsidP="00D22CF6">
            <w:pPr>
              <w:jc w:val="both"/>
            </w:pPr>
            <w:r>
              <w:t>Návrh zákona v časti týkajúcej sa implementácie nariadenia (EÚ) 2019/1020 má za</w:t>
            </w:r>
            <w:r w:rsidRPr="00040B6B">
              <w:t xml:space="preserve">bezpečiť </w:t>
            </w:r>
            <w:r>
              <w:t xml:space="preserve">vytvorenie </w:t>
            </w:r>
            <w:r w:rsidRPr="00040B6B">
              <w:t>spravodliv</w:t>
            </w:r>
            <w:r>
              <w:t>ého</w:t>
            </w:r>
            <w:r w:rsidRPr="00040B6B">
              <w:t xml:space="preserve"> </w:t>
            </w:r>
            <w:r>
              <w:t>konkurenčného prostredia</w:t>
            </w:r>
            <w:r w:rsidRPr="00040B6B">
              <w:t xml:space="preserve"> pre podnikateľov </w:t>
            </w:r>
            <w:r>
              <w:t>v EÚ, nakoľko c</w:t>
            </w:r>
            <w:r w:rsidRPr="00040B6B">
              <w:t xml:space="preserve">ieľom </w:t>
            </w:r>
            <w:r>
              <w:t xml:space="preserve">nariadenia  (EÚ) 2019/1020 </w:t>
            </w:r>
            <w:r w:rsidRPr="00040B6B">
              <w:t>je riešiť otázku rastúceho počtu výrokov, ktoré nie sú v súlade s požiadavkami legislatívy EÚ na trhu EÚ</w:t>
            </w:r>
            <w:r>
              <w:t xml:space="preserve">. Rastúci počet výrobkov, ktoré nie sú v súlade, narúša na trhu EÚ hospodársku súťaž a zvýhodňuje podnikateľov, ktorí nerešpektujú zámerne, alebo z neznalosti existujúce harmonizačné pravidlá EÚ na výrobky. </w:t>
            </w:r>
          </w:p>
          <w:p w14:paraId="536E86FB" w14:textId="77777777" w:rsidR="00D22CF6" w:rsidRPr="00F04CCD" w:rsidRDefault="00D22CF6" w:rsidP="00D22CF6">
            <w:pPr>
              <w:rPr>
                <w:b/>
                <w:i/>
              </w:rPr>
            </w:pPr>
          </w:p>
        </w:tc>
      </w:tr>
      <w:tr w:rsidR="00D22CF6" w:rsidRPr="00F04CCD" w14:paraId="6FDF6BFA" w14:textId="77777777" w:rsidTr="00D22CF6">
        <w:tc>
          <w:tcPr>
            <w:tcW w:w="9212" w:type="dxa"/>
            <w:tcBorders>
              <w:bottom w:val="single" w:sz="4" w:space="0" w:color="auto"/>
            </w:tcBorders>
          </w:tcPr>
          <w:p w14:paraId="0D6378A2" w14:textId="77777777" w:rsidR="00D22CF6" w:rsidRPr="00F04CCD" w:rsidRDefault="00D22CF6" w:rsidP="00D22CF6">
            <w:pPr>
              <w:rPr>
                <w:b/>
                <w:i/>
              </w:rPr>
            </w:pPr>
            <w:r>
              <w:rPr>
                <w:b/>
                <w:i/>
              </w:rPr>
              <w:t>3</w:t>
            </w:r>
            <w:r w:rsidRPr="00F04CCD">
              <w:rPr>
                <w:b/>
                <w:i/>
              </w:rPr>
              <w:t>.3.2 Nepriame finančné náklady</w:t>
            </w:r>
          </w:p>
          <w:p w14:paraId="3C1795ED" w14:textId="77777777" w:rsidR="00D22CF6" w:rsidRPr="00F04CCD" w:rsidRDefault="00D22CF6" w:rsidP="00D95C82">
            <w:pPr>
              <w:jc w:val="both"/>
              <w:rPr>
                <w:i/>
              </w:rPr>
            </w:pPr>
            <w:r w:rsidRPr="00F04CCD">
              <w:rPr>
                <w:i/>
              </w:rPr>
              <w:t xml:space="preserve">Vyžaduje si predkladaný návrh dodatočné náklady na nákup tovarov alebo služieb? </w:t>
            </w:r>
            <w:r>
              <w:rPr>
                <w:i/>
              </w:rPr>
              <w:t xml:space="preserve">Zvyšuje predkladaný návrh náklady súvisiace so zamestnávaním? </w:t>
            </w:r>
            <w:r w:rsidRPr="00F04CCD">
              <w:rPr>
                <w:i/>
              </w:rPr>
              <w:t>Ak áno, popíšte a vyčíslite ich. Uveďte tiež spôsob ich výpočtu.</w:t>
            </w:r>
          </w:p>
        </w:tc>
      </w:tr>
      <w:tr w:rsidR="00D22CF6" w:rsidRPr="00F04CCD" w14:paraId="192F122C" w14:textId="77777777" w:rsidTr="00D22CF6">
        <w:tc>
          <w:tcPr>
            <w:tcW w:w="9212" w:type="dxa"/>
            <w:tcBorders>
              <w:bottom w:val="single" w:sz="4" w:space="0" w:color="auto"/>
            </w:tcBorders>
          </w:tcPr>
          <w:p w14:paraId="693E4F94" w14:textId="77777777" w:rsidR="00D22CF6" w:rsidRPr="00F04CCD" w:rsidRDefault="00D22CF6" w:rsidP="00D22CF6">
            <w:pPr>
              <w:rPr>
                <w:b/>
                <w:i/>
              </w:rPr>
            </w:pPr>
          </w:p>
          <w:p w14:paraId="167FC10D" w14:textId="7DD848CF" w:rsidR="00D22CF6" w:rsidRPr="00530700" w:rsidRDefault="00D22CF6" w:rsidP="00D22CF6">
            <w:pPr>
              <w:jc w:val="both"/>
            </w:pPr>
            <w:r>
              <w:t xml:space="preserve">Návrhom zákona v časti týkajúcej sa implementácie nariadenia (EÚ) 2019/1020 nedochádza k výraznému rozšíreniu povinnosti hospodárskych subjektov oproti pôvodnej právnej úprave tejto oblasti (nariadenie </w:t>
            </w:r>
            <w:r w:rsidRPr="00B61C3A">
              <w:t xml:space="preserve">Európskeho parlamentu a Rady (ES) </w:t>
            </w:r>
            <w:r w:rsidR="002F69ED">
              <w:t>č. </w:t>
            </w:r>
            <w:r w:rsidRPr="00B61C3A">
              <w:t>765/2008 z 9. júla 2008, ktorým sa stanovujú požiadavky akreditácie a dohľadu nad trhom v súvislosti s uvádzaním výrobkov na trh a ktorým sa zrušuje nariadenie</w:t>
            </w:r>
            <w:r>
              <w:t>), avšak je možné, že plnenie povinností súvisiacich s dohľadom a demonštrovaním súladu výrobku si vyžiada potrebu personálneho posilnenia u hospodárskych subjektov.</w:t>
            </w:r>
          </w:p>
          <w:p w14:paraId="3E1DD2DC" w14:textId="77777777" w:rsidR="00D22CF6" w:rsidRPr="00F04CCD" w:rsidRDefault="00D22CF6" w:rsidP="00D22CF6">
            <w:pPr>
              <w:rPr>
                <w:b/>
                <w:i/>
              </w:rPr>
            </w:pPr>
          </w:p>
        </w:tc>
      </w:tr>
      <w:tr w:rsidR="00D22CF6" w:rsidRPr="00F04CCD" w14:paraId="015A0475" w14:textId="77777777" w:rsidTr="00D22CF6">
        <w:tc>
          <w:tcPr>
            <w:tcW w:w="9212" w:type="dxa"/>
            <w:tcBorders>
              <w:bottom w:val="single" w:sz="4" w:space="0" w:color="auto"/>
            </w:tcBorders>
          </w:tcPr>
          <w:p w14:paraId="3DD8EA11" w14:textId="77777777" w:rsidR="00D22CF6" w:rsidRPr="00F04CCD" w:rsidRDefault="00D22CF6" w:rsidP="00D22CF6">
            <w:pPr>
              <w:rPr>
                <w:b/>
                <w:i/>
              </w:rPr>
            </w:pPr>
            <w:r>
              <w:rPr>
                <w:b/>
                <w:i/>
              </w:rPr>
              <w:t>3</w:t>
            </w:r>
            <w:r w:rsidRPr="00F04CCD">
              <w:rPr>
                <w:b/>
                <w:i/>
              </w:rPr>
              <w:t>.3.3 Administratívne náklady</w:t>
            </w:r>
          </w:p>
          <w:p w14:paraId="45985DF9" w14:textId="77777777" w:rsidR="00D22CF6" w:rsidRPr="00F04CCD" w:rsidRDefault="00D22CF6" w:rsidP="00D95C82">
            <w:pPr>
              <w:jc w:val="both"/>
              <w:rPr>
                <w:i/>
              </w:rPr>
            </w:pPr>
            <w:r w:rsidRPr="00F04CCD">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D22CF6" w:rsidRPr="00F04CCD" w14:paraId="5D841727" w14:textId="77777777" w:rsidTr="006668AA">
        <w:trPr>
          <w:trHeight w:val="1266"/>
        </w:trPr>
        <w:tc>
          <w:tcPr>
            <w:tcW w:w="9212" w:type="dxa"/>
            <w:tcBorders>
              <w:bottom w:val="single" w:sz="4" w:space="0" w:color="auto"/>
            </w:tcBorders>
          </w:tcPr>
          <w:p w14:paraId="7569BEAA" w14:textId="77777777" w:rsidR="00D22CF6" w:rsidRPr="00D44AD6" w:rsidRDefault="00D22CF6" w:rsidP="00D22CF6">
            <w:pPr>
              <w:rPr>
                <w:b/>
                <w:i/>
              </w:rPr>
            </w:pPr>
          </w:p>
          <w:p w14:paraId="74C46881" w14:textId="7896AF61" w:rsidR="00D22CF6" w:rsidRPr="00D44AD6" w:rsidRDefault="00D22CF6" w:rsidP="00D22CF6">
            <w:pPr>
              <w:jc w:val="both"/>
            </w:pPr>
            <w:r w:rsidRPr="00D44AD6">
              <w:t xml:space="preserve">Nariadenie (EÚ) 2019/1020, ktoré je návrhom zákona implementované zavádza pre výrobcov tretích krajín povinnosť mať „v EÚ usadenú osobu zodpovednú za informácie o súlade“ výrobku s požiadavkami harmonizovanej legislatívy. Je predpoklad, že plnenie uvedenej povinnosti povedie k nárastu administratívnej záťaže </w:t>
            </w:r>
            <w:r w:rsidR="00D95C82">
              <w:t>(</w:t>
            </w:r>
            <w:r w:rsidRPr="00D44AD6">
              <w:t>uchovávanie dokumentácie</w:t>
            </w:r>
            <w:r w:rsidR="00D95C82">
              <w:t>)</w:t>
            </w:r>
            <w:r w:rsidRPr="00D44AD6">
              <w:t xml:space="preserve"> pre podnikateľov „osoby zodpovedné za informácie“ etablovaných v EÚ. Využitím kalkulačky nákladov regulácie odporúčanej Komisiou na posudzovanie vplyvov boli náklady na splnenie tejto povinnosti vyčíslené na cca 6 Eur na podnikateľa.</w:t>
            </w:r>
          </w:p>
          <w:p w14:paraId="2DEA260F" w14:textId="77777777" w:rsidR="00D22CF6" w:rsidRPr="00D44AD6" w:rsidRDefault="00D22CF6" w:rsidP="00D22CF6">
            <w:pPr>
              <w:jc w:val="both"/>
            </w:pPr>
          </w:p>
          <w:p w14:paraId="0AC2D768" w14:textId="64A20191" w:rsidR="00D22CF6" w:rsidRPr="00D44AD6" w:rsidRDefault="00D22CF6" w:rsidP="00D22CF6">
            <w:pPr>
              <w:jc w:val="both"/>
              <w:rPr>
                <w:b/>
                <w:i/>
              </w:rPr>
            </w:pPr>
            <w:r w:rsidRPr="00D44AD6">
              <w:t xml:space="preserve">Je predpoklad, že naplnenie cieľov návrhu nariadenia o dohľade bude smerovať k zvýšeniu počtu kontrol orgánmi dohľadu na trhu. Je predpoklad, že dôjde k nárastu žiadostí OTD vo </w:t>
            </w:r>
            <w:r w:rsidRPr="00D44AD6">
              <w:lastRenderedPageBreak/>
              <w:t xml:space="preserve">vzťahu k dotknutým podnikateľom pokiaľ ide o preukazovanie/demonštrovanie súladu výrobku s požiadavkami harmonizovanej legislatívy (zasielanie dokumentov orgánom dohľadu, </w:t>
            </w:r>
            <w:r w:rsidR="00D95C82" w:rsidRPr="00D44AD6">
              <w:t>atď.</w:t>
            </w:r>
            <w:r w:rsidRPr="00D44AD6">
              <w:t>). Súčasné náklady podnikateľov na demonštrovanie súladu výrobkov pre účely dohľadu odhaduje KOM  na 0,048 % ročného obratu. Využitím kalkulačky nákladov regulácie odporúčanej Stálou komisiou na posudzovanie vybraných vplyvov boli náklady na poskytnutie súčinnosti podnikateľov pri trhovom dohľade vyčíslené na cca 10 Eur na podnikateľa. Vzhľadom na to, že nejde o novú povinnosť, súčinnosť pri dohľade poskytujú podnikatelia aj v súčasnosti, je predpoklad, že zvýšenie nákladov sa dotkne hlavne podnikateľov, ktorí nedodržiavajú harmonizovanú  legislatívu EÚ zámerne alebo z neznalosti.</w:t>
            </w:r>
          </w:p>
          <w:p w14:paraId="6FCE6EF8" w14:textId="77777777" w:rsidR="00D22CF6" w:rsidRPr="00D44AD6" w:rsidRDefault="00D22CF6" w:rsidP="00D22CF6">
            <w:pPr>
              <w:rPr>
                <w:b/>
                <w:i/>
              </w:rPr>
            </w:pPr>
          </w:p>
        </w:tc>
      </w:tr>
      <w:tr w:rsidR="00D22CF6" w:rsidRPr="00F04CCD" w14:paraId="1E3CE923" w14:textId="77777777" w:rsidTr="00D22CF6">
        <w:trPr>
          <w:trHeight w:val="2318"/>
        </w:trPr>
        <w:tc>
          <w:tcPr>
            <w:tcW w:w="9212" w:type="dxa"/>
            <w:tcBorders>
              <w:bottom w:val="single" w:sz="4" w:space="0" w:color="auto"/>
            </w:tcBorders>
          </w:tcPr>
          <w:p w14:paraId="2F792523" w14:textId="77777777" w:rsidR="00D22CF6" w:rsidRPr="00F04CCD" w:rsidRDefault="00D22CF6" w:rsidP="00D22CF6">
            <w:pPr>
              <w:rPr>
                <w:i/>
              </w:rPr>
            </w:pPr>
            <w:r>
              <w:rPr>
                <w:b/>
                <w:i/>
              </w:rPr>
              <w:lastRenderedPageBreak/>
              <w:t>3</w:t>
            </w:r>
            <w:r w:rsidRPr="00F04CCD">
              <w:rPr>
                <w:b/>
                <w:i/>
              </w:rPr>
              <w:t>.3.4 Súhrnná tabuľka nákladov regulácie</w:t>
            </w:r>
          </w:p>
          <w:p w14:paraId="55926DC1" w14:textId="77777777" w:rsidR="00D22CF6" w:rsidRPr="00F04CCD" w:rsidRDefault="00D22CF6" w:rsidP="00D22CF6">
            <w:pPr>
              <w:rPr>
                <w:i/>
              </w:rPr>
            </w:pPr>
          </w:p>
          <w:tbl>
            <w:tblPr>
              <w:tblStyle w:val="Mriekatabuky"/>
              <w:tblW w:w="0" w:type="auto"/>
              <w:tblLook w:val="04A0" w:firstRow="1" w:lastRow="0" w:firstColumn="1" w:lastColumn="0" w:noHBand="0" w:noVBand="1"/>
            </w:tblPr>
            <w:tblGrid>
              <w:gridCol w:w="2951"/>
              <w:gridCol w:w="2939"/>
              <w:gridCol w:w="2946"/>
            </w:tblGrid>
            <w:tr w:rsidR="00D22CF6" w:rsidRPr="00F04CCD" w14:paraId="1FFC5F79" w14:textId="77777777" w:rsidTr="00D22CF6">
              <w:tc>
                <w:tcPr>
                  <w:tcW w:w="2993" w:type="dxa"/>
                </w:tcPr>
                <w:p w14:paraId="6D896E3C" w14:textId="77777777" w:rsidR="00D22CF6" w:rsidRPr="00F04CCD" w:rsidRDefault="00D22CF6" w:rsidP="00D22CF6">
                  <w:pPr>
                    <w:rPr>
                      <w:i/>
                    </w:rPr>
                  </w:pPr>
                </w:p>
              </w:tc>
              <w:tc>
                <w:tcPr>
                  <w:tcW w:w="2994" w:type="dxa"/>
                </w:tcPr>
                <w:p w14:paraId="4C56EDEE" w14:textId="77777777" w:rsidR="00D22CF6" w:rsidRPr="00F04CCD" w:rsidRDefault="00D22CF6" w:rsidP="00D22CF6">
                  <w:pPr>
                    <w:jc w:val="center"/>
                    <w:rPr>
                      <w:i/>
                    </w:rPr>
                  </w:pPr>
                  <w:r w:rsidRPr="00F04CCD">
                    <w:rPr>
                      <w:i/>
                    </w:rPr>
                    <w:t>Náklady na 1 podnikateľa</w:t>
                  </w:r>
                </w:p>
              </w:tc>
              <w:tc>
                <w:tcPr>
                  <w:tcW w:w="2994" w:type="dxa"/>
                </w:tcPr>
                <w:p w14:paraId="3DF2A04C" w14:textId="77777777" w:rsidR="00D22CF6" w:rsidRPr="00F04CCD" w:rsidRDefault="00D22CF6" w:rsidP="00D22CF6">
                  <w:pPr>
                    <w:jc w:val="center"/>
                    <w:rPr>
                      <w:i/>
                    </w:rPr>
                  </w:pPr>
                  <w:r w:rsidRPr="00F04CCD">
                    <w:rPr>
                      <w:i/>
                    </w:rPr>
                    <w:t>Náklady na celé podnikateľské prostredie</w:t>
                  </w:r>
                </w:p>
              </w:tc>
            </w:tr>
            <w:tr w:rsidR="00D22CF6" w:rsidRPr="00F04CCD" w14:paraId="29CC958D" w14:textId="77777777" w:rsidTr="00D22CF6">
              <w:tc>
                <w:tcPr>
                  <w:tcW w:w="2993" w:type="dxa"/>
                </w:tcPr>
                <w:p w14:paraId="2FE772F5" w14:textId="77777777" w:rsidR="00D22CF6" w:rsidRPr="00F04CCD" w:rsidRDefault="00D22CF6" w:rsidP="00D22CF6">
                  <w:pPr>
                    <w:rPr>
                      <w:i/>
                    </w:rPr>
                  </w:pPr>
                  <w:r w:rsidRPr="00F04CCD">
                    <w:rPr>
                      <w:i/>
                    </w:rPr>
                    <w:t>Priame finančné náklady</w:t>
                  </w:r>
                </w:p>
              </w:tc>
              <w:tc>
                <w:tcPr>
                  <w:tcW w:w="2994" w:type="dxa"/>
                </w:tcPr>
                <w:p w14:paraId="5D31FE37" w14:textId="77777777" w:rsidR="00D22CF6" w:rsidRPr="00F04CCD" w:rsidRDefault="00D22CF6" w:rsidP="00D22CF6">
                  <w:pPr>
                    <w:jc w:val="center"/>
                    <w:rPr>
                      <w:i/>
                    </w:rPr>
                  </w:pPr>
                  <w:r w:rsidRPr="00F04CCD">
                    <w:rPr>
                      <w:i/>
                    </w:rPr>
                    <w:t>0</w:t>
                  </w:r>
                </w:p>
              </w:tc>
              <w:tc>
                <w:tcPr>
                  <w:tcW w:w="2994" w:type="dxa"/>
                </w:tcPr>
                <w:p w14:paraId="61F25C52" w14:textId="77777777" w:rsidR="00D22CF6" w:rsidRPr="00F04CCD" w:rsidRDefault="00D22CF6" w:rsidP="00D22CF6">
                  <w:pPr>
                    <w:jc w:val="center"/>
                    <w:rPr>
                      <w:i/>
                    </w:rPr>
                  </w:pPr>
                  <w:r w:rsidRPr="00F04CCD">
                    <w:rPr>
                      <w:i/>
                    </w:rPr>
                    <w:t>0</w:t>
                  </w:r>
                </w:p>
              </w:tc>
            </w:tr>
            <w:tr w:rsidR="00D22CF6" w:rsidRPr="00F04CCD" w14:paraId="7661CE4A" w14:textId="77777777" w:rsidTr="00D22CF6">
              <w:tc>
                <w:tcPr>
                  <w:tcW w:w="2993" w:type="dxa"/>
                </w:tcPr>
                <w:p w14:paraId="2891FAF2" w14:textId="77777777" w:rsidR="00D22CF6" w:rsidRPr="00F04CCD" w:rsidRDefault="00D22CF6" w:rsidP="00D22CF6">
                  <w:pPr>
                    <w:rPr>
                      <w:i/>
                    </w:rPr>
                  </w:pPr>
                  <w:r w:rsidRPr="00F04CCD">
                    <w:rPr>
                      <w:i/>
                    </w:rPr>
                    <w:t>Nepriame finančné náklady</w:t>
                  </w:r>
                </w:p>
              </w:tc>
              <w:tc>
                <w:tcPr>
                  <w:tcW w:w="2994" w:type="dxa"/>
                </w:tcPr>
                <w:p w14:paraId="0354DCA7" w14:textId="77777777" w:rsidR="00D22CF6" w:rsidRPr="00F04CCD" w:rsidRDefault="00D22CF6" w:rsidP="00D22CF6">
                  <w:pPr>
                    <w:jc w:val="center"/>
                    <w:rPr>
                      <w:i/>
                    </w:rPr>
                  </w:pPr>
                  <w:r w:rsidRPr="00F04CCD">
                    <w:rPr>
                      <w:i/>
                    </w:rPr>
                    <w:t>0</w:t>
                  </w:r>
                </w:p>
              </w:tc>
              <w:tc>
                <w:tcPr>
                  <w:tcW w:w="2994" w:type="dxa"/>
                </w:tcPr>
                <w:p w14:paraId="69A191C3" w14:textId="77777777" w:rsidR="00D22CF6" w:rsidRPr="00F04CCD" w:rsidRDefault="00D22CF6" w:rsidP="00D22CF6">
                  <w:pPr>
                    <w:jc w:val="center"/>
                    <w:rPr>
                      <w:i/>
                    </w:rPr>
                  </w:pPr>
                  <w:r w:rsidRPr="00F04CCD">
                    <w:rPr>
                      <w:i/>
                    </w:rPr>
                    <w:t>0</w:t>
                  </w:r>
                </w:p>
              </w:tc>
            </w:tr>
            <w:tr w:rsidR="00D22CF6" w:rsidRPr="00F04CCD" w14:paraId="380908F5" w14:textId="77777777" w:rsidTr="00D22CF6">
              <w:tc>
                <w:tcPr>
                  <w:tcW w:w="2993" w:type="dxa"/>
                </w:tcPr>
                <w:p w14:paraId="2133E5AB" w14:textId="77777777" w:rsidR="00D22CF6" w:rsidRPr="00F04CCD" w:rsidRDefault="00D22CF6" w:rsidP="00D22CF6">
                  <w:pPr>
                    <w:rPr>
                      <w:i/>
                    </w:rPr>
                  </w:pPr>
                  <w:r w:rsidRPr="00F04CCD">
                    <w:rPr>
                      <w:i/>
                    </w:rPr>
                    <w:t>Administratívne náklady</w:t>
                  </w:r>
                </w:p>
              </w:tc>
              <w:tc>
                <w:tcPr>
                  <w:tcW w:w="2994" w:type="dxa"/>
                </w:tcPr>
                <w:p w14:paraId="5EFEA377" w14:textId="77777777" w:rsidR="00D22CF6" w:rsidRPr="00F04CCD" w:rsidRDefault="00D22CF6" w:rsidP="00D22CF6">
                  <w:pPr>
                    <w:jc w:val="center"/>
                    <w:rPr>
                      <w:i/>
                    </w:rPr>
                  </w:pPr>
                  <w:r>
                    <w:rPr>
                      <w:i/>
                    </w:rPr>
                    <w:t>6+10</w:t>
                  </w:r>
                </w:p>
              </w:tc>
              <w:tc>
                <w:tcPr>
                  <w:tcW w:w="2994" w:type="dxa"/>
                </w:tcPr>
                <w:p w14:paraId="69D1FDF8" w14:textId="77777777" w:rsidR="00D22CF6" w:rsidRPr="00F04CCD" w:rsidRDefault="00D22CF6" w:rsidP="00D22CF6">
                  <w:pPr>
                    <w:jc w:val="center"/>
                    <w:rPr>
                      <w:i/>
                    </w:rPr>
                  </w:pPr>
                  <w:r>
                    <w:rPr>
                      <w:i/>
                    </w:rPr>
                    <w:t>N/A</w:t>
                  </w:r>
                </w:p>
              </w:tc>
            </w:tr>
            <w:tr w:rsidR="00D22CF6" w:rsidRPr="00F04CCD" w14:paraId="234C8AFA" w14:textId="77777777" w:rsidTr="00D22CF6">
              <w:tc>
                <w:tcPr>
                  <w:tcW w:w="2993" w:type="dxa"/>
                </w:tcPr>
                <w:p w14:paraId="4DA96E21" w14:textId="77777777" w:rsidR="00D22CF6" w:rsidRPr="00F04CCD" w:rsidRDefault="00D22CF6" w:rsidP="00D22CF6">
                  <w:pPr>
                    <w:rPr>
                      <w:b/>
                      <w:i/>
                    </w:rPr>
                  </w:pPr>
                  <w:r w:rsidRPr="00F04CCD">
                    <w:rPr>
                      <w:b/>
                      <w:i/>
                    </w:rPr>
                    <w:t>Celkové náklady regulácie</w:t>
                  </w:r>
                </w:p>
              </w:tc>
              <w:tc>
                <w:tcPr>
                  <w:tcW w:w="2994" w:type="dxa"/>
                </w:tcPr>
                <w:p w14:paraId="77F2BAA2" w14:textId="77777777" w:rsidR="00D22CF6" w:rsidRPr="00F04CCD" w:rsidRDefault="00D22CF6" w:rsidP="00D22CF6">
                  <w:pPr>
                    <w:jc w:val="center"/>
                    <w:rPr>
                      <w:b/>
                      <w:i/>
                    </w:rPr>
                  </w:pPr>
                  <w:r>
                    <w:rPr>
                      <w:b/>
                      <w:i/>
                    </w:rPr>
                    <w:t>16</w:t>
                  </w:r>
                </w:p>
              </w:tc>
              <w:tc>
                <w:tcPr>
                  <w:tcW w:w="2994" w:type="dxa"/>
                </w:tcPr>
                <w:p w14:paraId="35EEC01B" w14:textId="77777777" w:rsidR="00D22CF6" w:rsidRPr="00F04CCD" w:rsidRDefault="00D22CF6" w:rsidP="00D22CF6">
                  <w:pPr>
                    <w:jc w:val="center"/>
                    <w:rPr>
                      <w:b/>
                      <w:i/>
                    </w:rPr>
                  </w:pPr>
                  <w:r>
                    <w:rPr>
                      <w:b/>
                      <w:i/>
                    </w:rPr>
                    <w:t>N/A</w:t>
                  </w:r>
                </w:p>
              </w:tc>
            </w:tr>
          </w:tbl>
          <w:p w14:paraId="4A7C5104" w14:textId="77777777" w:rsidR="00D22CF6" w:rsidRPr="00F04CCD" w:rsidRDefault="00D22CF6" w:rsidP="00D22CF6">
            <w:pPr>
              <w:rPr>
                <w:i/>
              </w:rPr>
            </w:pPr>
          </w:p>
        </w:tc>
      </w:tr>
      <w:tr w:rsidR="00D22CF6" w:rsidRPr="00F04CCD" w14:paraId="63962CFD" w14:textId="77777777" w:rsidTr="00D22CF6">
        <w:tc>
          <w:tcPr>
            <w:tcW w:w="9212" w:type="dxa"/>
            <w:shd w:val="clear" w:color="auto" w:fill="D9D9D9" w:themeFill="background1" w:themeFillShade="D9"/>
          </w:tcPr>
          <w:p w14:paraId="21C89FA9" w14:textId="77777777" w:rsidR="00D22CF6" w:rsidRPr="00042C66" w:rsidRDefault="00D22CF6" w:rsidP="00D22CF6">
            <w:pPr>
              <w:rPr>
                <w:b/>
              </w:rPr>
            </w:pPr>
            <w:r>
              <w:rPr>
                <w:b/>
              </w:rPr>
              <w:t>3</w:t>
            </w:r>
            <w:r w:rsidRPr="00042C66">
              <w:rPr>
                <w:b/>
              </w:rPr>
              <w:t>.4 Konkurencieschopnosť a správanie sa podnikov na trhu</w:t>
            </w:r>
          </w:p>
          <w:p w14:paraId="28A1D5DC" w14:textId="77777777" w:rsidR="00D22CF6" w:rsidRPr="00F04CCD" w:rsidRDefault="00D22CF6" w:rsidP="00D22CF6">
            <w:r w:rsidRPr="00042C66">
              <w:rPr>
                <w:b/>
              </w:rPr>
              <w:t xml:space="preserve">       </w:t>
            </w:r>
            <w:r w:rsidRPr="00042C66">
              <w:t xml:space="preserve">- </w:t>
            </w:r>
            <w:r w:rsidRPr="00042C66">
              <w:rPr>
                <w:b/>
              </w:rPr>
              <w:t>z toho MSP</w:t>
            </w:r>
          </w:p>
        </w:tc>
      </w:tr>
      <w:tr w:rsidR="00D22CF6" w:rsidRPr="00F04CCD" w14:paraId="197AE79C" w14:textId="77777777" w:rsidTr="00D22CF6">
        <w:tc>
          <w:tcPr>
            <w:tcW w:w="9212" w:type="dxa"/>
            <w:tcBorders>
              <w:bottom w:val="single" w:sz="4" w:space="0" w:color="auto"/>
            </w:tcBorders>
          </w:tcPr>
          <w:p w14:paraId="1348DE79" w14:textId="4C9525D7" w:rsidR="00D22CF6" w:rsidRPr="00F04CCD" w:rsidRDefault="00D22CF6" w:rsidP="00D95C82">
            <w:pPr>
              <w:jc w:val="both"/>
              <w:rPr>
                <w:i/>
              </w:rPr>
            </w:pPr>
            <w:r w:rsidRPr="00F04CCD">
              <w:rPr>
                <w:i/>
              </w:rPr>
              <w:t xml:space="preserve">Dochádza k vytvoreniu bariér pre vstup na trh pre nových dodávateľov alebo poskytovateľov služieb? </w:t>
            </w:r>
            <w:r>
              <w:rPr>
                <w:i/>
              </w:rPr>
              <w:t xml:space="preserve">Bude mať navrhovaná zmena za následok </w:t>
            </w:r>
            <w:r w:rsidRPr="00F04CCD">
              <w:rPr>
                <w:i/>
              </w:rPr>
              <w:t>prísnejšiu reguláciu správania sa niektorých podnikov? Bude sa s niektorými podnikmi alebo produktmi zaobchádzať v</w:t>
            </w:r>
            <w:r w:rsidR="00D95C82">
              <w:rPr>
                <w:i/>
              </w:rPr>
              <w:t> </w:t>
            </w:r>
            <w:r w:rsidRPr="00F04CCD">
              <w:rPr>
                <w:i/>
              </w:rPr>
              <w:t>porovnateľnej</w:t>
            </w:r>
            <w:r w:rsidR="00D95C82">
              <w:rPr>
                <w:i/>
              </w:rPr>
              <w:t xml:space="preserve"> </w:t>
            </w:r>
            <w:r w:rsidRPr="00F04CCD">
              <w:rPr>
                <w:i/>
              </w:rPr>
              <w:t xml:space="preserve">situácii rôzne (špeciálne režimy pre </w:t>
            </w:r>
            <w:proofErr w:type="spellStart"/>
            <w:r w:rsidRPr="00F04CCD">
              <w:rPr>
                <w:i/>
              </w:rPr>
              <w:t>mikro</w:t>
            </w:r>
            <w:proofErr w:type="spellEnd"/>
            <w:r w:rsidRPr="00F04CCD">
              <w:rPr>
                <w:i/>
              </w:rPr>
              <w:t>, malé a stredné podniky tzv.</w:t>
            </w:r>
            <w:r w:rsidR="00D95C82">
              <w:rPr>
                <w:i/>
              </w:rPr>
              <w:t> </w:t>
            </w:r>
            <w:r w:rsidRPr="00F04CCD">
              <w:rPr>
                <w:i/>
              </w:rPr>
              <w:t>MSP)? Ak áno, popíšte.</w:t>
            </w:r>
          </w:p>
          <w:p w14:paraId="6D8B8565" w14:textId="77777777" w:rsidR="00D22CF6" w:rsidRPr="00F04CCD" w:rsidRDefault="00D22CF6" w:rsidP="00D95C82">
            <w:pPr>
              <w:jc w:val="both"/>
              <w:rPr>
                <w:i/>
              </w:rPr>
            </w:pPr>
            <w:r w:rsidRPr="00F04CCD">
              <w:rPr>
                <w:i/>
              </w:rPr>
              <w:t>Aký vplyv bude mať navrhovaná zmena na obchodné bariéry? Bude mať vplyv na vyvolanie cezhraničných investícií (príliv /odliv zahraničných investícií resp. uplatnenie slovenských podnikov na zahraničných trhoch)? Ak áno, popíšte.</w:t>
            </w:r>
          </w:p>
          <w:p w14:paraId="1C8971CC" w14:textId="77777777" w:rsidR="00D22CF6" w:rsidRPr="00F04CCD" w:rsidRDefault="00D22CF6" w:rsidP="00D95C82">
            <w:pPr>
              <w:jc w:val="both"/>
              <w:rPr>
                <w:i/>
              </w:rPr>
            </w:pPr>
            <w:r w:rsidRPr="00F04CCD">
              <w:rPr>
                <w:i/>
              </w:rPr>
              <w:t>Ako ovplyvní cenu alebo dostupnosť základných zdrojov (suroviny, mechanizmy, pracovná sila, energie atď.)?</w:t>
            </w:r>
          </w:p>
          <w:p w14:paraId="5FDF6D8F" w14:textId="77777777" w:rsidR="00D22CF6" w:rsidRPr="00F04CCD" w:rsidRDefault="00D22CF6" w:rsidP="00D95C82">
            <w:pPr>
              <w:jc w:val="both"/>
              <w:rPr>
                <w:i/>
              </w:rPr>
            </w:pPr>
            <w:r w:rsidRPr="00F04CCD">
              <w:rPr>
                <w:i/>
              </w:rPr>
              <w:t>Ovplyvňuje prístup k financiám? Ak áno, ako?</w:t>
            </w:r>
          </w:p>
        </w:tc>
      </w:tr>
      <w:tr w:rsidR="00D22CF6" w:rsidRPr="00F04CCD" w14:paraId="3FCFF1FF" w14:textId="77777777" w:rsidTr="00D22CF6">
        <w:trPr>
          <w:trHeight w:val="767"/>
        </w:trPr>
        <w:tc>
          <w:tcPr>
            <w:tcW w:w="9212" w:type="dxa"/>
            <w:tcBorders>
              <w:bottom w:val="single" w:sz="4" w:space="0" w:color="auto"/>
            </w:tcBorders>
          </w:tcPr>
          <w:p w14:paraId="1B140B4A" w14:textId="77777777" w:rsidR="00D22CF6" w:rsidRDefault="00D22CF6" w:rsidP="00D22CF6">
            <w:pPr>
              <w:jc w:val="both"/>
            </w:pPr>
            <w:r>
              <w:t>Pri stanovení výšky sankcie je potrebné zohľadňovať finančnú situáciu MSP.</w:t>
            </w:r>
          </w:p>
          <w:p w14:paraId="6B01D186" w14:textId="77777777" w:rsidR="00D22CF6" w:rsidRPr="00F04CCD" w:rsidRDefault="00D22CF6" w:rsidP="00D22CF6">
            <w:pPr>
              <w:jc w:val="both"/>
              <w:rPr>
                <w:i/>
              </w:rPr>
            </w:pPr>
            <w:r>
              <w:t xml:space="preserve">Zavedenie povinnosti pre výrobcov mať v EÚ usadenú osobu zodpovednú za informácie o súlade výrobku môže predstavovať netarifnú bariéru v prístupe harmonizovaných výrobkov z tretích krajín na trh EÚ.  </w:t>
            </w:r>
          </w:p>
        </w:tc>
      </w:tr>
      <w:tr w:rsidR="00D22CF6" w:rsidRPr="00F04CCD" w14:paraId="6F0FD3EA" w14:textId="77777777" w:rsidTr="00D22CF6">
        <w:tc>
          <w:tcPr>
            <w:tcW w:w="9212" w:type="dxa"/>
            <w:shd w:val="clear" w:color="auto" w:fill="D9D9D9" w:themeFill="background1" w:themeFillShade="D9"/>
          </w:tcPr>
          <w:p w14:paraId="2783A844" w14:textId="77777777" w:rsidR="00D22CF6" w:rsidRPr="00042C66" w:rsidRDefault="00D22CF6" w:rsidP="00D22CF6">
            <w:pPr>
              <w:rPr>
                <w:b/>
              </w:rPr>
            </w:pPr>
            <w:r>
              <w:rPr>
                <w:b/>
              </w:rPr>
              <w:t>3</w:t>
            </w:r>
            <w:r w:rsidRPr="00042C66">
              <w:rPr>
                <w:b/>
              </w:rPr>
              <w:t xml:space="preserve">.5 Inovácie </w:t>
            </w:r>
          </w:p>
          <w:p w14:paraId="00DB1060" w14:textId="77777777" w:rsidR="00D22CF6" w:rsidRPr="00F04CCD" w:rsidRDefault="00D22CF6" w:rsidP="00D22CF6">
            <w:pPr>
              <w:rPr>
                <w:b/>
              </w:rPr>
            </w:pPr>
            <w:r w:rsidRPr="00042C66">
              <w:t xml:space="preserve">       - </w:t>
            </w:r>
            <w:r w:rsidRPr="00042C66">
              <w:rPr>
                <w:b/>
              </w:rPr>
              <w:t>z toho MSP</w:t>
            </w:r>
          </w:p>
        </w:tc>
      </w:tr>
      <w:tr w:rsidR="00D22CF6" w:rsidRPr="00F04CCD" w14:paraId="0B1C8FDE" w14:textId="77777777" w:rsidTr="00D22CF6">
        <w:tc>
          <w:tcPr>
            <w:tcW w:w="9212" w:type="dxa"/>
          </w:tcPr>
          <w:p w14:paraId="4D41BC2F" w14:textId="77777777" w:rsidR="00D22CF6" w:rsidRPr="00F04CCD" w:rsidRDefault="00D22CF6" w:rsidP="00D95C82">
            <w:pPr>
              <w:jc w:val="both"/>
              <w:rPr>
                <w:i/>
              </w:rPr>
            </w:pPr>
            <w:r w:rsidRPr="00F04CCD">
              <w:rPr>
                <w:i/>
              </w:rPr>
              <w:t>Uveďte, ako podporuje navrhovaná zmena inovácie.</w:t>
            </w:r>
          </w:p>
          <w:p w14:paraId="6DDD25F9" w14:textId="77777777" w:rsidR="00D22CF6" w:rsidRPr="00F04CCD" w:rsidRDefault="00D22CF6" w:rsidP="00D95C82">
            <w:pPr>
              <w:jc w:val="both"/>
              <w:rPr>
                <w:i/>
              </w:rPr>
            </w:pPr>
            <w:r w:rsidRPr="00F04CCD">
              <w:rPr>
                <w:i/>
              </w:rPr>
              <w:t>Zjednodušuje uvedenie alebo rozšírenie nových výrobných metód, technológií a výrobkov na trh?</w:t>
            </w:r>
          </w:p>
          <w:p w14:paraId="5806A58F" w14:textId="77777777" w:rsidR="00D22CF6" w:rsidRPr="00F04CCD" w:rsidRDefault="00D22CF6" w:rsidP="00D95C82">
            <w:pPr>
              <w:jc w:val="both"/>
              <w:rPr>
                <w:i/>
              </w:rPr>
            </w:pPr>
            <w:r w:rsidRPr="00F04CCD">
              <w:rPr>
                <w:i/>
              </w:rPr>
              <w:t xml:space="preserve">Uveďte, ako vplýva navrhovaná zmena na </w:t>
            </w:r>
            <w:r>
              <w:rPr>
                <w:i/>
              </w:rPr>
              <w:t xml:space="preserve">jednotlivé </w:t>
            </w:r>
            <w:r w:rsidRPr="00F04CCD">
              <w:rPr>
                <w:i/>
              </w:rPr>
              <w:t>práva duševného vlastníctva (</w:t>
            </w:r>
            <w:r>
              <w:rPr>
                <w:i/>
              </w:rPr>
              <w:t xml:space="preserve">napr. </w:t>
            </w:r>
            <w:r w:rsidRPr="00F04CCD">
              <w:rPr>
                <w:i/>
              </w:rPr>
              <w:t xml:space="preserve">patenty, ochranné známky, </w:t>
            </w:r>
            <w:r>
              <w:rPr>
                <w:i/>
              </w:rPr>
              <w:t>autorské práva</w:t>
            </w:r>
            <w:r w:rsidRPr="00F04CCD">
              <w:rPr>
                <w:i/>
              </w:rPr>
              <w:t>, vlastníctvo know-how).</w:t>
            </w:r>
          </w:p>
          <w:p w14:paraId="120A5291" w14:textId="77777777" w:rsidR="00D22CF6" w:rsidRDefault="00D22CF6" w:rsidP="00D95C82">
            <w:pPr>
              <w:jc w:val="both"/>
              <w:rPr>
                <w:i/>
              </w:rPr>
            </w:pPr>
            <w:r w:rsidRPr="00F04CCD">
              <w:rPr>
                <w:i/>
              </w:rPr>
              <w:t>Podporuje vyššiu efektivitu výroby/využívania zdrojov? Ak áno, ako?</w:t>
            </w:r>
          </w:p>
          <w:p w14:paraId="310E4291" w14:textId="77777777" w:rsidR="00D22CF6" w:rsidRPr="00F04CCD" w:rsidRDefault="00D22CF6" w:rsidP="00D95C82">
            <w:pPr>
              <w:jc w:val="both"/>
            </w:pPr>
            <w:r w:rsidRPr="00154881">
              <w:rPr>
                <w:i/>
              </w:rPr>
              <w:t>Vytvorí zmena nové pracovné miesta pre zamestnancov výskumu a vývoja v</w:t>
            </w:r>
            <w:r>
              <w:rPr>
                <w:i/>
              </w:rPr>
              <w:t> </w:t>
            </w:r>
            <w:r w:rsidRPr="00154881">
              <w:rPr>
                <w:i/>
              </w:rPr>
              <w:t>SR</w:t>
            </w:r>
            <w:r>
              <w:rPr>
                <w:i/>
              </w:rPr>
              <w:t>?</w:t>
            </w:r>
          </w:p>
        </w:tc>
      </w:tr>
      <w:tr w:rsidR="00D22CF6" w:rsidRPr="00F04CCD" w14:paraId="4DE7588C" w14:textId="77777777" w:rsidTr="00D22CF6">
        <w:trPr>
          <w:trHeight w:val="481"/>
        </w:trPr>
        <w:tc>
          <w:tcPr>
            <w:tcW w:w="9212" w:type="dxa"/>
          </w:tcPr>
          <w:p w14:paraId="61C7ED4C" w14:textId="77777777" w:rsidR="00D22CF6" w:rsidRPr="00F04CCD" w:rsidRDefault="00D22CF6" w:rsidP="00D22CF6">
            <w:pPr>
              <w:rPr>
                <w:i/>
              </w:rPr>
            </w:pPr>
            <w:r w:rsidRPr="003D7ED8">
              <w:t>Návrh nemá vplyv na inovácie.</w:t>
            </w:r>
          </w:p>
        </w:tc>
      </w:tr>
    </w:tbl>
    <w:p w14:paraId="1C7A7EB9" w14:textId="77777777" w:rsidR="006668AA" w:rsidRDefault="006668AA">
      <w:pPr>
        <w:widowControl/>
        <w:adjustRightInd/>
        <w:spacing w:after="200" w:line="276" w:lineRule="auto"/>
      </w:pPr>
      <w:r>
        <w:br w:type="page"/>
      </w:r>
    </w:p>
    <w:p w14:paraId="11D11217" w14:textId="77777777" w:rsidR="00D22CF6" w:rsidRPr="00F04CCD" w:rsidRDefault="00D22CF6" w:rsidP="00D22CF6"/>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162"/>
        <w:gridCol w:w="1560"/>
        <w:gridCol w:w="708"/>
        <w:gridCol w:w="993"/>
        <w:gridCol w:w="992"/>
      </w:tblGrid>
      <w:tr w:rsidR="00D22CF6" w:rsidRPr="005C4B9C" w14:paraId="4CD5BE1D" w14:textId="77777777" w:rsidTr="00D22CF6">
        <w:trPr>
          <w:trHeight w:val="20"/>
        </w:trPr>
        <w:tc>
          <w:tcPr>
            <w:tcW w:w="9371" w:type="dxa"/>
            <w:gridSpan w:val="6"/>
            <w:shd w:val="clear" w:color="auto" w:fill="BFBFBF"/>
            <w:vAlign w:val="center"/>
          </w:tcPr>
          <w:p w14:paraId="0433916C" w14:textId="77777777" w:rsidR="00D22CF6" w:rsidRPr="005C4B9C" w:rsidRDefault="00D22CF6" w:rsidP="00D22CF6">
            <w:pPr>
              <w:jc w:val="center"/>
              <w:rPr>
                <w:b/>
                <w:bCs/>
                <w:sz w:val="28"/>
                <w:szCs w:val="28"/>
              </w:rPr>
            </w:pPr>
            <w:r w:rsidRPr="005C4B9C">
              <w:rPr>
                <w:b/>
                <w:bCs/>
                <w:sz w:val="28"/>
                <w:szCs w:val="28"/>
              </w:rPr>
              <w:t>Analýza vplyvov na informatizáciu spoločnosti</w:t>
            </w:r>
          </w:p>
          <w:p w14:paraId="495E970E" w14:textId="77777777" w:rsidR="00D22CF6" w:rsidRPr="005C4B9C" w:rsidRDefault="00D22CF6" w:rsidP="00D22CF6">
            <w:pPr>
              <w:jc w:val="center"/>
              <w:rPr>
                <w:b/>
                <w:i/>
                <w:iCs/>
                <w:sz w:val="2"/>
                <w:szCs w:val="22"/>
              </w:rPr>
            </w:pPr>
            <w:r w:rsidRPr="005C4B9C">
              <w:rPr>
                <w:b/>
              </w:rPr>
              <w:t>Budovanie základných pilierov informatizácie</w:t>
            </w:r>
          </w:p>
        </w:tc>
      </w:tr>
      <w:tr w:rsidR="00D22CF6" w:rsidRPr="005C4B9C" w14:paraId="39CAFC27" w14:textId="77777777" w:rsidTr="00D22CF6">
        <w:trPr>
          <w:trHeight w:val="681"/>
        </w:trPr>
        <w:tc>
          <w:tcPr>
            <w:tcW w:w="3956" w:type="dxa"/>
            <w:shd w:val="clear" w:color="auto" w:fill="C0C0C0"/>
            <w:vAlign w:val="center"/>
          </w:tcPr>
          <w:p w14:paraId="3EEB4A0F" w14:textId="77777777" w:rsidR="00D22CF6" w:rsidRPr="005C4B9C" w:rsidRDefault="00D22CF6" w:rsidP="00D22CF6">
            <w:pPr>
              <w:jc w:val="center"/>
              <w:rPr>
                <w:b/>
                <w:szCs w:val="22"/>
              </w:rPr>
            </w:pPr>
            <w:r w:rsidRPr="005C4B9C">
              <w:rPr>
                <w:b/>
                <w:szCs w:val="22"/>
              </w:rPr>
              <w:t>Obsah</w:t>
            </w:r>
          </w:p>
        </w:tc>
        <w:tc>
          <w:tcPr>
            <w:tcW w:w="1162" w:type="dxa"/>
            <w:shd w:val="clear" w:color="auto" w:fill="C0C0C0"/>
            <w:vAlign w:val="center"/>
          </w:tcPr>
          <w:p w14:paraId="6384EE06" w14:textId="77777777" w:rsidR="00D22CF6" w:rsidRPr="005C4B9C" w:rsidRDefault="00D22CF6" w:rsidP="00D22CF6">
            <w:pPr>
              <w:jc w:val="center"/>
              <w:rPr>
                <w:b/>
                <w:szCs w:val="22"/>
              </w:rPr>
            </w:pPr>
            <w:r w:rsidRPr="005C4B9C">
              <w:rPr>
                <w:b/>
                <w:szCs w:val="22"/>
              </w:rPr>
              <w:t>A – nová služba</w:t>
            </w:r>
          </w:p>
          <w:p w14:paraId="7DAC4E71" w14:textId="77777777" w:rsidR="00D22CF6" w:rsidRPr="005C4B9C" w:rsidRDefault="00D22CF6" w:rsidP="00D22CF6">
            <w:pPr>
              <w:jc w:val="center"/>
              <w:rPr>
                <w:i/>
                <w:iCs/>
                <w:szCs w:val="22"/>
              </w:rPr>
            </w:pPr>
            <w:r w:rsidRPr="005C4B9C">
              <w:rPr>
                <w:b/>
                <w:szCs w:val="22"/>
              </w:rPr>
              <w:t>B – zmena služby</w:t>
            </w:r>
          </w:p>
        </w:tc>
        <w:tc>
          <w:tcPr>
            <w:tcW w:w="1560" w:type="dxa"/>
            <w:shd w:val="clear" w:color="auto" w:fill="C0C0C0"/>
            <w:vAlign w:val="center"/>
          </w:tcPr>
          <w:p w14:paraId="564A4554" w14:textId="77777777" w:rsidR="00D22CF6" w:rsidRPr="005C4B9C" w:rsidRDefault="00D22CF6" w:rsidP="00D22CF6">
            <w:pPr>
              <w:jc w:val="center"/>
              <w:rPr>
                <w:i/>
                <w:iCs/>
                <w:szCs w:val="22"/>
              </w:rPr>
            </w:pPr>
          </w:p>
          <w:p w14:paraId="7A528027" w14:textId="77777777" w:rsidR="00D22CF6" w:rsidRPr="005C4B9C" w:rsidRDefault="00D22CF6" w:rsidP="00D22CF6">
            <w:pPr>
              <w:spacing w:after="200"/>
              <w:jc w:val="center"/>
              <w:rPr>
                <w:szCs w:val="22"/>
              </w:rPr>
            </w:pPr>
            <w:r w:rsidRPr="005C4B9C">
              <w:rPr>
                <w:b/>
                <w:szCs w:val="22"/>
              </w:rPr>
              <w:t>Kód služby</w:t>
            </w:r>
          </w:p>
        </w:tc>
        <w:tc>
          <w:tcPr>
            <w:tcW w:w="1701" w:type="dxa"/>
            <w:gridSpan w:val="2"/>
            <w:shd w:val="clear" w:color="auto" w:fill="C0C0C0"/>
            <w:vAlign w:val="center"/>
          </w:tcPr>
          <w:p w14:paraId="4A0B53CD" w14:textId="77777777" w:rsidR="00D22CF6" w:rsidRPr="005C4B9C" w:rsidRDefault="00D22CF6" w:rsidP="00D22CF6">
            <w:pPr>
              <w:jc w:val="center"/>
              <w:rPr>
                <w:b/>
                <w:szCs w:val="22"/>
              </w:rPr>
            </w:pPr>
          </w:p>
          <w:p w14:paraId="2F9AAE39" w14:textId="77777777" w:rsidR="00D22CF6" w:rsidRPr="005C4B9C" w:rsidRDefault="00D22CF6" w:rsidP="00D22CF6">
            <w:pPr>
              <w:jc w:val="center"/>
              <w:rPr>
                <w:i/>
                <w:iCs/>
                <w:szCs w:val="22"/>
              </w:rPr>
            </w:pPr>
            <w:r w:rsidRPr="005C4B9C">
              <w:rPr>
                <w:b/>
                <w:szCs w:val="22"/>
              </w:rPr>
              <w:t>Názov služby</w:t>
            </w:r>
          </w:p>
        </w:tc>
        <w:tc>
          <w:tcPr>
            <w:tcW w:w="992" w:type="dxa"/>
            <w:shd w:val="clear" w:color="auto" w:fill="C0C0C0"/>
            <w:vAlign w:val="center"/>
          </w:tcPr>
          <w:p w14:paraId="5C1A96E0" w14:textId="77777777" w:rsidR="00D22CF6" w:rsidRPr="005C4B9C" w:rsidRDefault="00D22CF6" w:rsidP="00D22CF6">
            <w:pPr>
              <w:jc w:val="center"/>
              <w:rPr>
                <w:b/>
                <w:szCs w:val="22"/>
              </w:rPr>
            </w:pPr>
            <w:r>
              <w:rPr>
                <w:b/>
                <w:szCs w:val="22"/>
              </w:rPr>
              <w:t>Úroveň elektroni</w:t>
            </w:r>
            <w:r w:rsidRPr="005C4B9C">
              <w:rPr>
                <w:b/>
                <w:szCs w:val="22"/>
              </w:rPr>
              <w:t>zácie služby</w:t>
            </w:r>
          </w:p>
          <w:p w14:paraId="031AE4DF" w14:textId="77777777" w:rsidR="00D22CF6" w:rsidRPr="005C4B9C" w:rsidRDefault="00D22CF6" w:rsidP="00D22CF6">
            <w:pPr>
              <w:jc w:val="center"/>
              <w:rPr>
                <w:i/>
                <w:iCs/>
                <w:szCs w:val="22"/>
              </w:rPr>
            </w:pPr>
            <w:r w:rsidRPr="005C4B9C">
              <w:rPr>
                <w:b/>
                <w:szCs w:val="22"/>
              </w:rPr>
              <w:t>(0 až 5)</w:t>
            </w:r>
          </w:p>
        </w:tc>
      </w:tr>
      <w:tr w:rsidR="00D22CF6" w:rsidRPr="005C4B9C" w14:paraId="21730405" w14:textId="77777777" w:rsidTr="00D22CF6">
        <w:trPr>
          <w:trHeight w:val="20"/>
        </w:trPr>
        <w:tc>
          <w:tcPr>
            <w:tcW w:w="3956" w:type="dxa"/>
          </w:tcPr>
          <w:p w14:paraId="3B384667" w14:textId="77777777" w:rsidR="00D22CF6" w:rsidRPr="005C4B9C" w:rsidRDefault="00D22CF6" w:rsidP="00D22CF6">
            <w:pPr>
              <w:jc w:val="both"/>
              <w:rPr>
                <w:szCs w:val="22"/>
              </w:rPr>
            </w:pPr>
            <w:r w:rsidRPr="005C4B9C">
              <w:rPr>
                <w:b/>
                <w:szCs w:val="22"/>
              </w:rPr>
              <w:t>6.1.</w:t>
            </w:r>
            <w:r w:rsidRPr="005C4B9C">
              <w:rPr>
                <w:szCs w:val="22"/>
              </w:rPr>
              <w:t xml:space="preserve"> Predpokladá predložený návrh zmenu existujúcich elektronických služieb verejnej správy alebo vytvorenie nových služieb?</w:t>
            </w:r>
          </w:p>
          <w:p w14:paraId="78F1ACEA" w14:textId="77777777" w:rsidR="00D22CF6" w:rsidRPr="005C4B9C" w:rsidRDefault="00D22CF6" w:rsidP="00D22CF6">
            <w:pPr>
              <w:spacing w:line="20" w:lineRule="atLeast"/>
              <w:jc w:val="both"/>
              <w:rPr>
                <w:b/>
                <w:sz w:val="22"/>
                <w:szCs w:val="22"/>
              </w:rPr>
            </w:pPr>
            <w:r w:rsidRPr="005C4B9C">
              <w:rPr>
                <w:i/>
                <w:iCs/>
                <w:szCs w:val="22"/>
              </w:rPr>
              <w:t xml:space="preserve">(Ak áno, uveďte zmenu služby alebo vytvorenie novej služby, ďalej  jej kód, názov a úroveň elektronizácie podľa katalógu </w:t>
            </w:r>
            <w:proofErr w:type="spellStart"/>
            <w:r w:rsidRPr="005C4B9C">
              <w:rPr>
                <w:i/>
                <w:iCs/>
                <w:szCs w:val="22"/>
              </w:rPr>
              <w:t>eGovernment</w:t>
            </w:r>
            <w:proofErr w:type="spellEnd"/>
            <w:r w:rsidRPr="005C4B9C">
              <w:rPr>
                <w:i/>
                <w:iCs/>
                <w:szCs w:val="22"/>
              </w:rPr>
              <w:t xml:space="preserve"> služieb, ktorý je vedený v centrálnom </w:t>
            </w:r>
            <w:proofErr w:type="spellStart"/>
            <w:r w:rsidRPr="005C4B9C">
              <w:rPr>
                <w:i/>
                <w:iCs/>
                <w:szCs w:val="22"/>
              </w:rPr>
              <w:t>metainformačnom</w:t>
            </w:r>
            <w:proofErr w:type="spellEnd"/>
            <w:r w:rsidRPr="005C4B9C">
              <w:rPr>
                <w:i/>
                <w:iCs/>
                <w:szCs w:val="22"/>
              </w:rPr>
              <w:t xml:space="preserve"> systéme verejnej správy.)</w:t>
            </w:r>
            <w:r w:rsidRPr="005C4B9C">
              <w:rPr>
                <w:szCs w:val="22"/>
              </w:rPr>
              <w:t xml:space="preserve"> </w:t>
            </w:r>
          </w:p>
        </w:tc>
        <w:tc>
          <w:tcPr>
            <w:tcW w:w="1162" w:type="dxa"/>
          </w:tcPr>
          <w:p w14:paraId="6A83827E" w14:textId="77777777" w:rsidR="00D22CF6" w:rsidRPr="005C4B9C" w:rsidRDefault="00D22CF6" w:rsidP="00D22CF6">
            <w:pPr>
              <w:jc w:val="center"/>
              <w:rPr>
                <w:b/>
                <w:sz w:val="22"/>
                <w:szCs w:val="22"/>
              </w:rPr>
            </w:pPr>
            <w:r>
              <w:rPr>
                <w:b/>
                <w:sz w:val="22"/>
                <w:szCs w:val="22"/>
              </w:rPr>
              <w:t>A</w:t>
            </w:r>
          </w:p>
        </w:tc>
        <w:tc>
          <w:tcPr>
            <w:tcW w:w="1560" w:type="dxa"/>
          </w:tcPr>
          <w:p w14:paraId="523214C8" w14:textId="77777777" w:rsidR="00D22CF6" w:rsidRPr="005C4B9C" w:rsidRDefault="00D22CF6" w:rsidP="00D22CF6">
            <w:pPr>
              <w:jc w:val="center"/>
              <w:rPr>
                <w:b/>
                <w:sz w:val="22"/>
                <w:szCs w:val="22"/>
              </w:rPr>
            </w:pPr>
            <w:r w:rsidRPr="006262A4">
              <w:rPr>
                <w:iCs/>
              </w:rPr>
              <w:t>as_58965</w:t>
            </w:r>
          </w:p>
        </w:tc>
        <w:tc>
          <w:tcPr>
            <w:tcW w:w="1701" w:type="dxa"/>
            <w:gridSpan w:val="2"/>
          </w:tcPr>
          <w:p w14:paraId="665423E8" w14:textId="77777777" w:rsidR="00D22CF6" w:rsidRPr="005C4B9C" w:rsidRDefault="00D22CF6" w:rsidP="00D22CF6">
            <w:pPr>
              <w:jc w:val="both"/>
              <w:rPr>
                <w:b/>
                <w:sz w:val="22"/>
                <w:szCs w:val="22"/>
              </w:rPr>
            </w:pPr>
            <w:r>
              <w:rPr>
                <w:i/>
                <w:iCs/>
              </w:rPr>
              <w:t>Pravidlá a požiadavky na výrobky</w:t>
            </w:r>
          </w:p>
        </w:tc>
        <w:tc>
          <w:tcPr>
            <w:tcW w:w="992" w:type="dxa"/>
          </w:tcPr>
          <w:p w14:paraId="44F260A9" w14:textId="77777777" w:rsidR="00D22CF6" w:rsidRPr="005D7D77" w:rsidRDefault="00D22CF6" w:rsidP="00D22CF6">
            <w:pPr>
              <w:rPr>
                <w:sz w:val="22"/>
                <w:szCs w:val="22"/>
              </w:rPr>
            </w:pPr>
            <w:r>
              <w:rPr>
                <w:sz w:val="22"/>
                <w:szCs w:val="22"/>
              </w:rPr>
              <w:t>4</w:t>
            </w:r>
          </w:p>
        </w:tc>
      </w:tr>
      <w:tr w:rsidR="00D22CF6" w:rsidRPr="005C4B9C" w14:paraId="7803D71B" w14:textId="77777777" w:rsidTr="00D22CF6">
        <w:trPr>
          <w:trHeight w:val="20"/>
        </w:trPr>
        <w:tc>
          <w:tcPr>
            <w:tcW w:w="3956" w:type="dxa"/>
            <w:shd w:val="clear" w:color="auto" w:fill="C0C0C0"/>
            <w:vAlign w:val="center"/>
          </w:tcPr>
          <w:p w14:paraId="546DF860" w14:textId="77777777" w:rsidR="00D22CF6" w:rsidRPr="005C4B9C" w:rsidRDefault="00D22CF6" w:rsidP="00D22CF6">
            <w:pPr>
              <w:jc w:val="center"/>
              <w:rPr>
                <w:b/>
                <w:szCs w:val="22"/>
              </w:rPr>
            </w:pPr>
            <w:r w:rsidRPr="005C4B9C">
              <w:rPr>
                <w:b/>
                <w:szCs w:val="22"/>
              </w:rPr>
              <w:t>Infraštruktúra</w:t>
            </w:r>
          </w:p>
        </w:tc>
        <w:tc>
          <w:tcPr>
            <w:tcW w:w="1162" w:type="dxa"/>
            <w:shd w:val="clear" w:color="auto" w:fill="C0C0C0"/>
            <w:vAlign w:val="center"/>
          </w:tcPr>
          <w:p w14:paraId="19DE5C6F" w14:textId="77777777" w:rsidR="00D22CF6" w:rsidRPr="005C4B9C" w:rsidRDefault="00D22CF6" w:rsidP="00D22CF6">
            <w:pPr>
              <w:jc w:val="center"/>
              <w:rPr>
                <w:b/>
                <w:szCs w:val="22"/>
              </w:rPr>
            </w:pPr>
            <w:r w:rsidRPr="005C4B9C">
              <w:rPr>
                <w:b/>
                <w:szCs w:val="22"/>
              </w:rPr>
              <w:t>A – nový systém</w:t>
            </w:r>
          </w:p>
          <w:p w14:paraId="028CD4D6" w14:textId="77777777" w:rsidR="00D22CF6" w:rsidRPr="005C4B9C" w:rsidRDefault="00D22CF6" w:rsidP="00D22CF6">
            <w:pPr>
              <w:jc w:val="center"/>
              <w:rPr>
                <w:b/>
                <w:szCs w:val="22"/>
              </w:rPr>
            </w:pPr>
            <w:r w:rsidRPr="005C4B9C">
              <w:rPr>
                <w:b/>
                <w:szCs w:val="22"/>
              </w:rPr>
              <w:t>B – zmena systému</w:t>
            </w:r>
          </w:p>
        </w:tc>
        <w:tc>
          <w:tcPr>
            <w:tcW w:w="1560" w:type="dxa"/>
            <w:shd w:val="clear" w:color="auto" w:fill="C0C0C0"/>
            <w:vAlign w:val="center"/>
          </w:tcPr>
          <w:p w14:paraId="6FCDC64B" w14:textId="77777777" w:rsidR="00D22CF6" w:rsidRPr="005C4B9C" w:rsidRDefault="00D22CF6" w:rsidP="00D22CF6">
            <w:pPr>
              <w:jc w:val="center"/>
              <w:rPr>
                <w:b/>
                <w:szCs w:val="22"/>
              </w:rPr>
            </w:pPr>
            <w:r w:rsidRPr="005C4B9C">
              <w:rPr>
                <w:b/>
                <w:szCs w:val="22"/>
              </w:rPr>
              <w:t>Kód systému</w:t>
            </w:r>
          </w:p>
        </w:tc>
        <w:tc>
          <w:tcPr>
            <w:tcW w:w="2693" w:type="dxa"/>
            <w:gridSpan w:val="3"/>
            <w:shd w:val="clear" w:color="auto" w:fill="C0C0C0"/>
            <w:vAlign w:val="center"/>
          </w:tcPr>
          <w:p w14:paraId="443D2010" w14:textId="77777777" w:rsidR="00D22CF6" w:rsidRPr="005C4B9C" w:rsidRDefault="00D22CF6" w:rsidP="00D22CF6">
            <w:pPr>
              <w:jc w:val="center"/>
              <w:rPr>
                <w:b/>
              </w:rPr>
            </w:pPr>
            <w:r w:rsidRPr="005C4B9C">
              <w:rPr>
                <w:b/>
                <w:szCs w:val="22"/>
              </w:rPr>
              <w:t>Názov systému</w:t>
            </w:r>
          </w:p>
        </w:tc>
      </w:tr>
      <w:tr w:rsidR="00D22CF6" w:rsidRPr="005C4B9C" w14:paraId="5CFDD1BA" w14:textId="77777777" w:rsidTr="00D22CF6">
        <w:trPr>
          <w:trHeight w:val="20"/>
        </w:trPr>
        <w:tc>
          <w:tcPr>
            <w:tcW w:w="3956" w:type="dxa"/>
          </w:tcPr>
          <w:p w14:paraId="46602A15" w14:textId="77777777" w:rsidR="00D22CF6" w:rsidRPr="005C4B9C" w:rsidRDefault="00D22CF6" w:rsidP="00D22CF6">
            <w:pPr>
              <w:jc w:val="both"/>
            </w:pPr>
            <w:r w:rsidRPr="005C4B9C">
              <w:rPr>
                <w:b/>
              </w:rPr>
              <w:t>6.2.</w:t>
            </w:r>
            <w:r w:rsidRPr="005C4B9C">
              <w:t xml:space="preserve"> Predpokladá predložený návrh zmenu existujúceho alebo vytvorenie nového informačného systému verejnej správy?</w:t>
            </w:r>
          </w:p>
          <w:p w14:paraId="723B4A75" w14:textId="77777777" w:rsidR="00D22CF6" w:rsidRPr="005C4B9C" w:rsidRDefault="00D22CF6" w:rsidP="00D22CF6">
            <w:pPr>
              <w:spacing w:line="20" w:lineRule="atLeast"/>
              <w:jc w:val="both"/>
            </w:pPr>
            <w:r w:rsidRPr="005C4B9C">
              <w:rPr>
                <w:i/>
                <w:iCs/>
              </w:rPr>
              <w:t xml:space="preserve">(Ak áno, uveďte zmenu systému alebo vytvorenie nového systému, ďalej jeho kód a názov z centrálneho </w:t>
            </w:r>
            <w:proofErr w:type="spellStart"/>
            <w:r w:rsidRPr="005C4B9C">
              <w:rPr>
                <w:i/>
                <w:iCs/>
              </w:rPr>
              <w:t>metainformačného</w:t>
            </w:r>
            <w:proofErr w:type="spellEnd"/>
            <w:r w:rsidRPr="005C4B9C">
              <w:rPr>
                <w:i/>
                <w:iCs/>
              </w:rPr>
              <w:t xml:space="preserve"> systému verejnej správy.)</w:t>
            </w:r>
          </w:p>
        </w:tc>
        <w:tc>
          <w:tcPr>
            <w:tcW w:w="1162" w:type="dxa"/>
          </w:tcPr>
          <w:p w14:paraId="67A45ABF" w14:textId="77777777" w:rsidR="00D22CF6" w:rsidRPr="005C4B9C" w:rsidRDefault="00D22CF6" w:rsidP="00D22CF6">
            <w:pPr>
              <w:jc w:val="center"/>
              <w:rPr>
                <w:i/>
                <w:iCs/>
              </w:rPr>
            </w:pPr>
            <w:r>
              <w:rPr>
                <w:i/>
                <w:iCs/>
              </w:rPr>
              <w:t>-</w:t>
            </w:r>
          </w:p>
        </w:tc>
        <w:tc>
          <w:tcPr>
            <w:tcW w:w="1560" w:type="dxa"/>
          </w:tcPr>
          <w:p w14:paraId="273A2F20" w14:textId="77777777" w:rsidR="00D22CF6" w:rsidRPr="006262A4" w:rsidRDefault="00D22CF6" w:rsidP="00D22CF6">
            <w:pPr>
              <w:jc w:val="center"/>
              <w:rPr>
                <w:iCs/>
              </w:rPr>
            </w:pPr>
            <w:r>
              <w:rPr>
                <w:iCs/>
              </w:rPr>
              <w:t>-</w:t>
            </w:r>
          </w:p>
        </w:tc>
        <w:tc>
          <w:tcPr>
            <w:tcW w:w="2693" w:type="dxa"/>
            <w:gridSpan w:val="3"/>
          </w:tcPr>
          <w:p w14:paraId="7E2E9B04" w14:textId="77777777" w:rsidR="00D22CF6" w:rsidRPr="005C4B9C" w:rsidRDefault="00D22CF6" w:rsidP="00D22CF6">
            <w:pPr>
              <w:rPr>
                <w:i/>
                <w:iCs/>
              </w:rPr>
            </w:pPr>
            <w:r>
              <w:rPr>
                <w:i/>
                <w:iCs/>
              </w:rPr>
              <w:t>-</w:t>
            </w:r>
          </w:p>
        </w:tc>
      </w:tr>
      <w:tr w:rsidR="00D22CF6" w:rsidRPr="005C4B9C" w14:paraId="7687D45E" w14:textId="77777777" w:rsidTr="00D22CF6">
        <w:trPr>
          <w:trHeight w:val="20"/>
        </w:trPr>
        <w:tc>
          <w:tcPr>
            <w:tcW w:w="3956" w:type="dxa"/>
            <w:shd w:val="clear" w:color="auto" w:fill="BFBFBF"/>
            <w:vAlign w:val="center"/>
          </w:tcPr>
          <w:p w14:paraId="1063AE5B" w14:textId="77777777" w:rsidR="00D22CF6" w:rsidRPr="005C4B9C" w:rsidRDefault="00D22CF6" w:rsidP="00D22CF6">
            <w:pPr>
              <w:spacing w:line="20" w:lineRule="atLeast"/>
              <w:ind w:hanging="55"/>
              <w:jc w:val="center"/>
              <w:rPr>
                <w:b/>
                <w:szCs w:val="22"/>
              </w:rPr>
            </w:pPr>
            <w:r w:rsidRPr="005C4B9C">
              <w:rPr>
                <w:b/>
                <w:szCs w:val="22"/>
              </w:rPr>
              <w:t>Financovanie procesu informatizácie</w:t>
            </w:r>
          </w:p>
        </w:tc>
        <w:tc>
          <w:tcPr>
            <w:tcW w:w="1162" w:type="dxa"/>
            <w:shd w:val="clear" w:color="auto" w:fill="BFBFBF"/>
            <w:vAlign w:val="center"/>
          </w:tcPr>
          <w:p w14:paraId="5B248E1B" w14:textId="77777777" w:rsidR="00D22CF6" w:rsidRPr="005C4B9C" w:rsidRDefault="00D22CF6" w:rsidP="00D22CF6">
            <w:pPr>
              <w:jc w:val="center"/>
              <w:rPr>
                <w:b/>
                <w:i/>
                <w:iCs/>
                <w:szCs w:val="22"/>
              </w:rPr>
            </w:pPr>
            <w:r w:rsidRPr="005C4B9C">
              <w:rPr>
                <w:b/>
                <w:szCs w:val="22"/>
              </w:rPr>
              <w:t>Rezortná úroveň</w:t>
            </w:r>
          </w:p>
        </w:tc>
        <w:tc>
          <w:tcPr>
            <w:tcW w:w="2268" w:type="dxa"/>
            <w:gridSpan w:val="2"/>
            <w:shd w:val="clear" w:color="auto" w:fill="BFBFBF"/>
            <w:vAlign w:val="center"/>
          </w:tcPr>
          <w:p w14:paraId="246C92BA" w14:textId="77777777" w:rsidR="00D22CF6" w:rsidRPr="005C4B9C" w:rsidRDefault="00D22CF6" w:rsidP="00D22CF6">
            <w:pPr>
              <w:jc w:val="center"/>
              <w:rPr>
                <w:b/>
                <w:i/>
                <w:iCs/>
                <w:szCs w:val="22"/>
              </w:rPr>
            </w:pPr>
            <w:r w:rsidRPr="005C4B9C">
              <w:rPr>
                <w:b/>
                <w:szCs w:val="22"/>
              </w:rPr>
              <w:t>Nadrezortná úroveň</w:t>
            </w:r>
          </w:p>
          <w:p w14:paraId="7445B924" w14:textId="77777777" w:rsidR="00D22CF6" w:rsidRPr="005C4B9C" w:rsidRDefault="00D22CF6" w:rsidP="00D22CF6">
            <w:pPr>
              <w:jc w:val="center"/>
              <w:rPr>
                <w:b/>
                <w:szCs w:val="22"/>
              </w:rPr>
            </w:pPr>
          </w:p>
        </w:tc>
        <w:tc>
          <w:tcPr>
            <w:tcW w:w="1985" w:type="dxa"/>
            <w:gridSpan w:val="2"/>
            <w:shd w:val="clear" w:color="auto" w:fill="BFBFBF"/>
            <w:vAlign w:val="center"/>
          </w:tcPr>
          <w:p w14:paraId="31DC9689" w14:textId="77777777" w:rsidR="00D22CF6" w:rsidRPr="005C4B9C" w:rsidRDefault="00D22CF6" w:rsidP="00D22CF6">
            <w:pPr>
              <w:rPr>
                <w:b/>
                <w:szCs w:val="22"/>
              </w:rPr>
            </w:pPr>
            <w:r w:rsidRPr="005C4B9C">
              <w:rPr>
                <w:b/>
                <w:szCs w:val="22"/>
              </w:rPr>
              <w:t>A - z prostriedkov EÚ   B - z ďalších zdrojov financovania</w:t>
            </w:r>
          </w:p>
        </w:tc>
      </w:tr>
      <w:tr w:rsidR="00D22CF6" w:rsidRPr="005C4B9C" w14:paraId="44C66109" w14:textId="77777777" w:rsidTr="00D22CF6">
        <w:trPr>
          <w:trHeight w:val="20"/>
        </w:trPr>
        <w:tc>
          <w:tcPr>
            <w:tcW w:w="3956" w:type="dxa"/>
          </w:tcPr>
          <w:p w14:paraId="53EB08BE" w14:textId="77777777" w:rsidR="00D22CF6" w:rsidRPr="005C4B9C" w:rsidRDefault="00D22CF6" w:rsidP="00D22CF6">
            <w:pPr>
              <w:jc w:val="both"/>
              <w:rPr>
                <w:szCs w:val="22"/>
              </w:rPr>
            </w:pPr>
            <w:r w:rsidRPr="005C4B9C">
              <w:rPr>
                <w:b/>
                <w:szCs w:val="22"/>
              </w:rPr>
              <w:t>6.3.</w:t>
            </w:r>
            <w:r w:rsidRPr="005C4B9C">
              <w:rPr>
                <w:szCs w:val="22"/>
              </w:rPr>
              <w:t xml:space="preserve"> Vyžaduje si proces informatizácie  finančné investície?</w:t>
            </w:r>
          </w:p>
          <w:p w14:paraId="7ABB3EC1" w14:textId="77777777" w:rsidR="00D22CF6" w:rsidRPr="005C4B9C" w:rsidRDefault="00D22CF6" w:rsidP="00D22CF6">
            <w:pPr>
              <w:spacing w:line="20" w:lineRule="atLeast"/>
              <w:jc w:val="both"/>
            </w:pPr>
            <w:r w:rsidRPr="005C4B9C">
              <w:rPr>
                <w:i/>
                <w:iCs/>
                <w:szCs w:val="22"/>
              </w:rPr>
              <w:t>(Uveďte príslušnú úroveň financovania a kvantifikáciu finančných výdavkov uveďte  v analýze vplyvov na rozpočet verejnej správy.)</w:t>
            </w:r>
          </w:p>
        </w:tc>
        <w:tc>
          <w:tcPr>
            <w:tcW w:w="1162" w:type="dxa"/>
          </w:tcPr>
          <w:p w14:paraId="7C637B3B" w14:textId="77777777" w:rsidR="00D22CF6" w:rsidRPr="005C4B9C" w:rsidRDefault="00D22CF6" w:rsidP="00D22CF6">
            <w:pPr>
              <w:rPr>
                <w:i/>
                <w:iCs/>
              </w:rPr>
            </w:pPr>
            <w:r>
              <w:rPr>
                <w:i/>
                <w:iCs/>
              </w:rPr>
              <w:t>-</w:t>
            </w:r>
          </w:p>
        </w:tc>
        <w:tc>
          <w:tcPr>
            <w:tcW w:w="2268" w:type="dxa"/>
            <w:gridSpan w:val="2"/>
          </w:tcPr>
          <w:p w14:paraId="0F7B6FDC" w14:textId="77777777" w:rsidR="00D22CF6" w:rsidRPr="005C4B9C" w:rsidRDefault="00D22CF6" w:rsidP="00D22CF6">
            <w:pPr>
              <w:rPr>
                <w:i/>
                <w:iCs/>
              </w:rPr>
            </w:pPr>
            <w:r>
              <w:rPr>
                <w:i/>
                <w:iCs/>
              </w:rPr>
              <w:t>X</w:t>
            </w:r>
          </w:p>
        </w:tc>
        <w:tc>
          <w:tcPr>
            <w:tcW w:w="1985" w:type="dxa"/>
            <w:gridSpan w:val="2"/>
          </w:tcPr>
          <w:p w14:paraId="0D7F1448" w14:textId="77777777" w:rsidR="00D22CF6" w:rsidRDefault="00D22CF6" w:rsidP="00D22CF6">
            <w:pPr>
              <w:rPr>
                <w:i/>
                <w:iCs/>
              </w:rPr>
            </w:pPr>
            <w:r>
              <w:rPr>
                <w:i/>
                <w:iCs/>
              </w:rPr>
              <w:t>A</w:t>
            </w:r>
          </w:p>
          <w:p w14:paraId="5F39BAF6" w14:textId="77777777" w:rsidR="00D22CF6" w:rsidRPr="005C4B9C" w:rsidRDefault="00D22CF6" w:rsidP="00D22CF6">
            <w:pPr>
              <w:rPr>
                <w:i/>
                <w:iCs/>
              </w:rPr>
            </w:pPr>
          </w:p>
        </w:tc>
      </w:tr>
    </w:tbl>
    <w:p w14:paraId="6E6F2EA8" w14:textId="77777777" w:rsidR="006668AA" w:rsidRDefault="006668AA">
      <w:pPr>
        <w:widowControl/>
        <w:adjustRightInd/>
        <w:spacing w:after="200" w:line="276" w:lineRule="auto"/>
        <w:rPr>
          <w:b/>
          <w:bCs/>
          <w:sz w:val="28"/>
          <w:szCs w:val="28"/>
        </w:rPr>
      </w:pPr>
      <w:r>
        <w:rPr>
          <w:b/>
          <w:bCs/>
          <w:sz w:val="28"/>
          <w:szCs w:val="28"/>
        </w:rPr>
        <w:br w:type="page"/>
      </w:r>
    </w:p>
    <w:p w14:paraId="47820C0E" w14:textId="10D24A0A" w:rsidR="00D22CF6" w:rsidRPr="007D5748" w:rsidRDefault="00D22CF6" w:rsidP="00D22CF6">
      <w:pPr>
        <w:jc w:val="center"/>
        <w:rPr>
          <w:b/>
          <w:bCs/>
          <w:sz w:val="28"/>
          <w:szCs w:val="28"/>
        </w:rPr>
      </w:pPr>
      <w:r w:rsidRPr="007D5748">
        <w:rPr>
          <w:b/>
          <w:bCs/>
          <w:sz w:val="28"/>
          <w:szCs w:val="28"/>
        </w:rPr>
        <w:lastRenderedPageBreak/>
        <w:t>Analýza vplyvov na rozpočet verejnej správy,</w:t>
      </w:r>
    </w:p>
    <w:p w14:paraId="6315427C" w14:textId="77777777" w:rsidR="00D22CF6" w:rsidRPr="00212894" w:rsidRDefault="00D22CF6" w:rsidP="00D22CF6">
      <w:pPr>
        <w:jc w:val="center"/>
        <w:rPr>
          <w:b/>
          <w:bCs/>
        </w:rPr>
      </w:pPr>
      <w:r w:rsidRPr="007D5748">
        <w:rPr>
          <w:b/>
          <w:bCs/>
          <w:sz w:val="28"/>
          <w:szCs w:val="28"/>
        </w:rPr>
        <w:t>na zamestnanosť vo verejnej správe a financovanie návrhu</w:t>
      </w:r>
    </w:p>
    <w:p w14:paraId="41A4813D" w14:textId="77777777" w:rsidR="00D22CF6" w:rsidRDefault="00D22CF6" w:rsidP="00D22CF6">
      <w:pPr>
        <w:rPr>
          <w:b/>
          <w:bCs/>
        </w:rPr>
      </w:pPr>
    </w:p>
    <w:p w14:paraId="5EFED41B" w14:textId="77777777" w:rsidR="00D22CF6" w:rsidRPr="00212894" w:rsidRDefault="00D22CF6" w:rsidP="00D22CF6">
      <w:pPr>
        <w:rPr>
          <w:b/>
          <w:bCs/>
        </w:rPr>
      </w:pPr>
      <w:r w:rsidRPr="00212894">
        <w:rPr>
          <w:b/>
          <w:bCs/>
        </w:rPr>
        <w:t>2.1 Zhrnutie vplyvov na rozpočet verejnej správy v návrhu</w:t>
      </w:r>
    </w:p>
    <w:p w14:paraId="711BEC91" w14:textId="77777777" w:rsidR="00D22CF6" w:rsidRDefault="00D22CF6" w:rsidP="00D22CF6">
      <w:pPr>
        <w:jc w:val="right"/>
        <w:rPr>
          <w:sz w:val="20"/>
          <w:szCs w:val="20"/>
        </w:rPr>
      </w:pPr>
    </w:p>
    <w:tbl>
      <w:tblPr>
        <w:tblpPr w:leftFromText="141" w:rightFromText="141" w:vertAnchor="text" w:horzAnchor="page" w:tblpX="534" w:tblpY="81"/>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8"/>
        <w:gridCol w:w="1076"/>
        <w:gridCol w:w="1799"/>
        <w:gridCol w:w="1800"/>
        <w:gridCol w:w="1801"/>
      </w:tblGrid>
      <w:tr w:rsidR="00D22CF6" w:rsidRPr="007D5748" w14:paraId="36B7939F" w14:textId="77777777" w:rsidTr="00D22CF6">
        <w:trPr>
          <w:cantSplit/>
          <w:trHeight w:val="130"/>
        </w:trPr>
        <w:tc>
          <w:tcPr>
            <w:tcW w:w="3958" w:type="dxa"/>
            <w:vMerge w:val="restart"/>
            <w:shd w:val="clear" w:color="auto" w:fill="BFBFBF" w:themeFill="background1" w:themeFillShade="BF"/>
            <w:vAlign w:val="center"/>
          </w:tcPr>
          <w:p w14:paraId="574F71EF" w14:textId="77777777" w:rsidR="00D22CF6" w:rsidRPr="007D5748" w:rsidRDefault="00D22CF6" w:rsidP="00D22CF6">
            <w:pPr>
              <w:jc w:val="center"/>
              <w:rPr>
                <w:b/>
                <w:bCs/>
              </w:rPr>
            </w:pPr>
            <w:bookmarkStart w:id="0" w:name="OLE_LINK1"/>
            <w:r w:rsidRPr="007D5748">
              <w:rPr>
                <w:b/>
                <w:bCs/>
              </w:rPr>
              <w:t>Vplyvy na rozpočet verejnej správy</w:t>
            </w:r>
          </w:p>
        </w:tc>
        <w:tc>
          <w:tcPr>
            <w:tcW w:w="6476" w:type="dxa"/>
            <w:gridSpan w:val="4"/>
            <w:shd w:val="clear" w:color="auto" w:fill="BFBFBF" w:themeFill="background1" w:themeFillShade="BF"/>
            <w:vAlign w:val="center"/>
          </w:tcPr>
          <w:p w14:paraId="1DD2B006" w14:textId="77777777" w:rsidR="00D22CF6" w:rsidRPr="007D5748" w:rsidRDefault="00D22CF6" w:rsidP="00D22CF6">
            <w:pPr>
              <w:jc w:val="center"/>
              <w:rPr>
                <w:b/>
                <w:bCs/>
              </w:rPr>
            </w:pPr>
            <w:r w:rsidRPr="007D5748">
              <w:rPr>
                <w:b/>
                <w:bCs/>
              </w:rPr>
              <w:t>Vplyv na rozpočet verejnej správy (v eurách)</w:t>
            </w:r>
          </w:p>
        </w:tc>
      </w:tr>
      <w:tr w:rsidR="00D22CF6" w:rsidRPr="007D5748" w14:paraId="79A7CE31" w14:textId="77777777" w:rsidTr="00D22CF6">
        <w:trPr>
          <w:cantSplit/>
          <w:trHeight w:val="47"/>
        </w:trPr>
        <w:tc>
          <w:tcPr>
            <w:tcW w:w="3958" w:type="dxa"/>
            <w:vMerge/>
            <w:shd w:val="clear" w:color="auto" w:fill="BFBFBF" w:themeFill="background1" w:themeFillShade="BF"/>
            <w:vAlign w:val="center"/>
          </w:tcPr>
          <w:p w14:paraId="3BA71281" w14:textId="77777777" w:rsidR="00D22CF6" w:rsidRPr="007D5748" w:rsidRDefault="00D22CF6" w:rsidP="00D22CF6">
            <w:pPr>
              <w:jc w:val="center"/>
              <w:rPr>
                <w:b/>
                <w:bCs/>
              </w:rPr>
            </w:pPr>
          </w:p>
        </w:tc>
        <w:tc>
          <w:tcPr>
            <w:tcW w:w="1076" w:type="dxa"/>
            <w:shd w:val="clear" w:color="auto" w:fill="BFBFBF" w:themeFill="background1" w:themeFillShade="BF"/>
          </w:tcPr>
          <w:p w14:paraId="137DAD3E" w14:textId="77777777" w:rsidR="00D22CF6" w:rsidRPr="007D5748" w:rsidRDefault="00D22CF6" w:rsidP="00D22CF6">
            <w:pPr>
              <w:jc w:val="center"/>
              <w:rPr>
                <w:b/>
                <w:bCs/>
              </w:rPr>
            </w:pPr>
            <w:r w:rsidRPr="00437AE1">
              <w:rPr>
                <w:b/>
                <w:bCs/>
              </w:rPr>
              <w:t>2020</w:t>
            </w:r>
          </w:p>
        </w:tc>
        <w:tc>
          <w:tcPr>
            <w:tcW w:w="1799" w:type="dxa"/>
            <w:shd w:val="clear" w:color="auto" w:fill="BFBFBF" w:themeFill="background1" w:themeFillShade="BF"/>
          </w:tcPr>
          <w:p w14:paraId="576BD6D9" w14:textId="77777777" w:rsidR="00D22CF6" w:rsidRPr="007D5748" w:rsidRDefault="00D22CF6" w:rsidP="00D22CF6">
            <w:pPr>
              <w:jc w:val="center"/>
              <w:rPr>
                <w:b/>
                <w:bCs/>
              </w:rPr>
            </w:pPr>
            <w:r w:rsidRPr="00437AE1">
              <w:rPr>
                <w:b/>
                <w:bCs/>
              </w:rPr>
              <w:t>2021</w:t>
            </w:r>
          </w:p>
        </w:tc>
        <w:tc>
          <w:tcPr>
            <w:tcW w:w="1800" w:type="dxa"/>
            <w:shd w:val="clear" w:color="auto" w:fill="BFBFBF" w:themeFill="background1" w:themeFillShade="BF"/>
          </w:tcPr>
          <w:p w14:paraId="5F1E2CEE" w14:textId="77777777" w:rsidR="00D22CF6" w:rsidRPr="007D5748" w:rsidRDefault="00D22CF6" w:rsidP="00D22CF6">
            <w:pPr>
              <w:jc w:val="center"/>
              <w:rPr>
                <w:b/>
                <w:bCs/>
              </w:rPr>
            </w:pPr>
            <w:r w:rsidRPr="00437AE1">
              <w:rPr>
                <w:b/>
                <w:bCs/>
              </w:rPr>
              <w:t>2022</w:t>
            </w:r>
          </w:p>
        </w:tc>
        <w:tc>
          <w:tcPr>
            <w:tcW w:w="1800" w:type="dxa"/>
            <w:shd w:val="clear" w:color="auto" w:fill="BFBFBF" w:themeFill="background1" w:themeFillShade="BF"/>
          </w:tcPr>
          <w:p w14:paraId="23AE8818" w14:textId="77777777" w:rsidR="00D22CF6" w:rsidRPr="007D5748" w:rsidRDefault="00D22CF6" w:rsidP="00D22CF6">
            <w:pPr>
              <w:jc w:val="center"/>
              <w:rPr>
                <w:b/>
                <w:bCs/>
              </w:rPr>
            </w:pPr>
            <w:r w:rsidRPr="00437AE1">
              <w:rPr>
                <w:b/>
                <w:bCs/>
              </w:rPr>
              <w:t>2023</w:t>
            </w:r>
          </w:p>
        </w:tc>
      </w:tr>
      <w:tr w:rsidR="00D22CF6" w:rsidRPr="007D5748" w14:paraId="21578E19" w14:textId="77777777" w:rsidTr="00D22CF6">
        <w:trPr>
          <w:trHeight w:val="47"/>
        </w:trPr>
        <w:tc>
          <w:tcPr>
            <w:tcW w:w="3958" w:type="dxa"/>
            <w:shd w:val="clear" w:color="auto" w:fill="C0C0C0"/>
            <w:noWrap/>
            <w:vAlign w:val="center"/>
          </w:tcPr>
          <w:p w14:paraId="359E26F6" w14:textId="77777777" w:rsidR="00D22CF6" w:rsidRPr="007D5748" w:rsidRDefault="00D22CF6" w:rsidP="00D22CF6">
            <w:r w:rsidRPr="007D5748">
              <w:rPr>
                <w:b/>
                <w:bCs/>
              </w:rPr>
              <w:t>Príjmy verejnej správy celkom</w:t>
            </w:r>
          </w:p>
        </w:tc>
        <w:tc>
          <w:tcPr>
            <w:tcW w:w="1076" w:type="dxa"/>
            <w:shd w:val="clear" w:color="auto" w:fill="C0C0C0"/>
            <w:vAlign w:val="center"/>
          </w:tcPr>
          <w:p w14:paraId="0F497A45" w14:textId="77777777" w:rsidR="00D22CF6" w:rsidRPr="007D5748" w:rsidRDefault="00D22CF6" w:rsidP="00D22CF6">
            <w:pPr>
              <w:jc w:val="right"/>
              <w:rPr>
                <w:b/>
                <w:bCs/>
              </w:rPr>
            </w:pPr>
            <w:r w:rsidRPr="007D5748">
              <w:rPr>
                <w:b/>
                <w:bCs/>
              </w:rPr>
              <w:t>0</w:t>
            </w:r>
          </w:p>
        </w:tc>
        <w:tc>
          <w:tcPr>
            <w:tcW w:w="1799" w:type="dxa"/>
            <w:shd w:val="clear" w:color="auto" w:fill="C0C0C0"/>
            <w:vAlign w:val="center"/>
          </w:tcPr>
          <w:p w14:paraId="10E466CF" w14:textId="77777777" w:rsidR="00D22CF6" w:rsidRPr="007D5748" w:rsidRDefault="00D22CF6" w:rsidP="00D22CF6">
            <w:pPr>
              <w:jc w:val="right"/>
              <w:rPr>
                <w:b/>
                <w:bCs/>
              </w:rPr>
            </w:pPr>
            <w:r w:rsidRPr="007D5748">
              <w:rPr>
                <w:b/>
                <w:bCs/>
              </w:rPr>
              <w:t>0</w:t>
            </w:r>
          </w:p>
        </w:tc>
        <w:tc>
          <w:tcPr>
            <w:tcW w:w="1800" w:type="dxa"/>
            <w:shd w:val="clear" w:color="auto" w:fill="C0C0C0"/>
            <w:vAlign w:val="center"/>
          </w:tcPr>
          <w:p w14:paraId="2548E074" w14:textId="77777777" w:rsidR="00D22CF6" w:rsidRPr="007D5748" w:rsidRDefault="00D22CF6" w:rsidP="00D22CF6">
            <w:pPr>
              <w:jc w:val="right"/>
              <w:rPr>
                <w:b/>
                <w:bCs/>
              </w:rPr>
            </w:pPr>
            <w:r w:rsidRPr="007D5748">
              <w:rPr>
                <w:b/>
                <w:bCs/>
              </w:rPr>
              <w:t>0</w:t>
            </w:r>
          </w:p>
        </w:tc>
        <w:tc>
          <w:tcPr>
            <w:tcW w:w="1800" w:type="dxa"/>
            <w:shd w:val="clear" w:color="auto" w:fill="C0C0C0"/>
            <w:vAlign w:val="center"/>
          </w:tcPr>
          <w:p w14:paraId="77D78007" w14:textId="77777777" w:rsidR="00D22CF6" w:rsidRPr="007D5748" w:rsidRDefault="00D22CF6" w:rsidP="00D22CF6">
            <w:pPr>
              <w:jc w:val="right"/>
              <w:rPr>
                <w:b/>
                <w:bCs/>
              </w:rPr>
            </w:pPr>
            <w:r w:rsidRPr="007D5748">
              <w:rPr>
                <w:b/>
                <w:bCs/>
              </w:rPr>
              <w:t>0</w:t>
            </w:r>
          </w:p>
        </w:tc>
      </w:tr>
      <w:tr w:rsidR="00D22CF6" w:rsidRPr="007D5748" w14:paraId="52D1D396" w14:textId="77777777" w:rsidTr="00D22CF6">
        <w:trPr>
          <w:trHeight w:val="88"/>
        </w:trPr>
        <w:tc>
          <w:tcPr>
            <w:tcW w:w="3958" w:type="dxa"/>
            <w:noWrap/>
            <w:vAlign w:val="center"/>
          </w:tcPr>
          <w:p w14:paraId="36F30ACE" w14:textId="77777777" w:rsidR="00D22CF6" w:rsidRPr="007D5748" w:rsidRDefault="00D22CF6" w:rsidP="00D22CF6">
            <w:r w:rsidRPr="007D5748">
              <w:t>v tom: za každý subjekt verejnej správy zvlášť</w:t>
            </w:r>
          </w:p>
        </w:tc>
        <w:tc>
          <w:tcPr>
            <w:tcW w:w="1076" w:type="dxa"/>
            <w:noWrap/>
            <w:vAlign w:val="center"/>
          </w:tcPr>
          <w:p w14:paraId="24F263BE" w14:textId="77777777" w:rsidR="00D22CF6" w:rsidRPr="007D5748" w:rsidRDefault="00D22CF6" w:rsidP="00D22CF6">
            <w:pPr>
              <w:jc w:val="right"/>
            </w:pPr>
            <w:r w:rsidRPr="007D5748">
              <w:t>0</w:t>
            </w:r>
          </w:p>
        </w:tc>
        <w:tc>
          <w:tcPr>
            <w:tcW w:w="1799" w:type="dxa"/>
            <w:noWrap/>
            <w:vAlign w:val="center"/>
          </w:tcPr>
          <w:p w14:paraId="01E940E0" w14:textId="77777777" w:rsidR="00D22CF6" w:rsidRPr="007D5748" w:rsidRDefault="00D22CF6" w:rsidP="00D22CF6">
            <w:pPr>
              <w:jc w:val="right"/>
            </w:pPr>
            <w:r w:rsidRPr="007D5748">
              <w:t>0</w:t>
            </w:r>
          </w:p>
        </w:tc>
        <w:tc>
          <w:tcPr>
            <w:tcW w:w="1800" w:type="dxa"/>
            <w:noWrap/>
            <w:vAlign w:val="center"/>
          </w:tcPr>
          <w:p w14:paraId="6C6A8479" w14:textId="77777777" w:rsidR="00D22CF6" w:rsidRPr="007D5748" w:rsidRDefault="00D22CF6" w:rsidP="00D22CF6">
            <w:pPr>
              <w:jc w:val="right"/>
            </w:pPr>
            <w:r w:rsidRPr="007D5748">
              <w:t>0</w:t>
            </w:r>
          </w:p>
        </w:tc>
        <w:tc>
          <w:tcPr>
            <w:tcW w:w="1800" w:type="dxa"/>
            <w:noWrap/>
            <w:vAlign w:val="center"/>
          </w:tcPr>
          <w:p w14:paraId="4D691184" w14:textId="77777777" w:rsidR="00D22CF6" w:rsidRPr="007D5748" w:rsidRDefault="00D22CF6" w:rsidP="00D22CF6">
            <w:pPr>
              <w:jc w:val="right"/>
            </w:pPr>
            <w:r w:rsidRPr="007D5748">
              <w:t>0</w:t>
            </w:r>
          </w:p>
        </w:tc>
      </w:tr>
      <w:tr w:rsidR="00D22CF6" w:rsidRPr="007D5748" w14:paraId="32FC33F5" w14:textId="77777777" w:rsidTr="00D22CF6">
        <w:trPr>
          <w:trHeight w:val="47"/>
        </w:trPr>
        <w:tc>
          <w:tcPr>
            <w:tcW w:w="3958" w:type="dxa"/>
            <w:noWrap/>
            <w:vAlign w:val="center"/>
          </w:tcPr>
          <w:p w14:paraId="56AF0B24" w14:textId="77777777" w:rsidR="00D22CF6" w:rsidRPr="007D5748" w:rsidRDefault="00D22CF6" w:rsidP="00D22CF6">
            <w:pPr>
              <w:rPr>
                <w:b/>
                <w:bCs/>
                <w:i/>
                <w:iCs/>
              </w:rPr>
            </w:pPr>
            <w:r w:rsidRPr="007D5748">
              <w:rPr>
                <w:b/>
                <w:bCs/>
                <w:i/>
                <w:iCs/>
              </w:rPr>
              <w:t xml:space="preserve">z toho:  </w:t>
            </w:r>
          </w:p>
        </w:tc>
        <w:tc>
          <w:tcPr>
            <w:tcW w:w="1076" w:type="dxa"/>
            <w:noWrap/>
            <w:vAlign w:val="center"/>
          </w:tcPr>
          <w:p w14:paraId="144B4244" w14:textId="77777777" w:rsidR="00D22CF6" w:rsidRPr="007D5748" w:rsidRDefault="00D22CF6" w:rsidP="00D22CF6">
            <w:pPr>
              <w:jc w:val="right"/>
              <w:rPr>
                <w:b/>
                <w:bCs/>
                <w:iCs/>
              </w:rPr>
            </w:pPr>
          </w:p>
        </w:tc>
        <w:tc>
          <w:tcPr>
            <w:tcW w:w="1799" w:type="dxa"/>
            <w:noWrap/>
            <w:vAlign w:val="center"/>
          </w:tcPr>
          <w:p w14:paraId="2639EA8B" w14:textId="77777777" w:rsidR="00D22CF6" w:rsidRPr="007D5748" w:rsidRDefault="00D22CF6" w:rsidP="00D22CF6">
            <w:pPr>
              <w:jc w:val="right"/>
              <w:rPr>
                <w:b/>
                <w:bCs/>
                <w:iCs/>
              </w:rPr>
            </w:pPr>
          </w:p>
        </w:tc>
        <w:tc>
          <w:tcPr>
            <w:tcW w:w="1800" w:type="dxa"/>
            <w:noWrap/>
            <w:vAlign w:val="center"/>
          </w:tcPr>
          <w:p w14:paraId="16E7A70C" w14:textId="77777777" w:rsidR="00D22CF6" w:rsidRPr="007D5748" w:rsidRDefault="00D22CF6" w:rsidP="00D22CF6">
            <w:pPr>
              <w:jc w:val="right"/>
              <w:rPr>
                <w:b/>
                <w:bCs/>
                <w:iCs/>
              </w:rPr>
            </w:pPr>
          </w:p>
        </w:tc>
        <w:tc>
          <w:tcPr>
            <w:tcW w:w="1800" w:type="dxa"/>
            <w:noWrap/>
            <w:vAlign w:val="center"/>
          </w:tcPr>
          <w:p w14:paraId="500034F3" w14:textId="77777777" w:rsidR="00D22CF6" w:rsidRPr="007D5748" w:rsidRDefault="00D22CF6" w:rsidP="00D22CF6">
            <w:pPr>
              <w:jc w:val="right"/>
              <w:rPr>
                <w:b/>
                <w:bCs/>
                <w:iCs/>
              </w:rPr>
            </w:pPr>
          </w:p>
        </w:tc>
      </w:tr>
      <w:tr w:rsidR="00D22CF6" w:rsidRPr="007D5748" w14:paraId="3D6FEB94" w14:textId="77777777" w:rsidTr="00D22CF6">
        <w:trPr>
          <w:trHeight w:val="84"/>
        </w:trPr>
        <w:tc>
          <w:tcPr>
            <w:tcW w:w="3958" w:type="dxa"/>
            <w:noWrap/>
            <w:vAlign w:val="center"/>
          </w:tcPr>
          <w:p w14:paraId="10620424" w14:textId="77777777" w:rsidR="00D22CF6" w:rsidRPr="007D5748" w:rsidRDefault="00D22CF6" w:rsidP="00D22CF6">
            <w:pPr>
              <w:rPr>
                <w:b/>
                <w:bCs/>
                <w:i/>
                <w:iCs/>
              </w:rPr>
            </w:pPr>
            <w:r w:rsidRPr="007D5748">
              <w:rPr>
                <w:b/>
                <w:bCs/>
                <w:i/>
                <w:iCs/>
              </w:rPr>
              <w:t>- vplyv na ŠR</w:t>
            </w:r>
          </w:p>
        </w:tc>
        <w:tc>
          <w:tcPr>
            <w:tcW w:w="1076" w:type="dxa"/>
            <w:noWrap/>
            <w:vAlign w:val="center"/>
          </w:tcPr>
          <w:p w14:paraId="1B458D28" w14:textId="77777777" w:rsidR="00D22CF6" w:rsidRPr="007D5748" w:rsidRDefault="00D22CF6" w:rsidP="00D22CF6">
            <w:pPr>
              <w:jc w:val="right"/>
              <w:rPr>
                <w:b/>
                <w:bCs/>
                <w:iCs/>
              </w:rPr>
            </w:pPr>
            <w:r w:rsidRPr="007D5748">
              <w:rPr>
                <w:b/>
                <w:bCs/>
                <w:iCs/>
              </w:rPr>
              <w:t>0</w:t>
            </w:r>
          </w:p>
        </w:tc>
        <w:tc>
          <w:tcPr>
            <w:tcW w:w="1799" w:type="dxa"/>
            <w:noWrap/>
            <w:vAlign w:val="center"/>
          </w:tcPr>
          <w:p w14:paraId="5644F439" w14:textId="77777777" w:rsidR="00D22CF6" w:rsidRPr="007D5748" w:rsidRDefault="00D22CF6" w:rsidP="00D22CF6">
            <w:pPr>
              <w:jc w:val="right"/>
              <w:rPr>
                <w:b/>
                <w:bCs/>
                <w:iCs/>
              </w:rPr>
            </w:pPr>
            <w:r w:rsidRPr="007D5748">
              <w:rPr>
                <w:b/>
                <w:bCs/>
                <w:iCs/>
              </w:rPr>
              <w:t>0</w:t>
            </w:r>
          </w:p>
        </w:tc>
        <w:tc>
          <w:tcPr>
            <w:tcW w:w="1800" w:type="dxa"/>
            <w:noWrap/>
            <w:vAlign w:val="center"/>
          </w:tcPr>
          <w:p w14:paraId="2E5A0D7E" w14:textId="77777777" w:rsidR="00D22CF6" w:rsidRPr="007D5748" w:rsidRDefault="00D22CF6" w:rsidP="00D22CF6">
            <w:pPr>
              <w:jc w:val="right"/>
              <w:rPr>
                <w:b/>
                <w:bCs/>
                <w:iCs/>
              </w:rPr>
            </w:pPr>
            <w:r w:rsidRPr="007D5748">
              <w:rPr>
                <w:b/>
                <w:bCs/>
                <w:iCs/>
              </w:rPr>
              <w:t>0</w:t>
            </w:r>
          </w:p>
        </w:tc>
        <w:tc>
          <w:tcPr>
            <w:tcW w:w="1800" w:type="dxa"/>
            <w:noWrap/>
            <w:vAlign w:val="center"/>
          </w:tcPr>
          <w:p w14:paraId="4FC46BFF" w14:textId="77777777" w:rsidR="00D22CF6" w:rsidRPr="007D5748" w:rsidRDefault="00D22CF6" w:rsidP="00D22CF6">
            <w:pPr>
              <w:jc w:val="right"/>
              <w:rPr>
                <w:b/>
                <w:bCs/>
                <w:iCs/>
              </w:rPr>
            </w:pPr>
            <w:r w:rsidRPr="007D5748">
              <w:rPr>
                <w:b/>
                <w:bCs/>
                <w:iCs/>
              </w:rPr>
              <w:t>0</w:t>
            </w:r>
          </w:p>
        </w:tc>
      </w:tr>
      <w:tr w:rsidR="00D22CF6" w:rsidRPr="007D5748" w14:paraId="407F8321" w14:textId="77777777" w:rsidTr="00D22CF6">
        <w:trPr>
          <w:trHeight w:val="84"/>
        </w:trPr>
        <w:tc>
          <w:tcPr>
            <w:tcW w:w="3958" w:type="dxa"/>
            <w:noWrap/>
            <w:vAlign w:val="center"/>
          </w:tcPr>
          <w:p w14:paraId="09AD73B9" w14:textId="77777777" w:rsidR="00D22CF6" w:rsidRPr="007D5748" w:rsidRDefault="00D22CF6" w:rsidP="00D22CF6">
            <w:pPr>
              <w:ind w:left="259"/>
              <w:rPr>
                <w:b/>
                <w:bCs/>
                <w:i/>
                <w:iCs/>
              </w:rPr>
            </w:pPr>
            <w:r>
              <w:rPr>
                <w:bCs/>
                <w:i/>
                <w:iCs/>
              </w:rPr>
              <w:t>Rozpočtové prostriedky</w:t>
            </w:r>
          </w:p>
        </w:tc>
        <w:tc>
          <w:tcPr>
            <w:tcW w:w="1076" w:type="dxa"/>
            <w:noWrap/>
            <w:vAlign w:val="center"/>
          </w:tcPr>
          <w:p w14:paraId="5E3D2359" w14:textId="77777777" w:rsidR="00D22CF6" w:rsidRPr="007D5748" w:rsidRDefault="00D22CF6" w:rsidP="00D22CF6">
            <w:pPr>
              <w:jc w:val="right"/>
              <w:rPr>
                <w:b/>
                <w:bCs/>
                <w:iCs/>
              </w:rPr>
            </w:pPr>
            <w:r>
              <w:rPr>
                <w:b/>
                <w:bCs/>
                <w:iCs/>
              </w:rPr>
              <w:t>0</w:t>
            </w:r>
          </w:p>
        </w:tc>
        <w:tc>
          <w:tcPr>
            <w:tcW w:w="1799" w:type="dxa"/>
            <w:noWrap/>
            <w:vAlign w:val="center"/>
          </w:tcPr>
          <w:p w14:paraId="6A81EE70" w14:textId="77777777" w:rsidR="00D22CF6" w:rsidRPr="007D5748" w:rsidRDefault="00D22CF6" w:rsidP="00D22CF6">
            <w:pPr>
              <w:jc w:val="right"/>
              <w:rPr>
                <w:b/>
                <w:bCs/>
                <w:iCs/>
              </w:rPr>
            </w:pPr>
            <w:r>
              <w:rPr>
                <w:b/>
                <w:bCs/>
                <w:iCs/>
              </w:rPr>
              <w:t>0</w:t>
            </w:r>
          </w:p>
        </w:tc>
        <w:tc>
          <w:tcPr>
            <w:tcW w:w="1800" w:type="dxa"/>
            <w:noWrap/>
            <w:vAlign w:val="center"/>
          </w:tcPr>
          <w:p w14:paraId="15A5281D" w14:textId="77777777" w:rsidR="00D22CF6" w:rsidRPr="007D5748" w:rsidRDefault="00D22CF6" w:rsidP="00D22CF6">
            <w:pPr>
              <w:jc w:val="right"/>
              <w:rPr>
                <w:b/>
                <w:bCs/>
                <w:iCs/>
              </w:rPr>
            </w:pPr>
            <w:r>
              <w:rPr>
                <w:b/>
                <w:bCs/>
                <w:iCs/>
              </w:rPr>
              <w:t>0</w:t>
            </w:r>
          </w:p>
        </w:tc>
        <w:tc>
          <w:tcPr>
            <w:tcW w:w="1800" w:type="dxa"/>
            <w:noWrap/>
            <w:vAlign w:val="center"/>
          </w:tcPr>
          <w:p w14:paraId="7C00A9D0" w14:textId="77777777" w:rsidR="00D22CF6" w:rsidRPr="007D5748" w:rsidRDefault="00D22CF6" w:rsidP="00D22CF6">
            <w:pPr>
              <w:jc w:val="right"/>
              <w:rPr>
                <w:b/>
                <w:bCs/>
                <w:iCs/>
              </w:rPr>
            </w:pPr>
            <w:r>
              <w:rPr>
                <w:b/>
                <w:bCs/>
                <w:iCs/>
              </w:rPr>
              <w:t>0</w:t>
            </w:r>
          </w:p>
        </w:tc>
      </w:tr>
      <w:tr w:rsidR="00D22CF6" w:rsidRPr="007D5748" w14:paraId="4B61122E" w14:textId="77777777" w:rsidTr="00D22CF6">
        <w:trPr>
          <w:trHeight w:val="84"/>
        </w:trPr>
        <w:tc>
          <w:tcPr>
            <w:tcW w:w="3958" w:type="dxa"/>
            <w:noWrap/>
            <w:vAlign w:val="center"/>
          </w:tcPr>
          <w:p w14:paraId="76D6587C" w14:textId="77777777" w:rsidR="00D22CF6" w:rsidRPr="007D5748" w:rsidRDefault="00D22CF6" w:rsidP="00D22CF6">
            <w:pPr>
              <w:ind w:left="259"/>
              <w:rPr>
                <w:bCs/>
                <w:i/>
                <w:iCs/>
              </w:rPr>
            </w:pPr>
            <w:r w:rsidRPr="007D5748">
              <w:rPr>
                <w:bCs/>
                <w:i/>
                <w:iCs/>
              </w:rPr>
              <w:t>EÚ zdroje</w:t>
            </w:r>
          </w:p>
        </w:tc>
        <w:tc>
          <w:tcPr>
            <w:tcW w:w="1076" w:type="dxa"/>
            <w:noWrap/>
            <w:vAlign w:val="center"/>
          </w:tcPr>
          <w:p w14:paraId="180D828A" w14:textId="77777777" w:rsidR="00D22CF6" w:rsidRPr="007D5748" w:rsidRDefault="00D22CF6" w:rsidP="00D22CF6">
            <w:pPr>
              <w:jc w:val="right"/>
            </w:pPr>
            <w:r w:rsidRPr="007D5748">
              <w:t>0</w:t>
            </w:r>
          </w:p>
        </w:tc>
        <w:tc>
          <w:tcPr>
            <w:tcW w:w="1799" w:type="dxa"/>
            <w:noWrap/>
            <w:vAlign w:val="center"/>
          </w:tcPr>
          <w:p w14:paraId="5955946A" w14:textId="77777777" w:rsidR="00D22CF6" w:rsidRPr="007D5748" w:rsidRDefault="00D22CF6" w:rsidP="00D22CF6">
            <w:pPr>
              <w:jc w:val="right"/>
            </w:pPr>
            <w:r w:rsidRPr="007D5748">
              <w:t>0</w:t>
            </w:r>
          </w:p>
        </w:tc>
        <w:tc>
          <w:tcPr>
            <w:tcW w:w="1800" w:type="dxa"/>
            <w:noWrap/>
            <w:vAlign w:val="center"/>
          </w:tcPr>
          <w:p w14:paraId="432B8DC2" w14:textId="77777777" w:rsidR="00D22CF6" w:rsidRPr="007D5748" w:rsidRDefault="00D22CF6" w:rsidP="00D22CF6">
            <w:pPr>
              <w:jc w:val="right"/>
            </w:pPr>
            <w:r w:rsidRPr="007D5748">
              <w:t>0</w:t>
            </w:r>
          </w:p>
        </w:tc>
        <w:tc>
          <w:tcPr>
            <w:tcW w:w="1800" w:type="dxa"/>
            <w:noWrap/>
            <w:vAlign w:val="center"/>
          </w:tcPr>
          <w:p w14:paraId="78EA30DA" w14:textId="77777777" w:rsidR="00D22CF6" w:rsidRPr="007D5748" w:rsidRDefault="00D22CF6" w:rsidP="00D22CF6">
            <w:pPr>
              <w:jc w:val="right"/>
            </w:pPr>
            <w:r w:rsidRPr="007D5748">
              <w:t>0</w:t>
            </w:r>
          </w:p>
        </w:tc>
      </w:tr>
      <w:tr w:rsidR="00D22CF6" w:rsidRPr="007D5748" w14:paraId="4F974235" w14:textId="77777777" w:rsidTr="00D22CF6">
        <w:trPr>
          <w:trHeight w:val="84"/>
        </w:trPr>
        <w:tc>
          <w:tcPr>
            <w:tcW w:w="3958" w:type="dxa"/>
            <w:noWrap/>
            <w:vAlign w:val="center"/>
          </w:tcPr>
          <w:p w14:paraId="660359A2" w14:textId="77777777" w:rsidR="00D22CF6" w:rsidRPr="007D5748" w:rsidRDefault="00D22CF6" w:rsidP="00D22CF6">
            <w:pPr>
              <w:rPr>
                <w:b/>
                <w:bCs/>
                <w:i/>
                <w:iCs/>
              </w:rPr>
            </w:pPr>
            <w:r w:rsidRPr="007D5748">
              <w:rPr>
                <w:b/>
                <w:bCs/>
                <w:i/>
                <w:iCs/>
              </w:rPr>
              <w:t>- vplyv na obce</w:t>
            </w:r>
          </w:p>
        </w:tc>
        <w:tc>
          <w:tcPr>
            <w:tcW w:w="1076" w:type="dxa"/>
            <w:noWrap/>
            <w:vAlign w:val="center"/>
          </w:tcPr>
          <w:p w14:paraId="29927D69" w14:textId="77777777" w:rsidR="00D22CF6" w:rsidRPr="007D5748" w:rsidRDefault="00D22CF6" w:rsidP="00D22CF6">
            <w:pPr>
              <w:jc w:val="right"/>
              <w:rPr>
                <w:b/>
                <w:bCs/>
                <w:iCs/>
              </w:rPr>
            </w:pPr>
            <w:r w:rsidRPr="007D5748">
              <w:rPr>
                <w:b/>
                <w:bCs/>
                <w:iCs/>
              </w:rPr>
              <w:t>0</w:t>
            </w:r>
          </w:p>
        </w:tc>
        <w:tc>
          <w:tcPr>
            <w:tcW w:w="1799" w:type="dxa"/>
            <w:noWrap/>
            <w:vAlign w:val="center"/>
          </w:tcPr>
          <w:p w14:paraId="73E1EBA6" w14:textId="77777777" w:rsidR="00D22CF6" w:rsidRPr="007D5748" w:rsidRDefault="00D22CF6" w:rsidP="00D22CF6">
            <w:pPr>
              <w:jc w:val="right"/>
              <w:rPr>
                <w:b/>
                <w:bCs/>
                <w:iCs/>
              </w:rPr>
            </w:pPr>
            <w:r w:rsidRPr="007D5748">
              <w:rPr>
                <w:b/>
                <w:bCs/>
                <w:iCs/>
              </w:rPr>
              <w:t>0</w:t>
            </w:r>
          </w:p>
        </w:tc>
        <w:tc>
          <w:tcPr>
            <w:tcW w:w="1800" w:type="dxa"/>
            <w:noWrap/>
            <w:vAlign w:val="center"/>
          </w:tcPr>
          <w:p w14:paraId="3D1A3C96" w14:textId="77777777" w:rsidR="00D22CF6" w:rsidRPr="007D5748" w:rsidRDefault="00D22CF6" w:rsidP="00D22CF6">
            <w:pPr>
              <w:jc w:val="right"/>
              <w:rPr>
                <w:b/>
                <w:bCs/>
                <w:iCs/>
              </w:rPr>
            </w:pPr>
            <w:r w:rsidRPr="007D5748">
              <w:rPr>
                <w:b/>
                <w:bCs/>
                <w:iCs/>
              </w:rPr>
              <w:t>0</w:t>
            </w:r>
          </w:p>
        </w:tc>
        <w:tc>
          <w:tcPr>
            <w:tcW w:w="1800" w:type="dxa"/>
            <w:noWrap/>
            <w:vAlign w:val="center"/>
          </w:tcPr>
          <w:p w14:paraId="329314F1" w14:textId="77777777" w:rsidR="00D22CF6" w:rsidRPr="007D5748" w:rsidRDefault="00D22CF6" w:rsidP="00D22CF6">
            <w:pPr>
              <w:jc w:val="right"/>
              <w:rPr>
                <w:b/>
                <w:bCs/>
                <w:iCs/>
              </w:rPr>
            </w:pPr>
            <w:r w:rsidRPr="007D5748">
              <w:rPr>
                <w:b/>
                <w:bCs/>
                <w:iCs/>
              </w:rPr>
              <w:t>0</w:t>
            </w:r>
          </w:p>
        </w:tc>
      </w:tr>
      <w:tr w:rsidR="00D22CF6" w:rsidRPr="007D5748" w14:paraId="0B73CCF6" w14:textId="77777777" w:rsidTr="00D22CF6">
        <w:trPr>
          <w:trHeight w:val="84"/>
        </w:trPr>
        <w:tc>
          <w:tcPr>
            <w:tcW w:w="3958" w:type="dxa"/>
            <w:noWrap/>
            <w:vAlign w:val="center"/>
          </w:tcPr>
          <w:p w14:paraId="78D3D13A" w14:textId="77777777" w:rsidR="00D22CF6" w:rsidRPr="007D5748" w:rsidRDefault="00D22CF6" w:rsidP="00D22CF6">
            <w:pPr>
              <w:rPr>
                <w:b/>
                <w:bCs/>
                <w:i/>
                <w:iCs/>
              </w:rPr>
            </w:pPr>
            <w:r w:rsidRPr="007D5748">
              <w:rPr>
                <w:b/>
                <w:bCs/>
                <w:i/>
                <w:iCs/>
              </w:rPr>
              <w:t>- vplyv na vyššie územné celky</w:t>
            </w:r>
          </w:p>
        </w:tc>
        <w:tc>
          <w:tcPr>
            <w:tcW w:w="1076" w:type="dxa"/>
            <w:noWrap/>
            <w:vAlign w:val="center"/>
          </w:tcPr>
          <w:p w14:paraId="710EA670" w14:textId="77777777" w:rsidR="00D22CF6" w:rsidRPr="007D5748" w:rsidRDefault="00D22CF6" w:rsidP="00D22CF6">
            <w:pPr>
              <w:jc w:val="right"/>
              <w:rPr>
                <w:b/>
                <w:bCs/>
                <w:iCs/>
              </w:rPr>
            </w:pPr>
            <w:r w:rsidRPr="007D5748">
              <w:rPr>
                <w:b/>
                <w:bCs/>
                <w:iCs/>
              </w:rPr>
              <w:t>0</w:t>
            </w:r>
          </w:p>
        </w:tc>
        <w:tc>
          <w:tcPr>
            <w:tcW w:w="1799" w:type="dxa"/>
            <w:noWrap/>
            <w:vAlign w:val="center"/>
          </w:tcPr>
          <w:p w14:paraId="5A140701" w14:textId="77777777" w:rsidR="00D22CF6" w:rsidRPr="007D5748" w:rsidRDefault="00D22CF6" w:rsidP="00D22CF6">
            <w:pPr>
              <w:jc w:val="right"/>
              <w:rPr>
                <w:b/>
                <w:bCs/>
                <w:iCs/>
              </w:rPr>
            </w:pPr>
            <w:r w:rsidRPr="007D5748">
              <w:rPr>
                <w:b/>
                <w:bCs/>
                <w:iCs/>
              </w:rPr>
              <w:t>0</w:t>
            </w:r>
          </w:p>
        </w:tc>
        <w:tc>
          <w:tcPr>
            <w:tcW w:w="1800" w:type="dxa"/>
            <w:noWrap/>
            <w:vAlign w:val="center"/>
          </w:tcPr>
          <w:p w14:paraId="4D5D95FE" w14:textId="77777777" w:rsidR="00D22CF6" w:rsidRPr="007D5748" w:rsidRDefault="00D22CF6" w:rsidP="00D22CF6">
            <w:pPr>
              <w:jc w:val="right"/>
              <w:rPr>
                <w:b/>
                <w:bCs/>
                <w:iCs/>
              </w:rPr>
            </w:pPr>
            <w:r w:rsidRPr="007D5748">
              <w:rPr>
                <w:b/>
                <w:bCs/>
                <w:iCs/>
              </w:rPr>
              <w:t>0</w:t>
            </w:r>
          </w:p>
        </w:tc>
        <w:tc>
          <w:tcPr>
            <w:tcW w:w="1800" w:type="dxa"/>
            <w:noWrap/>
            <w:vAlign w:val="center"/>
          </w:tcPr>
          <w:p w14:paraId="1A5008F1" w14:textId="77777777" w:rsidR="00D22CF6" w:rsidRPr="007D5748" w:rsidRDefault="00D22CF6" w:rsidP="00D22CF6">
            <w:pPr>
              <w:jc w:val="right"/>
              <w:rPr>
                <w:b/>
                <w:bCs/>
                <w:iCs/>
              </w:rPr>
            </w:pPr>
            <w:r w:rsidRPr="007D5748">
              <w:rPr>
                <w:b/>
                <w:bCs/>
                <w:iCs/>
              </w:rPr>
              <w:t>0</w:t>
            </w:r>
          </w:p>
        </w:tc>
      </w:tr>
      <w:tr w:rsidR="00D22CF6" w:rsidRPr="007D5748" w14:paraId="6BF4C337" w14:textId="77777777" w:rsidTr="00D22CF6">
        <w:trPr>
          <w:trHeight w:val="84"/>
        </w:trPr>
        <w:tc>
          <w:tcPr>
            <w:tcW w:w="3958" w:type="dxa"/>
            <w:noWrap/>
            <w:vAlign w:val="center"/>
          </w:tcPr>
          <w:p w14:paraId="748AB0D0" w14:textId="77777777" w:rsidR="00D22CF6" w:rsidRPr="007D5748" w:rsidRDefault="00D22CF6" w:rsidP="00D22CF6">
            <w:pPr>
              <w:rPr>
                <w:b/>
                <w:bCs/>
                <w:i/>
                <w:iCs/>
              </w:rPr>
            </w:pPr>
            <w:r w:rsidRPr="007D5748">
              <w:rPr>
                <w:b/>
                <w:bCs/>
                <w:i/>
                <w:iCs/>
              </w:rPr>
              <w:t>- vplyv na ostatné subjekty verejnej správy</w:t>
            </w:r>
          </w:p>
        </w:tc>
        <w:tc>
          <w:tcPr>
            <w:tcW w:w="1076" w:type="dxa"/>
            <w:noWrap/>
            <w:vAlign w:val="center"/>
          </w:tcPr>
          <w:p w14:paraId="07AE054A" w14:textId="77777777" w:rsidR="00D22CF6" w:rsidRPr="007D5748" w:rsidRDefault="00D22CF6" w:rsidP="00D22CF6">
            <w:pPr>
              <w:jc w:val="right"/>
              <w:rPr>
                <w:b/>
                <w:bCs/>
                <w:iCs/>
              </w:rPr>
            </w:pPr>
            <w:r w:rsidRPr="007D5748">
              <w:rPr>
                <w:b/>
                <w:bCs/>
                <w:iCs/>
              </w:rPr>
              <w:t>0</w:t>
            </w:r>
          </w:p>
        </w:tc>
        <w:tc>
          <w:tcPr>
            <w:tcW w:w="1799" w:type="dxa"/>
            <w:noWrap/>
            <w:vAlign w:val="center"/>
          </w:tcPr>
          <w:p w14:paraId="3A0DA6C0" w14:textId="77777777" w:rsidR="00D22CF6" w:rsidRPr="007D5748" w:rsidRDefault="00D22CF6" w:rsidP="00D22CF6">
            <w:pPr>
              <w:jc w:val="right"/>
              <w:rPr>
                <w:b/>
                <w:bCs/>
                <w:iCs/>
              </w:rPr>
            </w:pPr>
            <w:r w:rsidRPr="007D5748">
              <w:rPr>
                <w:b/>
                <w:bCs/>
                <w:iCs/>
              </w:rPr>
              <w:t>0</w:t>
            </w:r>
          </w:p>
        </w:tc>
        <w:tc>
          <w:tcPr>
            <w:tcW w:w="1800" w:type="dxa"/>
            <w:noWrap/>
            <w:vAlign w:val="center"/>
          </w:tcPr>
          <w:p w14:paraId="38C2D670" w14:textId="77777777" w:rsidR="00D22CF6" w:rsidRPr="007D5748" w:rsidRDefault="00D22CF6" w:rsidP="00D22CF6">
            <w:pPr>
              <w:jc w:val="right"/>
              <w:rPr>
                <w:b/>
                <w:bCs/>
                <w:iCs/>
              </w:rPr>
            </w:pPr>
            <w:r w:rsidRPr="007D5748">
              <w:rPr>
                <w:b/>
                <w:bCs/>
                <w:iCs/>
              </w:rPr>
              <w:t>0</w:t>
            </w:r>
          </w:p>
        </w:tc>
        <w:tc>
          <w:tcPr>
            <w:tcW w:w="1800" w:type="dxa"/>
            <w:noWrap/>
            <w:vAlign w:val="center"/>
          </w:tcPr>
          <w:p w14:paraId="25A9537E" w14:textId="77777777" w:rsidR="00D22CF6" w:rsidRPr="007D5748" w:rsidRDefault="00D22CF6" w:rsidP="00D22CF6">
            <w:pPr>
              <w:jc w:val="right"/>
              <w:rPr>
                <w:b/>
                <w:bCs/>
                <w:iCs/>
              </w:rPr>
            </w:pPr>
            <w:r w:rsidRPr="007D5748">
              <w:rPr>
                <w:b/>
                <w:bCs/>
                <w:iCs/>
              </w:rPr>
              <w:t>0</w:t>
            </w:r>
          </w:p>
        </w:tc>
      </w:tr>
      <w:tr w:rsidR="00D22CF6" w:rsidRPr="007D5748" w14:paraId="1A181BB2" w14:textId="77777777" w:rsidTr="00D22CF6">
        <w:trPr>
          <w:trHeight w:val="84"/>
        </w:trPr>
        <w:tc>
          <w:tcPr>
            <w:tcW w:w="3958" w:type="dxa"/>
            <w:shd w:val="clear" w:color="auto" w:fill="C0C0C0"/>
            <w:noWrap/>
            <w:vAlign w:val="center"/>
          </w:tcPr>
          <w:p w14:paraId="27F208E5" w14:textId="77777777" w:rsidR="00D22CF6" w:rsidRPr="007D5748" w:rsidRDefault="00D22CF6" w:rsidP="00D22CF6">
            <w:pPr>
              <w:rPr>
                <w:b/>
                <w:bCs/>
              </w:rPr>
            </w:pPr>
            <w:r w:rsidRPr="007D5748">
              <w:rPr>
                <w:b/>
                <w:bCs/>
              </w:rPr>
              <w:t>Výdavky verejnej správy celkom</w:t>
            </w:r>
          </w:p>
        </w:tc>
        <w:tc>
          <w:tcPr>
            <w:tcW w:w="1076" w:type="dxa"/>
            <w:shd w:val="clear" w:color="auto" w:fill="C0C0C0"/>
            <w:noWrap/>
            <w:vAlign w:val="center"/>
          </w:tcPr>
          <w:p w14:paraId="0B4C1309" w14:textId="77777777" w:rsidR="00D22CF6" w:rsidRPr="00794F69" w:rsidRDefault="00D22CF6" w:rsidP="00D22CF6">
            <w:pPr>
              <w:jc w:val="right"/>
              <w:rPr>
                <w:b/>
                <w:bCs/>
              </w:rPr>
            </w:pPr>
            <w:r>
              <w:rPr>
                <w:b/>
                <w:bCs/>
              </w:rPr>
              <w:t>0</w:t>
            </w:r>
          </w:p>
        </w:tc>
        <w:tc>
          <w:tcPr>
            <w:tcW w:w="1799" w:type="dxa"/>
            <w:shd w:val="clear" w:color="auto" w:fill="C0C0C0"/>
            <w:noWrap/>
            <w:vAlign w:val="center"/>
          </w:tcPr>
          <w:p w14:paraId="0082EB95" w14:textId="77777777" w:rsidR="00D22CF6" w:rsidRPr="00794F69" w:rsidRDefault="00D22CF6" w:rsidP="00D22CF6">
            <w:pPr>
              <w:jc w:val="right"/>
              <w:rPr>
                <w:b/>
                <w:bCs/>
              </w:rPr>
            </w:pPr>
            <w:r w:rsidRPr="00794F69">
              <w:rPr>
                <w:b/>
                <w:bCs/>
              </w:rPr>
              <w:t>+</w:t>
            </w:r>
            <w:r w:rsidRPr="003273C7">
              <w:rPr>
                <w:b/>
                <w:bCs/>
              </w:rPr>
              <w:t>3</w:t>
            </w:r>
            <w:r>
              <w:rPr>
                <w:b/>
                <w:bCs/>
              </w:rPr>
              <w:t>3</w:t>
            </w:r>
            <w:r w:rsidRPr="003273C7">
              <w:rPr>
                <w:b/>
                <w:bCs/>
              </w:rPr>
              <w:t>.570</w:t>
            </w:r>
          </w:p>
        </w:tc>
        <w:tc>
          <w:tcPr>
            <w:tcW w:w="1800" w:type="dxa"/>
            <w:shd w:val="clear" w:color="auto" w:fill="C0C0C0"/>
            <w:noWrap/>
            <w:vAlign w:val="center"/>
          </w:tcPr>
          <w:p w14:paraId="39946628" w14:textId="77777777" w:rsidR="00D22CF6" w:rsidRPr="00794F69" w:rsidRDefault="00D22CF6" w:rsidP="00D22CF6">
            <w:pPr>
              <w:jc w:val="right"/>
              <w:rPr>
                <w:b/>
                <w:bCs/>
              </w:rPr>
            </w:pPr>
            <w:r w:rsidRPr="00E63CA2">
              <w:rPr>
                <w:b/>
                <w:bCs/>
              </w:rPr>
              <w:t>+</w:t>
            </w:r>
            <w:r>
              <w:rPr>
                <w:b/>
                <w:bCs/>
              </w:rPr>
              <w:t>33.570</w:t>
            </w:r>
          </w:p>
        </w:tc>
        <w:tc>
          <w:tcPr>
            <w:tcW w:w="1800" w:type="dxa"/>
            <w:shd w:val="clear" w:color="auto" w:fill="C0C0C0"/>
            <w:noWrap/>
            <w:vAlign w:val="center"/>
          </w:tcPr>
          <w:p w14:paraId="0D1FDAC3" w14:textId="77777777" w:rsidR="00D22CF6" w:rsidRPr="00794F69" w:rsidRDefault="00D22CF6" w:rsidP="00D22CF6">
            <w:pPr>
              <w:jc w:val="right"/>
              <w:rPr>
                <w:b/>
                <w:bCs/>
              </w:rPr>
            </w:pPr>
            <w:r w:rsidRPr="00794F69">
              <w:rPr>
                <w:b/>
                <w:bCs/>
              </w:rPr>
              <w:t>+</w:t>
            </w:r>
            <w:r>
              <w:rPr>
                <w:b/>
                <w:bCs/>
              </w:rPr>
              <w:t>33.570</w:t>
            </w:r>
          </w:p>
        </w:tc>
      </w:tr>
      <w:tr w:rsidR="00D22CF6" w:rsidRPr="007D5748" w14:paraId="4DA104BE" w14:textId="77777777" w:rsidTr="00D22CF6">
        <w:trPr>
          <w:trHeight w:val="47"/>
        </w:trPr>
        <w:tc>
          <w:tcPr>
            <w:tcW w:w="3958" w:type="dxa"/>
            <w:noWrap/>
            <w:vAlign w:val="center"/>
          </w:tcPr>
          <w:p w14:paraId="29EB3FA0" w14:textId="77777777" w:rsidR="00D22CF6" w:rsidRDefault="00D22CF6" w:rsidP="00D22CF6">
            <w:r w:rsidRPr="007D5748">
              <w:t>v tom: za každý subjekt verejnej správy / program zvlášť</w:t>
            </w:r>
          </w:p>
          <w:p w14:paraId="40F4AD4C" w14:textId="77777777" w:rsidR="00D22CF6" w:rsidRPr="007D5748" w:rsidRDefault="00D22CF6" w:rsidP="00D22CF6">
            <w:r>
              <w:t>ÚNMS SR</w:t>
            </w:r>
          </w:p>
        </w:tc>
        <w:tc>
          <w:tcPr>
            <w:tcW w:w="1076" w:type="dxa"/>
            <w:noWrap/>
            <w:vAlign w:val="center"/>
          </w:tcPr>
          <w:p w14:paraId="05A92417" w14:textId="77777777" w:rsidR="00D22CF6" w:rsidRPr="00437AE1" w:rsidRDefault="00D22CF6" w:rsidP="00D22CF6">
            <w:pPr>
              <w:jc w:val="right"/>
              <w:rPr>
                <w:bCs/>
                <w:iCs/>
              </w:rPr>
            </w:pPr>
            <w:r w:rsidRPr="00437AE1">
              <w:rPr>
                <w:bCs/>
                <w:iCs/>
              </w:rPr>
              <w:t>0</w:t>
            </w:r>
          </w:p>
        </w:tc>
        <w:tc>
          <w:tcPr>
            <w:tcW w:w="1799" w:type="dxa"/>
            <w:noWrap/>
            <w:vAlign w:val="center"/>
          </w:tcPr>
          <w:p w14:paraId="44DA33E9" w14:textId="77777777" w:rsidR="00D22CF6" w:rsidRPr="00437AE1" w:rsidRDefault="00D22CF6" w:rsidP="00D22CF6">
            <w:pPr>
              <w:jc w:val="right"/>
              <w:rPr>
                <w:bCs/>
                <w:iCs/>
              </w:rPr>
            </w:pPr>
            <w:r w:rsidRPr="00437AE1">
              <w:rPr>
                <w:bCs/>
                <w:iCs/>
              </w:rPr>
              <w:t>+</w:t>
            </w:r>
            <w:r>
              <w:rPr>
                <w:bCs/>
                <w:iCs/>
              </w:rPr>
              <w:t>33.570</w:t>
            </w:r>
          </w:p>
        </w:tc>
        <w:tc>
          <w:tcPr>
            <w:tcW w:w="1800" w:type="dxa"/>
            <w:noWrap/>
            <w:vAlign w:val="center"/>
          </w:tcPr>
          <w:p w14:paraId="02065C46" w14:textId="77777777" w:rsidR="00D22CF6" w:rsidRPr="00437AE1" w:rsidRDefault="00D22CF6" w:rsidP="00D22CF6">
            <w:pPr>
              <w:jc w:val="right"/>
              <w:rPr>
                <w:bCs/>
                <w:iCs/>
              </w:rPr>
            </w:pPr>
            <w:r w:rsidRPr="00437AE1">
              <w:rPr>
                <w:bCs/>
                <w:iCs/>
              </w:rPr>
              <w:t>+</w:t>
            </w:r>
            <w:r>
              <w:rPr>
                <w:bCs/>
                <w:iCs/>
              </w:rPr>
              <w:t>33.570</w:t>
            </w:r>
          </w:p>
        </w:tc>
        <w:tc>
          <w:tcPr>
            <w:tcW w:w="1800" w:type="dxa"/>
            <w:noWrap/>
            <w:vAlign w:val="center"/>
          </w:tcPr>
          <w:p w14:paraId="490E88C0" w14:textId="77777777" w:rsidR="00D22CF6" w:rsidRPr="00437AE1" w:rsidRDefault="00D22CF6" w:rsidP="00D22CF6">
            <w:pPr>
              <w:jc w:val="right"/>
              <w:rPr>
                <w:bCs/>
                <w:iCs/>
              </w:rPr>
            </w:pPr>
            <w:r w:rsidRPr="00437AE1">
              <w:rPr>
                <w:bCs/>
                <w:iCs/>
              </w:rPr>
              <w:t>+</w:t>
            </w:r>
            <w:r>
              <w:rPr>
                <w:bCs/>
                <w:iCs/>
              </w:rPr>
              <w:t>33.570</w:t>
            </w:r>
          </w:p>
        </w:tc>
      </w:tr>
      <w:tr w:rsidR="00D22CF6" w:rsidRPr="007D5748" w14:paraId="57FE964A" w14:textId="77777777" w:rsidTr="00D22CF6">
        <w:trPr>
          <w:trHeight w:val="47"/>
        </w:trPr>
        <w:tc>
          <w:tcPr>
            <w:tcW w:w="3958" w:type="dxa"/>
            <w:noWrap/>
            <w:vAlign w:val="center"/>
          </w:tcPr>
          <w:p w14:paraId="353FD972" w14:textId="77777777" w:rsidR="00D22CF6" w:rsidRPr="007D5748" w:rsidRDefault="00D22CF6" w:rsidP="00D22CF6">
            <w:pPr>
              <w:rPr>
                <w:b/>
                <w:bCs/>
                <w:i/>
                <w:iCs/>
              </w:rPr>
            </w:pPr>
            <w:r w:rsidRPr="007D5748">
              <w:rPr>
                <w:b/>
                <w:bCs/>
                <w:i/>
                <w:iCs/>
              </w:rPr>
              <w:t xml:space="preserve">z toho: </w:t>
            </w:r>
          </w:p>
        </w:tc>
        <w:tc>
          <w:tcPr>
            <w:tcW w:w="1076" w:type="dxa"/>
            <w:noWrap/>
            <w:vAlign w:val="center"/>
          </w:tcPr>
          <w:p w14:paraId="6D85BDE2" w14:textId="77777777" w:rsidR="00D22CF6" w:rsidRPr="007D5748" w:rsidRDefault="00D22CF6" w:rsidP="00D22CF6">
            <w:pPr>
              <w:jc w:val="right"/>
              <w:rPr>
                <w:b/>
                <w:bCs/>
                <w:iCs/>
              </w:rPr>
            </w:pPr>
          </w:p>
        </w:tc>
        <w:tc>
          <w:tcPr>
            <w:tcW w:w="1799" w:type="dxa"/>
            <w:noWrap/>
            <w:vAlign w:val="center"/>
          </w:tcPr>
          <w:p w14:paraId="3ED26E47" w14:textId="77777777" w:rsidR="00D22CF6" w:rsidRPr="007D5748" w:rsidRDefault="00D22CF6" w:rsidP="00D22CF6">
            <w:pPr>
              <w:jc w:val="right"/>
              <w:rPr>
                <w:b/>
                <w:bCs/>
                <w:iCs/>
              </w:rPr>
            </w:pPr>
          </w:p>
        </w:tc>
        <w:tc>
          <w:tcPr>
            <w:tcW w:w="1800" w:type="dxa"/>
            <w:noWrap/>
            <w:vAlign w:val="center"/>
          </w:tcPr>
          <w:p w14:paraId="29DD7847" w14:textId="77777777" w:rsidR="00D22CF6" w:rsidRPr="007D5748" w:rsidRDefault="00D22CF6" w:rsidP="00D22CF6">
            <w:pPr>
              <w:jc w:val="right"/>
              <w:rPr>
                <w:b/>
                <w:bCs/>
                <w:iCs/>
              </w:rPr>
            </w:pPr>
          </w:p>
        </w:tc>
        <w:tc>
          <w:tcPr>
            <w:tcW w:w="1800" w:type="dxa"/>
            <w:noWrap/>
            <w:vAlign w:val="center"/>
          </w:tcPr>
          <w:p w14:paraId="305C1782" w14:textId="77777777" w:rsidR="00D22CF6" w:rsidRPr="007D5748" w:rsidRDefault="00D22CF6" w:rsidP="00D22CF6">
            <w:pPr>
              <w:jc w:val="right"/>
              <w:rPr>
                <w:b/>
                <w:bCs/>
                <w:iCs/>
              </w:rPr>
            </w:pPr>
          </w:p>
        </w:tc>
      </w:tr>
      <w:tr w:rsidR="00D22CF6" w:rsidRPr="007D5748" w14:paraId="53B2EBC6" w14:textId="77777777" w:rsidTr="00D22CF6">
        <w:trPr>
          <w:trHeight w:val="47"/>
        </w:trPr>
        <w:tc>
          <w:tcPr>
            <w:tcW w:w="3958" w:type="dxa"/>
            <w:noWrap/>
            <w:vAlign w:val="center"/>
          </w:tcPr>
          <w:p w14:paraId="5CD87A56" w14:textId="77777777" w:rsidR="00D22CF6" w:rsidRPr="007D5748" w:rsidRDefault="00D22CF6" w:rsidP="00D22CF6">
            <w:pPr>
              <w:rPr>
                <w:b/>
                <w:bCs/>
                <w:i/>
                <w:iCs/>
              </w:rPr>
            </w:pPr>
            <w:r w:rsidRPr="007D5748">
              <w:rPr>
                <w:b/>
                <w:bCs/>
                <w:i/>
                <w:iCs/>
              </w:rPr>
              <w:t>- vplyv na ŠR</w:t>
            </w:r>
          </w:p>
        </w:tc>
        <w:tc>
          <w:tcPr>
            <w:tcW w:w="1076" w:type="dxa"/>
            <w:noWrap/>
            <w:vAlign w:val="center"/>
          </w:tcPr>
          <w:p w14:paraId="77DA0CD5" w14:textId="77777777" w:rsidR="00D22CF6" w:rsidRPr="00437AE1" w:rsidRDefault="00D22CF6" w:rsidP="00D22CF6">
            <w:pPr>
              <w:jc w:val="right"/>
              <w:rPr>
                <w:bCs/>
                <w:iCs/>
              </w:rPr>
            </w:pPr>
            <w:r w:rsidRPr="00437AE1">
              <w:rPr>
                <w:bCs/>
                <w:iCs/>
              </w:rPr>
              <w:t>0</w:t>
            </w:r>
          </w:p>
        </w:tc>
        <w:tc>
          <w:tcPr>
            <w:tcW w:w="1799" w:type="dxa"/>
            <w:noWrap/>
            <w:vAlign w:val="center"/>
          </w:tcPr>
          <w:p w14:paraId="032B2E2F" w14:textId="77777777" w:rsidR="00D22CF6" w:rsidRPr="00437AE1" w:rsidRDefault="00D22CF6" w:rsidP="00D22CF6">
            <w:pPr>
              <w:jc w:val="right"/>
              <w:rPr>
                <w:bCs/>
                <w:iCs/>
              </w:rPr>
            </w:pPr>
            <w:r w:rsidRPr="00437AE1">
              <w:rPr>
                <w:bCs/>
                <w:iCs/>
              </w:rPr>
              <w:t>+</w:t>
            </w:r>
            <w:r>
              <w:rPr>
                <w:bCs/>
                <w:iCs/>
              </w:rPr>
              <w:t>33.570</w:t>
            </w:r>
          </w:p>
        </w:tc>
        <w:tc>
          <w:tcPr>
            <w:tcW w:w="1800" w:type="dxa"/>
            <w:noWrap/>
            <w:vAlign w:val="center"/>
          </w:tcPr>
          <w:p w14:paraId="2A977CA5" w14:textId="77777777" w:rsidR="00D22CF6" w:rsidRPr="00437AE1" w:rsidRDefault="00D22CF6" w:rsidP="00D22CF6">
            <w:pPr>
              <w:jc w:val="right"/>
              <w:rPr>
                <w:bCs/>
                <w:iCs/>
              </w:rPr>
            </w:pPr>
            <w:r w:rsidRPr="00437AE1">
              <w:rPr>
                <w:bCs/>
                <w:iCs/>
              </w:rPr>
              <w:t>+</w:t>
            </w:r>
            <w:r w:rsidRPr="003273C7">
              <w:rPr>
                <w:bCs/>
                <w:iCs/>
              </w:rPr>
              <w:t>3</w:t>
            </w:r>
            <w:r>
              <w:rPr>
                <w:bCs/>
                <w:iCs/>
              </w:rPr>
              <w:t>3</w:t>
            </w:r>
            <w:r w:rsidRPr="003273C7">
              <w:rPr>
                <w:bCs/>
                <w:iCs/>
              </w:rPr>
              <w:t>.570</w:t>
            </w:r>
          </w:p>
        </w:tc>
        <w:tc>
          <w:tcPr>
            <w:tcW w:w="1800" w:type="dxa"/>
            <w:noWrap/>
            <w:vAlign w:val="center"/>
          </w:tcPr>
          <w:p w14:paraId="109588EF" w14:textId="77777777" w:rsidR="00D22CF6" w:rsidRPr="00437AE1" w:rsidRDefault="00D22CF6" w:rsidP="00D22CF6">
            <w:pPr>
              <w:jc w:val="right"/>
              <w:rPr>
                <w:bCs/>
                <w:iCs/>
              </w:rPr>
            </w:pPr>
            <w:r w:rsidRPr="00437AE1">
              <w:rPr>
                <w:bCs/>
                <w:iCs/>
              </w:rPr>
              <w:t>+</w:t>
            </w:r>
            <w:r w:rsidRPr="003273C7">
              <w:rPr>
                <w:bCs/>
                <w:iCs/>
              </w:rPr>
              <w:t>3</w:t>
            </w:r>
            <w:r>
              <w:rPr>
                <w:bCs/>
                <w:iCs/>
              </w:rPr>
              <w:t>3</w:t>
            </w:r>
            <w:r w:rsidRPr="003273C7">
              <w:rPr>
                <w:bCs/>
                <w:iCs/>
              </w:rPr>
              <w:t>.570</w:t>
            </w:r>
          </w:p>
        </w:tc>
      </w:tr>
      <w:tr w:rsidR="00D22CF6" w:rsidRPr="007D5748" w14:paraId="6900D493" w14:textId="77777777" w:rsidTr="00D22CF6">
        <w:trPr>
          <w:trHeight w:val="47"/>
        </w:trPr>
        <w:tc>
          <w:tcPr>
            <w:tcW w:w="3958" w:type="dxa"/>
            <w:noWrap/>
            <w:vAlign w:val="center"/>
          </w:tcPr>
          <w:p w14:paraId="120BF88E" w14:textId="77777777" w:rsidR="00D22CF6" w:rsidRPr="007D5748" w:rsidRDefault="00D22CF6" w:rsidP="00D22CF6">
            <w:pPr>
              <w:ind w:left="259"/>
              <w:rPr>
                <w:b/>
                <w:bCs/>
                <w:i/>
                <w:iCs/>
              </w:rPr>
            </w:pPr>
            <w:r>
              <w:rPr>
                <w:bCs/>
                <w:i/>
                <w:iCs/>
              </w:rPr>
              <w:t>Rozpočtové prostriedky</w:t>
            </w:r>
          </w:p>
        </w:tc>
        <w:tc>
          <w:tcPr>
            <w:tcW w:w="1076" w:type="dxa"/>
            <w:noWrap/>
            <w:vAlign w:val="center"/>
          </w:tcPr>
          <w:p w14:paraId="704B0918" w14:textId="77777777" w:rsidR="00D22CF6" w:rsidRPr="00437AE1" w:rsidRDefault="00D22CF6" w:rsidP="00D22CF6">
            <w:pPr>
              <w:jc w:val="right"/>
              <w:rPr>
                <w:bCs/>
                <w:iCs/>
              </w:rPr>
            </w:pPr>
            <w:r w:rsidRPr="00437AE1">
              <w:rPr>
                <w:bCs/>
                <w:iCs/>
              </w:rPr>
              <w:t>0</w:t>
            </w:r>
          </w:p>
        </w:tc>
        <w:tc>
          <w:tcPr>
            <w:tcW w:w="1799" w:type="dxa"/>
            <w:noWrap/>
            <w:vAlign w:val="center"/>
          </w:tcPr>
          <w:p w14:paraId="09A8CFB0" w14:textId="77777777" w:rsidR="00D22CF6" w:rsidRPr="00437AE1" w:rsidRDefault="00D22CF6" w:rsidP="00D22CF6">
            <w:pPr>
              <w:jc w:val="right"/>
              <w:rPr>
                <w:bCs/>
                <w:iCs/>
              </w:rPr>
            </w:pPr>
            <w:r w:rsidRPr="00437AE1">
              <w:rPr>
                <w:bCs/>
                <w:iCs/>
              </w:rPr>
              <w:t>+</w:t>
            </w:r>
            <w:r w:rsidRPr="003273C7">
              <w:rPr>
                <w:bCs/>
                <w:iCs/>
              </w:rPr>
              <w:t>3</w:t>
            </w:r>
            <w:r>
              <w:rPr>
                <w:bCs/>
                <w:iCs/>
              </w:rPr>
              <w:t>3</w:t>
            </w:r>
            <w:r w:rsidRPr="003273C7">
              <w:rPr>
                <w:bCs/>
                <w:iCs/>
              </w:rPr>
              <w:t>.570</w:t>
            </w:r>
          </w:p>
        </w:tc>
        <w:tc>
          <w:tcPr>
            <w:tcW w:w="1800" w:type="dxa"/>
            <w:noWrap/>
            <w:vAlign w:val="center"/>
          </w:tcPr>
          <w:p w14:paraId="2C34510E" w14:textId="77777777" w:rsidR="00D22CF6" w:rsidRPr="00437AE1" w:rsidRDefault="00D22CF6" w:rsidP="00D22CF6">
            <w:pPr>
              <w:jc w:val="right"/>
              <w:rPr>
                <w:bCs/>
                <w:iCs/>
              </w:rPr>
            </w:pPr>
            <w:r w:rsidRPr="00437AE1">
              <w:rPr>
                <w:bCs/>
                <w:iCs/>
              </w:rPr>
              <w:t>+</w:t>
            </w:r>
            <w:r w:rsidRPr="003273C7">
              <w:rPr>
                <w:bCs/>
                <w:iCs/>
              </w:rPr>
              <w:t>3</w:t>
            </w:r>
            <w:r>
              <w:rPr>
                <w:bCs/>
                <w:iCs/>
              </w:rPr>
              <w:t>3</w:t>
            </w:r>
            <w:r w:rsidRPr="003273C7">
              <w:rPr>
                <w:bCs/>
                <w:iCs/>
              </w:rPr>
              <w:t>.570</w:t>
            </w:r>
          </w:p>
        </w:tc>
        <w:tc>
          <w:tcPr>
            <w:tcW w:w="1800" w:type="dxa"/>
            <w:noWrap/>
            <w:vAlign w:val="center"/>
          </w:tcPr>
          <w:p w14:paraId="6E164FD0" w14:textId="77777777" w:rsidR="00D22CF6" w:rsidRPr="00437AE1" w:rsidRDefault="00D22CF6" w:rsidP="00D22CF6">
            <w:pPr>
              <w:jc w:val="right"/>
              <w:rPr>
                <w:bCs/>
                <w:iCs/>
              </w:rPr>
            </w:pPr>
            <w:r w:rsidRPr="00437AE1">
              <w:rPr>
                <w:bCs/>
                <w:iCs/>
              </w:rPr>
              <w:t>+</w:t>
            </w:r>
            <w:r w:rsidRPr="003273C7">
              <w:rPr>
                <w:bCs/>
                <w:iCs/>
              </w:rPr>
              <w:t>3</w:t>
            </w:r>
            <w:r>
              <w:rPr>
                <w:bCs/>
                <w:iCs/>
              </w:rPr>
              <w:t>3</w:t>
            </w:r>
            <w:r w:rsidRPr="003273C7">
              <w:rPr>
                <w:bCs/>
                <w:iCs/>
              </w:rPr>
              <w:t>.570</w:t>
            </w:r>
          </w:p>
        </w:tc>
      </w:tr>
      <w:tr w:rsidR="00D22CF6" w:rsidRPr="007D5748" w14:paraId="731C3749" w14:textId="77777777" w:rsidTr="00D22CF6">
        <w:trPr>
          <w:trHeight w:val="47"/>
        </w:trPr>
        <w:tc>
          <w:tcPr>
            <w:tcW w:w="3958" w:type="dxa"/>
            <w:noWrap/>
            <w:vAlign w:val="center"/>
          </w:tcPr>
          <w:p w14:paraId="5FE7E889" w14:textId="77777777" w:rsidR="00D22CF6" w:rsidRPr="007D5748" w:rsidRDefault="00D22CF6" w:rsidP="00D22CF6">
            <w:pPr>
              <w:rPr>
                <w:bCs/>
                <w:i/>
                <w:iCs/>
              </w:rPr>
            </w:pPr>
            <w:r w:rsidRPr="007D5748">
              <w:rPr>
                <w:bCs/>
                <w:i/>
                <w:iCs/>
              </w:rPr>
              <w:t xml:space="preserve">    EÚ zdroje</w:t>
            </w:r>
          </w:p>
        </w:tc>
        <w:tc>
          <w:tcPr>
            <w:tcW w:w="1076" w:type="dxa"/>
            <w:noWrap/>
            <w:vAlign w:val="center"/>
          </w:tcPr>
          <w:p w14:paraId="5ED0C781" w14:textId="77777777" w:rsidR="00D22CF6" w:rsidRPr="007D5748" w:rsidRDefault="00D22CF6" w:rsidP="00D22CF6">
            <w:pPr>
              <w:jc w:val="right"/>
            </w:pPr>
            <w:r w:rsidRPr="007D5748">
              <w:t>0</w:t>
            </w:r>
          </w:p>
        </w:tc>
        <w:tc>
          <w:tcPr>
            <w:tcW w:w="1799" w:type="dxa"/>
            <w:noWrap/>
            <w:vAlign w:val="center"/>
          </w:tcPr>
          <w:p w14:paraId="0A8283BF" w14:textId="77777777" w:rsidR="00D22CF6" w:rsidRPr="007D5748" w:rsidRDefault="00D22CF6" w:rsidP="00D22CF6">
            <w:pPr>
              <w:jc w:val="right"/>
            </w:pPr>
            <w:r w:rsidRPr="007D5748">
              <w:t>0</w:t>
            </w:r>
          </w:p>
        </w:tc>
        <w:tc>
          <w:tcPr>
            <w:tcW w:w="1800" w:type="dxa"/>
            <w:noWrap/>
            <w:vAlign w:val="center"/>
          </w:tcPr>
          <w:p w14:paraId="4C04EEBB" w14:textId="77777777" w:rsidR="00D22CF6" w:rsidRPr="007D5748" w:rsidRDefault="00D22CF6" w:rsidP="00D22CF6">
            <w:pPr>
              <w:jc w:val="right"/>
            </w:pPr>
            <w:r w:rsidRPr="007D5748">
              <w:t>0</w:t>
            </w:r>
          </w:p>
        </w:tc>
        <w:tc>
          <w:tcPr>
            <w:tcW w:w="1800" w:type="dxa"/>
            <w:noWrap/>
            <w:vAlign w:val="center"/>
          </w:tcPr>
          <w:p w14:paraId="74476C8C" w14:textId="77777777" w:rsidR="00D22CF6" w:rsidRPr="007D5748" w:rsidRDefault="00D22CF6" w:rsidP="00D22CF6">
            <w:pPr>
              <w:jc w:val="right"/>
            </w:pPr>
            <w:r w:rsidRPr="007D5748">
              <w:t>0</w:t>
            </w:r>
          </w:p>
        </w:tc>
      </w:tr>
      <w:tr w:rsidR="00D22CF6" w:rsidRPr="007D5748" w14:paraId="3A4D0674" w14:textId="77777777" w:rsidTr="00D22CF6">
        <w:trPr>
          <w:trHeight w:val="47"/>
        </w:trPr>
        <w:tc>
          <w:tcPr>
            <w:tcW w:w="3958" w:type="dxa"/>
            <w:noWrap/>
            <w:vAlign w:val="center"/>
          </w:tcPr>
          <w:p w14:paraId="1C81D240" w14:textId="77777777" w:rsidR="00D22CF6" w:rsidRPr="007D5748" w:rsidRDefault="00D22CF6" w:rsidP="00D22CF6">
            <w:pPr>
              <w:rPr>
                <w:bCs/>
                <w:i/>
                <w:iCs/>
              </w:rPr>
            </w:pPr>
            <w:r w:rsidRPr="007D5748">
              <w:rPr>
                <w:bCs/>
                <w:i/>
                <w:iCs/>
              </w:rPr>
              <w:t xml:space="preserve">    spolufinancovanie</w:t>
            </w:r>
          </w:p>
        </w:tc>
        <w:tc>
          <w:tcPr>
            <w:tcW w:w="1076" w:type="dxa"/>
            <w:noWrap/>
            <w:vAlign w:val="center"/>
          </w:tcPr>
          <w:p w14:paraId="3B6B95ED" w14:textId="77777777" w:rsidR="00D22CF6" w:rsidRPr="007D5748" w:rsidRDefault="00D22CF6" w:rsidP="00D22CF6">
            <w:pPr>
              <w:jc w:val="right"/>
            </w:pPr>
            <w:r w:rsidRPr="007D5748">
              <w:t>0</w:t>
            </w:r>
          </w:p>
        </w:tc>
        <w:tc>
          <w:tcPr>
            <w:tcW w:w="1799" w:type="dxa"/>
            <w:noWrap/>
            <w:vAlign w:val="center"/>
          </w:tcPr>
          <w:p w14:paraId="2963732D" w14:textId="77777777" w:rsidR="00D22CF6" w:rsidRPr="007D5748" w:rsidRDefault="00D22CF6" w:rsidP="00D22CF6">
            <w:pPr>
              <w:jc w:val="right"/>
            </w:pPr>
            <w:r w:rsidRPr="007D5748">
              <w:t>0</w:t>
            </w:r>
          </w:p>
        </w:tc>
        <w:tc>
          <w:tcPr>
            <w:tcW w:w="1800" w:type="dxa"/>
            <w:noWrap/>
            <w:vAlign w:val="center"/>
          </w:tcPr>
          <w:p w14:paraId="67464329" w14:textId="77777777" w:rsidR="00D22CF6" w:rsidRPr="007D5748" w:rsidRDefault="00D22CF6" w:rsidP="00D22CF6">
            <w:pPr>
              <w:jc w:val="right"/>
            </w:pPr>
            <w:r w:rsidRPr="007D5748">
              <w:t>0</w:t>
            </w:r>
          </w:p>
        </w:tc>
        <w:tc>
          <w:tcPr>
            <w:tcW w:w="1800" w:type="dxa"/>
            <w:noWrap/>
            <w:vAlign w:val="center"/>
          </w:tcPr>
          <w:p w14:paraId="0D8B767B" w14:textId="77777777" w:rsidR="00D22CF6" w:rsidRPr="007D5748" w:rsidRDefault="00D22CF6" w:rsidP="00D22CF6">
            <w:pPr>
              <w:jc w:val="right"/>
            </w:pPr>
            <w:r w:rsidRPr="007D5748">
              <w:t>0</w:t>
            </w:r>
          </w:p>
        </w:tc>
      </w:tr>
      <w:tr w:rsidR="00D22CF6" w:rsidRPr="007D5748" w14:paraId="1195693A" w14:textId="77777777" w:rsidTr="00D22CF6">
        <w:trPr>
          <w:trHeight w:val="84"/>
        </w:trPr>
        <w:tc>
          <w:tcPr>
            <w:tcW w:w="3958" w:type="dxa"/>
            <w:noWrap/>
            <w:vAlign w:val="center"/>
          </w:tcPr>
          <w:p w14:paraId="37FD6BB4" w14:textId="77777777" w:rsidR="00D22CF6" w:rsidRPr="007D5748" w:rsidRDefault="00D22CF6" w:rsidP="00D22CF6">
            <w:pPr>
              <w:rPr>
                <w:b/>
                <w:bCs/>
                <w:i/>
                <w:iCs/>
              </w:rPr>
            </w:pPr>
            <w:r w:rsidRPr="007D5748">
              <w:rPr>
                <w:b/>
                <w:bCs/>
                <w:i/>
                <w:iCs/>
              </w:rPr>
              <w:t>- vplyv na obce</w:t>
            </w:r>
          </w:p>
        </w:tc>
        <w:tc>
          <w:tcPr>
            <w:tcW w:w="1076" w:type="dxa"/>
            <w:noWrap/>
            <w:vAlign w:val="center"/>
          </w:tcPr>
          <w:p w14:paraId="1019B0E2" w14:textId="77777777" w:rsidR="00D22CF6" w:rsidRPr="007D5748" w:rsidRDefault="00D22CF6" w:rsidP="00D22CF6">
            <w:pPr>
              <w:jc w:val="right"/>
              <w:rPr>
                <w:b/>
                <w:bCs/>
                <w:iCs/>
              </w:rPr>
            </w:pPr>
            <w:r w:rsidRPr="007D5748">
              <w:rPr>
                <w:b/>
                <w:bCs/>
                <w:iCs/>
              </w:rPr>
              <w:t>0</w:t>
            </w:r>
          </w:p>
        </w:tc>
        <w:tc>
          <w:tcPr>
            <w:tcW w:w="1799" w:type="dxa"/>
            <w:noWrap/>
            <w:vAlign w:val="center"/>
          </w:tcPr>
          <w:p w14:paraId="44A3956F" w14:textId="77777777" w:rsidR="00D22CF6" w:rsidRPr="007D5748" w:rsidRDefault="00D22CF6" w:rsidP="00D22CF6">
            <w:pPr>
              <w:jc w:val="right"/>
              <w:rPr>
                <w:b/>
                <w:bCs/>
                <w:iCs/>
              </w:rPr>
            </w:pPr>
            <w:r w:rsidRPr="007D5748">
              <w:rPr>
                <w:b/>
                <w:bCs/>
                <w:iCs/>
              </w:rPr>
              <w:t>0</w:t>
            </w:r>
          </w:p>
        </w:tc>
        <w:tc>
          <w:tcPr>
            <w:tcW w:w="1800" w:type="dxa"/>
            <w:noWrap/>
            <w:vAlign w:val="center"/>
          </w:tcPr>
          <w:p w14:paraId="52A89A2A" w14:textId="77777777" w:rsidR="00D22CF6" w:rsidRPr="007D5748" w:rsidRDefault="00D22CF6" w:rsidP="00D22CF6">
            <w:pPr>
              <w:jc w:val="right"/>
              <w:rPr>
                <w:b/>
                <w:bCs/>
                <w:iCs/>
              </w:rPr>
            </w:pPr>
            <w:r w:rsidRPr="007D5748">
              <w:rPr>
                <w:b/>
                <w:bCs/>
                <w:iCs/>
              </w:rPr>
              <w:t>0</w:t>
            </w:r>
          </w:p>
        </w:tc>
        <w:tc>
          <w:tcPr>
            <w:tcW w:w="1800" w:type="dxa"/>
            <w:noWrap/>
            <w:vAlign w:val="center"/>
          </w:tcPr>
          <w:p w14:paraId="292F2B1B" w14:textId="77777777" w:rsidR="00D22CF6" w:rsidRPr="007D5748" w:rsidRDefault="00D22CF6" w:rsidP="00D22CF6">
            <w:pPr>
              <w:jc w:val="right"/>
              <w:rPr>
                <w:b/>
                <w:bCs/>
                <w:iCs/>
              </w:rPr>
            </w:pPr>
            <w:r w:rsidRPr="007D5748">
              <w:rPr>
                <w:b/>
                <w:bCs/>
                <w:iCs/>
              </w:rPr>
              <w:t>0</w:t>
            </w:r>
          </w:p>
        </w:tc>
      </w:tr>
      <w:tr w:rsidR="00D22CF6" w:rsidRPr="007D5748" w14:paraId="19C723EE" w14:textId="77777777" w:rsidTr="00D22CF6">
        <w:trPr>
          <w:trHeight w:val="84"/>
        </w:trPr>
        <w:tc>
          <w:tcPr>
            <w:tcW w:w="3958" w:type="dxa"/>
            <w:noWrap/>
            <w:vAlign w:val="center"/>
          </w:tcPr>
          <w:p w14:paraId="2BF29550" w14:textId="77777777" w:rsidR="00D22CF6" w:rsidRPr="007D5748" w:rsidRDefault="00D22CF6" w:rsidP="00D22CF6">
            <w:pPr>
              <w:rPr>
                <w:b/>
                <w:bCs/>
                <w:i/>
                <w:iCs/>
              </w:rPr>
            </w:pPr>
            <w:r w:rsidRPr="007D5748">
              <w:rPr>
                <w:b/>
                <w:bCs/>
                <w:i/>
                <w:iCs/>
              </w:rPr>
              <w:t>- vplyv na vyššie územné celky</w:t>
            </w:r>
          </w:p>
        </w:tc>
        <w:tc>
          <w:tcPr>
            <w:tcW w:w="1076" w:type="dxa"/>
            <w:noWrap/>
            <w:vAlign w:val="center"/>
          </w:tcPr>
          <w:p w14:paraId="1456DD3B" w14:textId="77777777" w:rsidR="00D22CF6" w:rsidRPr="007D5748" w:rsidRDefault="00D22CF6" w:rsidP="00D22CF6">
            <w:pPr>
              <w:jc w:val="right"/>
              <w:rPr>
                <w:b/>
                <w:bCs/>
                <w:iCs/>
              </w:rPr>
            </w:pPr>
            <w:r w:rsidRPr="007D5748">
              <w:rPr>
                <w:b/>
                <w:bCs/>
                <w:iCs/>
              </w:rPr>
              <w:t>0</w:t>
            </w:r>
          </w:p>
        </w:tc>
        <w:tc>
          <w:tcPr>
            <w:tcW w:w="1799" w:type="dxa"/>
            <w:noWrap/>
            <w:vAlign w:val="center"/>
          </w:tcPr>
          <w:p w14:paraId="6371D8A1" w14:textId="77777777" w:rsidR="00D22CF6" w:rsidRPr="007D5748" w:rsidRDefault="00D22CF6" w:rsidP="00D22CF6">
            <w:pPr>
              <w:jc w:val="right"/>
              <w:rPr>
                <w:b/>
                <w:bCs/>
                <w:iCs/>
              </w:rPr>
            </w:pPr>
            <w:r w:rsidRPr="007D5748">
              <w:rPr>
                <w:b/>
                <w:bCs/>
                <w:iCs/>
              </w:rPr>
              <w:t>0</w:t>
            </w:r>
          </w:p>
        </w:tc>
        <w:tc>
          <w:tcPr>
            <w:tcW w:w="1800" w:type="dxa"/>
            <w:noWrap/>
            <w:vAlign w:val="center"/>
          </w:tcPr>
          <w:p w14:paraId="21907B2C" w14:textId="77777777" w:rsidR="00D22CF6" w:rsidRPr="007D5748" w:rsidRDefault="00D22CF6" w:rsidP="00D22CF6">
            <w:pPr>
              <w:jc w:val="right"/>
              <w:rPr>
                <w:b/>
                <w:bCs/>
                <w:iCs/>
              </w:rPr>
            </w:pPr>
            <w:r w:rsidRPr="007D5748">
              <w:rPr>
                <w:b/>
                <w:bCs/>
                <w:iCs/>
              </w:rPr>
              <w:t>0</w:t>
            </w:r>
          </w:p>
        </w:tc>
        <w:tc>
          <w:tcPr>
            <w:tcW w:w="1800" w:type="dxa"/>
            <w:noWrap/>
            <w:vAlign w:val="center"/>
          </w:tcPr>
          <w:p w14:paraId="3ED202ED" w14:textId="77777777" w:rsidR="00D22CF6" w:rsidRPr="007D5748" w:rsidRDefault="00D22CF6" w:rsidP="00D22CF6">
            <w:pPr>
              <w:jc w:val="right"/>
              <w:rPr>
                <w:b/>
                <w:bCs/>
                <w:iCs/>
              </w:rPr>
            </w:pPr>
            <w:r w:rsidRPr="007D5748">
              <w:rPr>
                <w:b/>
                <w:bCs/>
                <w:iCs/>
              </w:rPr>
              <w:t>0</w:t>
            </w:r>
          </w:p>
        </w:tc>
      </w:tr>
      <w:tr w:rsidR="00D22CF6" w:rsidRPr="007D5748" w14:paraId="10625745" w14:textId="77777777" w:rsidTr="00D22CF6">
        <w:trPr>
          <w:trHeight w:val="47"/>
        </w:trPr>
        <w:tc>
          <w:tcPr>
            <w:tcW w:w="3958" w:type="dxa"/>
            <w:noWrap/>
            <w:vAlign w:val="center"/>
          </w:tcPr>
          <w:p w14:paraId="07BA0F2C" w14:textId="77777777" w:rsidR="00D22CF6" w:rsidRPr="007D5748" w:rsidRDefault="00D22CF6" w:rsidP="00D22CF6">
            <w:pPr>
              <w:rPr>
                <w:b/>
                <w:bCs/>
              </w:rPr>
            </w:pPr>
            <w:r w:rsidRPr="007D5748">
              <w:rPr>
                <w:b/>
                <w:bCs/>
                <w:i/>
                <w:iCs/>
              </w:rPr>
              <w:t>- vplyv na ostatné subjekty verejnej správy</w:t>
            </w:r>
          </w:p>
        </w:tc>
        <w:tc>
          <w:tcPr>
            <w:tcW w:w="1076" w:type="dxa"/>
            <w:noWrap/>
            <w:vAlign w:val="center"/>
          </w:tcPr>
          <w:p w14:paraId="07E4B6D2" w14:textId="77777777" w:rsidR="00D22CF6" w:rsidRPr="007D5748" w:rsidRDefault="00D22CF6" w:rsidP="00D22CF6">
            <w:pPr>
              <w:jc w:val="right"/>
              <w:rPr>
                <w:b/>
                <w:bCs/>
                <w:iCs/>
              </w:rPr>
            </w:pPr>
            <w:r w:rsidRPr="007D5748">
              <w:rPr>
                <w:b/>
                <w:bCs/>
                <w:iCs/>
              </w:rPr>
              <w:t>0</w:t>
            </w:r>
          </w:p>
        </w:tc>
        <w:tc>
          <w:tcPr>
            <w:tcW w:w="1799" w:type="dxa"/>
            <w:noWrap/>
            <w:vAlign w:val="center"/>
          </w:tcPr>
          <w:p w14:paraId="6C4653BA" w14:textId="77777777" w:rsidR="00D22CF6" w:rsidRPr="007D5748" w:rsidRDefault="00D22CF6" w:rsidP="00D22CF6">
            <w:pPr>
              <w:jc w:val="right"/>
              <w:rPr>
                <w:b/>
                <w:bCs/>
                <w:iCs/>
              </w:rPr>
            </w:pPr>
            <w:r w:rsidRPr="007D5748">
              <w:rPr>
                <w:b/>
                <w:bCs/>
                <w:iCs/>
              </w:rPr>
              <w:t>0</w:t>
            </w:r>
          </w:p>
        </w:tc>
        <w:tc>
          <w:tcPr>
            <w:tcW w:w="1800" w:type="dxa"/>
            <w:noWrap/>
            <w:vAlign w:val="center"/>
          </w:tcPr>
          <w:p w14:paraId="610704AC" w14:textId="77777777" w:rsidR="00D22CF6" w:rsidRPr="007D5748" w:rsidRDefault="00D22CF6" w:rsidP="00D22CF6">
            <w:pPr>
              <w:jc w:val="right"/>
              <w:rPr>
                <w:b/>
                <w:bCs/>
                <w:iCs/>
              </w:rPr>
            </w:pPr>
            <w:r w:rsidRPr="007D5748">
              <w:rPr>
                <w:b/>
                <w:bCs/>
                <w:iCs/>
              </w:rPr>
              <w:t>0</w:t>
            </w:r>
          </w:p>
        </w:tc>
        <w:tc>
          <w:tcPr>
            <w:tcW w:w="1800" w:type="dxa"/>
            <w:noWrap/>
            <w:vAlign w:val="center"/>
          </w:tcPr>
          <w:p w14:paraId="654B2F4C" w14:textId="77777777" w:rsidR="00D22CF6" w:rsidRPr="007D5748" w:rsidRDefault="00D22CF6" w:rsidP="00D22CF6">
            <w:pPr>
              <w:jc w:val="right"/>
              <w:rPr>
                <w:b/>
                <w:bCs/>
                <w:iCs/>
              </w:rPr>
            </w:pPr>
            <w:r w:rsidRPr="007D5748">
              <w:rPr>
                <w:b/>
                <w:bCs/>
                <w:iCs/>
              </w:rPr>
              <w:t>0</w:t>
            </w:r>
          </w:p>
        </w:tc>
      </w:tr>
      <w:tr w:rsidR="00D22CF6" w:rsidRPr="007D5748" w14:paraId="56E9A19B" w14:textId="77777777" w:rsidTr="00D22CF6">
        <w:trPr>
          <w:trHeight w:val="47"/>
        </w:trPr>
        <w:tc>
          <w:tcPr>
            <w:tcW w:w="3958" w:type="dxa"/>
            <w:shd w:val="clear" w:color="auto" w:fill="BFBFBF" w:themeFill="background1" w:themeFillShade="BF"/>
            <w:noWrap/>
            <w:vAlign w:val="center"/>
          </w:tcPr>
          <w:p w14:paraId="27BAB1AF" w14:textId="77777777" w:rsidR="00D22CF6" w:rsidRPr="007D5748" w:rsidRDefault="00D22CF6" w:rsidP="00D22CF6">
            <w:pPr>
              <w:rPr>
                <w:b/>
                <w:bCs/>
              </w:rPr>
            </w:pPr>
            <w:r w:rsidRPr="007D5748">
              <w:rPr>
                <w:b/>
                <w:bCs/>
              </w:rPr>
              <w:t xml:space="preserve">Vplyv na počet zamestnancov </w:t>
            </w:r>
          </w:p>
        </w:tc>
        <w:tc>
          <w:tcPr>
            <w:tcW w:w="1076" w:type="dxa"/>
            <w:shd w:val="clear" w:color="auto" w:fill="BFBFBF" w:themeFill="background1" w:themeFillShade="BF"/>
            <w:noWrap/>
            <w:vAlign w:val="center"/>
          </w:tcPr>
          <w:p w14:paraId="403F4238" w14:textId="77777777" w:rsidR="00D22CF6" w:rsidRPr="007D5748" w:rsidRDefault="00D22CF6" w:rsidP="00D22CF6">
            <w:pPr>
              <w:jc w:val="right"/>
              <w:rPr>
                <w:b/>
                <w:bCs/>
              </w:rPr>
            </w:pPr>
            <w:r w:rsidRPr="007D5748">
              <w:rPr>
                <w:b/>
                <w:bCs/>
              </w:rPr>
              <w:t>0</w:t>
            </w:r>
          </w:p>
        </w:tc>
        <w:tc>
          <w:tcPr>
            <w:tcW w:w="1799" w:type="dxa"/>
            <w:shd w:val="clear" w:color="auto" w:fill="BFBFBF" w:themeFill="background1" w:themeFillShade="BF"/>
            <w:noWrap/>
            <w:vAlign w:val="center"/>
          </w:tcPr>
          <w:p w14:paraId="55DC284C" w14:textId="77777777" w:rsidR="00D22CF6" w:rsidRPr="007D5748" w:rsidRDefault="00D22CF6" w:rsidP="00D22CF6">
            <w:pPr>
              <w:jc w:val="right"/>
              <w:rPr>
                <w:b/>
              </w:rPr>
            </w:pPr>
            <w:r>
              <w:rPr>
                <w:b/>
              </w:rPr>
              <w:t>+1</w:t>
            </w:r>
          </w:p>
        </w:tc>
        <w:tc>
          <w:tcPr>
            <w:tcW w:w="1800" w:type="dxa"/>
            <w:shd w:val="clear" w:color="auto" w:fill="BFBFBF" w:themeFill="background1" w:themeFillShade="BF"/>
            <w:noWrap/>
            <w:vAlign w:val="center"/>
          </w:tcPr>
          <w:p w14:paraId="7A02D029" w14:textId="77777777" w:rsidR="00D22CF6" w:rsidRPr="007D5748" w:rsidRDefault="00D22CF6" w:rsidP="00D22CF6">
            <w:pPr>
              <w:jc w:val="right"/>
              <w:rPr>
                <w:b/>
              </w:rPr>
            </w:pPr>
            <w:r>
              <w:rPr>
                <w:b/>
              </w:rPr>
              <w:t>+1</w:t>
            </w:r>
          </w:p>
        </w:tc>
        <w:tc>
          <w:tcPr>
            <w:tcW w:w="1800" w:type="dxa"/>
            <w:shd w:val="clear" w:color="auto" w:fill="BFBFBF" w:themeFill="background1" w:themeFillShade="BF"/>
            <w:noWrap/>
            <w:vAlign w:val="center"/>
          </w:tcPr>
          <w:p w14:paraId="58F8ABF4" w14:textId="77777777" w:rsidR="00D22CF6" w:rsidRPr="007D5748" w:rsidRDefault="00D22CF6" w:rsidP="00D22CF6">
            <w:pPr>
              <w:jc w:val="right"/>
              <w:rPr>
                <w:b/>
              </w:rPr>
            </w:pPr>
            <w:r>
              <w:rPr>
                <w:b/>
              </w:rPr>
              <w:t>+1</w:t>
            </w:r>
          </w:p>
        </w:tc>
      </w:tr>
      <w:tr w:rsidR="00D22CF6" w:rsidRPr="007D5748" w14:paraId="295616FF" w14:textId="77777777" w:rsidTr="00D22CF6">
        <w:trPr>
          <w:trHeight w:val="47"/>
        </w:trPr>
        <w:tc>
          <w:tcPr>
            <w:tcW w:w="3958" w:type="dxa"/>
            <w:noWrap/>
            <w:vAlign w:val="center"/>
          </w:tcPr>
          <w:p w14:paraId="5BE99BB6" w14:textId="77777777" w:rsidR="00D22CF6" w:rsidRPr="007D5748" w:rsidRDefault="00D22CF6" w:rsidP="00D22CF6">
            <w:pPr>
              <w:rPr>
                <w:b/>
                <w:bCs/>
                <w:i/>
                <w:iCs/>
              </w:rPr>
            </w:pPr>
            <w:r w:rsidRPr="007D5748">
              <w:rPr>
                <w:b/>
                <w:bCs/>
                <w:i/>
                <w:iCs/>
              </w:rPr>
              <w:t>- vplyv na ŠR</w:t>
            </w:r>
          </w:p>
        </w:tc>
        <w:tc>
          <w:tcPr>
            <w:tcW w:w="1076" w:type="dxa"/>
            <w:noWrap/>
            <w:vAlign w:val="center"/>
          </w:tcPr>
          <w:p w14:paraId="2C077E3E" w14:textId="77777777" w:rsidR="00D22CF6" w:rsidRPr="007D5748" w:rsidRDefault="00D22CF6" w:rsidP="00D22CF6">
            <w:pPr>
              <w:jc w:val="right"/>
              <w:rPr>
                <w:b/>
                <w:bCs/>
                <w:iCs/>
              </w:rPr>
            </w:pPr>
            <w:r w:rsidRPr="007D5748">
              <w:rPr>
                <w:b/>
                <w:bCs/>
                <w:iCs/>
              </w:rPr>
              <w:t>0</w:t>
            </w:r>
          </w:p>
        </w:tc>
        <w:tc>
          <w:tcPr>
            <w:tcW w:w="1799" w:type="dxa"/>
            <w:noWrap/>
            <w:vAlign w:val="center"/>
          </w:tcPr>
          <w:p w14:paraId="3682E44B" w14:textId="77777777" w:rsidR="00D22CF6" w:rsidRPr="007D5748" w:rsidRDefault="00D22CF6" w:rsidP="00D22CF6">
            <w:pPr>
              <w:jc w:val="right"/>
              <w:rPr>
                <w:b/>
                <w:bCs/>
                <w:iCs/>
              </w:rPr>
            </w:pPr>
            <w:r>
              <w:rPr>
                <w:b/>
                <w:bCs/>
                <w:iCs/>
              </w:rPr>
              <w:t>+1</w:t>
            </w:r>
          </w:p>
        </w:tc>
        <w:tc>
          <w:tcPr>
            <w:tcW w:w="1800" w:type="dxa"/>
            <w:noWrap/>
            <w:vAlign w:val="center"/>
          </w:tcPr>
          <w:p w14:paraId="567CEDEE" w14:textId="77777777" w:rsidR="00D22CF6" w:rsidRPr="007D5748" w:rsidRDefault="00D22CF6" w:rsidP="00D22CF6">
            <w:pPr>
              <w:jc w:val="right"/>
              <w:rPr>
                <w:b/>
                <w:bCs/>
                <w:iCs/>
              </w:rPr>
            </w:pPr>
            <w:r>
              <w:rPr>
                <w:b/>
                <w:bCs/>
                <w:iCs/>
              </w:rPr>
              <w:t>+1</w:t>
            </w:r>
          </w:p>
        </w:tc>
        <w:tc>
          <w:tcPr>
            <w:tcW w:w="1800" w:type="dxa"/>
            <w:noWrap/>
            <w:vAlign w:val="center"/>
          </w:tcPr>
          <w:p w14:paraId="11C0B7C1" w14:textId="77777777" w:rsidR="00D22CF6" w:rsidRPr="007D5748" w:rsidRDefault="00D22CF6" w:rsidP="00D22CF6">
            <w:pPr>
              <w:jc w:val="right"/>
              <w:rPr>
                <w:b/>
                <w:bCs/>
                <w:iCs/>
              </w:rPr>
            </w:pPr>
            <w:r>
              <w:rPr>
                <w:b/>
                <w:bCs/>
                <w:iCs/>
              </w:rPr>
              <w:t>+1</w:t>
            </w:r>
          </w:p>
        </w:tc>
      </w:tr>
      <w:tr w:rsidR="00D22CF6" w:rsidRPr="007D5748" w14:paraId="3B654994" w14:textId="77777777" w:rsidTr="00D22CF6">
        <w:trPr>
          <w:trHeight w:val="47"/>
        </w:trPr>
        <w:tc>
          <w:tcPr>
            <w:tcW w:w="3958" w:type="dxa"/>
            <w:noWrap/>
            <w:vAlign w:val="center"/>
          </w:tcPr>
          <w:p w14:paraId="66BCEABC" w14:textId="77777777" w:rsidR="00D22CF6" w:rsidRPr="007D5748" w:rsidRDefault="00D22CF6" w:rsidP="00D22CF6">
            <w:pPr>
              <w:rPr>
                <w:b/>
                <w:bCs/>
                <w:i/>
                <w:iCs/>
              </w:rPr>
            </w:pPr>
            <w:r w:rsidRPr="007D5748">
              <w:rPr>
                <w:b/>
                <w:bCs/>
                <w:i/>
                <w:iCs/>
              </w:rPr>
              <w:t>- vplyv na obce</w:t>
            </w:r>
          </w:p>
        </w:tc>
        <w:tc>
          <w:tcPr>
            <w:tcW w:w="1076" w:type="dxa"/>
            <w:noWrap/>
            <w:vAlign w:val="center"/>
          </w:tcPr>
          <w:p w14:paraId="78860DAD" w14:textId="77777777" w:rsidR="00D22CF6" w:rsidRPr="007D5748" w:rsidRDefault="00D22CF6" w:rsidP="00D22CF6">
            <w:pPr>
              <w:jc w:val="right"/>
              <w:rPr>
                <w:b/>
                <w:bCs/>
                <w:iCs/>
              </w:rPr>
            </w:pPr>
            <w:r w:rsidRPr="007D5748">
              <w:rPr>
                <w:b/>
                <w:bCs/>
                <w:iCs/>
              </w:rPr>
              <w:t>0</w:t>
            </w:r>
          </w:p>
        </w:tc>
        <w:tc>
          <w:tcPr>
            <w:tcW w:w="1799" w:type="dxa"/>
            <w:noWrap/>
            <w:vAlign w:val="center"/>
          </w:tcPr>
          <w:p w14:paraId="49C7AED1" w14:textId="77777777" w:rsidR="00D22CF6" w:rsidRPr="007D5748" w:rsidRDefault="00D22CF6" w:rsidP="00D22CF6">
            <w:pPr>
              <w:jc w:val="right"/>
              <w:rPr>
                <w:b/>
                <w:bCs/>
                <w:iCs/>
              </w:rPr>
            </w:pPr>
            <w:r w:rsidRPr="007D5748">
              <w:rPr>
                <w:b/>
                <w:bCs/>
                <w:iCs/>
              </w:rPr>
              <w:t>0</w:t>
            </w:r>
          </w:p>
        </w:tc>
        <w:tc>
          <w:tcPr>
            <w:tcW w:w="1800" w:type="dxa"/>
            <w:noWrap/>
            <w:vAlign w:val="center"/>
          </w:tcPr>
          <w:p w14:paraId="0C8A6344" w14:textId="77777777" w:rsidR="00D22CF6" w:rsidRPr="007D5748" w:rsidRDefault="00D22CF6" w:rsidP="00D22CF6">
            <w:pPr>
              <w:jc w:val="right"/>
              <w:rPr>
                <w:b/>
                <w:bCs/>
                <w:iCs/>
              </w:rPr>
            </w:pPr>
            <w:r w:rsidRPr="007D5748">
              <w:rPr>
                <w:b/>
                <w:bCs/>
                <w:iCs/>
              </w:rPr>
              <w:t>0</w:t>
            </w:r>
          </w:p>
        </w:tc>
        <w:tc>
          <w:tcPr>
            <w:tcW w:w="1800" w:type="dxa"/>
            <w:noWrap/>
            <w:vAlign w:val="center"/>
          </w:tcPr>
          <w:p w14:paraId="340EEB4A" w14:textId="77777777" w:rsidR="00D22CF6" w:rsidRPr="007D5748" w:rsidRDefault="00D22CF6" w:rsidP="00D22CF6">
            <w:pPr>
              <w:jc w:val="right"/>
              <w:rPr>
                <w:b/>
                <w:bCs/>
                <w:iCs/>
              </w:rPr>
            </w:pPr>
            <w:r w:rsidRPr="007D5748">
              <w:rPr>
                <w:b/>
                <w:bCs/>
                <w:iCs/>
              </w:rPr>
              <w:t>0</w:t>
            </w:r>
          </w:p>
        </w:tc>
      </w:tr>
      <w:tr w:rsidR="00D22CF6" w:rsidRPr="007D5748" w14:paraId="33F87498" w14:textId="77777777" w:rsidTr="00D22CF6">
        <w:trPr>
          <w:trHeight w:val="47"/>
        </w:trPr>
        <w:tc>
          <w:tcPr>
            <w:tcW w:w="3958" w:type="dxa"/>
            <w:noWrap/>
            <w:vAlign w:val="center"/>
          </w:tcPr>
          <w:p w14:paraId="37C4887C" w14:textId="77777777" w:rsidR="00D22CF6" w:rsidRPr="007D5748" w:rsidRDefault="00D22CF6" w:rsidP="00D22CF6">
            <w:pPr>
              <w:rPr>
                <w:b/>
                <w:bCs/>
                <w:i/>
                <w:iCs/>
              </w:rPr>
            </w:pPr>
            <w:r w:rsidRPr="007D5748">
              <w:rPr>
                <w:b/>
                <w:bCs/>
                <w:i/>
                <w:iCs/>
              </w:rPr>
              <w:t>- vplyv na vyššie územné celky</w:t>
            </w:r>
          </w:p>
        </w:tc>
        <w:tc>
          <w:tcPr>
            <w:tcW w:w="1076" w:type="dxa"/>
            <w:noWrap/>
            <w:vAlign w:val="center"/>
          </w:tcPr>
          <w:p w14:paraId="09B4CF19" w14:textId="77777777" w:rsidR="00D22CF6" w:rsidRPr="007D5748" w:rsidRDefault="00D22CF6" w:rsidP="00D22CF6">
            <w:pPr>
              <w:jc w:val="right"/>
              <w:rPr>
                <w:b/>
                <w:bCs/>
                <w:iCs/>
              </w:rPr>
            </w:pPr>
            <w:r w:rsidRPr="007D5748">
              <w:rPr>
                <w:b/>
                <w:bCs/>
                <w:iCs/>
              </w:rPr>
              <w:t>0</w:t>
            </w:r>
          </w:p>
        </w:tc>
        <w:tc>
          <w:tcPr>
            <w:tcW w:w="1799" w:type="dxa"/>
            <w:noWrap/>
            <w:vAlign w:val="center"/>
          </w:tcPr>
          <w:p w14:paraId="7879A195" w14:textId="77777777" w:rsidR="00D22CF6" w:rsidRPr="007D5748" w:rsidRDefault="00D22CF6" w:rsidP="00D22CF6">
            <w:pPr>
              <w:jc w:val="right"/>
              <w:rPr>
                <w:b/>
                <w:bCs/>
                <w:iCs/>
              </w:rPr>
            </w:pPr>
            <w:r w:rsidRPr="007D5748">
              <w:rPr>
                <w:b/>
                <w:bCs/>
                <w:iCs/>
              </w:rPr>
              <w:t>0</w:t>
            </w:r>
          </w:p>
        </w:tc>
        <w:tc>
          <w:tcPr>
            <w:tcW w:w="1800" w:type="dxa"/>
            <w:noWrap/>
            <w:vAlign w:val="center"/>
          </w:tcPr>
          <w:p w14:paraId="6D38D779" w14:textId="77777777" w:rsidR="00D22CF6" w:rsidRPr="007D5748" w:rsidRDefault="00D22CF6" w:rsidP="00D22CF6">
            <w:pPr>
              <w:jc w:val="right"/>
              <w:rPr>
                <w:b/>
                <w:bCs/>
                <w:iCs/>
              </w:rPr>
            </w:pPr>
            <w:r w:rsidRPr="007D5748">
              <w:rPr>
                <w:b/>
                <w:bCs/>
                <w:iCs/>
              </w:rPr>
              <w:t>0</w:t>
            </w:r>
          </w:p>
        </w:tc>
        <w:tc>
          <w:tcPr>
            <w:tcW w:w="1800" w:type="dxa"/>
            <w:noWrap/>
            <w:vAlign w:val="center"/>
          </w:tcPr>
          <w:p w14:paraId="38AF3106" w14:textId="77777777" w:rsidR="00D22CF6" w:rsidRPr="007D5748" w:rsidRDefault="00D22CF6" w:rsidP="00D22CF6">
            <w:pPr>
              <w:jc w:val="right"/>
              <w:rPr>
                <w:b/>
                <w:bCs/>
                <w:iCs/>
              </w:rPr>
            </w:pPr>
            <w:r w:rsidRPr="007D5748">
              <w:rPr>
                <w:b/>
                <w:bCs/>
                <w:iCs/>
              </w:rPr>
              <w:t>0</w:t>
            </w:r>
          </w:p>
        </w:tc>
      </w:tr>
      <w:tr w:rsidR="00D22CF6" w:rsidRPr="007D5748" w14:paraId="34D92B62" w14:textId="77777777" w:rsidTr="00D22CF6">
        <w:trPr>
          <w:trHeight w:val="47"/>
        </w:trPr>
        <w:tc>
          <w:tcPr>
            <w:tcW w:w="3958" w:type="dxa"/>
            <w:noWrap/>
            <w:vAlign w:val="center"/>
          </w:tcPr>
          <w:p w14:paraId="5D9DB4A6" w14:textId="77777777" w:rsidR="00D22CF6" w:rsidRPr="007D5748" w:rsidRDefault="00D22CF6" w:rsidP="00D22CF6">
            <w:pPr>
              <w:rPr>
                <w:b/>
                <w:bCs/>
                <w:i/>
                <w:iCs/>
              </w:rPr>
            </w:pPr>
            <w:r w:rsidRPr="007D5748">
              <w:rPr>
                <w:b/>
                <w:bCs/>
                <w:i/>
                <w:iCs/>
              </w:rPr>
              <w:t>- vplyv na ostatné subjekty verejnej správy</w:t>
            </w:r>
          </w:p>
        </w:tc>
        <w:tc>
          <w:tcPr>
            <w:tcW w:w="1076" w:type="dxa"/>
            <w:noWrap/>
            <w:vAlign w:val="center"/>
          </w:tcPr>
          <w:p w14:paraId="06281E73" w14:textId="77777777" w:rsidR="00D22CF6" w:rsidRPr="007D5748" w:rsidRDefault="00D22CF6" w:rsidP="00D22CF6">
            <w:pPr>
              <w:jc w:val="right"/>
              <w:rPr>
                <w:b/>
                <w:bCs/>
                <w:iCs/>
              </w:rPr>
            </w:pPr>
            <w:r w:rsidRPr="007D5748">
              <w:rPr>
                <w:b/>
                <w:bCs/>
                <w:iCs/>
              </w:rPr>
              <w:t>0</w:t>
            </w:r>
          </w:p>
        </w:tc>
        <w:tc>
          <w:tcPr>
            <w:tcW w:w="1799" w:type="dxa"/>
            <w:noWrap/>
            <w:vAlign w:val="center"/>
          </w:tcPr>
          <w:p w14:paraId="4C24C298" w14:textId="77777777" w:rsidR="00D22CF6" w:rsidRPr="007D5748" w:rsidRDefault="00D22CF6" w:rsidP="00D22CF6">
            <w:pPr>
              <w:jc w:val="right"/>
              <w:rPr>
                <w:b/>
                <w:bCs/>
                <w:iCs/>
              </w:rPr>
            </w:pPr>
            <w:r w:rsidRPr="007D5748">
              <w:rPr>
                <w:b/>
                <w:bCs/>
                <w:iCs/>
              </w:rPr>
              <w:t>0</w:t>
            </w:r>
          </w:p>
        </w:tc>
        <w:tc>
          <w:tcPr>
            <w:tcW w:w="1800" w:type="dxa"/>
            <w:noWrap/>
            <w:vAlign w:val="center"/>
          </w:tcPr>
          <w:p w14:paraId="394A307D" w14:textId="77777777" w:rsidR="00D22CF6" w:rsidRPr="007D5748" w:rsidRDefault="00D22CF6" w:rsidP="00D22CF6">
            <w:pPr>
              <w:jc w:val="right"/>
              <w:rPr>
                <w:b/>
                <w:bCs/>
                <w:iCs/>
              </w:rPr>
            </w:pPr>
            <w:r w:rsidRPr="007D5748">
              <w:rPr>
                <w:b/>
                <w:bCs/>
                <w:iCs/>
              </w:rPr>
              <w:t>0</w:t>
            </w:r>
          </w:p>
        </w:tc>
        <w:tc>
          <w:tcPr>
            <w:tcW w:w="1800" w:type="dxa"/>
            <w:noWrap/>
            <w:vAlign w:val="center"/>
          </w:tcPr>
          <w:p w14:paraId="6E32FB22" w14:textId="77777777" w:rsidR="00D22CF6" w:rsidRPr="007D5748" w:rsidRDefault="00D22CF6" w:rsidP="00D22CF6">
            <w:pPr>
              <w:jc w:val="right"/>
              <w:rPr>
                <w:b/>
                <w:bCs/>
                <w:iCs/>
              </w:rPr>
            </w:pPr>
            <w:r w:rsidRPr="007D5748">
              <w:rPr>
                <w:b/>
                <w:bCs/>
                <w:iCs/>
              </w:rPr>
              <w:t>0</w:t>
            </w:r>
          </w:p>
        </w:tc>
      </w:tr>
      <w:tr w:rsidR="00D22CF6" w:rsidRPr="007D5748" w14:paraId="2426D7D6" w14:textId="77777777" w:rsidTr="00D22CF6">
        <w:trPr>
          <w:trHeight w:val="47"/>
        </w:trPr>
        <w:tc>
          <w:tcPr>
            <w:tcW w:w="3958" w:type="dxa"/>
            <w:shd w:val="clear" w:color="auto" w:fill="BFBFBF" w:themeFill="background1" w:themeFillShade="BF"/>
            <w:noWrap/>
            <w:vAlign w:val="center"/>
          </w:tcPr>
          <w:p w14:paraId="0A6214F6" w14:textId="77777777" w:rsidR="00D22CF6" w:rsidRPr="007D5748" w:rsidRDefault="00D22CF6" w:rsidP="00D22CF6">
            <w:pPr>
              <w:rPr>
                <w:b/>
              </w:rPr>
            </w:pPr>
            <w:r w:rsidRPr="007D5748">
              <w:rPr>
                <w:b/>
              </w:rPr>
              <w:t>Vplyv na mzdové výdavky</w:t>
            </w:r>
          </w:p>
        </w:tc>
        <w:tc>
          <w:tcPr>
            <w:tcW w:w="1076" w:type="dxa"/>
            <w:shd w:val="clear" w:color="auto" w:fill="BFBFBF" w:themeFill="background1" w:themeFillShade="BF"/>
            <w:noWrap/>
            <w:vAlign w:val="center"/>
          </w:tcPr>
          <w:p w14:paraId="6FCAEA58" w14:textId="77777777" w:rsidR="00D22CF6" w:rsidRPr="007D5748" w:rsidRDefault="00D22CF6" w:rsidP="00D22CF6">
            <w:pPr>
              <w:jc w:val="right"/>
              <w:rPr>
                <w:b/>
              </w:rPr>
            </w:pPr>
            <w:r w:rsidRPr="007D5748">
              <w:rPr>
                <w:b/>
              </w:rPr>
              <w:t>0</w:t>
            </w:r>
          </w:p>
        </w:tc>
        <w:tc>
          <w:tcPr>
            <w:tcW w:w="1799" w:type="dxa"/>
            <w:shd w:val="clear" w:color="auto" w:fill="BFBFBF" w:themeFill="background1" w:themeFillShade="BF"/>
            <w:noWrap/>
            <w:vAlign w:val="center"/>
          </w:tcPr>
          <w:p w14:paraId="568D2F06" w14:textId="77777777" w:rsidR="00D22CF6" w:rsidRPr="007D5748" w:rsidRDefault="00D22CF6" w:rsidP="00D22CF6">
            <w:pPr>
              <w:jc w:val="right"/>
              <w:rPr>
                <w:b/>
              </w:rPr>
            </w:pPr>
            <w:r>
              <w:rPr>
                <w:b/>
              </w:rPr>
              <w:t>+24.876</w:t>
            </w:r>
          </w:p>
        </w:tc>
        <w:tc>
          <w:tcPr>
            <w:tcW w:w="1800" w:type="dxa"/>
            <w:shd w:val="clear" w:color="auto" w:fill="BFBFBF" w:themeFill="background1" w:themeFillShade="BF"/>
            <w:noWrap/>
            <w:vAlign w:val="center"/>
          </w:tcPr>
          <w:p w14:paraId="0151D92B" w14:textId="77777777" w:rsidR="00D22CF6" w:rsidRPr="007D5748" w:rsidRDefault="00D22CF6" w:rsidP="00D22CF6">
            <w:pPr>
              <w:jc w:val="right"/>
              <w:rPr>
                <w:b/>
              </w:rPr>
            </w:pPr>
            <w:r>
              <w:rPr>
                <w:b/>
              </w:rPr>
              <w:t>+24.876</w:t>
            </w:r>
          </w:p>
        </w:tc>
        <w:tc>
          <w:tcPr>
            <w:tcW w:w="1800" w:type="dxa"/>
            <w:shd w:val="clear" w:color="auto" w:fill="BFBFBF" w:themeFill="background1" w:themeFillShade="BF"/>
            <w:noWrap/>
            <w:vAlign w:val="center"/>
          </w:tcPr>
          <w:p w14:paraId="3C04EDE2" w14:textId="77777777" w:rsidR="00D22CF6" w:rsidRPr="007D5748" w:rsidRDefault="00D22CF6" w:rsidP="00D22CF6">
            <w:pPr>
              <w:jc w:val="right"/>
              <w:rPr>
                <w:b/>
              </w:rPr>
            </w:pPr>
            <w:r>
              <w:rPr>
                <w:b/>
              </w:rPr>
              <w:t>+24.876</w:t>
            </w:r>
          </w:p>
        </w:tc>
      </w:tr>
      <w:tr w:rsidR="00D22CF6" w:rsidRPr="007D5748" w14:paraId="766338D3" w14:textId="77777777" w:rsidTr="00D22CF6">
        <w:trPr>
          <w:trHeight w:val="47"/>
        </w:trPr>
        <w:tc>
          <w:tcPr>
            <w:tcW w:w="3958" w:type="dxa"/>
            <w:noWrap/>
            <w:vAlign w:val="center"/>
          </w:tcPr>
          <w:p w14:paraId="0132FECB" w14:textId="77777777" w:rsidR="00D22CF6" w:rsidRPr="007D5748" w:rsidRDefault="00D22CF6" w:rsidP="00D22CF6">
            <w:pPr>
              <w:rPr>
                <w:b/>
                <w:bCs/>
                <w:i/>
                <w:iCs/>
              </w:rPr>
            </w:pPr>
            <w:r w:rsidRPr="007D5748">
              <w:rPr>
                <w:b/>
                <w:bCs/>
                <w:i/>
                <w:iCs/>
              </w:rPr>
              <w:t>- vplyv na ŠR</w:t>
            </w:r>
          </w:p>
        </w:tc>
        <w:tc>
          <w:tcPr>
            <w:tcW w:w="1076" w:type="dxa"/>
            <w:noWrap/>
            <w:vAlign w:val="center"/>
          </w:tcPr>
          <w:p w14:paraId="1C656141" w14:textId="77777777" w:rsidR="00D22CF6" w:rsidRPr="007D5748" w:rsidRDefault="00D22CF6" w:rsidP="00D22CF6">
            <w:pPr>
              <w:jc w:val="right"/>
              <w:rPr>
                <w:b/>
                <w:bCs/>
                <w:iCs/>
              </w:rPr>
            </w:pPr>
            <w:r w:rsidRPr="007D5748">
              <w:rPr>
                <w:b/>
                <w:bCs/>
                <w:iCs/>
              </w:rPr>
              <w:t>0</w:t>
            </w:r>
          </w:p>
        </w:tc>
        <w:tc>
          <w:tcPr>
            <w:tcW w:w="1799" w:type="dxa"/>
            <w:noWrap/>
            <w:vAlign w:val="center"/>
          </w:tcPr>
          <w:p w14:paraId="7850B43B" w14:textId="77777777" w:rsidR="00D22CF6" w:rsidRPr="003273C7" w:rsidRDefault="00D22CF6" w:rsidP="00D22CF6">
            <w:pPr>
              <w:jc w:val="right"/>
              <w:rPr>
                <w:bCs/>
                <w:iCs/>
              </w:rPr>
            </w:pPr>
            <w:r>
              <w:rPr>
                <w:b/>
              </w:rPr>
              <w:t>+24.876</w:t>
            </w:r>
          </w:p>
        </w:tc>
        <w:tc>
          <w:tcPr>
            <w:tcW w:w="1800" w:type="dxa"/>
            <w:noWrap/>
            <w:vAlign w:val="center"/>
          </w:tcPr>
          <w:p w14:paraId="4B1F3AEC" w14:textId="77777777" w:rsidR="00D22CF6" w:rsidRPr="003273C7" w:rsidRDefault="00D22CF6" w:rsidP="00D22CF6">
            <w:pPr>
              <w:jc w:val="right"/>
              <w:rPr>
                <w:bCs/>
                <w:iCs/>
              </w:rPr>
            </w:pPr>
            <w:r>
              <w:rPr>
                <w:b/>
              </w:rPr>
              <w:t>+24.876</w:t>
            </w:r>
          </w:p>
        </w:tc>
        <w:tc>
          <w:tcPr>
            <w:tcW w:w="1800" w:type="dxa"/>
            <w:noWrap/>
            <w:vAlign w:val="center"/>
          </w:tcPr>
          <w:p w14:paraId="08245F28" w14:textId="77777777" w:rsidR="00D22CF6" w:rsidRPr="003273C7" w:rsidRDefault="00D22CF6" w:rsidP="00D22CF6">
            <w:pPr>
              <w:jc w:val="right"/>
              <w:rPr>
                <w:bCs/>
                <w:iCs/>
              </w:rPr>
            </w:pPr>
            <w:r>
              <w:rPr>
                <w:b/>
              </w:rPr>
              <w:t>+24.876</w:t>
            </w:r>
          </w:p>
        </w:tc>
      </w:tr>
      <w:tr w:rsidR="00D22CF6" w:rsidRPr="007D5748" w14:paraId="0461F4B1" w14:textId="77777777" w:rsidTr="00D22CF6">
        <w:trPr>
          <w:trHeight w:val="47"/>
        </w:trPr>
        <w:tc>
          <w:tcPr>
            <w:tcW w:w="3958" w:type="dxa"/>
            <w:noWrap/>
            <w:vAlign w:val="center"/>
          </w:tcPr>
          <w:p w14:paraId="5787F8CD" w14:textId="77777777" w:rsidR="00D22CF6" w:rsidRPr="007D5748" w:rsidRDefault="00D22CF6" w:rsidP="00D22CF6">
            <w:pPr>
              <w:rPr>
                <w:b/>
                <w:bCs/>
                <w:i/>
                <w:iCs/>
              </w:rPr>
            </w:pPr>
            <w:r w:rsidRPr="007D5748">
              <w:rPr>
                <w:b/>
                <w:bCs/>
                <w:i/>
                <w:iCs/>
              </w:rPr>
              <w:t>- vplyv na obce</w:t>
            </w:r>
          </w:p>
        </w:tc>
        <w:tc>
          <w:tcPr>
            <w:tcW w:w="1076" w:type="dxa"/>
            <w:noWrap/>
            <w:vAlign w:val="center"/>
          </w:tcPr>
          <w:p w14:paraId="1660BDF2" w14:textId="77777777" w:rsidR="00D22CF6" w:rsidRPr="007D5748" w:rsidRDefault="00D22CF6" w:rsidP="00D22CF6">
            <w:pPr>
              <w:jc w:val="right"/>
              <w:rPr>
                <w:b/>
                <w:bCs/>
                <w:iCs/>
              </w:rPr>
            </w:pPr>
            <w:r w:rsidRPr="007D5748">
              <w:rPr>
                <w:b/>
                <w:bCs/>
                <w:iCs/>
              </w:rPr>
              <w:t>0</w:t>
            </w:r>
          </w:p>
        </w:tc>
        <w:tc>
          <w:tcPr>
            <w:tcW w:w="1799" w:type="dxa"/>
            <w:noWrap/>
            <w:vAlign w:val="center"/>
          </w:tcPr>
          <w:p w14:paraId="1863AEDB" w14:textId="77777777" w:rsidR="00D22CF6" w:rsidRPr="007D5748" w:rsidRDefault="00D22CF6" w:rsidP="00D22CF6">
            <w:pPr>
              <w:jc w:val="right"/>
              <w:rPr>
                <w:b/>
                <w:bCs/>
                <w:iCs/>
              </w:rPr>
            </w:pPr>
            <w:r w:rsidRPr="007D5748">
              <w:rPr>
                <w:b/>
                <w:bCs/>
                <w:iCs/>
              </w:rPr>
              <w:t>0</w:t>
            </w:r>
          </w:p>
        </w:tc>
        <w:tc>
          <w:tcPr>
            <w:tcW w:w="1800" w:type="dxa"/>
            <w:noWrap/>
            <w:vAlign w:val="center"/>
          </w:tcPr>
          <w:p w14:paraId="4337B50A" w14:textId="77777777" w:rsidR="00D22CF6" w:rsidRPr="007D5748" w:rsidRDefault="00D22CF6" w:rsidP="00D22CF6">
            <w:pPr>
              <w:jc w:val="right"/>
              <w:rPr>
                <w:b/>
                <w:bCs/>
                <w:iCs/>
              </w:rPr>
            </w:pPr>
            <w:r w:rsidRPr="007D5748">
              <w:rPr>
                <w:b/>
                <w:bCs/>
                <w:iCs/>
              </w:rPr>
              <w:t>0</w:t>
            </w:r>
          </w:p>
        </w:tc>
        <w:tc>
          <w:tcPr>
            <w:tcW w:w="1800" w:type="dxa"/>
            <w:noWrap/>
            <w:vAlign w:val="center"/>
          </w:tcPr>
          <w:p w14:paraId="4B292449" w14:textId="77777777" w:rsidR="00D22CF6" w:rsidRPr="007D5748" w:rsidRDefault="00D22CF6" w:rsidP="00D22CF6">
            <w:pPr>
              <w:jc w:val="right"/>
              <w:rPr>
                <w:b/>
                <w:bCs/>
                <w:iCs/>
              </w:rPr>
            </w:pPr>
            <w:r w:rsidRPr="007D5748">
              <w:rPr>
                <w:b/>
                <w:bCs/>
                <w:iCs/>
              </w:rPr>
              <w:t>0</w:t>
            </w:r>
          </w:p>
        </w:tc>
      </w:tr>
      <w:tr w:rsidR="00D22CF6" w:rsidRPr="007D5748" w14:paraId="3A002D42" w14:textId="77777777" w:rsidTr="00D22CF6">
        <w:trPr>
          <w:trHeight w:val="47"/>
        </w:trPr>
        <w:tc>
          <w:tcPr>
            <w:tcW w:w="3958" w:type="dxa"/>
            <w:noWrap/>
            <w:vAlign w:val="center"/>
          </w:tcPr>
          <w:p w14:paraId="3CF4DA8E" w14:textId="77777777" w:rsidR="00D22CF6" w:rsidRPr="007D5748" w:rsidRDefault="00D22CF6" w:rsidP="00D22CF6">
            <w:pPr>
              <w:rPr>
                <w:b/>
                <w:bCs/>
                <w:i/>
                <w:iCs/>
              </w:rPr>
            </w:pPr>
            <w:r w:rsidRPr="007D5748">
              <w:rPr>
                <w:b/>
                <w:bCs/>
                <w:i/>
                <w:iCs/>
              </w:rPr>
              <w:t>- vplyv na vyššie územné celky</w:t>
            </w:r>
          </w:p>
        </w:tc>
        <w:tc>
          <w:tcPr>
            <w:tcW w:w="1076" w:type="dxa"/>
            <w:noWrap/>
            <w:vAlign w:val="center"/>
          </w:tcPr>
          <w:p w14:paraId="18715287" w14:textId="77777777" w:rsidR="00D22CF6" w:rsidRPr="007D5748" w:rsidRDefault="00D22CF6" w:rsidP="00D22CF6">
            <w:pPr>
              <w:jc w:val="right"/>
              <w:rPr>
                <w:b/>
                <w:bCs/>
                <w:iCs/>
              </w:rPr>
            </w:pPr>
            <w:r w:rsidRPr="007D5748">
              <w:rPr>
                <w:b/>
                <w:bCs/>
                <w:iCs/>
              </w:rPr>
              <w:t>0</w:t>
            </w:r>
          </w:p>
        </w:tc>
        <w:tc>
          <w:tcPr>
            <w:tcW w:w="1799" w:type="dxa"/>
            <w:noWrap/>
            <w:vAlign w:val="center"/>
          </w:tcPr>
          <w:p w14:paraId="4E77CFD2" w14:textId="77777777" w:rsidR="00D22CF6" w:rsidRPr="007D5748" w:rsidRDefault="00D22CF6" w:rsidP="00D22CF6">
            <w:pPr>
              <w:jc w:val="right"/>
              <w:rPr>
                <w:b/>
                <w:bCs/>
                <w:iCs/>
              </w:rPr>
            </w:pPr>
            <w:r w:rsidRPr="007D5748">
              <w:rPr>
                <w:b/>
                <w:bCs/>
                <w:iCs/>
              </w:rPr>
              <w:t>0</w:t>
            </w:r>
          </w:p>
        </w:tc>
        <w:tc>
          <w:tcPr>
            <w:tcW w:w="1800" w:type="dxa"/>
            <w:noWrap/>
            <w:vAlign w:val="center"/>
          </w:tcPr>
          <w:p w14:paraId="656C8FC4" w14:textId="77777777" w:rsidR="00D22CF6" w:rsidRPr="007D5748" w:rsidRDefault="00D22CF6" w:rsidP="00D22CF6">
            <w:pPr>
              <w:jc w:val="right"/>
              <w:rPr>
                <w:b/>
                <w:bCs/>
                <w:iCs/>
              </w:rPr>
            </w:pPr>
            <w:r w:rsidRPr="007D5748">
              <w:rPr>
                <w:b/>
                <w:bCs/>
                <w:iCs/>
              </w:rPr>
              <w:t>0</w:t>
            </w:r>
          </w:p>
        </w:tc>
        <w:tc>
          <w:tcPr>
            <w:tcW w:w="1800" w:type="dxa"/>
            <w:noWrap/>
            <w:vAlign w:val="center"/>
          </w:tcPr>
          <w:p w14:paraId="10D4424D" w14:textId="77777777" w:rsidR="00D22CF6" w:rsidRPr="007D5748" w:rsidRDefault="00D22CF6" w:rsidP="00D22CF6">
            <w:pPr>
              <w:jc w:val="right"/>
              <w:rPr>
                <w:b/>
                <w:bCs/>
                <w:iCs/>
              </w:rPr>
            </w:pPr>
            <w:r w:rsidRPr="007D5748">
              <w:rPr>
                <w:b/>
                <w:bCs/>
                <w:iCs/>
              </w:rPr>
              <w:t>0</w:t>
            </w:r>
          </w:p>
        </w:tc>
      </w:tr>
      <w:tr w:rsidR="00D22CF6" w:rsidRPr="007D5748" w14:paraId="12A1AD6B" w14:textId="77777777" w:rsidTr="00D22CF6">
        <w:trPr>
          <w:trHeight w:val="47"/>
        </w:trPr>
        <w:tc>
          <w:tcPr>
            <w:tcW w:w="3958" w:type="dxa"/>
            <w:noWrap/>
            <w:vAlign w:val="center"/>
          </w:tcPr>
          <w:p w14:paraId="33D51A0A" w14:textId="77777777" w:rsidR="00D22CF6" w:rsidRPr="007D5748" w:rsidRDefault="00D22CF6" w:rsidP="00D22CF6">
            <w:pPr>
              <w:rPr>
                <w:b/>
                <w:bCs/>
              </w:rPr>
            </w:pPr>
            <w:r w:rsidRPr="007D5748">
              <w:rPr>
                <w:b/>
                <w:bCs/>
                <w:i/>
                <w:iCs/>
              </w:rPr>
              <w:t>- vplyv na ostatné subjekty verejnej správy</w:t>
            </w:r>
          </w:p>
        </w:tc>
        <w:tc>
          <w:tcPr>
            <w:tcW w:w="1076" w:type="dxa"/>
            <w:noWrap/>
            <w:vAlign w:val="center"/>
          </w:tcPr>
          <w:p w14:paraId="1154BC0A" w14:textId="77777777" w:rsidR="00D22CF6" w:rsidRPr="007D5748" w:rsidRDefault="00D22CF6" w:rsidP="00D22CF6">
            <w:pPr>
              <w:jc w:val="right"/>
              <w:rPr>
                <w:b/>
                <w:bCs/>
                <w:iCs/>
              </w:rPr>
            </w:pPr>
            <w:r w:rsidRPr="007D5748">
              <w:rPr>
                <w:b/>
                <w:bCs/>
                <w:iCs/>
              </w:rPr>
              <w:t>0</w:t>
            </w:r>
          </w:p>
        </w:tc>
        <w:tc>
          <w:tcPr>
            <w:tcW w:w="1799" w:type="dxa"/>
            <w:noWrap/>
            <w:vAlign w:val="center"/>
          </w:tcPr>
          <w:p w14:paraId="7ABE8D44" w14:textId="77777777" w:rsidR="00D22CF6" w:rsidRPr="007D5748" w:rsidRDefault="00D22CF6" w:rsidP="00D22CF6">
            <w:pPr>
              <w:jc w:val="right"/>
              <w:rPr>
                <w:b/>
                <w:bCs/>
                <w:iCs/>
              </w:rPr>
            </w:pPr>
            <w:r w:rsidRPr="007D5748">
              <w:rPr>
                <w:b/>
                <w:bCs/>
                <w:iCs/>
              </w:rPr>
              <w:t>0</w:t>
            </w:r>
          </w:p>
        </w:tc>
        <w:tc>
          <w:tcPr>
            <w:tcW w:w="1800" w:type="dxa"/>
            <w:noWrap/>
            <w:vAlign w:val="center"/>
          </w:tcPr>
          <w:p w14:paraId="7B3E6E66" w14:textId="77777777" w:rsidR="00D22CF6" w:rsidRPr="007D5748" w:rsidRDefault="00D22CF6" w:rsidP="00D22CF6">
            <w:pPr>
              <w:jc w:val="right"/>
              <w:rPr>
                <w:b/>
                <w:bCs/>
                <w:iCs/>
              </w:rPr>
            </w:pPr>
            <w:r w:rsidRPr="007D5748">
              <w:rPr>
                <w:b/>
                <w:bCs/>
                <w:iCs/>
              </w:rPr>
              <w:t>0</w:t>
            </w:r>
          </w:p>
        </w:tc>
        <w:tc>
          <w:tcPr>
            <w:tcW w:w="1800" w:type="dxa"/>
            <w:noWrap/>
            <w:vAlign w:val="center"/>
          </w:tcPr>
          <w:p w14:paraId="251E3345" w14:textId="77777777" w:rsidR="00D22CF6" w:rsidRPr="007D5748" w:rsidRDefault="00D22CF6" w:rsidP="00D22CF6">
            <w:pPr>
              <w:jc w:val="right"/>
              <w:rPr>
                <w:b/>
                <w:bCs/>
                <w:iCs/>
              </w:rPr>
            </w:pPr>
            <w:r w:rsidRPr="007D5748">
              <w:rPr>
                <w:b/>
                <w:bCs/>
                <w:iCs/>
              </w:rPr>
              <w:t>0</w:t>
            </w:r>
          </w:p>
        </w:tc>
      </w:tr>
      <w:tr w:rsidR="00D22CF6" w:rsidRPr="007D5748" w14:paraId="7F39686D" w14:textId="77777777" w:rsidTr="00D22CF6">
        <w:trPr>
          <w:trHeight w:val="47"/>
        </w:trPr>
        <w:tc>
          <w:tcPr>
            <w:tcW w:w="3958" w:type="dxa"/>
            <w:shd w:val="clear" w:color="auto" w:fill="C0C0C0"/>
            <w:noWrap/>
            <w:vAlign w:val="center"/>
          </w:tcPr>
          <w:p w14:paraId="5F86A30F" w14:textId="77777777" w:rsidR="00D22CF6" w:rsidRPr="007D5748" w:rsidRDefault="00D22CF6" w:rsidP="00D22CF6">
            <w:pPr>
              <w:rPr>
                <w:b/>
                <w:bCs/>
              </w:rPr>
            </w:pPr>
            <w:r w:rsidRPr="007D5748">
              <w:rPr>
                <w:b/>
                <w:bCs/>
              </w:rPr>
              <w:t>Financovanie zabezpečené v rozpočte</w:t>
            </w:r>
          </w:p>
        </w:tc>
        <w:tc>
          <w:tcPr>
            <w:tcW w:w="1076" w:type="dxa"/>
            <w:shd w:val="clear" w:color="auto" w:fill="C0C0C0"/>
            <w:noWrap/>
            <w:vAlign w:val="center"/>
          </w:tcPr>
          <w:p w14:paraId="4B2A5156" w14:textId="77777777" w:rsidR="00D22CF6" w:rsidRPr="007D5748" w:rsidRDefault="00D22CF6" w:rsidP="00D22CF6">
            <w:pPr>
              <w:jc w:val="right"/>
              <w:rPr>
                <w:b/>
                <w:bCs/>
              </w:rPr>
            </w:pPr>
            <w:r w:rsidRPr="007D5748">
              <w:rPr>
                <w:b/>
                <w:bCs/>
              </w:rPr>
              <w:t>0</w:t>
            </w:r>
          </w:p>
        </w:tc>
        <w:tc>
          <w:tcPr>
            <w:tcW w:w="1799" w:type="dxa"/>
            <w:shd w:val="clear" w:color="auto" w:fill="C0C0C0"/>
            <w:noWrap/>
            <w:vAlign w:val="center"/>
          </w:tcPr>
          <w:p w14:paraId="317F36BF" w14:textId="77777777" w:rsidR="00D22CF6" w:rsidRPr="007D5748" w:rsidRDefault="00D22CF6" w:rsidP="00D22CF6">
            <w:pPr>
              <w:jc w:val="right"/>
              <w:rPr>
                <w:b/>
                <w:bCs/>
              </w:rPr>
            </w:pPr>
            <w:r>
              <w:rPr>
                <w:b/>
                <w:bCs/>
              </w:rPr>
              <w:t>+33.570</w:t>
            </w:r>
          </w:p>
        </w:tc>
        <w:tc>
          <w:tcPr>
            <w:tcW w:w="1800" w:type="dxa"/>
            <w:shd w:val="clear" w:color="auto" w:fill="C0C0C0"/>
            <w:noWrap/>
            <w:vAlign w:val="center"/>
          </w:tcPr>
          <w:p w14:paraId="78640371" w14:textId="77777777" w:rsidR="00D22CF6" w:rsidRPr="007D5748" w:rsidRDefault="00D22CF6" w:rsidP="00D22CF6">
            <w:pPr>
              <w:jc w:val="right"/>
              <w:rPr>
                <w:b/>
                <w:bCs/>
              </w:rPr>
            </w:pPr>
            <w:r>
              <w:rPr>
                <w:b/>
                <w:bCs/>
              </w:rPr>
              <w:t>+33.570</w:t>
            </w:r>
          </w:p>
        </w:tc>
        <w:tc>
          <w:tcPr>
            <w:tcW w:w="1800" w:type="dxa"/>
            <w:shd w:val="clear" w:color="auto" w:fill="C0C0C0"/>
            <w:noWrap/>
            <w:vAlign w:val="center"/>
          </w:tcPr>
          <w:p w14:paraId="2FE4FFE3" w14:textId="77777777" w:rsidR="00D22CF6" w:rsidRPr="007D5748" w:rsidRDefault="00D22CF6" w:rsidP="00D22CF6">
            <w:pPr>
              <w:jc w:val="right"/>
              <w:rPr>
                <w:b/>
                <w:bCs/>
              </w:rPr>
            </w:pPr>
            <w:r>
              <w:rPr>
                <w:b/>
                <w:bCs/>
              </w:rPr>
              <w:t>+33.570</w:t>
            </w:r>
          </w:p>
        </w:tc>
      </w:tr>
      <w:tr w:rsidR="00D22CF6" w:rsidRPr="007D5748" w14:paraId="155E8453" w14:textId="77777777" w:rsidTr="00D22CF6">
        <w:trPr>
          <w:trHeight w:val="47"/>
        </w:trPr>
        <w:tc>
          <w:tcPr>
            <w:tcW w:w="3958" w:type="dxa"/>
            <w:noWrap/>
            <w:vAlign w:val="center"/>
          </w:tcPr>
          <w:p w14:paraId="586809F1" w14:textId="77777777" w:rsidR="00D22CF6" w:rsidRPr="007D5748" w:rsidRDefault="00D22CF6" w:rsidP="00D22CF6">
            <w:r w:rsidRPr="007D5748">
              <w:t>v tom: za každý subjekt verejnej správy / program zvlášť</w:t>
            </w:r>
            <w:r>
              <w:t xml:space="preserve"> ÚNMS SR</w:t>
            </w:r>
          </w:p>
        </w:tc>
        <w:tc>
          <w:tcPr>
            <w:tcW w:w="1076" w:type="dxa"/>
            <w:noWrap/>
            <w:vAlign w:val="center"/>
          </w:tcPr>
          <w:p w14:paraId="2A525591" w14:textId="77777777" w:rsidR="00D22CF6" w:rsidRPr="007D5748" w:rsidRDefault="00D22CF6" w:rsidP="00D22CF6">
            <w:pPr>
              <w:jc w:val="right"/>
            </w:pPr>
            <w:r w:rsidRPr="007D5748">
              <w:t>0</w:t>
            </w:r>
          </w:p>
        </w:tc>
        <w:tc>
          <w:tcPr>
            <w:tcW w:w="1799" w:type="dxa"/>
            <w:noWrap/>
            <w:vAlign w:val="center"/>
          </w:tcPr>
          <w:p w14:paraId="33A96E8C" w14:textId="77777777" w:rsidR="00D22CF6" w:rsidRPr="007D5748" w:rsidRDefault="00D22CF6" w:rsidP="00D22CF6">
            <w:pPr>
              <w:jc w:val="right"/>
            </w:pPr>
            <w:r>
              <w:t>+33.570</w:t>
            </w:r>
          </w:p>
        </w:tc>
        <w:tc>
          <w:tcPr>
            <w:tcW w:w="1800" w:type="dxa"/>
            <w:noWrap/>
            <w:vAlign w:val="center"/>
          </w:tcPr>
          <w:p w14:paraId="0602C6A8" w14:textId="77777777" w:rsidR="00D22CF6" w:rsidRPr="007D5748" w:rsidRDefault="00D22CF6" w:rsidP="00D22CF6">
            <w:pPr>
              <w:jc w:val="right"/>
            </w:pPr>
            <w:r>
              <w:t>+33.570</w:t>
            </w:r>
          </w:p>
        </w:tc>
        <w:tc>
          <w:tcPr>
            <w:tcW w:w="1800" w:type="dxa"/>
            <w:noWrap/>
            <w:vAlign w:val="center"/>
          </w:tcPr>
          <w:p w14:paraId="338BCDAF" w14:textId="77777777" w:rsidR="00D22CF6" w:rsidRPr="007D5748" w:rsidRDefault="00D22CF6" w:rsidP="00D22CF6">
            <w:pPr>
              <w:jc w:val="right"/>
            </w:pPr>
            <w:r>
              <w:t>+33.570</w:t>
            </w:r>
          </w:p>
        </w:tc>
      </w:tr>
      <w:tr w:rsidR="00D22CF6" w:rsidRPr="007D5748" w14:paraId="1278ADCA" w14:textId="77777777" w:rsidTr="00D22CF6">
        <w:trPr>
          <w:trHeight w:val="47"/>
        </w:trPr>
        <w:tc>
          <w:tcPr>
            <w:tcW w:w="3958" w:type="dxa"/>
            <w:shd w:val="clear" w:color="auto" w:fill="BFBFBF" w:themeFill="background1" w:themeFillShade="BF"/>
            <w:noWrap/>
            <w:vAlign w:val="center"/>
          </w:tcPr>
          <w:p w14:paraId="66071E25" w14:textId="77777777" w:rsidR="00D22CF6" w:rsidRPr="007D5748" w:rsidRDefault="00D22CF6" w:rsidP="00D22CF6">
            <w:pPr>
              <w:rPr>
                <w:b/>
              </w:rPr>
            </w:pPr>
            <w:r w:rsidRPr="007D5748">
              <w:rPr>
                <w:b/>
              </w:rPr>
              <w:t>Iné ako rozpočtové zdroje</w:t>
            </w:r>
          </w:p>
        </w:tc>
        <w:tc>
          <w:tcPr>
            <w:tcW w:w="1076" w:type="dxa"/>
            <w:shd w:val="clear" w:color="auto" w:fill="BFBFBF" w:themeFill="background1" w:themeFillShade="BF"/>
            <w:noWrap/>
            <w:vAlign w:val="center"/>
          </w:tcPr>
          <w:p w14:paraId="3A1C61E9" w14:textId="77777777" w:rsidR="00D22CF6" w:rsidRPr="007D5748" w:rsidRDefault="00D22CF6" w:rsidP="00D22CF6">
            <w:pPr>
              <w:jc w:val="right"/>
              <w:rPr>
                <w:b/>
                <w:bCs/>
              </w:rPr>
            </w:pPr>
            <w:r w:rsidRPr="007D5748">
              <w:rPr>
                <w:b/>
                <w:bCs/>
              </w:rPr>
              <w:t>0</w:t>
            </w:r>
          </w:p>
        </w:tc>
        <w:tc>
          <w:tcPr>
            <w:tcW w:w="1799" w:type="dxa"/>
            <w:shd w:val="clear" w:color="auto" w:fill="BFBFBF" w:themeFill="background1" w:themeFillShade="BF"/>
            <w:noWrap/>
            <w:vAlign w:val="center"/>
          </w:tcPr>
          <w:p w14:paraId="6DE4F3C5" w14:textId="77777777" w:rsidR="00D22CF6" w:rsidRPr="007D5748" w:rsidRDefault="00D22CF6" w:rsidP="00D22CF6">
            <w:pPr>
              <w:jc w:val="right"/>
              <w:rPr>
                <w:b/>
                <w:bCs/>
              </w:rPr>
            </w:pPr>
            <w:r w:rsidRPr="007D5748">
              <w:rPr>
                <w:b/>
                <w:bCs/>
              </w:rPr>
              <w:t>0</w:t>
            </w:r>
          </w:p>
        </w:tc>
        <w:tc>
          <w:tcPr>
            <w:tcW w:w="1800" w:type="dxa"/>
            <w:shd w:val="clear" w:color="auto" w:fill="BFBFBF" w:themeFill="background1" w:themeFillShade="BF"/>
            <w:noWrap/>
            <w:vAlign w:val="center"/>
          </w:tcPr>
          <w:p w14:paraId="0368BB64" w14:textId="77777777" w:rsidR="00D22CF6" w:rsidRPr="007D5748" w:rsidRDefault="00D22CF6" w:rsidP="00D22CF6">
            <w:pPr>
              <w:jc w:val="right"/>
              <w:rPr>
                <w:b/>
                <w:bCs/>
              </w:rPr>
            </w:pPr>
            <w:r w:rsidRPr="007D5748">
              <w:rPr>
                <w:b/>
                <w:bCs/>
              </w:rPr>
              <w:t>0</w:t>
            </w:r>
          </w:p>
        </w:tc>
        <w:tc>
          <w:tcPr>
            <w:tcW w:w="1800" w:type="dxa"/>
            <w:shd w:val="clear" w:color="auto" w:fill="BFBFBF" w:themeFill="background1" w:themeFillShade="BF"/>
            <w:noWrap/>
            <w:vAlign w:val="center"/>
          </w:tcPr>
          <w:p w14:paraId="63E99151" w14:textId="77777777" w:rsidR="00D22CF6" w:rsidRPr="007D5748" w:rsidRDefault="00D22CF6" w:rsidP="00D22CF6">
            <w:pPr>
              <w:jc w:val="right"/>
              <w:rPr>
                <w:b/>
                <w:bCs/>
              </w:rPr>
            </w:pPr>
            <w:r w:rsidRPr="007D5748">
              <w:rPr>
                <w:b/>
                <w:bCs/>
              </w:rPr>
              <w:t>0</w:t>
            </w:r>
          </w:p>
        </w:tc>
      </w:tr>
      <w:tr w:rsidR="00D22CF6" w:rsidRPr="007D5748" w14:paraId="42163025" w14:textId="77777777" w:rsidTr="00D22CF6">
        <w:trPr>
          <w:trHeight w:val="47"/>
        </w:trPr>
        <w:tc>
          <w:tcPr>
            <w:tcW w:w="3958" w:type="dxa"/>
            <w:shd w:val="clear" w:color="auto" w:fill="A6A6A6" w:themeFill="background1" w:themeFillShade="A6"/>
            <w:noWrap/>
            <w:vAlign w:val="center"/>
          </w:tcPr>
          <w:p w14:paraId="3AAFDE4C" w14:textId="77777777" w:rsidR="00D22CF6" w:rsidRPr="007D5748" w:rsidRDefault="00D22CF6" w:rsidP="00D22CF6">
            <w:pPr>
              <w:rPr>
                <w:b/>
                <w:bCs/>
              </w:rPr>
            </w:pPr>
            <w:r w:rsidRPr="007D5748">
              <w:rPr>
                <w:b/>
                <w:bCs/>
              </w:rPr>
              <w:t xml:space="preserve">Rozpočtovo nekrytý vplyv / </w:t>
            </w:r>
            <w:r w:rsidRPr="00E9227A">
              <w:rPr>
                <w:b/>
                <w:bCs/>
              </w:rPr>
              <w:t>úspora</w:t>
            </w:r>
          </w:p>
        </w:tc>
        <w:tc>
          <w:tcPr>
            <w:tcW w:w="1076" w:type="dxa"/>
            <w:shd w:val="clear" w:color="auto" w:fill="A6A6A6" w:themeFill="background1" w:themeFillShade="A6"/>
            <w:noWrap/>
            <w:vAlign w:val="center"/>
          </w:tcPr>
          <w:p w14:paraId="07EFE121" w14:textId="77777777" w:rsidR="00D22CF6" w:rsidRPr="007D5748" w:rsidRDefault="00D22CF6" w:rsidP="00D22CF6">
            <w:pPr>
              <w:jc w:val="right"/>
              <w:rPr>
                <w:b/>
                <w:bCs/>
              </w:rPr>
            </w:pPr>
            <w:r w:rsidRPr="007D5748">
              <w:rPr>
                <w:b/>
                <w:bCs/>
              </w:rPr>
              <w:t>0</w:t>
            </w:r>
          </w:p>
        </w:tc>
        <w:tc>
          <w:tcPr>
            <w:tcW w:w="1799" w:type="dxa"/>
            <w:shd w:val="clear" w:color="auto" w:fill="A6A6A6" w:themeFill="background1" w:themeFillShade="A6"/>
            <w:noWrap/>
            <w:vAlign w:val="center"/>
          </w:tcPr>
          <w:p w14:paraId="189C6876" w14:textId="77777777" w:rsidR="00D22CF6" w:rsidRPr="007D5748" w:rsidRDefault="00D22CF6" w:rsidP="00D22CF6">
            <w:pPr>
              <w:jc w:val="right"/>
              <w:rPr>
                <w:b/>
                <w:bCs/>
              </w:rPr>
            </w:pPr>
            <w:r>
              <w:rPr>
                <w:b/>
                <w:bCs/>
              </w:rPr>
              <w:t>0</w:t>
            </w:r>
          </w:p>
        </w:tc>
        <w:tc>
          <w:tcPr>
            <w:tcW w:w="1800" w:type="dxa"/>
            <w:shd w:val="clear" w:color="auto" w:fill="A6A6A6" w:themeFill="background1" w:themeFillShade="A6"/>
            <w:noWrap/>
            <w:vAlign w:val="center"/>
          </w:tcPr>
          <w:p w14:paraId="4360368E" w14:textId="77777777" w:rsidR="00D22CF6" w:rsidRPr="007D5748" w:rsidRDefault="00D22CF6" w:rsidP="00D22CF6">
            <w:pPr>
              <w:jc w:val="right"/>
              <w:rPr>
                <w:b/>
                <w:bCs/>
              </w:rPr>
            </w:pPr>
            <w:r>
              <w:rPr>
                <w:b/>
                <w:bCs/>
              </w:rPr>
              <w:t>0</w:t>
            </w:r>
          </w:p>
        </w:tc>
        <w:tc>
          <w:tcPr>
            <w:tcW w:w="1800" w:type="dxa"/>
            <w:shd w:val="clear" w:color="auto" w:fill="A6A6A6" w:themeFill="background1" w:themeFillShade="A6"/>
            <w:noWrap/>
            <w:vAlign w:val="center"/>
          </w:tcPr>
          <w:p w14:paraId="5D19CE8F" w14:textId="77777777" w:rsidR="00D22CF6" w:rsidRPr="007D5748" w:rsidRDefault="00D22CF6" w:rsidP="00D22CF6">
            <w:pPr>
              <w:jc w:val="right"/>
              <w:rPr>
                <w:b/>
                <w:bCs/>
              </w:rPr>
            </w:pPr>
            <w:r>
              <w:rPr>
                <w:b/>
                <w:bCs/>
              </w:rPr>
              <w:t>0</w:t>
            </w:r>
          </w:p>
        </w:tc>
      </w:tr>
    </w:tbl>
    <w:bookmarkEnd w:id="0"/>
    <w:p w14:paraId="6841E05E" w14:textId="78CD12D8" w:rsidR="00D22CF6" w:rsidRPr="007D5748" w:rsidRDefault="00D22CF6" w:rsidP="00D22CF6">
      <w:pPr>
        <w:tabs>
          <w:tab w:val="left" w:pos="7953"/>
          <w:tab w:val="right" w:pos="9072"/>
        </w:tabs>
        <w:jc w:val="right"/>
        <w:rPr>
          <w:sz w:val="20"/>
          <w:szCs w:val="20"/>
        </w:rPr>
      </w:pPr>
      <w:r w:rsidRPr="007D5748">
        <w:rPr>
          <w:sz w:val="20"/>
          <w:szCs w:val="20"/>
        </w:rPr>
        <w:lastRenderedPageBreak/>
        <w:t xml:space="preserve">Tabuľka </w:t>
      </w:r>
      <w:r w:rsidR="002F69ED">
        <w:rPr>
          <w:sz w:val="20"/>
          <w:szCs w:val="20"/>
        </w:rPr>
        <w:t>č. </w:t>
      </w:r>
      <w:r w:rsidRPr="007D5748">
        <w:rPr>
          <w:sz w:val="20"/>
          <w:szCs w:val="20"/>
        </w:rPr>
        <w:t xml:space="preserve">1 </w:t>
      </w:r>
    </w:p>
    <w:p w14:paraId="424969B0" w14:textId="77777777" w:rsidR="00D22CF6" w:rsidRPr="007D5748" w:rsidRDefault="00D22CF6" w:rsidP="00D22CF6">
      <w:pPr>
        <w:rPr>
          <w:b/>
          <w:bCs/>
        </w:rPr>
      </w:pPr>
    </w:p>
    <w:p w14:paraId="1568623A" w14:textId="3265C7DE" w:rsidR="00D22CF6" w:rsidRPr="007D5748" w:rsidRDefault="00D22CF6" w:rsidP="00D22CF6">
      <w:pPr>
        <w:jc w:val="both"/>
        <w:rPr>
          <w:b/>
          <w:bCs/>
          <w:sz w:val="12"/>
        </w:rPr>
      </w:pPr>
      <w:r w:rsidRPr="007D5748">
        <w:rPr>
          <w:b/>
          <w:bCs/>
        </w:rPr>
        <w:t xml:space="preserve">2.1.1. Financovanie návrhu - Návrh na riešenie úbytku príjmov alebo zvýšených výdavkov podľa </w:t>
      </w:r>
      <w:r w:rsidR="002F69ED">
        <w:rPr>
          <w:b/>
          <w:bCs/>
        </w:rPr>
        <w:t>§ </w:t>
      </w:r>
      <w:r w:rsidRPr="007D5748">
        <w:rPr>
          <w:b/>
          <w:bCs/>
        </w:rPr>
        <w:t xml:space="preserve">33 ods. 1 zákona </w:t>
      </w:r>
      <w:r w:rsidR="002F69ED">
        <w:rPr>
          <w:b/>
          <w:bCs/>
        </w:rPr>
        <w:t>č. </w:t>
      </w:r>
      <w:r w:rsidRPr="007D5748">
        <w:rPr>
          <w:b/>
          <w:bCs/>
        </w:rPr>
        <w:t xml:space="preserve">523/2004 </w:t>
      </w:r>
      <w:r w:rsidR="002F69ED">
        <w:rPr>
          <w:b/>
          <w:bCs/>
        </w:rPr>
        <w:t>Z. z.</w:t>
      </w:r>
      <w:r w:rsidRPr="007D5748">
        <w:rPr>
          <w:b/>
          <w:bCs/>
        </w:rPr>
        <w:t xml:space="preserve"> o rozpočtových pravidlách verejnej správy:</w:t>
      </w:r>
    </w:p>
    <w:p w14:paraId="608D0404" w14:textId="77777777" w:rsidR="00D22CF6" w:rsidRDefault="00D22CF6" w:rsidP="00D22CF6">
      <w:pPr>
        <w:pBdr>
          <w:top w:val="single" w:sz="4" w:space="1" w:color="auto"/>
          <w:left w:val="single" w:sz="4" w:space="4" w:color="auto"/>
          <w:bottom w:val="single" w:sz="4" w:space="0" w:color="auto"/>
          <w:right w:val="single" w:sz="4" w:space="4" w:color="auto"/>
        </w:pBdr>
        <w:jc w:val="both"/>
        <w:rPr>
          <w:bCs/>
        </w:rPr>
      </w:pPr>
    </w:p>
    <w:p w14:paraId="1CDFE918" w14:textId="77777777" w:rsidR="00D22CF6" w:rsidRPr="00437AE1" w:rsidRDefault="00D22CF6" w:rsidP="00D22CF6">
      <w:pPr>
        <w:pBdr>
          <w:top w:val="single" w:sz="4" w:space="1" w:color="auto"/>
          <w:left w:val="single" w:sz="4" w:space="4" w:color="auto"/>
          <w:bottom w:val="single" w:sz="4" w:space="0" w:color="auto"/>
          <w:right w:val="single" w:sz="4" w:space="4" w:color="auto"/>
        </w:pBdr>
        <w:jc w:val="both"/>
        <w:rPr>
          <w:bCs/>
        </w:rPr>
      </w:pPr>
      <w:r w:rsidRPr="00437AE1">
        <w:rPr>
          <w:bCs/>
        </w:rPr>
        <w:t>Úrad</w:t>
      </w:r>
      <w:r>
        <w:rPr>
          <w:bCs/>
        </w:rPr>
        <w:t>u</w:t>
      </w:r>
      <w:r w:rsidRPr="00437AE1">
        <w:rPr>
          <w:bCs/>
        </w:rPr>
        <w:t xml:space="preserve"> pre normalizáciu, metrológiu a skúšobníctvo S</w:t>
      </w:r>
      <w:r>
        <w:rPr>
          <w:bCs/>
        </w:rPr>
        <w:t>lovenskej republiky</w:t>
      </w:r>
      <w:r w:rsidRPr="00437AE1">
        <w:rPr>
          <w:bCs/>
        </w:rPr>
        <w:t xml:space="preserve"> (ďalej len „úrad“ alebo „ÚNMS SR“) </w:t>
      </w:r>
      <w:r>
        <w:rPr>
          <w:bCs/>
        </w:rPr>
        <w:t xml:space="preserve">boli </w:t>
      </w:r>
      <w:r w:rsidRPr="00437AE1">
        <w:rPr>
          <w:bCs/>
        </w:rPr>
        <w:t>navýšen</w:t>
      </w:r>
      <w:r>
        <w:rPr>
          <w:bCs/>
        </w:rPr>
        <w:t>é</w:t>
      </w:r>
      <w:r w:rsidRPr="00437AE1">
        <w:rPr>
          <w:bCs/>
        </w:rPr>
        <w:t xml:space="preserve"> finančných prostriedk</w:t>
      </w:r>
      <w:r>
        <w:rPr>
          <w:bCs/>
        </w:rPr>
        <w:t>y</w:t>
      </w:r>
      <w:r w:rsidRPr="00437AE1">
        <w:rPr>
          <w:bCs/>
        </w:rPr>
        <w:t xml:space="preserve"> kapitoly a</w:t>
      </w:r>
      <w:r w:rsidRPr="00437AE1" w:rsidDel="00E11CC9">
        <w:rPr>
          <w:bCs/>
        </w:rPr>
        <w:t xml:space="preserve"> </w:t>
      </w:r>
      <w:r w:rsidRPr="00437AE1">
        <w:rPr>
          <w:bCs/>
        </w:rPr>
        <w:t>navýšen</w:t>
      </w:r>
      <w:r>
        <w:rPr>
          <w:bCs/>
        </w:rPr>
        <w:t>ý</w:t>
      </w:r>
      <w:r w:rsidRPr="00437AE1">
        <w:rPr>
          <w:bCs/>
        </w:rPr>
        <w:t xml:space="preserve"> </w:t>
      </w:r>
      <w:r w:rsidRPr="00945D41">
        <w:rPr>
          <w:bCs/>
        </w:rPr>
        <w:t>limit</w:t>
      </w:r>
      <w:r w:rsidRPr="00437AE1">
        <w:rPr>
          <w:bCs/>
        </w:rPr>
        <w:t xml:space="preserve"> počtu zamestnancov kapitoly (v počte </w:t>
      </w:r>
      <w:r>
        <w:rPr>
          <w:bCs/>
        </w:rPr>
        <w:t>1</w:t>
      </w:r>
      <w:r w:rsidRPr="00437AE1">
        <w:rPr>
          <w:bCs/>
        </w:rPr>
        <w:t>).</w:t>
      </w:r>
    </w:p>
    <w:p w14:paraId="54FDF6D0" w14:textId="540A6C21" w:rsidR="00D22CF6" w:rsidRPr="00437AE1" w:rsidRDefault="00D22CF6" w:rsidP="00D22CF6">
      <w:pPr>
        <w:pBdr>
          <w:top w:val="single" w:sz="4" w:space="1" w:color="auto"/>
          <w:left w:val="single" w:sz="4" w:space="4" w:color="auto"/>
          <w:bottom w:val="single" w:sz="4" w:space="0" w:color="auto"/>
          <w:right w:val="single" w:sz="4" w:space="4" w:color="auto"/>
        </w:pBdr>
        <w:ind w:firstLine="709"/>
        <w:jc w:val="both"/>
        <w:rPr>
          <w:bCs/>
        </w:rPr>
      </w:pPr>
      <w:r w:rsidRPr="00437AE1">
        <w:rPr>
          <w:bCs/>
        </w:rPr>
        <w:t xml:space="preserve">1. </w:t>
      </w:r>
      <w:r w:rsidRPr="00F60624">
        <w:rPr>
          <w:bCs/>
        </w:rPr>
        <w:t>Za účelom zabezpečenia riadneho plnenia</w:t>
      </w:r>
      <w:r w:rsidRPr="00437AE1">
        <w:rPr>
          <w:bCs/>
        </w:rPr>
        <w:t xml:space="preserve"> nových úloh vyplývajúcich z </w:t>
      </w:r>
      <w:r w:rsidRPr="00945D41">
        <w:rPr>
          <w:bCs/>
        </w:rPr>
        <w:t>pribudnutia nových</w:t>
      </w:r>
      <w:r w:rsidRPr="00F60624">
        <w:rPr>
          <w:bCs/>
        </w:rPr>
        <w:t xml:space="preserve"> kompetencii úradu, ktorý sa stane notifikujúcim orgánom pre 2 nové</w:t>
      </w:r>
      <w:r w:rsidRPr="00437AE1">
        <w:rPr>
          <w:bCs/>
        </w:rPr>
        <w:t xml:space="preserve"> technické predpisy z oblasti posudzovania zhody: nariadenie Európskeho parlamentu a Rady (EÚ) 2019/1009 z</w:t>
      </w:r>
      <w:r w:rsidR="002031CA">
        <w:rPr>
          <w:bCs/>
        </w:rPr>
        <w:t> </w:t>
      </w:r>
      <w:r w:rsidRPr="00437AE1">
        <w:rPr>
          <w:bCs/>
        </w:rPr>
        <w:t>5.</w:t>
      </w:r>
      <w:r w:rsidR="002031CA">
        <w:rPr>
          <w:bCs/>
        </w:rPr>
        <w:t> </w:t>
      </w:r>
      <w:r w:rsidRPr="00437AE1">
        <w:rPr>
          <w:bCs/>
        </w:rPr>
        <w:t xml:space="preserve">júna 2019, ktorým sa stanovujú pravidlá sprístupňovania EÚ produktov na hnojenie na trhu, menia nariadenia (ES) </w:t>
      </w:r>
      <w:r w:rsidR="002F69ED">
        <w:rPr>
          <w:bCs/>
        </w:rPr>
        <w:t>č. </w:t>
      </w:r>
      <w:r w:rsidRPr="00437AE1">
        <w:rPr>
          <w:bCs/>
        </w:rPr>
        <w:t xml:space="preserve">1069/2009 a (ES) </w:t>
      </w:r>
      <w:r w:rsidR="002F69ED">
        <w:rPr>
          <w:bCs/>
        </w:rPr>
        <w:t>č. </w:t>
      </w:r>
      <w:r w:rsidRPr="00437AE1">
        <w:rPr>
          <w:bCs/>
        </w:rPr>
        <w:t xml:space="preserve">1107/2009 a ruší nariadenie (ES) </w:t>
      </w:r>
      <w:r w:rsidR="002F69ED">
        <w:rPr>
          <w:bCs/>
        </w:rPr>
        <w:t>č. </w:t>
      </w:r>
      <w:r w:rsidRPr="00437AE1">
        <w:rPr>
          <w:bCs/>
        </w:rPr>
        <w:t>2003/2003 (</w:t>
      </w:r>
      <w:r>
        <w:rPr>
          <w:bCs/>
        </w:rPr>
        <w:t>ďalej len „</w:t>
      </w:r>
      <w:r w:rsidRPr="00437AE1">
        <w:rPr>
          <w:bCs/>
        </w:rPr>
        <w:t>nariadenie</w:t>
      </w:r>
      <w:r w:rsidRPr="00437AE1">
        <w:t xml:space="preserve"> </w:t>
      </w:r>
      <w:r w:rsidRPr="00437AE1">
        <w:rPr>
          <w:bCs/>
        </w:rPr>
        <w:t>(EÚ) 2019/1009</w:t>
      </w:r>
      <w:r>
        <w:rPr>
          <w:bCs/>
        </w:rPr>
        <w:t>“</w:t>
      </w:r>
      <w:r w:rsidRPr="00437AE1">
        <w:rPr>
          <w:bCs/>
        </w:rPr>
        <w:t>) a delegované nariadenie Komisie (EÚ) 2019/945 z</w:t>
      </w:r>
      <w:r w:rsidR="002031CA">
        <w:rPr>
          <w:bCs/>
        </w:rPr>
        <w:t> </w:t>
      </w:r>
      <w:r w:rsidRPr="00437AE1">
        <w:rPr>
          <w:bCs/>
        </w:rPr>
        <w:t>12.</w:t>
      </w:r>
      <w:r w:rsidR="002031CA">
        <w:rPr>
          <w:bCs/>
        </w:rPr>
        <w:t> </w:t>
      </w:r>
      <w:r w:rsidRPr="00437AE1">
        <w:rPr>
          <w:bCs/>
        </w:rPr>
        <w:t xml:space="preserve">marca 2019 o bezpilotných leteckých systémoch a o prevádzkovateľoch bezpilotných leteckých systémov z tretích krajín (ďalej len „delegované nariadenie (EÚ) 2019/945“) </w:t>
      </w:r>
      <w:r w:rsidRPr="00F60624">
        <w:rPr>
          <w:bCs/>
        </w:rPr>
        <w:t>je potrebné navýš</w:t>
      </w:r>
      <w:r w:rsidRPr="00945D41">
        <w:rPr>
          <w:bCs/>
        </w:rPr>
        <w:t>iť</w:t>
      </w:r>
      <w:r w:rsidRPr="00F60624">
        <w:rPr>
          <w:bCs/>
        </w:rPr>
        <w:t xml:space="preserve"> </w:t>
      </w:r>
      <w:r w:rsidRPr="00945D41">
        <w:rPr>
          <w:bCs/>
        </w:rPr>
        <w:t xml:space="preserve">počet </w:t>
      </w:r>
      <w:r w:rsidRPr="00F60624">
        <w:rPr>
          <w:bCs/>
        </w:rPr>
        <w:t>zamestnancov</w:t>
      </w:r>
      <w:r w:rsidRPr="00437AE1">
        <w:rPr>
          <w:bCs/>
        </w:rPr>
        <w:t xml:space="preserve"> kapitoly o odborne zdatných zamestnancov v predmetných oblastiach</w:t>
      </w:r>
      <w:r>
        <w:rPr>
          <w:bCs/>
        </w:rPr>
        <w:t>.</w:t>
      </w:r>
      <w:r w:rsidRPr="00437AE1">
        <w:rPr>
          <w:bCs/>
        </w:rPr>
        <w:t xml:space="preserve"> </w:t>
      </w:r>
      <w:r>
        <w:rPr>
          <w:bCs/>
        </w:rPr>
        <w:t xml:space="preserve">Zamestnanci </w:t>
      </w:r>
      <w:r w:rsidRPr="00437AE1">
        <w:rPr>
          <w:bCs/>
        </w:rPr>
        <w:t xml:space="preserve">by pokryli nové úlohy </w:t>
      </w:r>
      <w:r>
        <w:rPr>
          <w:bCs/>
        </w:rPr>
        <w:t xml:space="preserve">týkajúce sa úradu ako </w:t>
      </w:r>
      <w:r w:rsidRPr="00437AE1">
        <w:rPr>
          <w:bCs/>
        </w:rPr>
        <w:t>notifikujúceho orgánu, ktorý musí byť v Slovenskej republiky v zmysle nariadenia</w:t>
      </w:r>
      <w:r w:rsidRPr="00437AE1">
        <w:t xml:space="preserve"> </w:t>
      </w:r>
      <w:r w:rsidRPr="00437AE1">
        <w:rPr>
          <w:bCs/>
        </w:rPr>
        <w:t>(EÚ) 2019/1009 (hnojivá) a delegované</w:t>
      </w:r>
      <w:r>
        <w:rPr>
          <w:bCs/>
        </w:rPr>
        <w:t>ho</w:t>
      </w:r>
      <w:r w:rsidRPr="00437AE1">
        <w:rPr>
          <w:bCs/>
        </w:rPr>
        <w:t xml:space="preserve"> nariadeni</w:t>
      </w:r>
      <w:r>
        <w:rPr>
          <w:bCs/>
        </w:rPr>
        <w:t>a</w:t>
      </w:r>
      <w:r w:rsidRPr="00437AE1">
        <w:rPr>
          <w:bCs/>
        </w:rPr>
        <w:t xml:space="preserve"> Komisie (EÚ) 2019/945 (</w:t>
      </w:r>
      <w:proofErr w:type="spellStart"/>
      <w:r w:rsidRPr="00437AE1">
        <w:rPr>
          <w:bCs/>
        </w:rPr>
        <w:t>drony</w:t>
      </w:r>
      <w:proofErr w:type="spellEnd"/>
      <w:r w:rsidRPr="00437AE1">
        <w:rPr>
          <w:bCs/>
        </w:rPr>
        <w:t xml:space="preserve">) riadne určený. </w:t>
      </w:r>
    </w:p>
    <w:p w14:paraId="2DF27323" w14:textId="022CD24C" w:rsidR="00D22CF6" w:rsidRPr="007D5748" w:rsidRDefault="00D22CF6" w:rsidP="00D22CF6">
      <w:pPr>
        <w:pBdr>
          <w:top w:val="single" w:sz="4" w:space="1" w:color="auto"/>
          <w:left w:val="single" w:sz="4" w:space="4" w:color="auto"/>
          <w:bottom w:val="single" w:sz="4" w:space="0" w:color="auto"/>
          <w:right w:val="single" w:sz="4" w:space="4" w:color="auto"/>
        </w:pBdr>
        <w:ind w:firstLine="709"/>
        <w:jc w:val="both"/>
        <w:rPr>
          <w:b/>
          <w:bCs/>
        </w:rPr>
      </w:pPr>
      <w:r w:rsidRPr="00437AE1">
        <w:rPr>
          <w:bCs/>
        </w:rPr>
        <w:t xml:space="preserve">2. </w:t>
      </w:r>
      <w:r w:rsidR="002031CA">
        <w:rPr>
          <w:bCs/>
        </w:rPr>
        <w:t>Na</w:t>
      </w:r>
      <w:r w:rsidRPr="00437AE1">
        <w:rPr>
          <w:bCs/>
        </w:rPr>
        <w:t xml:space="preserve"> zabezpečeni</w:t>
      </w:r>
      <w:r w:rsidR="002031CA">
        <w:rPr>
          <w:bCs/>
        </w:rPr>
        <w:t>e</w:t>
      </w:r>
      <w:r w:rsidRPr="00437AE1">
        <w:rPr>
          <w:bCs/>
        </w:rPr>
        <w:t xml:space="preserve"> riadneho plnenia nových úloh vyplývajúcich úradu ako Kontaktnému miestu </w:t>
      </w:r>
      <w:r>
        <w:rPr>
          <w:bCs/>
        </w:rPr>
        <w:t>pre</w:t>
      </w:r>
      <w:r w:rsidRPr="00437AE1">
        <w:rPr>
          <w:bCs/>
        </w:rPr>
        <w:t xml:space="preserve"> výrobky podľa nariadenia</w:t>
      </w:r>
      <w:r w:rsidRPr="00437AE1">
        <w:t xml:space="preserve"> Európskeho parlamentu a Rady (EÚ) 2019/1020 </w:t>
      </w:r>
      <w:r w:rsidRPr="00437AE1">
        <w:rPr>
          <w:bCs/>
        </w:rPr>
        <w:t xml:space="preserve">z 20. júna 2019 o dohľade nad trhom a súlade výrobkov a o zmene smernice 2004/42/ES a nariadení (ES) </w:t>
      </w:r>
      <w:r w:rsidR="002F69ED">
        <w:rPr>
          <w:bCs/>
        </w:rPr>
        <w:t>č. </w:t>
      </w:r>
      <w:r w:rsidRPr="00437AE1">
        <w:rPr>
          <w:bCs/>
        </w:rPr>
        <w:t xml:space="preserve">765/2008 a (EÚ) </w:t>
      </w:r>
      <w:r w:rsidR="002F69ED">
        <w:rPr>
          <w:bCs/>
        </w:rPr>
        <w:t>č. </w:t>
      </w:r>
      <w:r w:rsidRPr="00437AE1">
        <w:rPr>
          <w:bCs/>
        </w:rPr>
        <w:t>305/2011 (ďalej len „nariadenie (EÚ) 2019/1020“), v rámci ktor</w:t>
      </w:r>
      <w:r>
        <w:rPr>
          <w:bCs/>
        </w:rPr>
        <w:t>ého</w:t>
      </w:r>
      <w:r w:rsidRPr="00437AE1">
        <w:rPr>
          <w:bCs/>
        </w:rPr>
        <w:t xml:space="preserve"> sa rozširujú povinnosti Kontaktného miesta </w:t>
      </w:r>
      <w:r>
        <w:rPr>
          <w:bCs/>
        </w:rPr>
        <w:t xml:space="preserve">pre </w:t>
      </w:r>
      <w:r w:rsidRPr="00437AE1">
        <w:rPr>
          <w:bCs/>
        </w:rPr>
        <w:t>výrobky</w:t>
      </w:r>
      <w:r w:rsidRPr="00437AE1">
        <w:t xml:space="preserve"> </w:t>
      </w:r>
      <w:r w:rsidRPr="00437AE1">
        <w:rPr>
          <w:bCs/>
        </w:rPr>
        <w:t>o</w:t>
      </w:r>
      <w:r w:rsidR="002031CA">
        <w:rPr>
          <w:bCs/>
        </w:rPr>
        <w:t> </w:t>
      </w:r>
      <w:r w:rsidRPr="00437AE1">
        <w:rPr>
          <w:bCs/>
        </w:rPr>
        <w:t>povinnosť</w:t>
      </w:r>
      <w:r w:rsidR="002031CA">
        <w:rPr>
          <w:bCs/>
        </w:rPr>
        <w:t xml:space="preserve"> </w:t>
      </w:r>
      <w:r w:rsidRPr="00437AE1">
        <w:rPr>
          <w:bCs/>
        </w:rPr>
        <w:t>poskytovať informácie hospodárskym subjektom nie len o neharmonizovanej legislatíve týkajúcej sa výrobkov v Slovenskej republike</w:t>
      </w:r>
      <w:r>
        <w:rPr>
          <w:bCs/>
        </w:rPr>
        <w:t>,</w:t>
      </w:r>
      <w:r w:rsidRPr="00437AE1">
        <w:rPr>
          <w:bCs/>
        </w:rPr>
        <w:t xml:space="preserve"> ale od 16. 7. 202</w:t>
      </w:r>
      <w:r>
        <w:rPr>
          <w:bCs/>
        </w:rPr>
        <w:t>1</w:t>
      </w:r>
      <w:r w:rsidRPr="00437AE1">
        <w:rPr>
          <w:bCs/>
        </w:rPr>
        <w:t xml:space="preserve"> aj o</w:t>
      </w:r>
      <w:r w:rsidR="002031CA">
        <w:rPr>
          <w:bCs/>
        </w:rPr>
        <w:t> </w:t>
      </w:r>
      <w:r w:rsidRPr="00437AE1">
        <w:rPr>
          <w:bCs/>
        </w:rPr>
        <w:t>harmonizačných</w:t>
      </w:r>
      <w:r w:rsidR="002031CA">
        <w:rPr>
          <w:bCs/>
        </w:rPr>
        <w:t xml:space="preserve"> </w:t>
      </w:r>
      <w:r w:rsidRPr="00437AE1">
        <w:rPr>
          <w:bCs/>
        </w:rPr>
        <w:t xml:space="preserve">právnych predpisoch Európskej únie týkajúcich </w:t>
      </w:r>
      <w:r w:rsidRPr="00945D41">
        <w:rPr>
          <w:bCs/>
        </w:rPr>
        <w:t>sa výrobkov. Zároveň sa rozširujú povinnosti Kontaktného miesta pre výrobky, ktoré bude povinné zabezpečiť zhromažďovanie štatistických údajov a iných informácii o osobách, ktorým poskytla informácie v zmysle čl. 9 nariadenia (EÚ) 2019/515 o vzájomnom uznávaní tovaru a spätnej väzby od používateľov v spojení s čl. 24</w:t>
      </w:r>
      <w:r w:rsidRPr="00437AE1">
        <w:rPr>
          <w:bCs/>
        </w:rPr>
        <w:t xml:space="preserve"> ods. 1 a 2 nariadenia Európskeho parlamentu a Rady (EÚ) 2018/1724 z 2. októbra 2018 o zriadení jednotnej digitálnej brány na poskytovanie prístupu k informáciám, postupom a asistenčným službám a službám riešenia problémov a</w:t>
      </w:r>
      <w:r w:rsidR="002031CA">
        <w:rPr>
          <w:bCs/>
        </w:rPr>
        <w:t> </w:t>
      </w:r>
      <w:r w:rsidRPr="00437AE1">
        <w:rPr>
          <w:bCs/>
        </w:rPr>
        <w:t>o</w:t>
      </w:r>
      <w:r w:rsidR="002031CA">
        <w:rPr>
          <w:bCs/>
        </w:rPr>
        <w:t> </w:t>
      </w:r>
      <w:r w:rsidRPr="00437AE1">
        <w:rPr>
          <w:bCs/>
        </w:rPr>
        <w:t>zmene</w:t>
      </w:r>
      <w:r w:rsidR="002031CA">
        <w:rPr>
          <w:bCs/>
        </w:rPr>
        <w:t xml:space="preserve"> </w:t>
      </w:r>
      <w:r w:rsidRPr="00437AE1">
        <w:rPr>
          <w:bCs/>
        </w:rPr>
        <w:t xml:space="preserve">nariadenia (EÚ) </w:t>
      </w:r>
      <w:r w:rsidR="002F69ED">
        <w:rPr>
          <w:bCs/>
        </w:rPr>
        <w:t>č. </w:t>
      </w:r>
      <w:r w:rsidRPr="00437AE1">
        <w:rPr>
          <w:bCs/>
        </w:rPr>
        <w:t>1024/2012 (ďalej len „nariadenie (EÚ) 2018/1724“). V neposlednom rade prib</w:t>
      </w:r>
      <w:r>
        <w:rPr>
          <w:bCs/>
        </w:rPr>
        <w:t>udla</w:t>
      </w:r>
      <w:r w:rsidRPr="00437AE1">
        <w:rPr>
          <w:bCs/>
        </w:rPr>
        <w:t xml:space="preserve"> </w:t>
      </w:r>
      <w:r w:rsidRPr="00945D41">
        <w:rPr>
          <w:bCs/>
        </w:rPr>
        <w:t>úradu povinnosť podľa prílohy I časť M body 1 až 4 nariadenia (EÚ) 20118/1724 zabezpečiť prístup najmä hospodárskym subjektom z celej EÚ k informáciám o označení CE, pravidlách a požiadavkách týkajúcich sa výrobkov, technických normách a</w:t>
      </w:r>
      <w:r w:rsidR="002031CA">
        <w:rPr>
          <w:bCs/>
        </w:rPr>
        <w:t> </w:t>
      </w:r>
      <w:r w:rsidRPr="00945D41">
        <w:rPr>
          <w:bCs/>
        </w:rPr>
        <w:t>vzájomnom</w:t>
      </w:r>
      <w:r w:rsidR="002031CA">
        <w:rPr>
          <w:bCs/>
        </w:rPr>
        <w:t xml:space="preserve"> </w:t>
      </w:r>
      <w:r w:rsidRPr="00945D41">
        <w:rPr>
          <w:bCs/>
        </w:rPr>
        <w:t xml:space="preserve">uznávaní výrobkov, v rámci ktorej má úrad zároveň vytvoriť a udržiavať databázu obsahujúcu informácie o pravidlách a požiadavkách platných v SR pre všetky výrobky (harmonizovaná a neharmonizovaná oblasť) na základe uznesenia vlády Slovenskej republiky </w:t>
      </w:r>
      <w:r w:rsidR="002F69ED">
        <w:rPr>
          <w:bCs/>
        </w:rPr>
        <w:t>č. </w:t>
      </w:r>
      <w:r w:rsidRPr="00945D41">
        <w:rPr>
          <w:bCs/>
        </w:rPr>
        <w:t xml:space="preserve">335/2019 z 3. júla 2019 k Implementácii nariadenia EP a Rady </w:t>
      </w:r>
      <w:r w:rsidR="002F69ED">
        <w:rPr>
          <w:bCs/>
        </w:rPr>
        <w:t>č. </w:t>
      </w:r>
      <w:r w:rsidRPr="00945D41">
        <w:rPr>
          <w:bCs/>
        </w:rPr>
        <w:t>2018/1724 o</w:t>
      </w:r>
      <w:r w:rsidR="002031CA">
        <w:rPr>
          <w:bCs/>
        </w:rPr>
        <w:t> </w:t>
      </w:r>
      <w:r w:rsidRPr="00945D41">
        <w:rPr>
          <w:bCs/>
        </w:rPr>
        <w:t>zriadení</w:t>
      </w:r>
      <w:r w:rsidR="002031CA">
        <w:rPr>
          <w:bCs/>
        </w:rPr>
        <w:t xml:space="preserve"> </w:t>
      </w:r>
      <w:r w:rsidRPr="00945D41">
        <w:rPr>
          <w:bCs/>
        </w:rPr>
        <w:t xml:space="preserve">jednotnej digitálnej brány v podmienkach SR (ďalej len „uznesenie vlády </w:t>
      </w:r>
      <w:r w:rsidR="002F69ED">
        <w:rPr>
          <w:bCs/>
        </w:rPr>
        <w:t>č. </w:t>
      </w:r>
      <w:r w:rsidRPr="00945D41">
        <w:rPr>
          <w:bCs/>
        </w:rPr>
        <w:t xml:space="preserve">335/2019“). Táto povinnosť bude jedným z pilierov pre vytvorenie jednotnej digitálnej brány podľa nariadenia (EÚ) 2018/1724, zodpovedným koordinátorom ktorej je Ministerstvo investícií, regionálneho rozvoja a informatizácie Slovenskej republiky (MIRRI SR). Uvedené nové úlohy sú implementované v článku III návrhu zákona, ktorým sa mení a dopĺňa zákon </w:t>
      </w:r>
      <w:r w:rsidR="002F69ED">
        <w:rPr>
          <w:bCs/>
        </w:rPr>
        <w:t>č. </w:t>
      </w:r>
      <w:r w:rsidRPr="00945D41">
        <w:rPr>
          <w:bCs/>
        </w:rPr>
        <w:t xml:space="preserve">55/2018 </w:t>
      </w:r>
      <w:r w:rsidR="002F69ED">
        <w:rPr>
          <w:bCs/>
        </w:rPr>
        <w:t>Z. z.</w:t>
      </w:r>
      <w:r w:rsidRPr="00945D41">
        <w:rPr>
          <w:bCs/>
        </w:rPr>
        <w:t xml:space="preserve"> o poskytovaní informácií o technickom predpise a o prekážkach voľného pohybu tovaru.</w:t>
      </w:r>
    </w:p>
    <w:p w14:paraId="4937DCEE" w14:textId="77777777" w:rsidR="00D22CF6" w:rsidRDefault="00D22CF6" w:rsidP="00D22CF6">
      <w:pPr>
        <w:rPr>
          <w:b/>
          <w:bCs/>
        </w:rPr>
      </w:pPr>
      <w:r>
        <w:rPr>
          <w:b/>
          <w:bCs/>
        </w:rPr>
        <w:br w:type="page"/>
      </w:r>
    </w:p>
    <w:p w14:paraId="7F2380C8" w14:textId="77777777" w:rsidR="00D22CF6" w:rsidRPr="007D5748" w:rsidRDefault="00D22CF6" w:rsidP="00D22CF6">
      <w:pPr>
        <w:rPr>
          <w:b/>
          <w:bCs/>
        </w:rPr>
      </w:pPr>
      <w:r w:rsidRPr="007D5748">
        <w:rPr>
          <w:b/>
          <w:bCs/>
        </w:rPr>
        <w:lastRenderedPageBreak/>
        <w:t>2.2. Popis a charakteristika návrhu</w:t>
      </w:r>
    </w:p>
    <w:p w14:paraId="10106F32" w14:textId="77777777" w:rsidR="00D22CF6" w:rsidRPr="007D5748" w:rsidRDefault="00D22CF6" w:rsidP="00D22CF6"/>
    <w:p w14:paraId="6186926D" w14:textId="77777777" w:rsidR="00D22CF6" w:rsidRPr="007D5748" w:rsidRDefault="00D22CF6" w:rsidP="00D22CF6">
      <w:pPr>
        <w:jc w:val="both"/>
        <w:rPr>
          <w:b/>
          <w:bCs/>
        </w:rPr>
      </w:pPr>
      <w:r w:rsidRPr="007D5748">
        <w:rPr>
          <w:b/>
          <w:bCs/>
        </w:rPr>
        <w:t>2.2.1. Popis návrhu:</w:t>
      </w:r>
    </w:p>
    <w:p w14:paraId="02AC4175" w14:textId="77777777" w:rsidR="00D22CF6" w:rsidRPr="007D5748" w:rsidRDefault="00D22CF6" w:rsidP="00D22CF6">
      <w:pPr>
        <w:jc w:val="both"/>
        <w:rPr>
          <w:b/>
          <w:bCs/>
        </w:rPr>
      </w:pPr>
    </w:p>
    <w:p w14:paraId="2557E186" w14:textId="77777777" w:rsidR="00D22CF6" w:rsidRDefault="00D22CF6" w:rsidP="00D22CF6">
      <w:pPr>
        <w:spacing w:before="120"/>
        <w:jc w:val="both"/>
      </w:pPr>
      <w:r>
        <w:t>Predmetom úpravy sú výdavky rozpočtu verejnej správy z dôvodu i</w:t>
      </w:r>
      <w:r w:rsidRPr="00AD03B1">
        <w:t>mplementácie</w:t>
      </w:r>
    </w:p>
    <w:p w14:paraId="3773981E" w14:textId="474B11D4" w:rsidR="00D22CF6" w:rsidRDefault="00D22CF6" w:rsidP="00D22CF6">
      <w:pPr>
        <w:pStyle w:val="Odsekzoznamu"/>
        <w:numPr>
          <w:ilvl w:val="0"/>
          <w:numId w:val="2"/>
        </w:numPr>
        <w:spacing w:before="120" w:after="0" w:line="240" w:lineRule="auto"/>
        <w:jc w:val="both"/>
        <w:rPr>
          <w:rFonts w:ascii="Times New Roman" w:eastAsia="Times New Roman" w:hAnsi="Times New Roman"/>
          <w:bCs/>
          <w:sz w:val="24"/>
          <w:szCs w:val="24"/>
          <w:lang w:eastAsia="sk-SK"/>
        </w:rPr>
      </w:pPr>
      <w:r>
        <w:rPr>
          <w:rFonts w:ascii="Times New Roman" w:eastAsia="Times New Roman" w:hAnsi="Times New Roman"/>
          <w:sz w:val="24"/>
          <w:szCs w:val="24"/>
          <w:lang w:eastAsia="sk-SK"/>
        </w:rPr>
        <w:t xml:space="preserve">nariadenia </w:t>
      </w:r>
      <w:r w:rsidRPr="00AD03B1">
        <w:rPr>
          <w:rFonts w:ascii="Times New Roman" w:eastAsia="Times New Roman" w:hAnsi="Times New Roman"/>
          <w:sz w:val="24"/>
          <w:szCs w:val="24"/>
          <w:lang w:eastAsia="sk-SK"/>
        </w:rPr>
        <w:t>(EÚ) 2019/1009</w:t>
      </w:r>
      <w:r>
        <w:rPr>
          <w:rFonts w:ascii="Times New Roman" w:eastAsia="Times New Roman" w:hAnsi="Times New Roman"/>
          <w:sz w:val="24"/>
          <w:szCs w:val="24"/>
          <w:lang w:eastAsia="sk-SK"/>
        </w:rPr>
        <w:t xml:space="preserve"> a nariadenia </w:t>
      </w:r>
      <w:r>
        <w:rPr>
          <w:rFonts w:ascii="Times New Roman" w:eastAsia="Times New Roman" w:hAnsi="Times New Roman"/>
          <w:bCs/>
          <w:sz w:val="24"/>
          <w:szCs w:val="24"/>
          <w:lang w:eastAsia="sk-SK"/>
        </w:rPr>
        <w:t xml:space="preserve">(EÚ) 2019/945, ktorá je zabezpečená návrhom zákona v </w:t>
      </w:r>
      <w:r w:rsidR="002F69ED">
        <w:rPr>
          <w:rFonts w:ascii="Times New Roman" w:eastAsia="Times New Roman" w:hAnsi="Times New Roman"/>
          <w:bCs/>
          <w:sz w:val="24"/>
          <w:szCs w:val="24"/>
          <w:lang w:eastAsia="sk-SK"/>
        </w:rPr>
        <w:t>§ </w:t>
      </w:r>
      <w:r>
        <w:rPr>
          <w:rFonts w:ascii="Times New Roman" w:eastAsia="Times New Roman" w:hAnsi="Times New Roman"/>
          <w:bCs/>
          <w:sz w:val="24"/>
          <w:szCs w:val="24"/>
          <w:lang w:eastAsia="sk-SK"/>
        </w:rPr>
        <w:t>3 ods. 2 (poznámka pod čiarou k odkazu 15), kde úradu pribúda rozsah právomoci v pozícii notifikujúceho orgánu pre dva nové právne predpisy – hnojivá a </w:t>
      </w:r>
      <w:proofErr w:type="spellStart"/>
      <w:r>
        <w:rPr>
          <w:rFonts w:ascii="Times New Roman" w:eastAsia="Times New Roman" w:hAnsi="Times New Roman"/>
          <w:bCs/>
          <w:sz w:val="24"/>
          <w:szCs w:val="24"/>
          <w:lang w:eastAsia="sk-SK"/>
        </w:rPr>
        <w:t>drony</w:t>
      </w:r>
      <w:proofErr w:type="spellEnd"/>
      <w:r>
        <w:rPr>
          <w:rFonts w:ascii="Times New Roman" w:eastAsia="Times New Roman" w:hAnsi="Times New Roman"/>
          <w:bCs/>
          <w:sz w:val="24"/>
          <w:szCs w:val="24"/>
          <w:lang w:eastAsia="sk-SK"/>
        </w:rPr>
        <w:t xml:space="preserve">, v rámci ktorých je povinný vykonávať kontrolu autorizovaných a notifikovaných osôb, ktoré by mali v Slovenskej republike záujem vykonávať podnikateľskú činnosť notifikovaných osôb zodpovedných za posudzovanie zhody predmetných výrobkov na základe rozhodnutia úradu o autorizácii a následnej notifikácii Komisii a členským štátom, ak úradu preukážu splnenie autorizačných a notifikačných požiadaviek podľa zákona </w:t>
      </w:r>
      <w:r w:rsidR="002F69ED">
        <w:rPr>
          <w:rFonts w:ascii="Times New Roman" w:eastAsia="Times New Roman" w:hAnsi="Times New Roman"/>
          <w:bCs/>
          <w:sz w:val="24"/>
          <w:szCs w:val="24"/>
          <w:lang w:eastAsia="sk-SK"/>
        </w:rPr>
        <w:t>č. </w:t>
      </w:r>
      <w:r>
        <w:rPr>
          <w:rFonts w:ascii="Times New Roman" w:eastAsia="Times New Roman" w:hAnsi="Times New Roman"/>
          <w:bCs/>
          <w:sz w:val="24"/>
          <w:szCs w:val="24"/>
          <w:lang w:eastAsia="sk-SK"/>
        </w:rPr>
        <w:t xml:space="preserve">56/2018 </w:t>
      </w:r>
      <w:r w:rsidR="002F69ED">
        <w:rPr>
          <w:rFonts w:ascii="Times New Roman" w:eastAsia="Times New Roman" w:hAnsi="Times New Roman"/>
          <w:bCs/>
          <w:sz w:val="24"/>
          <w:szCs w:val="24"/>
          <w:lang w:eastAsia="sk-SK"/>
        </w:rPr>
        <w:t>Z. z.</w:t>
      </w:r>
      <w:r>
        <w:rPr>
          <w:rFonts w:ascii="Times New Roman" w:eastAsia="Times New Roman" w:hAnsi="Times New Roman"/>
          <w:bCs/>
          <w:sz w:val="24"/>
          <w:szCs w:val="24"/>
          <w:lang w:eastAsia="sk-SK"/>
        </w:rPr>
        <w:t xml:space="preserve"> v spojení s n</w:t>
      </w:r>
      <w:r w:rsidRPr="007E4D03">
        <w:rPr>
          <w:rFonts w:ascii="Times New Roman" w:eastAsia="Times New Roman" w:hAnsi="Times New Roman"/>
          <w:bCs/>
          <w:sz w:val="24"/>
          <w:szCs w:val="24"/>
          <w:lang w:eastAsia="sk-SK"/>
        </w:rPr>
        <w:t>ariaden</w:t>
      </w:r>
      <w:r>
        <w:rPr>
          <w:rFonts w:ascii="Times New Roman" w:eastAsia="Times New Roman" w:hAnsi="Times New Roman"/>
          <w:bCs/>
          <w:sz w:val="24"/>
          <w:szCs w:val="24"/>
          <w:lang w:eastAsia="sk-SK"/>
        </w:rPr>
        <w:t>ím (EÚ) 2019/1009 a nariadením</w:t>
      </w:r>
      <w:r w:rsidRPr="007E4D03">
        <w:rPr>
          <w:rFonts w:ascii="Times New Roman" w:eastAsia="Times New Roman" w:hAnsi="Times New Roman"/>
          <w:bCs/>
          <w:sz w:val="24"/>
          <w:szCs w:val="24"/>
          <w:lang w:eastAsia="sk-SK"/>
        </w:rPr>
        <w:t xml:space="preserve"> (EÚ) 2019/945</w:t>
      </w:r>
      <w:r>
        <w:rPr>
          <w:rFonts w:ascii="Times New Roman" w:eastAsia="Times New Roman" w:hAnsi="Times New Roman"/>
          <w:bCs/>
          <w:sz w:val="24"/>
          <w:szCs w:val="24"/>
          <w:lang w:eastAsia="sk-SK"/>
        </w:rPr>
        <w:t xml:space="preserve">. </w:t>
      </w:r>
    </w:p>
    <w:p w14:paraId="689F777C" w14:textId="3D8E8C21" w:rsidR="00D22CF6" w:rsidRDefault="00D22CF6" w:rsidP="00D22CF6">
      <w:pPr>
        <w:pStyle w:val="Odsekzoznamu"/>
        <w:spacing w:before="120" w:after="0" w:line="240" w:lineRule="auto"/>
        <w:jc w:val="both"/>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U</w:t>
      </w:r>
      <w:r w:rsidRPr="007E4D03">
        <w:rPr>
          <w:rFonts w:ascii="Times New Roman" w:eastAsia="Times New Roman" w:hAnsi="Times New Roman"/>
          <w:bCs/>
          <w:sz w:val="24"/>
          <w:szCs w:val="24"/>
          <w:lang w:eastAsia="sk-SK"/>
        </w:rPr>
        <w:t xml:space="preserve">vedené nariadenia </w:t>
      </w:r>
      <w:r>
        <w:rPr>
          <w:rFonts w:ascii="Times New Roman" w:eastAsia="Times New Roman" w:hAnsi="Times New Roman"/>
          <w:bCs/>
          <w:sz w:val="24"/>
          <w:szCs w:val="24"/>
          <w:lang w:eastAsia="sk-SK"/>
        </w:rPr>
        <w:t xml:space="preserve">zároveň </w:t>
      </w:r>
      <w:r w:rsidRPr="007E4D03">
        <w:rPr>
          <w:rFonts w:ascii="Times New Roman" w:eastAsia="Times New Roman" w:hAnsi="Times New Roman"/>
          <w:bCs/>
          <w:sz w:val="24"/>
          <w:szCs w:val="24"/>
          <w:lang w:eastAsia="sk-SK"/>
        </w:rPr>
        <w:t>rozšírili rozsah ur</w:t>
      </w:r>
      <w:r>
        <w:rPr>
          <w:rFonts w:ascii="Times New Roman" w:eastAsia="Times New Roman" w:hAnsi="Times New Roman"/>
          <w:bCs/>
          <w:sz w:val="24"/>
          <w:szCs w:val="24"/>
          <w:lang w:eastAsia="sk-SK"/>
        </w:rPr>
        <w:t xml:space="preserve">čených výrobkov podľa zákona </w:t>
      </w:r>
      <w:r w:rsidR="002F69ED">
        <w:rPr>
          <w:rFonts w:ascii="Times New Roman" w:eastAsia="Times New Roman" w:hAnsi="Times New Roman"/>
          <w:bCs/>
          <w:sz w:val="24"/>
          <w:szCs w:val="24"/>
          <w:lang w:eastAsia="sk-SK"/>
        </w:rPr>
        <w:t>č. </w:t>
      </w:r>
      <w:r w:rsidRPr="007E4D03">
        <w:rPr>
          <w:rFonts w:ascii="Times New Roman" w:eastAsia="Times New Roman" w:hAnsi="Times New Roman"/>
          <w:bCs/>
          <w:sz w:val="24"/>
          <w:szCs w:val="24"/>
          <w:lang w:eastAsia="sk-SK"/>
        </w:rPr>
        <w:t xml:space="preserve">56/2018 </w:t>
      </w:r>
      <w:r w:rsidR="002F69ED">
        <w:rPr>
          <w:rFonts w:ascii="Times New Roman" w:eastAsia="Times New Roman" w:hAnsi="Times New Roman"/>
          <w:bCs/>
          <w:sz w:val="24"/>
          <w:szCs w:val="24"/>
          <w:lang w:eastAsia="sk-SK"/>
        </w:rPr>
        <w:t>Z. z.</w:t>
      </w:r>
      <w:r w:rsidRPr="007E4D03">
        <w:rPr>
          <w:rFonts w:ascii="Times New Roman" w:eastAsia="Times New Roman" w:hAnsi="Times New Roman"/>
          <w:bCs/>
          <w:sz w:val="24"/>
          <w:szCs w:val="24"/>
          <w:lang w:eastAsia="sk-SK"/>
        </w:rPr>
        <w:t xml:space="preserve"> o ďalšie dve výrobkové skupiny, v rámci ktorých sa využíva aj činnosť notifikovaných osôb</w:t>
      </w:r>
      <w:r>
        <w:rPr>
          <w:rFonts w:ascii="Times New Roman" w:eastAsia="Times New Roman" w:hAnsi="Times New Roman"/>
          <w:bCs/>
          <w:sz w:val="24"/>
          <w:szCs w:val="24"/>
          <w:lang w:eastAsia="sk-SK"/>
        </w:rPr>
        <w:t>. Z toho dôvodu ÚNMS SR</w:t>
      </w:r>
      <w:r w:rsidRPr="007E4D03">
        <w:rPr>
          <w:rFonts w:ascii="Times New Roman" w:eastAsia="Times New Roman" w:hAnsi="Times New Roman"/>
          <w:bCs/>
          <w:sz w:val="24"/>
          <w:szCs w:val="24"/>
          <w:lang w:eastAsia="sk-SK"/>
        </w:rPr>
        <w:t xml:space="preserve"> potrebuje zamestnancov, ktorí poznajú alebo </w:t>
      </w:r>
      <w:r>
        <w:rPr>
          <w:rFonts w:ascii="Times New Roman" w:eastAsia="Times New Roman" w:hAnsi="Times New Roman"/>
          <w:bCs/>
          <w:sz w:val="24"/>
          <w:szCs w:val="24"/>
          <w:lang w:eastAsia="sk-SK"/>
        </w:rPr>
        <w:t>budú vyškolení na účely</w:t>
      </w:r>
      <w:r w:rsidRPr="007E4D03">
        <w:rPr>
          <w:rFonts w:ascii="Times New Roman" w:eastAsia="Times New Roman" w:hAnsi="Times New Roman"/>
          <w:bCs/>
          <w:sz w:val="24"/>
          <w:szCs w:val="24"/>
          <w:lang w:eastAsia="sk-SK"/>
        </w:rPr>
        <w:t xml:space="preserve"> uveden</w:t>
      </w:r>
      <w:r>
        <w:rPr>
          <w:rFonts w:ascii="Times New Roman" w:eastAsia="Times New Roman" w:hAnsi="Times New Roman"/>
          <w:bCs/>
          <w:sz w:val="24"/>
          <w:szCs w:val="24"/>
          <w:lang w:eastAsia="sk-SK"/>
        </w:rPr>
        <w:t>ej problematiky</w:t>
      </w:r>
      <w:r w:rsidRPr="007E4D03">
        <w:rPr>
          <w:rFonts w:ascii="Times New Roman" w:eastAsia="Times New Roman" w:hAnsi="Times New Roman"/>
          <w:bCs/>
          <w:sz w:val="24"/>
          <w:szCs w:val="24"/>
          <w:lang w:eastAsia="sk-SK"/>
        </w:rPr>
        <w:t>, aby mohli na expertnej úrovni vykonávať kontroly žiadateľov o autorizáciu a notifikovaných osôb.</w:t>
      </w:r>
      <w:r w:rsidRPr="007E4D03">
        <w:t xml:space="preserve"> </w:t>
      </w:r>
      <w:r w:rsidRPr="007E4D03">
        <w:rPr>
          <w:rFonts w:ascii="Times New Roman" w:eastAsia="Times New Roman" w:hAnsi="Times New Roman"/>
          <w:bCs/>
          <w:sz w:val="24"/>
          <w:szCs w:val="24"/>
          <w:lang w:eastAsia="sk-SK"/>
        </w:rPr>
        <w:t>Kontrola sa vykonáva dvoma spôsobmi: kontrola na základe poverenia predsedu ÚNMS SR (ÚNMS SR samostatne) alebo, ak ide o akreditované skúšobne, kontrola vykonávaná v</w:t>
      </w:r>
      <w:r w:rsidR="002031CA">
        <w:rPr>
          <w:rFonts w:ascii="Times New Roman" w:eastAsia="Times New Roman" w:hAnsi="Times New Roman"/>
          <w:bCs/>
          <w:sz w:val="24"/>
          <w:szCs w:val="24"/>
          <w:lang w:eastAsia="sk-SK"/>
        </w:rPr>
        <w:t> </w:t>
      </w:r>
      <w:r w:rsidRPr="007E4D03">
        <w:rPr>
          <w:rFonts w:ascii="Times New Roman" w:eastAsia="Times New Roman" w:hAnsi="Times New Roman"/>
          <w:bCs/>
          <w:sz w:val="24"/>
          <w:szCs w:val="24"/>
          <w:lang w:eastAsia="sk-SK"/>
        </w:rPr>
        <w:t>spolupráci</w:t>
      </w:r>
      <w:r w:rsidR="002031CA">
        <w:rPr>
          <w:rFonts w:ascii="Times New Roman" w:eastAsia="Times New Roman" w:hAnsi="Times New Roman"/>
          <w:bCs/>
          <w:sz w:val="24"/>
          <w:szCs w:val="24"/>
          <w:lang w:eastAsia="sk-SK"/>
        </w:rPr>
        <w:t xml:space="preserve"> </w:t>
      </w:r>
      <w:r w:rsidRPr="007E4D03">
        <w:rPr>
          <w:rFonts w:ascii="Times New Roman" w:eastAsia="Times New Roman" w:hAnsi="Times New Roman"/>
          <w:bCs/>
          <w:sz w:val="24"/>
          <w:szCs w:val="24"/>
          <w:lang w:eastAsia="sk-SK"/>
        </w:rPr>
        <w:t>so SNAS</w:t>
      </w:r>
      <w:r>
        <w:rPr>
          <w:rFonts w:ascii="Times New Roman" w:eastAsia="Times New Roman" w:hAnsi="Times New Roman"/>
          <w:bCs/>
          <w:sz w:val="24"/>
          <w:szCs w:val="24"/>
          <w:lang w:eastAsia="sk-SK"/>
        </w:rPr>
        <w:t xml:space="preserve">. </w:t>
      </w:r>
    </w:p>
    <w:p w14:paraId="48B7BFEA" w14:textId="03703644" w:rsidR="00D22CF6" w:rsidRDefault="00D22CF6" w:rsidP="00D22CF6">
      <w:pPr>
        <w:pStyle w:val="Odsekzoznamu"/>
        <w:numPr>
          <w:ilvl w:val="0"/>
          <w:numId w:val="2"/>
        </w:numPr>
        <w:spacing w:before="120"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n</w:t>
      </w:r>
      <w:r w:rsidRPr="00AD03B1">
        <w:rPr>
          <w:rFonts w:ascii="Times New Roman" w:eastAsia="Times New Roman" w:hAnsi="Times New Roman"/>
          <w:sz w:val="24"/>
          <w:szCs w:val="24"/>
          <w:lang w:eastAsia="sk-SK"/>
        </w:rPr>
        <w:t xml:space="preserve">ariadenia (EÚ) 2019/1020, ktorým sa po nadobudnutí účinnosti návrhu zákona zabezpečí riadne plnenie nových povinnosti Kontaktného miesta </w:t>
      </w:r>
      <w:r>
        <w:rPr>
          <w:rFonts w:ascii="Times New Roman" w:eastAsia="Times New Roman" w:hAnsi="Times New Roman"/>
          <w:sz w:val="24"/>
          <w:szCs w:val="24"/>
          <w:lang w:eastAsia="sk-SK"/>
        </w:rPr>
        <w:t>pre</w:t>
      </w:r>
      <w:r w:rsidRPr="00AD03B1">
        <w:rPr>
          <w:rFonts w:ascii="Times New Roman" w:eastAsia="Times New Roman" w:hAnsi="Times New Roman"/>
          <w:sz w:val="24"/>
          <w:szCs w:val="24"/>
          <w:lang w:eastAsia="sk-SK"/>
        </w:rPr>
        <w:t xml:space="preserve"> výrobky</w:t>
      </w:r>
      <w:r>
        <w:rPr>
          <w:rFonts w:ascii="Times New Roman" w:eastAsia="Times New Roman" w:hAnsi="Times New Roman"/>
          <w:sz w:val="24"/>
          <w:szCs w:val="24"/>
          <w:lang w:eastAsia="sk-SK"/>
        </w:rPr>
        <w:t>, ktorým bude</w:t>
      </w:r>
      <w:r w:rsidRPr="00AD03B1">
        <w:rPr>
          <w:rFonts w:ascii="Times New Roman" w:eastAsia="Times New Roman" w:hAnsi="Times New Roman"/>
          <w:sz w:val="24"/>
          <w:szCs w:val="24"/>
          <w:lang w:eastAsia="sk-SK"/>
        </w:rPr>
        <w:t xml:space="preserve"> poskytov</w:t>
      </w:r>
      <w:r>
        <w:rPr>
          <w:rFonts w:ascii="Times New Roman" w:eastAsia="Times New Roman" w:hAnsi="Times New Roman"/>
          <w:sz w:val="24"/>
          <w:szCs w:val="24"/>
          <w:lang w:eastAsia="sk-SK"/>
        </w:rPr>
        <w:t>anie</w:t>
      </w:r>
      <w:r w:rsidRPr="00AD03B1">
        <w:rPr>
          <w:rFonts w:ascii="Times New Roman" w:eastAsia="Times New Roman" w:hAnsi="Times New Roman"/>
          <w:sz w:val="24"/>
          <w:szCs w:val="24"/>
          <w:lang w:eastAsia="sk-SK"/>
        </w:rPr>
        <w:t xml:space="preserve"> informáci</w:t>
      </w:r>
      <w:r>
        <w:rPr>
          <w:rFonts w:ascii="Times New Roman" w:eastAsia="Times New Roman" w:hAnsi="Times New Roman"/>
          <w:sz w:val="24"/>
          <w:szCs w:val="24"/>
          <w:lang w:eastAsia="sk-SK"/>
        </w:rPr>
        <w:t>i</w:t>
      </w:r>
      <w:r w:rsidRPr="00AD03B1">
        <w:rPr>
          <w:rFonts w:ascii="Times New Roman" w:eastAsia="Times New Roman" w:hAnsi="Times New Roman"/>
          <w:sz w:val="24"/>
          <w:szCs w:val="24"/>
          <w:lang w:eastAsia="sk-SK"/>
        </w:rPr>
        <w:t xml:space="preserve"> hospodárskym subjektom nielen o neharmonizovanej legislatíve týkajúcej sa výrobkov v Slovenskej republik</w:t>
      </w:r>
      <w:r>
        <w:rPr>
          <w:rFonts w:ascii="Times New Roman" w:eastAsia="Times New Roman" w:hAnsi="Times New Roman"/>
          <w:sz w:val="24"/>
          <w:szCs w:val="24"/>
          <w:lang w:eastAsia="sk-SK"/>
        </w:rPr>
        <w:t>e ale od 16. 7. 2021</w:t>
      </w:r>
      <w:r w:rsidRPr="00AD03B1">
        <w:rPr>
          <w:rFonts w:ascii="Times New Roman" w:eastAsia="Times New Roman" w:hAnsi="Times New Roman"/>
          <w:sz w:val="24"/>
          <w:szCs w:val="24"/>
          <w:lang w:eastAsia="sk-SK"/>
        </w:rPr>
        <w:t xml:space="preserve"> aj o</w:t>
      </w:r>
      <w:r w:rsidR="002031CA">
        <w:rPr>
          <w:rFonts w:ascii="Times New Roman" w:eastAsia="Times New Roman" w:hAnsi="Times New Roman"/>
          <w:sz w:val="24"/>
          <w:szCs w:val="24"/>
          <w:lang w:eastAsia="sk-SK"/>
        </w:rPr>
        <w:t> </w:t>
      </w:r>
      <w:r w:rsidRPr="00AD03B1">
        <w:rPr>
          <w:rFonts w:ascii="Times New Roman" w:eastAsia="Times New Roman" w:hAnsi="Times New Roman"/>
          <w:sz w:val="24"/>
          <w:szCs w:val="24"/>
          <w:lang w:eastAsia="sk-SK"/>
        </w:rPr>
        <w:t>harmonizačných</w:t>
      </w:r>
      <w:r w:rsidR="002031CA">
        <w:rPr>
          <w:rFonts w:ascii="Times New Roman" w:eastAsia="Times New Roman" w:hAnsi="Times New Roman"/>
          <w:sz w:val="24"/>
          <w:szCs w:val="24"/>
          <w:lang w:eastAsia="sk-SK"/>
        </w:rPr>
        <w:t xml:space="preserve"> </w:t>
      </w:r>
      <w:r w:rsidRPr="00AD03B1">
        <w:rPr>
          <w:rFonts w:ascii="Times New Roman" w:eastAsia="Times New Roman" w:hAnsi="Times New Roman"/>
          <w:sz w:val="24"/>
          <w:szCs w:val="24"/>
          <w:lang w:eastAsia="sk-SK"/>
        </w:rPr>
        <w:t>právnych predpisoch Európskej únie týkajúcich sa výrobkov. Uvedené nové úlohy sú implementované v článku III návrhu zákona, ktorým sa mení a</w:t>
      </w:r>
      <w:r w:rsidR="002031CA">
        <w:rPr>
          <w:rFonts w:ascii="Times New Roman" w:eastAsia="Times New Roman" w:hAnsi="Times New Roman"/>
          <w:sz w:val="24"/>
          <w:szCs w:val="24"/>
          <w:lang w:eastAsia="sk-SK"/>
        </w:rPr>
        <w:t> </w:t>
      </w:r>
      <w:r w:rsidRPr="00AD03B1">
        <w:rPr>
          <w:rFonts w:ascii="Times New Roman" w:eastAsia="Times New Roman" w:hAnsi="Times New Roman"/>
          <w:sz w:val="24"/>
          <w:szCs w:val="24"/>
          <w:lang w:eastAsia="sk-SK"/>
        </w:rPr>
        <w:t>dopĺňa</w:t>
      </w:r>
      <w:r w:rsidR="002031CA">
        <w:rPr>
          <w:rFonts w:ascii="Times New Roman" w:eastAsia="Times New Roman" w:hAnsi="Times New Roman"/>
          <w:sz w:val="24"/>
          <w:szCs w:val="24"/>
          <w:lang w:eastAsia="sk-SK"/>
        </w:rPr>
        <w:t xml:space="preserve"> </w:t>
      </w:r>
      <w:r w:rsidRPr="00AD03B1">
        <w:rPr>
          <w:rFonts w:ascii="Times New Roman" w:eastAsia="Times New Roman" w:hAnsi="Times New Roman"/>
          <w:sz w:val="24"/>
          <w:szCs w:val="24"/>
          <w:lang w:eastAsia="sk-SK"/>
        </w:rPr>
        <w:t xml:space="preserve">zákon </w:t>
      </w:r>
      <w:r w:rsidR="002F69ED">
        <w:rPr>
          <w:rFonts w:ascii="Times New Roman" w:eastAsia="Times New Roman" w:hAnsi="Times New Roman"/>
          <w:sz w:val="24"/>
          <w:szCs w:val="24"/>
          <w:lang w:eastAsia="sk-SK"/>
        </w:rPr>
        <w:t>č. </w:t>
      </w:r>
      <w:r w:rsidRPr="00AD03B1">
        <w:rPr>
          <w:rFonts w:ascii="Times New Roman" w:eastAsia="Times New Roman" w:hAnsi="Times New Roman"/>
          <w:sz w:val="24"/>
          <w:szCs w:val="24"/>
          <w:lang w:eastAsia="sk-SK"/>
        </w:rPr>
        <w:t xml:space="preserve">55/2018 </w:t>
      </w:r>
      <w:r w:rsidR="002F69ED">
        <w:rPr>
          <w:rFonts w:ascii="Times New Roman" w:eastAsia="Times New Roman" w:hAnsi="Times New Roman"/>
          <w:sz w:val="24"/>
          <w:szCs w:val="24"/>
          <w:lang w:eastAsia="sk-SK"/>
        </w:rPr>
        <w:t>Z. z.</w:t>
      </w:r>
      <w:r w:rsidRPr="00AD03B1">
        <w:rPr>
          <w:rFonts w:ascii="Times New Roman" w:eastAsia="Times New Roman" w:hAnsi="Times New Roman"/>
          <w:sz w:val="24"/>
          <w:szCs w:val="24"/>
          <w:lang w:eastAsia="sk-SK"/>
        </w:rPr>
        <w:t xml:space="preserve"> o poskytovaní informácií o technickom predpise a</w:t>
      </w:r>
      <w:r w:rsidR="002031CA">
        <w:rPr>
          <w:rFonts w:ascii="Times New Roman" w:eastAsia="Times New Roman" w:hAnsi="Times New Roman"/>
          <w:sz w:val="24"/>
          <w:szCs w:val="24"/>
          <w:lang w:eastAsia="sk-SK"/>
        </w:rPr>
        <w:t> </w:t>
      </w:r>
      <w:r w:rsidRPr="00AD03B1">
        <w:rPr>
          <w:rFonts w:ascii="Times New Roman" w:eastAsia="Times New Roman" w:hAnsi="Times New Roman"/>
          <w:sz w:val="24"/>
          <w:szCs w:val="24"/>
          <w:lang w:eastAsia="sk-SK"/>
        </w:rPr>
        <w:t>o</w:t>
      </w:r>
      <w:r w:rsidR="002031CA">
        <w:rPr>
          <w:rFonts w:ascii="Times New Roman" w:eastAsia="Times New Roman" w:hAnsi="Times New Roman"/>
          <w:sz w:val="24"/>
          <w:szCs w:val="24"/>
          <w:lang w:eastAsia="sk-SK"/>
        </w:rPr>
        <w:t> </w:t>
      </w:r>
      <w:r w:rsidRPr="00AD03B1">
        <w:rPr>
          <w:rFonts w:ascii="Times New Roman" w:eastAsia="Times New Roman" w:hAnsi="Times New Roman"/>
          <w:sz w:val="24"/>
          <w:szCs w:val="24"/>
          <w:lang w:eastAsia="sk-SK"/>
        </w:rPr>
        <w:t>prekážkach</w:t>
      </w:r>
      <w:r w:rsidR="002031CA">
        <w:rPr>
          <w:rFonts w:ascii="Times New Roman" w:eastAsia="Times New Roman" w:hAnsi="Times New Roman"/>
          <w:sz w:val="24"/>
          <w:szCs w:val="24"/>
          <w:lang w:eastAsia="sk-SK"/>
        </w:rPr>
        <w:t xml:space="preserve"> </w:t>
      </w:r>
      <w:r w:rsidRPr="00AD03B1">
        <w:rPr>
          <w:rFonts w:ascii="Times New Roman" w:eastAsia="Times New Roman" w:hAnsi="Times New Roman"/>
          <w:sz w:val="24"/>
          <w:szCs w:val="24"/>
          <w:lang w:eastAsia="sk-SK"/>
        </w:rPr>
        <w:t>voľného pohybu tovaru.</w:t>
      </w:r>
    </w:p>
    <w:p w14:paraId="4C4A551D" w14:textId="1B5D82D0" w:rsidR="00D22CF6" w:rsidRPr="007E4D03" w:rsidRDefault="00D22CF6" w:rsidP="00D22CF6">
      <w:pPr>
        <w:pStyle w:val="Odsekzoznamu"/>
        <w:numPr>
          <w:ilvl w:val="0"/>
          <w:numId w:val="2"/>
        </w:numPr>
        <w:spacing w:before="120"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nariadenia (EÚ) 2018/1724, </w:t>
      </w:r>
      <w:r w:rsidRPr="00C042A6">
        <w:rPr>
          <w:rFonts w:ascii="Times New Roman" w:eastAsia="Times New Roman" w:hAnsi="Times New Roman"/>
          <w:sz w:val="24"/>
          <w:szCs w:val="24"/>
          <w:lang w:eastAsia="sk-SK"/>
        </w:rPr>
        <w:t>v súlade s ktorým</w:t>
      </w:r>
      <w:r>
        <w:rPr>
          <w:rFonts w:ascii="Times New Roman" w:eastAsia="Times New Roman" w:hAnsi="Times New Roman"/>
          <w:sz w:val="24"/>
          <w:szCs w:val="24"/>
          <w:lang w:eastAsia="sk-SK"/>
        </w:rPr>
        <w:t xml:space="preserve"> </w:t>
      </w:r>
      <w:r w:rsidRPr="00AD03B1">
        <w:rPr>
          <w:rFonts w:ascii="Times New Roman" w:eastAsia="Times New Roman" w:hAnsi="Times New Roman"/>
          <w:sz w:val="24"/>
          <w:szCs w:val="24"/>
          <w:lang w:eastAsia="sk-SK"/>
        </w:rPr>
        <w:t xml:space="preserve">majú </w:t>
      </w:r>
      <w:r>
        <w:rPr>
          <w:rFonts w:ascii="Times New Roman" w:eastAsia="Times New Roman" w:hAnsi="Times New Roman"/>
          <w:sz w:val="24"/>
          <w:szCs w:val="24"/>
          <w:lang w:eastAsia="sk-SK"/>
        </w:rPr>
        <w:t>č</w:t>
      </w:r>
      <w:r w:rsidRPr="00AD03B1">
        <w:rPr>
          <w:rFonts w:ascii="Times New Roman" w:eastAsia="Times New Roman" w:hAnsi="Times New Roman"/>
          <w:sz w:val="24"/>
          <w:szCs w:val="24"/>
          <w:lang w:eastAsia="sk-SK"/>
        </w:rPr>
        <w:t xml:space="preserve">lenské štáty povinnosť zaviesť postupy na bezplatné poskytovanie informácií </w:t>
      </w:r>
      <w:r>
        <w:rPr>
          <w:rFonts w:ascii="Times New Roman" w:eastAsia="Times New Roman" w:hAnsi="Times New Roman"/>
          <w:sz w:val="24"/>
          <w:szCs w:val="24"/>
          <w:lang w:eastAsia="sk-SK"/>
        </w:rPr>
        <w:t xml:space="preserve">podľa nariadenia (EÚ) 2019/515 </w:t>
      </w:r>
      <w:r w:rsidRPr="00AD03B1">
        <w:rPr>
          <w:rFonts w:ascii="Times New Roman" w:eastAsia="Times New Roman" w:hAnsi="Times New Roman"/>
          <w:sz w:val="24"/>
          <w:szCs w:val="24"/>
          <w:lang w:eastAsia="sk-SK"/>
        </w:rPr>
        <w:t>hospodárskym subjektom na základe ich žiadosti, ktorými sú malé a stredné podniky, a</w:t>
      </w:r>
      <w:r w:rsidR="002031CA">
        <w:rPr>
          <w:rFonts w:ascii="Times New Roman" w:eastAsia="Times New Roman" w:hAnsi="Times New Roman"/>
          <w:sz w:val="24"/>
          <w:szCs w:val="24"/>
          <w:lang w:eastAsia="sk-SK"/>
        </w:rPr>
        <w:t> </w:t>
      </w:r>
      <w:r w:rsidRPr="00AD03B1">
        <w:rPr>
          <w:rFonts w:ascii="Times New Roman" w:eastAsia="Times New Roman" w:hAnsi="Times New Roman"/>
          <w:sz w:val="24"/>
          <w:szCs w:val="24"/>
          <w:lang w:eastAsia="sk-SK"/>
        </w:rPr>
        <w:t>uľahčiť</w:t>
      </w:r>
      <w:r w:rsidR="002031CA">
        <w:rPr>
          <w:rFonts w:ascii="Times New Roman" w:eastAsia="Times New Roman" w:hAnsi="Times New Roman"/>
          <w:sz w:val="24"/>
          <w:szCs w:val="24"/>
          <w:lang w:eastAsia="sk-SK"/>
        </w:rPr>
        <w:t xml:space="preserve"> </w:t>
      </w:r>
      <w:r w:rsidRPr="00AD03B1">
        <w:rPr>
          <w:rFonts w:ascii="Times New Roman" w:eastAsia="Times New Roman" w:hAnsi="Times New Roman"/>
          <w:sz w:val="24"/>
          <w:szCs w:val="24"/>
          <w:lang w:eastAsia="sk-SK"/>
        </w:rPr>
        <w:t>im prístup k informáciám, ktoré sa týkajú výrobkov v harmonizovanej a</w:t>
      </w:r>
      <w:r w:rsidR="002031CA">
        <w:rPr>
          <w:rFonts w:ascii="Times New Roman" w:eastAsia="Times New Roman" w:hAnsi="Times New Roman"/>
          <w:sz w:val="24"/>
          <w:szCs w:val="24"/>
          <w:lang w:eastAsia="sk-SK"/>
        </w:rPr>
        <w:t> </w:t>
      </w:r>
      <w:r w:rsidRPr="00AD03B1">
        <w:rPr>
          <w:rFonts w:ascii="Times New Roman" w:eastAsia="Times New Roman" w:hAnsi="Times New Roman"/>
          <w:sz w:val="24"/>
          <w:szCs w:val="24"/>
          <w:lang w:eastAsia="sk-SK"/>
        </w:rPr>
        <w:t>neharmonizovanej</w:t>
      </w:r>
      <w:r w:rsidR="002031CA">
        <w:rPr>
          <w:rFonts w:ascii="Times New Roman" w:eastAsia="Times New Roman" w:hAnsi="Times New Roman"/>
          <w:sz w:val="24"/>
          <w:szCs w:val="24"/>
          <w:lang w:eastAsia="sk-SK"/>
        </w:rPr>
        <w:t xml:space="preserve"> </w:t>
      </w:r>
      <w:r w:rsidRPr="00AD03B1">
        <w:rPr>
          <w:rFonts w:ascii="Times New Roman" w:eastAsia="Times New Roman" w:hAnsi="Times New Roman"/>
          <w:sz w:val="24"/>
          <w:szCs w:val="24"/>
          <w:lang w:eastAsia="sk-SK"/>
        </w:rPr>
        <w:t xml:space="preserve">oblasti alebo technických noriem. ÚNMS SR má poskytovať informácie o </w:t>
      </w:r>
      <w:r w:rsidRPr="00905937">
        <w:rPr>
          <w:rFonts w:ascii="Times New Roman" w:eastAsia="Times New Roman" w:hAnsi="Times New Roman"/>
          <w:sz w:val="24"/>
          <w:szCs w:val="24"/>
          <w:lang w:eastAsia="sk-SK"/>
        </w:rPr>
        <w:t xml:space="preserve">všetkých </w:t>
      </w:r>
      <w:r w:rsidRPr="00AD03B1">
        <w:rPr>
          <w:rFonts w:ascii="Times New Roman" w:eastAsia="Times New Roman" w:hAnsi="Times New Roman"/>
          <w:sz w:val="24"/>
          <w:szCs w:val="24"/>
          <w:lang w:eastAsia="sk-SK"/>
        </w:rPr>
        <w:t xml:space="preserve">právnych predpisoch a požiadavkách </w:t>
      </w:r>
      <w:r>
        <w:rPr>
          <w:rFonts w:ascii="Times New Roman" w:eastAsia="Times New Roman" w:hAnsi="Times New Roman"/>
          <w:sz w:val="24"/>
          <w:szCs w:val="24"/>
          <w:lang w:eastAsia="sk-SK"/>
        </w:rPr>
        <w:t xml:space="preserve">týkajúcich sa </w:t>
      </w:r>
      <w:r w:rsidRPr="00AD03B1">
        <w:rPr>
          <w:rFonts w:ascii="Times New Roman" w:eastAsia="Times New Roman" w:hAnsi="Times New Roman"/>
          <w:sz w:val="24"/>
          <w:szCs w:val="24"/>
          <w:lang w:eastAsia="sk-SK"/>
        </w:rPr>
        <w:t>výrobk</w:t>
      </w:r>
      <w:r>
        <w:rPr>
          <w:rFonts w:ascii="Times New Roman" w:eastAsia="Times New Roman" w:hAnsi="Times New Roman"/>
          <w:sz w:val="24"/>
          <w:szCs w:val="24"/>
          <w:lang w:eastAsia="sk-SK"/>
        </w:rPr>
        <w:t>ov</w:t>
      </w:r>
      <w:r w:rsidRPr="00AD03B1">
        <w:rPr>
          <w:rFonts w:ascii="Times New Roman" w:eastAsia="Times New Roman" w:hAnsi="Times New Roman"/>
          <w:sz w:val="24"/>
          <w:szCs w:val="24"/>
          <w:lang w:eastAsia="sk-SK"/>
        </w:rPr>
        <w:t xml:space="preserve">, ktoré sú </w:t>
      </w:r>
      <w:r>
        <w:rPr>
          <w:rFonts w:ascii="Times New Roman" w:eastAsia="Times New Roman" w:hAnsi="Times New Roman"/>
          <w:sz w:val="24"/>
          <w:szCs w:val="24"/>
          <w:lang w:eastAsia="sk-SK"/>
        </w:rPr>
        <w:t xml:space="preserve">aj </w:t>
      </w:r>
      <w:r w:rsidRPr="00AD03B1">
        <w:rPr>
          <w:rFonts w:ascii="Times New Roman" w:eastAsia="Times New Roman" w:hAnsi="Times New Roman"/>
          <w:sz w:val="24"/>
          <w:szCs w:val="24"/>
          <w:lang w:eastAsia="sk-SK"/>
        </w:rPr>
        <w:t xml:space="preserve">v gescii </w:t>
      </w:r>
      <w:r>
        <w:rPr>
          <w:rFonts w:ascii="Times New Roman" w:eastAsia="Times New Roman" w:hAnsi="Times New Roman"/>
          <w:sz w:val="24"/>
          <w:szCs w:val="24"/>
          <w:lang w:eastAsia="sk-SK"/>
        </w:rPr>
        <w:t xml:space="preserve">iných </w:t>
      </w:r>
      <w:r w:rsidRPr="00AD03B1">
        <w:rPr>
          <w:rFonts w:ascii="Times New Roman" w:eastAsia="Times New Roman" w:hAnsi="Times New Roman"/>
          <w:sz w:val="24"/>
          <w:szCs w:val="24"/>
          <w:lang w:eastAsia="sk-SK"/>
        </w:rPr>
        <w:t xml:space="preserve">rezortov a vytvoriť a udržiavať aktuálnu databázu </w:t>
      </w:r>
      <w:r>
        <w:rPr>
          <w:rFonts w:ascii="Times New Roman" w:eastAsia="Times New Roman" w:hAnsi="Times New Roman"/>
          <w:sz w:val="24"/>
          <w:szCs w:val="24"/>
          <w:lang w:eastAsia="sk-SK"/>
        </w:rPr>
        <w:t xml:space="preserve">obsahujúcu tieto informácie </w:t>
      </w:r>
      <w:r w:rsidRPr="00AD03B1">
        <w:rPr>
          <w:rFonts w:ascii="Times New Roman" w:eastAsia="Times New Roman" w:hAnsi="Times New Roman"/>
          <w:sz w:val="24"/>
          <w:szCs w:val="24"/>
          <w:lang w:eastAsia="sk-SK"/>
        </w:rPr>
        <w:t xml:space="preserve">vo forme webovej aplikácie, </w:t>
      </w:r>
      <w:r w:rsidRPr="00945D41">
        <w:rPr>
          <w:rFonts w:ascii="Times New Roman" w:eastAsia="Times New Roman" w:hAnsi="Times New Roman"/>
          <w:sz w:val="24"/>
          <w:szCs w:val="24"/>
          <w:lang w:eastAsia="sk-SK"/>
        </w:rPr>
        <w:t>ktorá prostredníctvom portálu slovensko.sk, bude prepojená s portálom Vaša Európa a tým sprístupnená občanom a</w:t>
      </w:r>
      <w:r w:rsidR="002031CA">
        <w:rPr>
          <w:rFonts w:ascii="Times New Roman" w:eastAsia="Times New Roman" w:hAnsi="Times New Roman"/>
          <w:sz w:val="24"/>
          <w:szCs w:val="24"/>
          <w:lang w:eastAsia="sk-SK"/>
        </w:rPr>
        <w:t> </w:t>
      </w:r>
      <w:r w:rsidRPr="00945D41">
        <w:rPr>
          <w:rFonts w:ascii="Times New Roman" w:eastAsia="Times New Roman" w:hAnsi="Times New Roman"/>
          <w:sz w:val="24"/>
          <w:szCs w:val="24"/>
          <w:lang w:eastAsia="sk-SK"/>
        </w:rPr>
        <w:t>podnikateľom</w:t>
      </w:r>
      <w:r w:rsidR="002031CA">
        <w:rPr>
          <w:rFonts w:ascii="Times New Roman" w:eastAsia="Times New Roman" w:hAnsi="Times New Roman"/>
          <w:sz w:val="24"/>
          <w:szCs w:val="24"/>
          <w:lang w:eastAsia="sk-SK"/>
        </w:rPr>
        <w:t xml:space="preserve"> </w:t>
      </w:r>
      <w:r w:rsidRPr="00945D41">
        <w:rPr>
          <w:rFonts w:ascii="Times New Roman" w:eastAsia="Times New Roman" w:hAnsi="Times New Roman"/>
          <w:sz w:val="24"/>
          <w:szCs w:val="24"/>
          <w:lang w:eastAsia="sk-SK"/>
        </w:rPr>
        <w:t>v celej EÚ. Podľa nariadenia (EÚ) 2018/1724, ktor</w:t>
      </w:r>
      <w:r>
        <w:rPr>
          <w:rFonts w:ascii="Times New Roman" w:eastAsia="Times New Roman" w:hAnsi="Times New Roman"/>
          <w:sz w:val="24"/>
          <w:szCs w:val="24"/>
          <w:lang w:eastAsia="sk-SK"/>
        </w:rPr>
        <w:t>é</w:t>
      </w:r>
      <w:r w:rsidRPr="00945D41">
        <w:rPr>
          <w:rFonts w:ascii="Times New Roman" w:eastAsia="Times New Roman" w:hAnsi="Times New Roman"/>
          <w:sz w:val="24"/>
          <w:szCs w:val="24"/>
          <w:lang w:eastAsia="sk-SK"/>
        </w:rPr>
        <w:t xml:space="preserve"> je novou prioritou na európskej úrovni, ÚNMS SR zodpovedá za digitalizáciu podľa prílohy I nariadenia (EÚ) 2018/1724 časť M - Tovar body 1 až 4, čo zahŕňa označenie CE, pravidlá a</w:t>
      </w:r>
      <w:r w:rsidR="002031CA">
        <w:rPr>
          <w:rFonts w:ascii="Times New Roman" w:eastAsia="Times New Roman" w:hAnsi="Times New Roman"/>
          <w:sz w:val="24"/>
          <w:szCs w:val="24"/>
          <w:lang w:eastAsia="sk-SK"/>
        </w:rPr>
        <w:t> </w:t>
      </w:r>
      <w:r w:rsidRPr="00945D41">
        <w:rPr>
          <w:rFonts w:ascii="Times New Roman" w:eastAsia="Times New Roman" w:hAnsi="Times New Roman"/>
          <w:sz w:val="24"/>
          <w:szCs w:val="24"/>
          <w:lang w:eastAsia="sk-SK"/>
        </w:rPr>
        <w:t>požiadavky</w:t>
      </w:r>
      <w:r w:rsidR="002031CA">
        <w:rPr>
          <w:rFonts w:ascii="Times New Roman" w:eastAsia="Times New Roman" w:hAnsi="Times New Roman"/>
          <w:sz w:val="24"/>
          <w:szCs w:val="24"/>
          <w:lang w:eastAsia="sk-SK"/>
        </w:rPr>
        <w:t xml:space="preserve"> </w:t>
      </w:r>
      <w:r w:rsidRPr="00945D41">
        <w:rPr>
          <w:rFonts w:ascii="Times New Roman" w:eastAsia="Times New Roman" w:hAnsi="Times New Roman"/>
          <w:sz w:val="24"/>
          <w:szCs w:val="24"/>
          <w:lang w:eastAsia="sk-SK"/>
        </w:rPr>
        <w:t xml:space="preserve">týkajúce sa výrobkov, </w:t>
      </w:r>
      <w:r w:rsidRPr="00A4440A">
        <w:rPr>
          <w:rFonts w:ascii="Times New Roman" w:eastAsia="Times New Roman" w:hAnsi="Times New Roman"/>
          <w:sz w:val="24"/>
          <w:szCs w:val="24"/>
          <w:lang w:eastAsia="sk-SK"/>
        </w:rPr>
        <w:t xml:space="preserve">identifikácia príslušných noriem, technických špecifikácií vo vzťahu k osvedčovaniu výrobkov </w:t>
      </w:r>
      <w:r w:rsidRPr="00945D41">
        <w:rPr>
          <w:rFonts w:ascii="Times New Roman" w:eastAsia="Times New Roman" w:hAnsi="Times New Roman"/>
          <w:sz w:val="24"/>
          <w:szCs w:val="24"/>
          <w:lang w:eastAsia="sk-SK"/>
        </w:rPr>
        <w:t>a vzájomné uznávanie výrobkov, a</w:t>
      </w:r>
      <w:r w:rsidR="002031CA">
        <w:rPr>
          <w:rFonts w:ascii="Times New Roman" w:eastAsia="Times New Roman" w:hAnsi="Times New Roman"/>
          <w:sz w:val="24"/>
          <w:szCs w:val="24"/>
          <w:lang w:eastAsia="sk-SK"/>
        </w:rPr>
        <w:t> </w:t>
      </w:r>
      <w:r w:rsidRPr="00945D41">
        <w:rPr>
          <w:rFonts w:ascii="Times New Roman" w:eastAsia="Times New Roman" w:hAnsi="Times New Roman"/>
          <w:sz w:val="24"/>
          <w:szCs w:val="24"/>
          <w:lang w:eastAsia="sk-SK"/>
        </w:rPr>
        <w:t>podľa</w:t>
      </w:r>
      <w:r w:rsidR="002031CA">
        <w:rPr>
          <w:rFonts w:ascii="Times New Roman" w:eastAsia="Times New Roman" w:hAnsi="Times New Roman"/>
          <w:sz w:val="24"/>
          <w:szCs w:val="24"/>
          <w:lang w:eastAsia="sk-SK"/>
        </w:rPr>
        <w:t xml:space="preserve"> </w:t>
      </w:r>
      <w:r w:rsidRPr="00945D41">
        <w:rPr>
          <w:rFonts w:ascii="Times New Roman" w:eastAsia="Times New Roman" w:hAnsi="Times New Roman"/>
          <w:sz w:val="24"/>
          <w:szCs w:val="24"/>
          <w:lang w:eastAsia="sk-SK"/>
        </w:rPr>
        <w:t>prílohy III nariadenia (EÚ) 2018/1724 - Asistenčné služby v rámci Kontaktného miesta na výrobky podľa nariadenia</w:t>
      </w:r>
      <w:r w:rsidRPr="00AD03B1">
        <w:rPr>
          <w:rFonts w:ascii="Times New Roman" w:eastAsia="Times New Roman" w:hAnsi="Times New Roman"/>
          <w:sz w:val="24"/>
          <w:szCs w:val="24"/>
          <w:lang w:eastAsia="sk-SK"/>
        </w:rPr>
        <w:t xml:space="preserve"> (EÚ) 2019/515.</w:t>
      </w:r>
      <w:r w:rsidRPr="007E4D03">
        <w:t xml:space="preserve"> </w:t>
      </w:r>
    </w:p>
    <w:p w14:paraId="5AB022F5" w14:textId="40247A48" w:rsidR="00D22CF6" w:rsidRPr="00945D41" w:rsidRDefault="00D22CF6" w:rsidP="00D22CF6">
      <w:pPr>
        <w:pStyle w:val="Odsekzoznamu"/>
        <w:spacing w:before="120"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 xml:space="preserve">Implementácia nariadenia (EÚ) 2018/1724 v časti, za ktorú je zodpovedný ÚNMS SR, vrátane vytvorenia a udržiavania databázy obsahujúcej informácie o všetkých pravidlách a požiadavkách týkajúcich sa výrobkov platných v SR </w:t>
      </w:r>
      <w:r w:rsidRPr="00AD03B1">
        <w:rPr>
          <w:rFonts w:ascii="Times New Roman" w:eastAsia="Times New Roman" w:hAnsi="Times New Roman"/>
          <w:sz w:val="24"/>
          <w:szCs w:val="24"/>
          <w:lang w:eastAsia="sk-SK"/>
        </w:rPr>
        <w:t xml:space="preserve">vo forme </w:t>
      </w:r>
      <w:r w:rsidRPr="007E4D03">
        <w:rPr>
          <w:rFonts w:ascii="Times New Roman" w:eastAsia="Times New Roman" w:hAnsi="Times New Roman"/>
          <w:sz w:val="24"/>
          <w:szCs w:val="24"/>
          <w:lang w:eastAsia="sk-SK"/>
        </w:rPr>
        <w:t xml:space="preserve">webovej </w:t>
      </w:r>
      <w:r w:rsidRPr="007E4D03">
        <w:rPr>
          <w:rFonts w:ascii="Times New Roman" w:eastAsia="Times New Roman" w:hAnsi="Times New Roman"/>
          <w:sz w:val="24"/>
          <w:szCs w:val="24"/>
          <w:lang w:eastAsia="sk-SK"/>
        </w:rPr>
        <w:lastRenderedPageBreak/>
        <w:t>aplikácie</w:t>
      </w:r>
      <w:r w:rsidRPr="00C042A6">
        <w:rPr>
          <w:rFonts w:ascii="Times New Roman" w:eastAsia="Times New Roman" w:hAnsi="Times New Roman"/>
          <w:sz w:val="24"/>
          <w:szCs w:val="24"/>
          <w:lang w:eastAsia="sk-SK"/>
        </w:rPr>
        <w:t xml:space="preserve">, ktorá bude prostredníctvom portálu slovensko.sk, prepojená s portálom Vaša Európa, </w:t>
      </w:r>
      <w:r w:rsidRPr="00362D78">
        <w:rPr>
          <w:rFonts w:ascii="Times New Roman" w:eastAsia="Times New Roman" w:hAnsi="Times New Roman"/>
          <w:sz w:val="24"/>
          <w:szCs w:val="24"/>
          <w:lang w:eastAsia="sk-SK"/>
        </w:rPr>
        <w:t xml:space="preserve">a </w:t>
      </w:r>
      <w:r w:rsidRPr="00945D41">
        <w:rPr>
          <w:rFonts w:ascii="Times New Roman" w:eastAsia="Times New Roman" w:hAnsi="Times New Roman"/>
          <w:sz w:val="24"/>
          <w:szCs w:val="24"/>
          <w:lang w:eastAsia="sk-SK"/>
        </w:rPr>
        <w:t>zhromažďovania štatistických údajov a spätnej väzby o</w:t>
      </w:r>
      <w:r>
        <w:rPr>
          <w:rFonts w:ascii="Times New Roman" w:eastAsia="Times New Roman" w:hAnsi="Times New Roman"/>
          <w:sz w:val="24"/>
          <w:szCs w:val="24"/>
          <w:lang w:eastAsia="sk-SK"/>
        </w:rPr>
        <w:t> </w:t>
      </w:r>
      <w:r w:rsidRPr="00945D41">
        <w:rPr>
          <w:rFonts w:ascii="Times New Roman" w:eastAsia="Times New Roman" w:hAnsi="Times New Roman"/>
          <w:sz w:val="24"/>
          <w:szCs w:val="24"/>
          <w:lang w:eastAsia="sk-SK"/>
        </w:rPr>
        <w:t>používateľoch</w:t>
      </w:r>
      <w:r>
        <w:rPr>
          <w:rFonts w:ascii="Times New Roman" w:eastAsia="Times New Roman" w:hAnsi="Times New Roman"/>
          <w:sz w:val="24"/>
          <w:szCs w:val="24"/>
          <w:lang w:eastAsia="sk-SK"/>
        </w:rPr>
        <w:t xml:space="preserve"> ako aj aktualizácia portálu noriem vo vzťahu k plneniu požiadaviek </w:t>
      </w:r>
      <w:r w:rsidRPr="00945D41">
        <w:rPr>
          <w:rFonts w:ascii="Times New Roman" w:eastAsia="Times New Roman" w:hAnsi="Times New Roman"/>
          <w:sz w:val="24"/>
          <w:szCs w:val="24"/>
          <w:lang w:eastAsia="sk-SK"/>
        </w:rPr>
        <w:t>prílohy I nariadenia (EÚ) 2018/1724 časť M - Tovar bod</w:t>
      </w:r>
      <w:r>
        <w:rPr>
          <w:rFonts w:ascii="Times New Roman" w:eastAsia="Times New Roman" w:hAnsi="Times New Roman"/>
          <w:sz w:val="24"/>
          <w:szCs w:val="24"/>
          <w:lang w:eastAsia="sk-SK"/>
        </w:rPr>
        <w:t xml:space="preserve"> 3</w:t>
      </w:r>
      <w:r w:rsidRPr="00A4440A">
        <w:rPr>
          <w:rFonts w:ascii="Times New Roman" w:eastAsia="Times New Roman" w:hAnsi="Times New Roman"/>
          <w:sz w:val="24"/>
          <w:szCs w:val="24"/>
          <w:lang w:eastAsia="sk-SK"/>
        </w:rPr>
        <w:t xml:space="preserve"> identifikácia príslušných noriem, technických špecifikácií vo vzťahu k osvedčovaniu výrobkov</w:t>
      </w:r>
      <w:r>
        <w:rPr>
          <w:rFonts w:ascii="Times New Roman" w:eastAsia="Times New Roman" w:hAnsi="Times New Roman"/>
          <w:sz w:val="24"/>
          <w:szCs w:val="24"/>
          <w:lang w:eastAsia="sk-SK"/>
        </w:rPr>
        <w:t>,</w:t>
      </w:r>
      <w:r w:rsidRPr="00C042A6">
        <w:rPr>
          <w:rFonts w:ascii="Times New Roman" w:eastAsia="Times New Roman" w:hAnsi="Times New Roman"/>
          <w:sz w:val="24"/>
          <w:szCs w:val="24"/>
          <w:lang w:eastAsia="sk-SK"/>
        </w:rPr>
        <w:t xml:space="preserve"> </w:t>
      </w:r>
      <w:r w:rsidRPr="00362D78">
        <w:rPr>
          <w:rFonts w:ascii="Times New Roman" w:eastAsia="Times New Roman" w:hAnsi="Times New Roman"/>
          <w:sz w:val="24"/>
          <w:szCs w:val="24"/>
          <w:lang w:eastAsia="sk-SK"/>
        </w:rPr>
        <w:t>mala byť na základe uznesenia vlády</w:t>
      </w:r>
      <w:r w:rsidRPr="00945D41">
        <w:t xml:space="preserve"> </w:t>
      </w:r>
      <w:r w:rsidR="002F69ED">
        <w:rPr>
          <w:rFonts w:ascii="Times New Roman" w:eastAsia="Times New Roman" w:hAnsi="Times New Roman"/>
          <w:sz w:val="24"/>
          <w:szCs w:val="24"/>
          <w:lang w:eastAsia="sk-SK"/>
        </w:rPr>
        <w:t>č. </w:t>
      </w:r>
      <w:r w:rsidRPr="00945D41">
        <w:rPr>
          <w:rFonts w:ascii="Times New Roman" w:eastAsia="Times New Roman" w:hAnsi="Times New Roman"/>
          <w:sz w:val="24"/>
          <w:szCs w:val="24"/>
          <w:lang w:eastAsia="sk-SK"/>
        </w:rPr>
        <w:t>335/2019 financovaná zo zdrojov poskytnutých Úradom podpredsedu vlády Slovenskej republiky pre investície a informatizáciu/ÚPVII, teraz Ministerstva</w:t>
      </w:r>
      <w:r w:rsidRPr="00945D41">
        <w:rPr>
          <w:rFonts w:ascii="Times New Roman" w:eastAsia="Times New Roman" w:hAnsi="Times New Roman"/>
          <w:bCs/>
          <w:sz w:val="24"/>
          <w:szCs w:val="24"/>
          <w:lang w:eastAsia="sk-SK"/>
        </w:rPr>
        <w:t xml:space="preserve"> investícií, regionálneho rozvoja a informatizácie Slovenskej republiky  </w:t>
      </w:r>
      <w:r>
        <w:rPr>
          <w:rFonts w:ascii="Times New Roman" w:eastAsia="Times New Roman" w:hAnsi="Times New Roman"/>
          <w:bCs/>
          <w:sz w:val="24"/>
          <w:szCs w:val="24"/>
          <w:lang w:eastAsia="sk-SK"/>
        </w:rPr>
        <w:t>(</w:t>
      </w:r>
      <w:r w:rsidRPr="00945D41">
        <w:rPr>
          <w:rFonts w:ascii="Times New Roman" w:eastAsia="Times New Roman" w:hAnsi="Times New Roman"/>
          <w:bCs/>
          <w:sz w:val="24"/>
          <w:szCs w:val="24"/>
          <w:lang w:eastAsia="sk-SK"/>
        </w:rPr>
        <w:t>ďalej len „</w:t>
      </w:r>
      <w:r w:rsidRPr="00945D41">
        <w:rPr>
          <w:rFonts w:ascii="Times New Roman" w:eastAsia="Times New Roman" w:hAnsi="Times New Roman"/>
          <w:sz w:val="24"/>
          <w:szCs w:val="24"/>
          <w:lang w:eastAsia="sk-SK"/>
        </w:rPr>
        <w:t>MIRRI SR</w:t>
      </w:r>
      <w:r w:rsidRPr="00C042A6">
        <w:rPr>
          <w:rFonts w:ascii="Times New Roman" w:eastAsia="Times New Roman" w:hAnsi="Times New Roman"/>
          <w:sz w:val="24"/>
          <w:szCs w:val="24"/>
          <w:lang w:eastAsia="sk-SK"/>
        </w:rPr>
        <w:t>“),</w:t>
      </w:r>
      <w:r w:rsidRPr="00362D78">
        <w:rPr>
          <w:rFonts w:ascii="Times New Roman" w:eastAsia="Times New Roman" w:hAnsi="Times New Roman"/>
          <w:sz w:val="24"/>
          <w:szCs w:val="24"/>
          <w:lang w:eastAsia="sk-SK"/>
        </w:rPr>
        <w:t xml:space="preserve"> </w:t>
      </w:r>
      <w:r w:rsidRPr="00945D41">
        <w:rPr>
          <w:rFonts w:ascii="Times New Roman" w:eastAsia="Times New Roman" w:hAnsi="Times New Roman"/>
          <w:sz w:val="24"/>
          <w:szCs w:val="24"/>
          <w:lang w:eastAsia="sk-SK"/>
        </w:rPr>
        <w:t>ktorý</w:t>
      </w:r>
      <w:r>
        <w:rPr>
          <w:rFonts w:ascii="Times New Roman" w:eastAsia="Times New Roman" w:hAnsi="Times New Roman"/>
          <w:sz w:val="24"/>
          <w:szCs w:val="24"/>
          <w:lang w:eastAsia="sk-SK"/>
        </w:rPr>
        <w:t>/é</w:t>
      </w:r>
      <w:r w:rsidRPr="00945D41">
        <w:rPr>
          <w:rFonts w:ascii="Times New Roman" w:eastAsia="Times New Roman" w:hAnsi="Times New Roman"/>
          <w:sz w:val="24"/>
          <w:szCs w:val="24"/>
          <w:lang w:eastAsia="sk-SK"/>
        </w:rPr>
        <w:t xml:space="preserve"> je</w:t>
      </w:r>
      <w:r w:rsidRPr="00C042A6">
        <w:rPr>
          <w:rFonts w:ascii="Times New Roman" w:eastAsia="Times New Roman" w:hAnsi="Times New Roman"/>
          <w:sz w:val="24"/>
          <w:szCs w:val="24"/>
          <w:lang w:eastAsia="sk-SK"/>
        </w:rPr>
        <w:t xml:space="preserve"> zodpovedný</w:t>
      </w:r>
      <w:r w:rsidRPr="00362D78">
        <w:rPr>
          <w:rFonts w:ascii="Times New Roman" w:eastAsia="Times New Roman" w:hAnsi="Times New Roman"/>
          <w:sz w:val="24"/>
          <w:szCs w:val="24"/>
          <w:lang w:eastAsia="sk-SK"/>
        </w:rPr>
        <w:t xml:space="preserve"> </w:t>
      </w:r>
      <w:r w:rsidRPr="00945D41">
        <w:rPr>
          <w:rFonts w:ascii="Times New Roman" w:eastAsia="Times New Roman" w:hAnsi="Times New Roman"/>
          <w:sz w:val="24"/>
          <w:szCs w:val="24"/>
          <w:lang w:eastAsia="sk-SK"/>
        </w:rPr>
        <w:t xml:space="preserve">za implementáciu nariadenia (EÚ) 2018/1724. </w:t>
      </w:r>
      <w:r>
        <w:rPr>
          <w:rFonts w:ascii="Times New Roman" w:eastAsia="Times New Roman" w:hAnsi="Times New Roman"/>
          <w:sz w:val="24"/>
          <w:szCs w:val="24"/>
          <w:lang w:eastAsia="sk-SK"/>
        </w:rPr>
        <w:t>N</w:t>
      </w:r>
      <w:r w:rsidRPr="00945D41">
        <w:rPr>
          <w:rFonts w:ascii="Times New Roman" w:eastAsia="Times New Roman" w:hAnsi="Times New Roman"/>
          <w:sz w:val="24"/>
          <w:szCs w:val="24"/>
          <w:lang w:eastAsia="sk-SK"/>
        </w:rPr>
        <w:t>ariadeni</w:t>
      </w:r>
      <w:r>
        <w:rPr>
          <w:rFonts w:ascii="Times New Roman" w:eastAsia="Times New Roman" w:hAnsi="Times New Roman"/>
          <w:sz w:val="24"/>
          <w:szCs w:val="24"/>
          <w:lang w:eastAsia="sk-SK"/>
        </w:rPr>
        <w:t>e</w:t>
      </w:r>
      <w:r w:rsidRPr="00945D41">
        <w:rPr>
          <w:rFonts w:ascii="Times New Roman" w:eastAsia="Times New Roman" w:hAnsi="Times New Roman"/>
          <w:sz w:val="24"/>
          <w:szCs w:val="24"/>
          <w:lang w:eastAsia="sk-SK"/>
        </w:rPr>
        <w:t xml:space="preserve"> (EÚ) 2018/1724</w:t>
      </w:r>
      <w:r>
        <w:rPr>
          <w:rFonts w:ascii="Times New Roman" w:eastAsia="Times New Roman" w:hAnsi="Times New Roman"/>
          <w:sz w:val="24"/>
          <w:szCs w:val="24"/>
          <w:lang w:eastAsia="sk-SK"/>
        </w:rPr>
        <w:t xml:space="preserve"> sa má implementovať od </w:t>
      </w:r>
      <w:r w:rsidRPr="00A4440A">
        <w:rPr>
          <w:rFonts w:ascii="Times New Roman" w:eastAsia="Times New Roman" w:hAnsi="Times New Roman"/>
          <w:sz w:val="24"/>
          <w:szCs w:val="24"/>
          <w:lang w:eastAsia="sk-SK"/>
        </w:rPr>
        <w:t>12. decembra 2020</w:t>
      </w:r>
      <w:r>
        <w:rPr>
          <w:rFonts w:ascii="Times New Roman" w:eastAsia="Times New Roman" w:hAnsi="Times New Roman"/>
          <w:sz w:val="24"/>
          <w:szCs w:val="24"/>
          <w:lang w:eastAsia="sk-SK"/>
        </w:rPr>
        <w:t xml:space="preserve">. </w:t>
      </w:r>
    </w:p>
    <w:p w14:paraId="323A00A6" w14:textId="7A6D59DE" w:rsidR="00D22CF6" w:rsidRDefault="00D22CF6" w:rsidP="00D22CF6">
      <w:pPr>
        <w:pStyle w:val="Odsekzoznamu"/>
        <w:spacing w:before="120" w:after="0" w:line="240" w:lineRule="auto"/>
        <w:jc w:val="both"/>
        <w:rPr>
          <w:rFonts w:ascii="Times New Roman" w:eastAsia="Times New Roman" w:hAnsi="Times New Roman"/>
          <w:sz w:val="24"/>
          <w:szCs w:val="24"/>
          <w:lang w:eastAsia="sk-SK"/>
        </w:rPr>
      </w:pPr>
      <w:r w:rsidRPr="00945D41">
        <w:rPr>
          <w:rFonts w:ascii="Times New Roman" w:eastAsia="Times New Roman" w:hAnsi="Times New Roman"/>
          <w:sz w:val="24"/>
          <w:szCs w:val="24"/>
          <w:lang w:eastAsia="sk-SK"/>
        </w:rPr>
        <w:t xml:space="preserve">ÚNMS SR už pri zákone, ktorým sa mení a dopĺňa zákon </w:t>
      </w:r>
      <w:r w:rsidR="002F69ED">
        <w:rPr>
          <w:rFonts w:ascii="Times New Roman" w:eastAsia="Times New Roman" w:hAnsi="Times New Roman"/>
          <w:sz w:val="24"/>
          <w:szCs w:val="24"/>
          <w:lang w:eastAsia="sk-SK"/>
        </w:rPr>
        <w:t>č. </w:t>
      </w:r>
      <w:r w:rsidRPr="00945D41">
        <w:rPr>
          <w:rFonts w:ascii="Times New Roman" w:eastAsia="Times New Roman" w:hAnsi="Times New Roman"/>
          <w:sz w:val="24"/>
          <w:szCs w:val="24"/>
          <w:lang w:eastAsia="sk-SK"/>
        </w:rPr>
        <w:t xml:space="preserve">55/2018 </w:t>
      </w:r>
      <w:r w:rsidR="002F69ED">
        <w:rPr>
          <w:rFonts w:ascii="Times New Roman" w:eastAsia="Times New Roman" w:hAnsi="Times New Roman"/>
          <w:sz w:val="24"/>
          <w:szCs w:val="24"/>
          <w:lang w:eastAsia="sk-SK"/>
        </w:rPr>
        <w:t>Z. z.</w:t>
      </w:r>
      <w:r w:rsidRPr="00945D41">
        <w:rPr>
          <w:rFonts w:ascii="Times New Roman" w:eastAsia="Times New Roman" w:hAnsi="Times New Roman"/>
          <w:sz w:val="24"/>
          <w:szCs w:val="24"/>
          <w:lang w:eastAsia="sk-SK"/>
        </w:rPr>
        <w:t xml:space="preserve"> v doložke vybraných vplyvov uviedol, že „</w:t>
      </w:r>
      <w:r w:rsidRPr="00945D41">
        <w:rPr>
          <w:rFonts w:ascii="Times New Roman" w:eastAsia="Times New Roman" w:hAnsi="Times New Roman"/>
          <w:i/>
          <w:sz w:val="24"/>
          <w:szCs w:val="24"/>
          <w:lang w:eastAsia="sk-SK"/>
        </w:rPr>
        <w:t>Financovanie týchto činnosti, najmä vytvorenie a</w:t>
      </w:r>
      <w:r w:rsidR="002031CA">
        <w:rPr>
          <w:rFonts w:ascii="Times New Roman" w:eastAsia="Times New Roman" w:hAnsi="Times New Roman"/>
          <w:i/>
          <w:sz w:val="24"/>
          <w:szCs w:val="24"/>
          <w:lang w:eastAsia="sk-SK"/>
        </w:rPr>
        <w:t> </w:t>
      </w:r>
      <w:r w:rsidRPr="00945D41">
        <w:rPr>
          <w:rFonts w:ascii="Times New Roman" w:eastAsia="Times New Roman" w:hAnsi="Times New Roman"/>
          <w:i/>
          <w:sz w:val="24"/>
          <w:szCs w:val="24"/>
          <w:lang w:eastAsia="sk-SK"/>
        </w:rPr>
        <w:t>udržiavanie</w:t>
      </w:r>
      <w:r w:rsidR="002031CA">
        <w:rPr>
          <w:rFonts w:ascii="Times New Roman" w:eastAsia="Times New Roman" w:hAnsi="Times New Roman"/>
          <w:i/>
          <w:sz w:val="24"/>
          <w:szCs w:val="24"/>
          <w:lang w:eastAsia="sk-SK"/>
        </w:rPr>
        <w:t xml:space="preserve"> </w:t>
      </w:r>
      <w:r w:rsidRPr="00945D41">
        <w:rPr>
          <w:rFonts w:ascii="Times New Roman" w:eastAsia="Times New Roman" w:hAnsi="Times New Roman"/>
          <w:i/>
          <w:sz w:val="24"/>
          <w:szCs w:val="24"/>
          <w:lang w:eastAsia="sk-SK"/>
        </w:rPr>
        <w:t>databázy obsahujúcej informácie o výrobkoch a požiadavkách na výrobky, vytvorenie</w:t>
      </w:r>
      <w:r w:rsidR="002031CA">
        <w:rPr>
          <w:rFonts w:ascii="Times New Roman" w:eastAsia="Times New Roman" w:hAnsi="Times New Roman"/>
          <w:i/>
          <w:sz w:val="24"/>
          <w:szCs w:val="24"/>
          <w:lang w:eastAsia="sk-SK"/>
        </w:rPr>
        <w:t xml:space="preserve"> </w:t>
      </w:r>
      <w:r w:rsidRPr="00945D41">
        <w:rPr>
          <w:rFonts w:ascii="Times New Roman" w:eastAsia="Times New Roman" w:hAnsi="Times New Roman"/>
          <w:i/>
          <w:sz w:val="24"/>
          <w:szCs w:val="24"/>
          <w:lang w:eastAsia="sk-SK"/>
        </w:rPr>
        <w:t>a udržiavanie portálu/webového sídla, prostredníctvom ktorého budú tieto informácie sprístupnené/zverejnené a prípadných iných potrebných činností, bude potrebné riešiť špecificky prostredníctvom</w:t>
      </w:r>
      <w:r w:rsidRPr="00796D95">
        <w:rPr>
          <w:rFonts w:ascii="Times New Roman" w:eastAsia="Times New Roman" w:hAnsi="Times New Roman"/>
          <w:i/>
          <w:sz w:val="24"/>
          <w:szCs w:val="24"/>
          <w:lang w:eastAsia="sk-SK"/>
        </w:rPr>
        <w:t xml:space="preserve"> vyčíslenia vplyvov na rozpočet verejnej správy v rámci vypracovania štúdie uskutočniteľnosti a nadväzujúceho Akčného plánu implementácie nariadenia </w:t>
      </w:r>
      <w:r w:rsidR="002F69ED">
        <w:rPr>
          <w:rFonts w:ascii="Times New Roman" w:eastAsia="Times New Roman" w:hAnsi="Times New Roman"/>
          <w:i/>
          <w:sz w:val="24"/>
          <w:szCs w:val="24"/>
          <w:lang w:eastAsia="sk-SK"/>
        </w:rPr>
        <w:t>č. </w:t>
      </w:r>
      <w:r w:rsidRPr="00796D95">
        <w:rPr>
          <w:rFonts w:ascii="Times New Roman" w:eastAsia="Times New Roman" w:hAnsi="Times New Roman"/>
          <w:i/>
          <w:sz w:val="24"/>
          <w:szCs w:val="24"/>
          <w:lang w:eastAsia="sk-SK"/>
        </w:rPr>
        <w:t>2018/1724 o zriadení jednotnej digitálnej brány v</w:t>
      </w:r>
      <w:r w:rsidR="002031CA">
        <w:rPr>
          <w:rFonts w:ascii="Times New Roman" w:eastAsia="Times New Roman" w:hAnsi="Times New Roman"/>
          <w:i/>
          <w:sz w:val="24"/>
          <w:szCs w:val="24"/>
          <w:lang w:eastAsia="sk-SK"/>
        </w:rPr>
        <w:t> </w:t>
      </w:r>
      <w:r w:rsidRPr="00796D95">
        <w:rPr>
          <w:rFonts w:ascii="Times New Roman" w:eastAsia="Times New Roman" w:hAnsi="Times New Roman"/>
          <w:i/>
          <w:sz w:val="24"/>
          <w:szCs w:val="24"/>
          <w:lang w:eastAsia="sk-SK"/>
        </w:rPr>
        <w:t>podmienkach</w:t>
      </w:r>
      <w:r w:rsidR="002031CA">
        <w:rPr>
          <w:rFonts w:ascii="Times New Roman" w:eastAsia="Times New Roman" w:hAnsi="Times New Roman"/>
          <w:i/>
          <w:sz w:val="24"/>
          <w:szCs w:val="24"/>
          <w:lang w:eastAsia="sk-SK"/>
        </w:rPr>
        <w:t xml:space="preserve"> </w:t>
      </w:r>
      <w:r w:rsidRPr="00796D95">
        <w:rPr>
          <w:rFonts w:ascii="Times New Roman" w:eastAsia="Times New Roman" w:hAnsi="Times New Roman"/>
          <w:i/>
          <w:sz w:val="24"/>
          <w:szCs w:val="24"/>
          <w:lang w:eastAsia="sk-SK"/>
        </w:rPr>
        <w:t>Slovenskej republiky Úradom podpredsedu vlády SR pre investície a</w:t>
      </w:r>
      <w:r w:rsidR="002031CA">
        <w:rPr>
          <w:rFonts w:ascii="Times New Roman" w:eastAsia="Times New Roman" w:hAnsi="Times New Roman"/>
          <w:i/>
          <w:sz w:val="24"/>
          <w:szCs w:val="24"/>
          <w:lang w:eastAsia="sk-SK"/>
        </w:rPr>
        <w:t> </w:t>
      </w:r>
      <w:r w:rsidRPr="00796D95">
        <w:rPr>
          <w:rFonts w:ascii="Times New Roman" w:eastAsia="Times New Roman" w:hAnsi="Times New Roman"/>
          <w:i/>
          <w:sz w:val="24"/>
          <w:szCs w:val="24"/>
          <w:lang w:eastAsia="sk-SK"/>
        </w:rPr>
        <w:t>informatizáciu</w:t>
      </w:r>
      <w:r w:rsidR="002031CA">
        <w:rPr>
          <w:rFonts w:ascii="Times New Roman" w:eastAsia="Times New Roman" w:hAnsi="Times New Roman"/>
          <w:i/>
          <w:sz w:val="24"/>
          <w:szCs w:val="24"/>
          <w:lang w:eastAsia="sk-SK"/>
        </w:rPr>
        <w:t xml:space="preserve"> </w:t>
      </w:r>
      <w:r w:rsidRPr="00796D95">
        <w:rPr>
          <w:rFonts w:ascii="Times New Roman" w:eastAsia="Times New Roman" w:hAnsi="Times New Roman"/>
          <w:i/>
          <w:sz w:val="24"/>
          <w:szCs w:val="24"/>
          <w:lang w:eastAsia="sk-SK"/>
        </w:rPr>
        <w:t>do 31</w:t>
      </w:r>
      <w:r w:rsidRPr="00C042A6">
        <w:rPr>
          <w:rFonts w:ascii="Times New Roman" w:eastAsia="Times New Roman" w:hAnsi="Times New Roman"/>
          <w:i/>
          <w:sz w:val="24"/>
          <w:szCs w:val="24"/>
          <w:lang w:eastAsia="sk-SK"/>
        </w:rPr>
        <w:t xml:space="preserve">. marca 2020 v zmysle úlohy B.3. uznesenia vlády Slovenskej republiky </w:t>
      </w:r>
      <w:r w:rsidR="002F69ED">
        <w:rPr>
          <w:rFonts w:ascii="Times New Roman" w:eastAsia="Times New Roman" w:hAnsi="Times New Roman"/>
          <w:i/>
          <w:sz w:val="24"/>
          <w:szCs w:val="24"/>
          <w:lang w:eastAsia="sk-SK"/>
        </w:rPr>
        <w:t>č. </w:t>
      </w:r>
      <w:r w:rsidRPr="00C042A6">
        <w:rPr>
          <w:rFonts w:ascii="Times New Roman" w:eastAsia="Times New Roman" w:hAnsi="Times New Roman"/>
          <w:i/>
          <w:sz w:val="24"/>
          <w:szCs w:val="24"/>
          <w:lang w:eastAsia="sk-SK"/>
        </w:rPr>
        <w:t xml:space="preserve">335/2019 z 3. júla 2019 k Implementácii nariadenia EP a Rady </w:t>
      </w:r>
      <w:r w:rsidR="002F69ED">
        <w:rPr>
          <w:rFonts w:ascii="Times New Roman" w:eastAsia="Times New Roman" w:hAnsi="Times New Roman"/>
          <w:i/>
          <w:sz w:val="24"/>
          <w:szCs w:val="24"/>
          <w:lang w:eastAsia="sk-SK"/>
        </w:rPr>
        <w:t>č. </w:t>
      </w:r>
      <w:r w:rsidRPr="00C042A6">
        <w:rPr>
          <w:rFonts w:ascii="Times New Roman" w:eastAsia="Times New Roman" w:hAnsi="Times New Roman"/>
          <w:i/>
          <w:sz w:val="24"/>
          <w:szCs w:val="24"/>
          <w:lang w:eastAsia="sk-SK"/>
        </w:rPr>
        <w:t>201/17</w:t>
      </w:r>
      <w:r w:rsidRPr="00362D78">
        <w:rPr>
          <w:rFonts w:ascii="Times New Roman" w:eastAsia="Times New Roman" w:hAnsi="Times New Roman"/>
          <w:i/>
          <w:sz w:val="24"/>
          <w:szCs w:val="24"/>
          <w:lang w:eastAsia="sk-SK"/>
        </w:rPr>
        <w:t>24 o zriadení jednotnej digitálnej brány v podmienkach SR</w:t>
      </w:r>
      <w:r w:rsidRPr="00945D41">
        <w:rPr>
          <w:rFonts w:ascii="Times New Roman" w:eastAsia="Times New Roman" w:hAnsi="Times New Roman"/>
          <w:sz w:val="24"/>
          <w:szCs w:val="24"/>
          <w:lang w:eastAsia="sk-SK"/>
        </w:rPr>
        <w:t xml:space="preserve">“, čo ÚPVII v tom čase nenamietal. Keďže podľa našich informácií sa Akčný plán nepripravoval a ÚNMS SR nemá na financovanie vyššie uvedených povinností a činností rozpočtovo kryté finančné prostriedky, navrhol ich financovanie uplatniť prostredníctvom projektu „Moderné technológie – </w:t>
      </w:r>
      <w:proofErr w:type="spellStart"/>
      <w:r w:rsidRPr="00945D41">
        <w:rPr>
          <w:rFonts w:ascii="Times New Roman" w:eastAsia="Times New Roman" w:hAnsi="Times New Roman"/>
          <w:sz w:val="24"/>
          <w:szCs w:val="24"/>
          <w:lang w:eastAsia="sk-SK"/>
        </w:rPr>
        <w:t>chatbot</w:t>
      </w:r>
      <w:proofErr w:type="spellEnd"/>
      <w:r w:rsidRPr="00945D41">
        <w:rPr>
          <w:rFonts w:ascii="Times New Roman" w:eastAsia="Times New Roman" w:hAnsi="Times New Roman"/>
          <w:sz w:val="24"/>
          <w:szCs w:val="24"/>
          <w:lang w:eastAsia="sk-SK"/>
        </w:rPr>
        <w:t xml:space="preserve"> v ÚNMS SR“.</w:t>
      </w:r>
      <w:r>
        <w:rPr>
          <w:rFonts w:ascii="Times New Roman" w:eastAsia="Times New Roman" w:hAnsi="Times New Roman"/>
          <w:sz w:val="24"/>
          <w:szCs w:val="24"/>
          <w:lang w:eastAsia="sk-SK"/>
        </w:rPr>
        <w:t xml:space="preserve"> </w:t>
      </w:r>
    </w:p>
    <w:p w14:paraId="7637AC81" w14:textId="77777777" w:rsidR="00D22CF6" w:rsidRPr="00166092" w:rsidRDefault="00D22CF6" w:rsidP="00D22CF6">
      <w:pPr>
        <w:spacing w:before="120"/>
        <w:jc w:val="both"/>
      </w:pPr>
      <w:r w:rsidRPr="00A4440A">
        <w:t>Vzhľadom na to, že aktuálne pracovné kapacity úradu nepostačujú na zabezpečenie vyššie uvedených nových právomocí v pozícii úradu ako notifikujúceho orgánu pre dva nové právne predpisy – hnojivá a </w:t>
      </w:r>
      <w:proofErr w:type="spellStart"/>
      <w:r w:rsidRPr="00A4440A">
        <w:t>drony</w:t>
      </w:r>
      <w:proofErr w:type="spellEnd"/>
      <w:r w:rsidRPr="00A4440A">
        <w:t xml:space="preserve">, </w:t>
      </w:r>
      <w:r>
        <w:t>ako aj vzhľadom na potrebu v</w:t>
      </w:r>
      <w:r w:rsidRPr="00166092">
        <w:t xml:space="preserve"> nasledujúcich rokoch udržiavať </w:t>
      </w:r>
      <w:r>
        <w:t>vyššie uvedenú</w:t>
      </w:r>
      <w:r w:rsidRPr="00166092">
        <w:t xml:space="preserve"> databázu </w:t>
      </w:r>
      <w:r>
        <w:t xml:space="preserve">obsahujúcu informácie o všetkých pravidlách a požiadavkách týkajúcich sa výrobkov platných v SR </w:t>
      </w:r>
      <w:r w:rsidRPr="00166092">
        <w:t>v aktuálnom stave a z dôvodu, že ÚNMS SR má poskytovať informácie o všetkých právnych predpisoch a požiadavkách na výrobky, ktoré sú aj v gescii iných rezortov</w:t>
      </w:r>
      <w:r>
        <w:t xml:space="preserve"> a zároveň bude poskytovať prostredníctvom </w:t>
      </w:r>
      <w:r w:rsidRPr="00166092">
        <w:t>Kontaktného miesta pre v</w:t>
      </w:r>
      <w:r>
        <w:t>ýrobky informácie</w:t>
      </w:r>
      <w:r w:rsidRPr="00166092">
        <w:t xml:space="preserve"> hospodárskym subjektom nielen o neharmonizovanej legislatíve </w:t>
      </w:r>
      <w:r w:rsidRPr="00456FEC">
        <w:t xml:space="preserve">týkajúcej sa výrobkov v Slovenskej republike ale aj o harmonizačných právnych predpisoch Európskej únie, </w:t>
      </w:r>
      <w:r w:rsidRPr="00A4440A">
        <w:t>t</w:t>
      </w:r>
      <w:r w:rsidRPr="00456FEC">
        <w:t>ieto činnosti budú personálne náročné, a teda predpokladáme vytvorenie 1 nového štátnozamestnaneckého miesta v stálej štátnej službe vo funkcii štátny radca.</w:t>
      </w:r>
    </w:p>
    <w:p w14:paraId="50E1C6A6" w14:textId="77777777" w:rsidR="00D22CF6" w:rsidRDefault="00D22CF6" w:rsidP="00D22CF6">
      <w:pPr>
        <w:spacing w:before="120"/>
        <w:jc w:val="both"/>
      </w:pPr>
    </w:p>
    <w:p w14:paraId="008EBCD4" w14:textId="77777777" w:rsidR="00D22CF6" w:rsidRDefault="00D22CF6" w:rsidP="00D22CF6">
      <w:pPr>
        <w:jc w:val="both"/>
      </w:pPr>
      <w:r w:rsidRPr="00BE5176">
        <w:t xml:space="preserve">Návrh zákona bude </w:t>
      </w:r>
      <w:r>
        <w:t>aplikovať</w:t>
      </w:r>
      <w:r w:rsidRPr="00914189">
        <w:t xml:space="preserve"> úrad v rámci svojich organizačných útvarov: </w:t>
      </w:r>
      <w:r>
        <w:t>odboru skúšobníctva a európskych záležitostí</w:t>
      </w:r>
      <w:r w:rsidRPr="00914189">
        <w:t xml:space="preserve"> a budú sa poskytovať služby</w:t>
      </w:r>
      <w:r>
        <w:t>, plniť povinnosti</w:t>
      </w:r>
      <w:r w:rsidRPr="00914189">
        <w:t xml:space="preserve"> </w:t>
      </w:r>
      <w:r>
        <w:t xml:space="preserve"> a vykonávať kontroly nad žiadateľmi o autorizáciu a notifikovanými osobami v </w:t>
      </w:r>
      <w:r w:rsidRPr="00914189">
        <w:t xml:space="preserve">zmysle </w:t>
      </w:r>
      <w:r>
        <w:t>návrhu</w:t>
      </w:r>
      <w:r w:rsidRPr="00914189">
        <w:t xml:space="preserve"> zákona a osobitných predpisov</w:t>
      </w:r>
      <w:r>
        <w:t xml:space="preserve"> uvedených vyššie (nariadenia (EÚ) 2019/1009,</w:t>
      </w:r>
      <w:r w:rsidRPr="007E4D03">
        <w:t xml:space="preserve"> nariadenia (EÚ) 2019/945</w:t>
      </w:r>
      <w:r>
        <w:t>, n</w:t>
      </w:r>
      <w:r w:rsidRPr="00AD03B1">
        <w:t>ariadenia (EÚ) 2019/1020</w:t>
      </w:r>
      <w:r>
        <w:t>,</w:t>
      </w:r>
      <w:r w:rsidRPr="007E4D03">
        <w:t xml:space="preserve"> nariadenia (EÚ) 2018/1724</w:t>
      </w:r>
      <w:r>
        <w:t>).</w:t>
      </w:r>
    </w:p>
    <w:p w14:paraId="7EEEC16A" w14:textId="77777777" w:rsidR="00D22CF6" w:rsidRDefault="00D22CF6" w:rsidP="00D22CF6">
      <w:pPr>
        <w:rPr>
          <w:b/>
          <w:bCs/>
        </w:rPr>
      </w:pPr>
      <w:r>
        <w:rPr>
          <w:b/>
          <w:bCs/>
        </w:rPr>
        <w:br w:type="page"/>
      </w:r>
    </w:p>
    <w:p w14:paraId="287F0CC0" w14:textId="77777777" w:rsidR="00D22CF6" w:rsidRPr="007D5748" w:rsidRDefault="00D22CF6" w:rsidP="00D22CF6">
      <w:pPr>
        <w:rPr>
          <w:b/>
          <w:bCs/>
        </w:rPr>
      </w:pPr>
      <w:r w:rsidRPr="007D5748">
        <w:rPr>
          <w:b/>
          <w:bCs/>
        </w:rPr>
        <w:lastRenderedPageBreak/>
        <w:t>2.2.2. Charakteristika návrhu:</w:t>
      </w:r>
    </w:p>
    <w:p w14:paraId="2D18EFE7" w14:textId="77777777" w:rsidR="00D22CF6" w:rsidRPr="007D5748" w:rsidRDefault="00D22CF6" w:rsidP="00D22CF6"/>
    <w:p w14:paraId="30B835B4" w14:textId="671573B5" w:rsidR="00D22CF6" w:rsidRPr="007D5748" w:rsidRDefault="00B873EC" w:rsidP="00D22CF6">
      <w:sdt>
        <w:sdtPr>
          <w:rPr>
            <w:b/>
          </w:rPr>
          <w:id w:val="159979178"/>
          <w14:checkbox>
            <w14:checked w14:val="0"/>
            <w14:checkedState w14:val="2612" w14:font="MS Gothic"/>
            <w14:uncheckedState w14:val="2610" w14:font="MS Gothic"/>
          </w14:checkbox>
        </w:sdtPr>
        <w:sdtEndPr/>
        <w:sdtContent>
          <w:r w:rsidR="002031CA">
            <w:rPr>
              <w:rFonts w:ascii="MS Gothic" w:eastAsia="MS Gothic" w:hAnsi="MS Gothic" w:hint="eastAsia"/>
              <w:b/>
            </w:rPr>
            <w:t>☐</w:t>
          </w:r>
        </w:sdtContent>
      </w:sdt>
      <w:r w:rsidR="00D22CF6" w:rsidRPr="007D5748">
        <w:rPr>
          <w:b/>
        </w:rPr>
        <w:t xml:space="preserve"> </w:t>
      </w:r>
      <w:r w:rsidR="00D22CF6" w:rsidRPr="007D5748">
        <w:t>zmena sadzby</w:t>
      </w:r>
    </w:p>
    <w:p w14:paraId="25F10A7E" w14:textId="71DE054D" w:rsidR="00D22CF6" w:rsidRPr="007D5748" w:rsidRDefault="00B873EC" w:rsidP="00D22CF6">
      <w:sdt>
        <w:sdtPr>
          <w:id w:val="-1508130711"/>
          <w14:checkbox>
            <w14:checked w14:val="0"/>
            <w14:checkedState w14:val="2612" w14:font="MS Gothic"/>
            <w14:uncheckedState w14:val="2610" w14:font="MS Gothic"/>
          </w14:checkbox>
        </w:sdtPr>
        <w:sdtEndPr/>
        <w:sdtContent>
          <w:r w:rsidR="002031CA">
            <w:rPr>
              <w:rFonts w:ascii="MS Gothic" w:eastAsia="MS Gothic" w:hAnsi="MS Gothic" w:hint="eastAsia"/>
            </w:rPr>
            <w:t>☐</w:t>
          </w:r>
        </w:sdtContent>
      </w:sdt>
      <w:r w:rsidR="00D22CF6" w:rsidRPr="007D5748">
        <w:t xml:space="preserve"> zmena v nároku</w:t>
      </w:r>
    </w:p>
    <w:p w14:paraId="2B2C3DEB" w14:textId="47B73E6E" w:rsidR="00D22CF6" w:rsidRPr="007D5748" w:rsidRDefault="00B873EC" w:rsidP="00D22CF6">
      <w:sdt>
        <w:sdtPr>
          <w:id w:val="879133493"/>
          <w14:checkbox>
            <w14:checked w14:val="1"/>
            <w14:checkedState w14:val="2612" w14:font="MS Gothic"/>
            <w14:uncheckedState w14:val="2610" w14:font="MS Gothic"/>
          </w14:checkbox>
        </w:sdtPr>
        <w:sdtEndPr/>
        <w:sdtContent>
          <w:r w:rsidR="002031CA">
            <w:rPr>
              <w:rFonts w:ascii="MS Gothic" w:eastAsia="MS Gothic" w:hAnsi="MS Gothic" w:hint="eastAsia"/>
            </w:rPr>
            <w:t>☒</w:t>
          </w:r>
        </w:sdtContent>
      </w:sdt>
      <w:r w:rsidR="00D22CF6" w:rsidRPr="007D5748">
        <w:t xml:space="preserve"> nová služba alebo nariadenie (alebo ich zrušenie)</w:t>
      </w:r>
    </w:p>
    <w:p w14:paraId="5B503869" w14:textId="11D05F88" w:rsidR="00D22CF6" w:rsidRPr="007D5748" w:rsidRDefault="00B873EC" w:rsidP="00D22CF6">
      <w:sdt>
        <w:sdtPr>
          <w:id w:val="-422724992"/>
          <w14:checkbox>
            <w14:checked w14:val="0"/>
            <w14:checkedState w14:val="2612" w14:font="MS Gothic"/>
            <w14:uncheckedState w14:val="2610" w14:font="MS Gothic"/>
          </w14:checkbox>
        </w:sdtPr>
        <w:sdtEndPr/>
        <w:sdtContent>
          <w:r w:rsidR="002031CA">
            <w:rPr>
              <w:rFonts w:ascii="MS Gothic" w:eastAsia="MS Gothic" w:hAnsi="MS Gothic" w:hint="eastAsia"/>
            </w:rPr>
            <w:t>☐</w:t>
          </w:r>
        </w:sdtContent>
      </w:sdt>
      <w:r w:rsidR="00D22CF6" w:rsidRPr="007D5748">
        <w:t xml:space="preserve"> kombinovaný návrh</w:t>
      </w:r>
    </w:p>
    <w:p w14:paraId="2F90FE65" w14:textId="22F61148" w:rsidR="00D22CF6" w:rsidRPr="007D5748" w:rsidRDefault="00B873EC" w:rsidP="00D22CF6">
      <w:sdt>
        <w:sdtPr>
          <w:id w:val="889769463"/>
          <w14:checkbox>
            <w14:checked w14:val="1"/>
            <w14:checkedState w14:val="2612" w14:font="MS Gothic"/>
            <w14:uncheckedState w14:val="2610" w14:font="MS Gothic"/>
          </w14:checkbox>
        </w:sdtPr>
        <w:sdtEndPr/>
        <w:sdtContent>
          <w:r w:rsidR="002031CA">
            <w:rPr>
              <w:rFonts w:ascii="MS Gothic" w:eastAsia="MS Gothic" w:hAnsi="MS Gothic" w:hint="eastAsia"/>
            </w:rPr>
            <w:t>☒</w:t>
          </w:r>
        </w:sdtContent>
      </w:sdt>
      <w:r w:rsidR="00D22CF6" w:rsidRPr="007D5748">
        <w:t xml:space="preserve"> iné </w:t>
      </w:r>
    </w:p>
    <w:p w14:paraId="687C31E5" w14:textId="77777777" w:rsidR="00D22CF6" w:rsidRPr="007D5748" w:rsidRDefault="00D22CF6" w:rsidP="00D22CF6"/>
    <w:p w14:paraId="7F9309C9" w14:textId="77777777" w:rsidR="00D22CF6" w:rsidRPr="007D5748" w:rsidRDefault="00D22CF6" w:rsidP="00D22CF6"/>
    <w:p w14:paraId="46EB5DEE" w14:textId="77777777" w:rsidR="00D22CF6" w:rsidRPr="007D5748" w:rsidRDefault="00D22CF6" w:rsidP="00D22CF6">
      <w:r w:rsidRPr="007D5748">
        <w:rPr>
          <w:b/>
          <w:bCs/>
        </w:rPr>
        <w:t>2.2.3. Predpoklady vývoja objemu aktivít:</w:t>
      </w:r>
    </w:p>
    <w:p w14:paraId="4E7F3B51" w14:textId="77777777" w:rsidR="00D22CF6" w:rsidRPr="007D5748" w:rsidRDefault="00D22CF6" w:rsidP="00D22CF6"/>
    <w:p w14:paraId="021373B0" w14:textId="77777777" w:rsidR="00D22CF6" w:rsidRPr="007D5748" w:rsidRDefault="00D22CF6" w:rsidP="00D22CF6">
      <w:pPr>
        <w:ind w:firstLine="708"/>
        <w:jc w:val="both"/>
      </w:pPr>
      <w:r w:rsidRPr="007D5748">
        <w:t>Jasne popíšte, v prípade potreby použite nižšie uvedenú tabuľku. Uveďte aj odhady základov daní a/alebo poplatkov, ak sa ich táto zmena týka.</w:t>
      </w:r>
    </w:p>
    <w:p w14:paraId="3F49D192" w14:textId="7A805EDB" w:rsidR="00D22CF6" w:rsidRPr="007D5748" w:rsidRDefault="00D22CF6" w:rsidP="00D22CF6">
      <w:pPr>
        <w:jc w:val="right"/>
        <w:rPr>
          <w:sz w:val="20"/>
          <w:szCs w:val="20"/>
        </w:rPr>
      </w:pPr>
      <w:r w:rsidRPr="007D5748">
        <w:rPr>
          <w:sz w:val="20"/>
          <w:szCs w:val="20"/>
        </w:rPr>
        <w:t xml:space="preserve">Tabuľka </w:t>
      </w:r>
      <w:r w:rsidR="002F69ED">
        <w:rPr>
          <w:sz w:val="20"/>
          <w:szCs w:val="20"/>
        </w:rPr>
        <w:t>č. </w:t>
      </w:r>
      <w:r w:rsidRPr="007D5748">
        <w:rPr>
          <w:sz w:val="20"/>
          <w:szCs w:val="20"/>
        </w:rPr>
        <w:t xml:space="preserve">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D22CF6" w:rsidRPr="007D5748" w14:paraId="40E4D00B" w14:textId="77777777" w:rsidTr="00D22CF6">
        <w:trPr>
          <w:cantSplit/>
          <w:trHeight w:val="70"/>
        </w:trPr>
        <w:tc>
          <w:tcPr>
            <w:tcW w:w="4530" w:type="dxa"/>
            <w:vMerge w:val="restart"/>
            <w:shd w:val="clear" w:color="auto" w:fill="BFBFBF" w:themeFill="background1" w:themeFillShade="BF"/>
            <w:vAlign w:val="center"/>
          </w:tcPr>
          <w:p w14:paraId="0DF9B572" w14:textId="77777777" w:rsidR="00D22CF6" w:rsidRPr="007D5748" w:rsidRDefault="00D22CF6" w:rsidP="00D22CF6">
            <w:pPr>
              <w:autoSpaceDE w:val="0"/>
              <w:autoSpaceDN w:val="0"/>
              <w:jc w:val="center"/>
              <w:rPr>
                <w:b/>
                <w:bCs/>
              </w:rPr>
            </w:pPr>
            <w:r w:rsidRPr="007D5748">
              <w:rPr>
                <w:b/>
                <w:bCs/>
              </w:rPr>
              <w:t>Objem aktivít</w:t>
            </w:r>
          </w:p>
        </w:tc>
        <w:tc>
          <w:tcPr>
            <w:tcW w:w="4536" w:type="dxa"/>
            <w:gridSpan w:val="4"/>
            <w:shd w:val="clear" w:color="auto" w:fill="BFBFBF" w:themeFill="background1" w:themeFillShade="BF"/>
            <w:vAlign w:val="center"/>
          </w:tcPr>
          <w:p w14:paraId="3FB29401" w14:textId="77777777" w:rsidR="00D22CF6" w:rsidRPr="007D5748" w:rsidRDefault="00D22CF6" w:rsidP="00D22CF6">
            <w:pPr>
              <w:autoSpaceDE w:val="0"/>
              <w:autoSpaceDN w:val="0"/>
              <w:jc w:val="center"/>
              <w:rPr>
                <w:b/>
                <w:bCs/>
              </w:rPr>
            </w:pPr>
            <w:r w:rsidRPr="007D5748">
              <w:rPr>
                <w:b/>
                <w:bCs/>
              </w:rPr>
              <w:t>Odhadované objemy</w:t>
            </w:r>
          </w:p>
        </w:tc>
      </w:tr>
      <w:tr w:rsidR="00D22CF6" w:rsidRPr="007D5748" w14:paraId="376709BB" w14:textId="77777777" w:rsidTr="00D22CF6">
        <w:trPr>
          <w:cantSplit/>
          <w:trHeight w:val="70"/>
        </w:trPr>
        <w:tc>
          <w:tcPr>
            <w:tcW w:w="4530" w:type="dxa"/>
            <w:vMerge/>
            <w:shd w:val="clear" w:color="auto" w:fill="BFBFBF" w:themeFill="background1" w:themeFillShade="BF"/>
          </w:tcPr>
          <w:p w14:paraId="250DFC22" w14:textId="77777777" w:rsidR="00D22CF6" w:rsidRPr="007D5748" w:rsidRDefault="00D22CF6" w:rsidP="00D22CF6">
            <w:pPr>
              <w:autoSpaceDE w:val="0"/>
              <w:autoSpaceDN w:val="0"/>
              <w:jc w:val="center"/>
              <w:rPr>
                <w:b/>
                <w:bCs/>
              </w:rPr>
            </w:pPr>
          </w:p>
        </w:tc>
        <w:tc>
          <w:tcPr>
            <w:tcW w:w="1134" w:type="dxa"/>
            <w:shd w:val="clear" w:color="auto" w:fill="BFBFBF" w:themeFill="background1" w:themeFillShade="BF"/>
            <w:vAlign w:val="center"/>
          </w:tcPr>
          <w:p w14:paraId="248E586E" w14:textId="77777777" w:rsidR="00D22CF6" w:rsidRPr="007D5748" w:rsidRDefault="00D22CF6" w:rsidP="00D22CF6">
            <w:pPr>
              <w:autoSpaceDE w:val="0"/>
              <w:autoSpaceDN w:val="0"/>
              <w:jc w:val="center"/>
              <w:rPr>
                <w:b/>
                <w:bCs/>
              </w:rPr>
            </w:pPr>
            <w:r>
              <w:rPr>
                <w:b/>
                <w:bCs/>
              </w:rPr>
              <w:t>2020</w:t>
            </w:r>
          </w:p>
        </w:tc>
        <w:tc>
          <w:tcPr>
            <w:tcW w:w="1134" w:type="dxa"/>
            <w:shd w:val="clear" w:color="auto" w:fill="BFBFBF" w:themeFill="background1" w:themeFillShade="BF"/>
            <w:vAlign w:val="center"/>
          </w:tcPr>
          <w:p w14:paraId="03E330A8" w14:textId="77777777" w:rsidR="00D22CF6" w:rsidRPr="007D5748" w:rsidRDefault="00D22CF6" w:rsidP="00D22CF6">
            <w:pPr>
              <w:autoSpaceDE w:val="0"/>
              <w:autoSpaceDN w:val="0"/>
              <w:jc w:val="center"/>
              <w:rPr>
                <w:b/>
                <w:bCs/>
              </w:rPr>
            </w:pPr>
            <w:r>
              <w:rPr>
                <w:b/>
                <w:bCs/>
              </w:rPr>
              <w:t>202</w:t>
            </w:r>
            <w:r w:rsidRPr="007D5748">
              <w:rPr>
                <w:b/>
                <w:bCs/>
              </w:rPr>
              <w:t>1</w:t>
            </w:r>
          </w:p>
        </w:tc>
        <w:tc>
          <w:tcPr>
            <w:tcW w:w="1134" w:type="dxa"/>
            <w:shd w:val="clear" w:color="auto" w:fill="BFBFBF" w:themeFill="background1" w:themeFillShade="BF"/>
            <w:vAlign w:val="center"/>
          </w:tcPr>
          <w:p w14:paraId="3DCE5574" w14:textId="77777777" w:rsidR="00D22CF6" w:rsidRPr="007D5748" w:rsidRDefault="00D22CF6" w:rsidP="00D22CF6">
            <w:pPr>
              <w:autoSpaceDE w:val="0"/>
              <w:autoSpaceDN w:val="0"/>
              <w:jc w:val="center"/>
              <w:rPr>
                <w:b/>
                <w:bCs/>
              </w:rPr>
            </w:pPr>
            <w:r>
              <w:rPr>
                <w:b/>
                <w:bCs/>
              </w:rPr>
              <w:t>202</w:t>
            </w:r>
            <w:r w:rsidRPr="007D5748">
              <w:rPr>
                <w:b/>
                <w:bCs/>
              </w:rPr>
              <w:t>2</w:t>
            </w:r>
          </w:p>
        </w:tc>
        <w:tc>
          <w:tcPr>
            <w:tcW w:w="1134" w:type="dxa"/>
            <w:shd w:val="clear" w:color="auto" w:fill="BFBFBF" w:themeFill="background1" w:themeFillShade="BF"/>
            <w:vAlign w:val="center"/>
          </w:tcPr>
          <w:p w14:paraId="2FB1145D" w14:textId="77777777" w:rsidR="00D22CF6" w:rsidRPr="007D5748" w:rsidRDefault="00D22CF6" w:rsidP="00D22CF6">
            <w:pPr>
              <w:autoSpaceDE w:val="0"/>
              <w:autoSpaceDN w:val="0"/>
              <w:jc w:val="center"/>
              <w:rPr>
                <w:b/>
                <w:bCs/>
              </w:rPr>
            </w:pPr>
            <w:r>
              <w:rPr>
                <w:b/>
                <w:bCs/>
              </w:rPr>
              <w:t>202</w:t>
            </w:r>
            <w:r w:rsidRPr="007D5748">
              <w:rPr>
                <w:b/>
                <w:bCs/>
              </w:rPr>
              <w:t>3</w:t>
            </w:r>
          </w:p>
        </w:tc>
      </w:tr>
      <w:tr w:rsidR="00D22CF6" w:rsidRPr="007D5748" w14:paraId="63E134C8" w14:textId="77777777" w:rsidTr="00D22CF6">
        <w:trPr>
          <w:trHeight w:val="70"/>
        </w:trPr>
        <w:tc>
          <w:tcPr>
            <w:tcW w:w="4530" w:type="dxa"/>
          </w:tcPr>
          <w:p w14:paraId="06ED0B87" w14:textId="77777777" w:rsidR="00D22CF6" w:rsidRPr="007D5748" w:rsidRDefault="00D22CF6" w:rsidP="00D22CF6">
            <w:pPr>
              <w:autoSpaceDE w:val="0"/>
              <w:autoSpaceDN w:val="0"/>
              <w:rPr>
                <w:color w:val="000000"/>
              </w:rPr>
            </w:pPr>
            <w:r>
              <w:rPr>
                <w:color w:val="000000"/>
              </w:rPr>
              <w:t xml:space="preserve">Osobné výdavky na 1 zamestnanca na plnenie úloh uvedených v bode 2.2.1. </w:t>
            </w:r>
          </w:p>
        </w:tc>
        <w:tc>
          <w:tcPr>
            <w:tcW w:w="1134" w:type="dxa"/>
          </w:tcPr>
          <w:p w14:paraId="4EDFDD2F" w14:textId="77777777" w:rsidR="00D22CF6" w:rsidRPr="007D5748" w:rsidRDefault="00D22CF6" w:rsidP="00D22CF6">
            <w:pPr>
              <w:autoSpaceDE w:val="0"/>
              <w:autoSpaceDN w:val="0"/>
              <w:jc w:val="right"/>
              <w:rPr>
                <w:color w:val="000000"/>
              </w:rPr>
            </w:pPr>
            <w:r>
              <w:rPr>
                <w:color w:val="000000"/>
              </w:rPr>
              <w:t>0</w:t>
            </w:r>
          </w:p>
        </w:tc>
        <w:tc>
          <w:tcPr>
            <w:tcW w:w="1134" w:type="dxa"/>
          </w:tcPr>
          <w:p w14:paraId="7D35352E" w14:textId="77777777" w:rsidR="00D22CF6" w:rsidRPr="007D5748" w:rsidRDefault="00D22CF6" w:rsidP="00D22CF6">
            <w:pPr>
              <w:autoSpaceDE w:val="0"/>
              <w:autoSpaceDN w:val="0"/>
              <w:jc w:val="right"/>
              <w:rPr>
                <w:color w:val="000000"/>
              </w:rPr>
            </w:pPr>
            <w:r>
              <w:rPr>
                <w:color w:val="000000"/>
              </w:rPr>
              <w:t>33.570</w:t>
            </w:r>
          </w:p>
        </w:tc>
        <w:tc>
          <w:tcPr>
            <w:tcW w:w="1134" w:type="dxa"/>
          </w:tcPr>
          <w:p w14:paraId="7D460F22" w14:textId="77777777" w:rsidR="00D22CF6" w:rsidRPr="007D5748" w:rsidRDefault="00D22CF6" w:rsidP="00D22CF6">
            <w:pPr>
              <w:autoSpaceDE w:val="0"/>
              <w:autoSpaceDN w:val="0"/>
              <w:jc w:val="right"/>
              <w:rPr>
                <w:color w:val="000000"/>
              </w:rPr>
            </w:pPr>
            <w:r>
              <w:rPr>
                <w:color w:val="000000"/>
              </w:rPr>
              <w:t>33.570</w:t>
            </w:r>
          </w:p>
        </w:tc>
        <w:tc>
          <w:tcPr>
            <w:tcW w:w="1134" w:type="dxa"/>
          </w:tcPr>
          <w:p w14:paraId="03BF7B13" w14:textId="77777777" w:rsidR="00D22CF6" w:rsidRPr="007D5748" w:rsidRDefault="00D22CF6" w:rsidP="00D22CF6">
            <w:pPr>
              <w:autoSpaceDE w:val="0"/>
              <w:autoSpaceDN w:val="0"/>
              <w:jc w:val="right"/>
              <w:rPr>
                <w:color w:val="000000"/>
              </w:rPr>
            </w:pPr>
            <w:r>
              <w:rPr>
                <w:color w:val="000000"/>
              </w:rPr>
              <w:t>33.570</w:t>
            </w:r>
          </w:p>
        </w:tc>
      </w:tr>
    </w:tbl>
    <w:p w14:paraId="51B2D54A" w14:textId="77777777" w:rsidR="00D22CF6" w:rsidRPr="007D5748" w:rsidRDefault="00D22CF6" w:rsidP="00D22CF6"/>
    <w:p w14:paraId="54AD62A8" w14:textId="77777777" w:rsidR="00D22CF6" w:rsidRPr="007D5748" w:rsidRDefault="00D22CF6" w:rsidP="00D22CF6"/>
    <w:p w14:paraId="1AAE9AA7" w14:textId="77777777" w:rsidR="00D22CF6" w:rsidRPr="007D5748" w:rsidRDefault="00D22CF6" w:rsidP="00D22CF6">
      <w:pPr>
        <w:rPr>
          <w:b/>
          <w:bCs/>
        </w:rPr>
      </w:pPr>
      <w:r w:rsidRPr="007D5748">
        <w:rPr>
          <w:b/>
          <w:bCs/>
        </w:rPr>
        <w:t>2.2.4. Výpočty vplyvov na verejné financie</w:t>
      </w:r>
    </w:p>
    <w:p w14:paraId="376FC76B" w14:textId="77777777" w:rsidR="00D22CF6" w:rsidRPr="007D5748" w:rsidRDefault="00D22CF6" w:rsidP="00D22CF6"/>
    <w:p w14:paraId="56422A0A" w14:textId="77777777" w:rsidR="00D22CF6" w:rsidRPr="00F404FF" w:rsidRDefault="00D22CF6" w:rsidP="00D22CF6">
      <w:pPr>
        <w:jc w:val="both"/>
      </w:pPr>
      <w:r w:rsidRPr="00F404FF">
        <w:t xml:space="preserve">Pri vyčísľovaní vplyvov na rozpočet verejnej správy sme vychádzali z údajov poskytnutých príslušnou kapitolou. </w:t>
      </w:r>
    </w:p>
    <w:p w14:paraId="43539720" w14:textId="77777777" w:rsidR="00D22CF6" w:rsidRPr="00F404FF" w:rsidRDefault="00D22CF6" w:rsidP="00D22CF6">
      <w:pPr>
        <w:jc w:val="both"/>
      </w:pPr>
    </w:p>
    <w:p w14:paraId="78D98A20" w14:textId="77777777" w:rsidR="00D22CF6" w:rsidRPr="00F404FF" w:rsidRDefault="00D22CF6" w:rsidP="00D22CF6">
      <w:pPr>
        <w:jc w:val="both"/>
      </w:pPr>
      <w:r w:rsidRPr="00F404FF">
        <w:t>ÚNMS SR:</w:t>
      </w:r>
    </w:p>
    <w:p w14:paraId="4C94F638" w14:textId="77777777" w:rsidR="00D22CF6" w:rsidRPr="00F404FF" w:rsidRDefault="00D22CF6" w:rsidP="00D22CF6">
      <w:pPr>
        <w:jc w:val="both"/>
      </w:pPr>
    </w:p>
    <w:p w14:paraId="09B6A148" w14:textId="77777777" w:rsidR="00D22CF6" w:rsidRPr="00F404FF" w:rsidRDefault="00D22CF6" w:rsidP="00D22CF6">
      <w:pPr>
        <w:jc w:val="both"/>
      </w:pPr>
      <w:r w:rsidRPr="00F404FF">
        <w:t xml:space="preserve">Pri vyčísľovaní nákladov sa vychádzalo z priemernej mzdy zamestnanca. Náklady na jedného zamestnanca </w:t>
      </w:r>
      <w:r>
        <w:t>ÚNMS</w:t>
      </w:r>
      <w:r w:rsidRPr="00F404FF">
        <w:t xml:space="preserve"> SR predstavujú približne sumu </w:t>
      </w:r>
      <w:r>
        <w:rPr>
          <w:color w:val="000000"/>
        </w:rPr>
        <w:t xml:space="preserve">33.570 </w:t>
      </w:r>
      <w:r w:rsidRPr="00F404FF">
        <w:t>€ ročne z toho na:</w:t>
      </w:r>
    </w:p>
    <w:p w14:paraId="3E55FFF4" w14:textId="78804E85" w:rsidR="00D22CF6" w:rsidRPr="00F404FF" w:rsidRDefault="00D22CF6" w:rsidP="00D22CF6">
      <w:pPr>
        <w:jc w:val="both"/>
      </w:pPr>
      <w:r w:rsidRPr="00F404FF">
        <w:tab/>
      </w:r>
      <w:r w:rsidRPr="00F404FF">
        <w:t></w:t>
      </w:r>
      <w:r w:rsidRPr="00F404FF">
        <w:tab/>
        <w:t xml:space="preserve">mzdy (610) cca </w:t>
      </w:r>
      <w:r>
        <w:t>24 876</w:t>
      </w:r>
      <w:r w:rsidRPr="00F404FF">
        <w:t xml:space="preserve"> €</w:t>
      </w:r>
      <w:r>
        <w:t>;</w:t>
      </w:r>
    </w:p>
    <w:p w14:paraId="04490158" w14:textId="77777777" w:rsidR="00D22CF6" w:rsidRPr="00F404FF" w:rsidRDefault="00D22CF6" w:rsidP="00D22CF6">
      <w:pPr>
        <w:jc w:val="both"/>
      </w:pPr>
      <w:r w:rsidRPr="00F404FF">
        <w:tab/>
      </w:r>
      <w:r w:rsidRPr="00F404FF">
        <w:t></w:t>
      </w:r>
      <w:r w:rsidRPr="00F404FF">
        <w:tab/>
        <w:t xml:space="preserve">odvody (620) cca </w:t>
      </w:r>
      <w:r>
        <w:t xml:space="preserve">8 694 </w:t>
      </w:r>
      <w:r w:rsidRPr="00F404FF">
        <w:t>€.</w:t>
      </w:r>
    </w:p>
    <w:p w14:paraId="7FC54E4D" w14:textId="77777777" w:rsidR="00D22CF6" w:rsidRPr="00F404FF" w:rsidRDefault="00D22CF6" w:rsidP="00D22CF6">
      <w:pPr>
        <w:jc w:val="both"/>
      </w:pPr>
    </w:p>
    <w:p w14:paraId="77397A85" w14:textId="5E577B2C" w:rsidR="006668AA" w:rsidRDefault="00D22CF6" w:rsidP="00D22CF6">
      <w:pPr>
        <w:jc w:val="both"/>
      </w:pPr>
      <w:r w:rsidRPr="00F404FF">
        <w:t xml:space="preserve">Pri navýšení počtu zamestnancov </w:t>
      </w:r>
      <w:r>
        <w:t>ÚNMS</w:t>
      </w:r>
      <w:r w:rsidRPr="00F404FF">
        <w:t xml:space="preserve"> SR o </w:t>
      </w:r>
      <w:r>
        <w:t>jedného</w:t>
      </w:r>
      <w:r w:rsidRPr="00F404FF">
        <w:t xml:space="preserve"> zamestnanc</w:t>
      </w:r>
      <w:r>
        <w:t>a</w:t>
      </w:r>
      <w:r w:rsidRPr="00F404FF">
        <w:t xml:space="preserve"> sa predpokladá nárast výdavkov kapitoly o</w:t>
      </w:r>
      <w:r>
        <w:t> </w:t>
      </w:r>
      <w:r>
        <w:rPr>
          <w:color w:val="000000"/>
        </w:rPr>
        <w:t>33.570</w:t>
      </w:r>
      <w:r w:rsidRPr="00F404FF">
        <w:t xml:space="preserve"> €. </w:t>
      </w:r>
      <w:r>
        <w:t>Z dôvodu, že nariadenie</w:t>
      </w:r>
      <w:r w:rsidRPr="00BB4254">
        <w:t xml:space="preserve"> (EÚ) 2018/1724 sa uplat</w:t>
      </w:r>
      <w:r>
        <w:t>ňuje</w:t>
      </w:r>
      <w:r w:rsidRPr="00BB4254">
        <w:t xml:space="preserve"> už od </w:t>
      </w:r>
      <w:r>
        <w:t>12.</w:t>
      </w:r>
      <w:r w:rsidR="002031CA">
        <w:t> </w:t>
      </w:r>
      <w:r w:rsidRPr="00BB4254">
        <w:t xml:space="preserve">decembra 2020 </w:t>
      </w:r>
      <w:r>
        <w:t>je v</w:t>
      </w:r>
      <w:r w:rsidRPr="00396AF5">
        <w:t xml:space="preserve">plyv na rozpočet verejnej správy </w:t>
      </w:r>
      <w:r>
        <w:t>počítaný na celý rok 2021 a t</w:t>
      </w:r>
      <w:r w:rsidRPr="00A4440A">
        <w:t>ento zákon nadobúda účinnosť dňom vyhlásenia, okrem článku I, II a III prvého bodu, ktoré nadobúdajú účinnosť 16. júla 2021.</w:t>
      </w:r>
    </w:p>
    <w:p w14:paraId="73C12CED" w14:textId="77777777" w:rsidR="006668AA" w:rsidRDefault="006668AA" w:rsidP="00D22CF6">
      <w:pPr>
        <w:jc w:val="both"/>
        <w:sectPr w:rsidR="006668AA" w:rsidSect="00825E8F">
          <w:headerReference w:type="even" r:id="rId9"/>
          <w:footerReference w:type="even" r:id="rId10"/>
          <w:footerReference w:type="default" r:id="rId11"/>
          <w:headerReference w:type="first" r:id="rId12"/>
          <w:footerReference w:type="first" r:id="rId13"/>
          <w:pgSz w:w="11906" w:h="16838"/>
          <w:pgMar w:top="1417" w:right="1417" w:bottom="1276" w:left="1417" w:header="708" w:footer="708" w:gutter="0"/>
          <w:pgNumType w:start="21"/>
          <w:cols w:space="708"/>
          <w:docGrid w:linePitch="360"/>
        </w:sectPr>
      </w:pPr>
    </w:p>
    <w:p w14:paraId="7D0DD6EB" w14:textId="5D1D3581" w:rsidR="00D22CF6" w:rsidRPr="007D5748" w:rsidRDefault="00D22CF6" w:rsidP="00D22CF6">
      <w:pPr>
        <w:tabs>
          <w:tab w:val="num" w:pos="1080"/>
        </w:tabs>
        <w:jc w:val="right"/>
        <w:rPr>
          <w:bCs/>
        </w:rPr>
      </w:pPr>
      <w:r w:rsidRPr="007D5748">
        <w:rPr>
          <w:bCs/>
        </w:rPr>
        <w:lastRenderedPageBreak/>
        <w:t xml:space="preserve">Tabuľka </w:t>
      </w:r>
      <w:r w:rsidR="002F69ED">
        <w:rPr>
          <w:bCs/>
        </w:rPr>
        <w:t>č. </w:t>
      </w:r>
      <w:r w:rsidRPr="007D5748">
        <w:rPr>
          <w:bCs/>
        </w:rPr>
        <w:t>3</w:t>
      </w:r>
    </w:p>
    <w:p w14:paraId="16FB0071" w14:textId="77777777" w:rsidR="00D22CF6" w:rsidRPr="007D5748" w:rsidRDefault="00D22CF6" w:rsidP="00D22CF6">
      <w:pPr>
        <w:tabs>
          <w:tab w:val="num" w:pos="1080"/>
        </w:tabs>
        <w:jc w:val="both"/>
        <w:rPr>
          <w:bCs/>
          <w:szCs w:val="20"/>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D22CF6" w:rsidRPr="007D5748" w14:paraId="60FEED36" w14:textId="77777777" w:rsidTr="00D22CF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4CA753" w14:textId="77777777" w:rsidR="00D22CF6" w:rsidRPr="007D5748" w:rsidRDefault="00D22CF6" w:rsidP="00D22CF6">
            <w:pPr>
              <w:jc w:val="center"/>
              <w:rPr>
                <w:b/>
                <w:bCs/>
              </w:rPr>
            </w:pPr>
            <w:r w:rsidRPr="007D5748">
              <w:rPr>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5BBDE70" w14:textId="77777777" w:rsidR="00D22CF6" w:rsidRPr="007D5748" w:rsidRDefault="00D22CF6" w:rsidP="00D22CF6">
            <w:pPr>
              <w:jc w:val="center"/>
              <w:rPr>
                <w:b/>
                <w:bCs/>
              </w:rPr>
            </w:pPr>
            <w:r w:rsidRPr="007D5748">
              <w:rPr>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03514CE0" w14:textId="77777777" w:rsidR="00D22CF6" w:rsidRPr="007D5748" w:rsidRDefault="00D22CF6" w:rsidP="00D22CF6">
            <w:pPr>
              <w:jc w:val="center"/>
              <w:rPr>
                <w:b/>
                <w:bCs/>
              </w:rPr>
            </w:pPr>
            <w:r w:rsidRPr="007D5748">
              <w:rPr>
                <w:b/>
                <w:bCs/>
              </w:rPr>
              <w:t>poznámka</w:t>
            </w:r>
          </w:p>
        </w:tc>
      </w:tr>
      <w:tr w:rsidR="00D22CF6" w:rsidRPr="007D5748" w14:paraId="00F895E2" w14:textId="77777777" w:rsidTr="00D22CF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2EDF2788" w14:textId="77777777" w:rsidR="00D22CF6" w:rsidRPr="007D5748" w:rsidRDefault="00D22CF6" w:rsidP="00D22CF6">
            <w:pPr>
              <w:rPr>
                <w:b/>
                <w:bCs/>
                <w:color w:val="FFFFFF"/>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1FC6100" w14:textId="77777777" w:rsidR="00D22CF6" w:rsidRPr="007D5748" w:rsidRDefault="00D22CF6" w:rsidP="00D22CF6">
            <w:pPr>
              <w:jc w:val="center"/>
              <w:rPr>
                <w:b/>
                <w:bCs/>
              </w:rPr>
            </w:pPr>
            <w:r>
              <w:rPr>
                <w:b/>
                <w:bCs/>
              </w:rPr>
              <w:t>2020</w:t>
            </w:r>
          </w:p>
        </w:tc>
        <w:tc>
          <w:tcPr>
            <w:tcW w:w="1500" w:type="dxa"/>
            <w:tcBorders>
              <w:top w:val="nil"/>
              <w:left w:val="nil"/>
              <w:bottom w:val="single" w:sz="4" w:space="0" w:color="auto"/>
              <w:right w:val="single" w:sz="4" w:space="0" w:color="auto"/>
            </w:tcBorders>
            <w:shd w:val="clear" w:color="auto" w:fill="BFBFBF" w:themeFill="background1" w:themeFillShade="BF"/>
          </w:tcPr>
          <w:p w14:paraId="0A22199D" w14:textId="77777777" w:rsidR="00D22CF6" w:rsidRPr="007D5748" w:rsidRDefault="00D22CF6" w:rsidP="00D22CF6">
            <w:pPr>
              <w:jc w:val="center"/>
              <w:rPr>
                <w:b/>
                <w:bCs/>
              </w:rPr>
            </w:pPr>
            <w:r>
              <w:rPr>
                <w:b/>
                <w:bCs/>
              </w:rPr>
              <w:t>202</w:t>
            </w:r>
            <w:r w:rsidRPr="007D5748">
              <w:rPr>
                <w:b/>
                <w:bCs/>
              </w:rPr>
              <w:t>1</w:t>
            </w:r>
          </w:p>
        </w:tc>
        <w:tc>
          <w:tcPr>
            <w:tcW w:w="1500" w:type="dxa"/>
            <w:tcBorders>
              <w:top w:val="nil"/>
              <w:left w:val="nil"/>
              <w:bottom w:val="single" w:sz="4" w:space="0" w:color="auto"/>
              <w:right w:val="single" w:sz="4" w:space="0" w:color="auto"/>
            </w:tcBorders>
            <w:shd w:val="clear" w:color="auto" w:fill="BFBFBF" w:themeFill="background1" w:themeFillShade="BF"/>
          </w:tcPr>
          <w:p w14:paraId="593D62FE" w14:textId="77777777" w:rsidR="00D22CF6" w:rsidRPr="007D5748" w:rsidRDefault="00D22CF6" w:rsidP="00D22CF6">
            <w:pPr>
              <w:jc w:val="center"/>
              <w:rPr>
                <w:b/>
                <w:bCs/>
              </w:rPr>
            </w:pPr>
            <w:r>
              <w:rPr>
                <w:b/>
                <w:bCs/>
              </w:rPr>
              <w:t>202</w:t>
            </w:r>
            <w:r w:rsidRPr="007D5748">
              <w:rPr>
                <w:b/>
                <w:bCs/>
              </w:rPr>
              <w:t>2</w:t>
            </w:r>
          </w:p>
        </w:tc>
        <w:tc>
          <w:tcPr>
            <w:tcW w:w="1500" w:type="dxa"/>
            <w:tcBorders>
              <w:top w:val="nil"/>
              <w:left w:val="nil"/>
              <w:bottom w:val="single" w:sz="4" w:space="0" w:color="auto"/>
              <w:right w:val="single" w:sz="4" w:space="0" w:color="auto"/>
            </w:tcBorders>
            <w:shd w:val="clear" w:color="auto" w:fill="BFBFBF" w:themeFill="background1" w:themeFillShade="BF"/>
          </w:tcPr>
          <w:p w14:paraId="230B84A4" w14:textId="77777777" w:rsidR="00D22CF6" w:rsidRPr="007D5748" w:rsidRDefault="00D22CF6" w:rsidP="00D22CF6">
            <w:pPr>
              <w:jc w:val="center"/>
              <w:rPr>
                <w:b/>
                <w:bCs/>
              </w:rPr>
            </w:pPr>
            <w:r>
              <w:rPr>
                <w:b/>
                <w:bCs/>
              </w:rPr>
              <w:t>202</w:t>
            </w:r>
            <w:r w:rsidRPr="007D5748">
              <w:rPr>
                <w:b/>
                <w:bCs/>
              </w:rPr>
              <w:t>3</w:t>
            </w:r>
          </w:p>
        </w:tc>
        <w:tc>
          <w:tcPr>
            <w:tcW w:w="3000" w:type="dxa"/>
            <w:vMerge/>
            <w:tcBorders>
              <w:top w:val="single" w:sz="4" w:space="0" w:color="auto"/>
              <w:left w:val="single" w:sz="4" w:space="0" w:color="auto"/>
              <w:bottom w:val="single" w:sz="4" w:space="0" w:color="auto"/>
              <w:right w:val="single" w:sz="4" w:space="0" w:color="auto"/>
            </w:tcBorders>
            <w:vAlign w:val="center"/>
          </w:tcPr>
          <w:p w14:paraId="0BEC3D4E" w14:textId="77777777" w:rsidR="00D22CF6" w:rsidRPr="007D5748" w:rsidRDefault="00D22CF6" w:rsidP="00D22CF6">
            <w:pPr>
              <w:rPr>
                <w:b/>
                <w:bCs/>
                <w:color w:val="FFFFFF"/>
              </w:rPr>
            </w:pPr>
          </w:p>
        </w:tc>
      </w:tr>
      <w:tr w:rsidR="00D22CF6" w:rsidRPr="007D5748" w14:paraId="4A515DB2" w14:textId="77777777" w:rsidTr="00D22CF6">
        <w:trPr>
          <w:trHeight w:val="255"/>
        </w:trPr>
        <w:tc>
          <w:tcPr>
            <w:tcW w:w="4950" w:type="dxa"/>
            <w:tcBorders>
              <w:top w:val="nil"/>
              <w:left w:val="single" w:sz="4" w:space="0" w:color="auto"/>
              <w:bottom w:val="single" w:sz="4" w:space="0" w:color="auto"/>
              <w:right w:val="single" w:sz="4" w:space="0" w:color="auto"/>
            </w:tcBorders>
          </w:tcPr>
          <w:p w14:paraId="5B9AA996" w14:textId="77777777" w:rsidR="00D22CF6" w:rsidRPr="007D5748" w:rsidRDefault="00D22CF6" w:rsidP="00D22CF6">
            <w:pPr>
              <w:rPr>
                <w:b/>
                <w:bCs/>
                <w:vertAlign w:val="superscript"/>
              </w:rPr>
            </w:pPr>
            <w:r w:rsidRPr="007D5748">
              <w:rPr>
                <w:b/>
                <w:bCs/>
              </w:rPr>
              <w:t>Daňové príjmy (100)</w:t>
            </w:r>
            <w:r w:rsidRPr="007D5748">
              <w:rPr>
                <w:b/>
                <w:bCs/>
                <w:vertAlign w:val="superscript"/>
              </w:rPr>
              <w:t>1</w:t>
            </w:r>
          </w:p>
        </w:tc>
        <w:tc>
          <w:tcPr>
            <w:tcW w:w="1500" w:type="dxa"/>
            <w:tcBorders>
              <w:top w:val="nil"/>
              <w:left w:val="nil"/>
              <w:bottom w:val="single" w:sz="4" w:space="0" w:color="auto"/>
              <w:right w:val="single" w:sz="4" w:space="0" w:color="auto"/>
            </w:tcBorders>
          </w:tcPr>
          <w:p w14:paraId="5768B8F5"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678C6FA9"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11A48C60"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70A9FA84" w14:textId="77777777" w:rsidR="00D22CF6" w:rsidRPr="007D5748" w:rsidRDefault="00D22CF6" w:rsidP="00D22CF6">
            <w:pPr>
              <w:jc w:val="center"/>
              <w:rPr>
                <w:b/>
                <w:bCs/>
              </w:rPr>
            </w:pPr>
          </w:p>
        </w:tc>
        <w:tc>
          <w:tcPr>
            <w:tcW w:w="3000" w:type="dxa"/>
            <w:tcBorders>
              <w:top w:val="nil"/>
              <w:left w:val="nil"/>
              <w:bottom w:val="single" w:sz="4" w:space="0" w:color="auto"/>
              <w:right w:val="single" w:sz="4" w:space="0" w:color="auto"/>
            </w:tcBorders>
            <w:noWrap/>
            <w:vAlign w:val="bottom"/>
          </w:tcPr>
          <w:p w14:paraId="43FC8A45" w14:textId="638ECA02" w:rsidR="00D22CF6" w:rsidRPr="007D5748" w:rsidRDefault="00D22CF6" w:rsidP="00D22CF6"/>
        </w:tc>
      </w:tr>
      <w:tr w:rsidR="00D22CF6" w:rsidRPr="007D5748" w14:paraId="6002D75D" w14:textId="77777777" w:rsidTr="00D22CF6">
        <w:trPr>
          <w:trHeight w:val="255"/>
        </w:trPr>
        <w:tc>
          <w:tcPr>
            <w:tcW w:w="4950" w:type="dxa"/>
            <w:tcBorders>
              <w:top w:val="nil"/>
              <w:left w:val="single" w:sz="4" w:space="0" w:color="auto"/>
              <w:bottom w:val="single" w:sz="4" w:space="0" w:color="auto"/>
              <w:right w:val="single" w:sz="4" w:space="0" w:color="auto"/>
            </w:tcBorders>
          </w:tcPr>
          <w:p w14:paraId="2E844D55" w14:textId="77777777" w:rsidR="00D22CF6" w:rsidRPr="007D5748" w:rsidRDefault="00D22CF6" w:rsidP="00D22CF6">
            <w:pPr>
              <w:rPr>
                <w:b/>
                <w:bCs/>
              </w:rPr>
            </w:pPr>
            <w:r w:rsidRPr="007D5748">
              <w:rPr>
                <w:b/>
                <w:bCs/>
              </w:rPr>
              <w:t>Nedaňové príjmy (200)</w:t>
            </w:r>
            <w:r w:rsidRPr="007D5748">
              <w:rPr>
                <w:b/>
                <w:bCs/>
                <w:vertAlign w:val="superscript"/>
              </w:rPr>
              <w:t>1</w:t>
            </w:r>
          </w:p>
        </w:tc>
        <w:tc>
          <w:tcPr>
            <w:tcW w:w="1500" w:type="dxa"/>
            <w:tcBorders>
              <w:top w:val="nil"/>
              <w:left w:val="nil"/>
              <w:bottom w:val="single" w:sz="4" w:space="0" w:color="auto"/>
              <w:right w:val="single" w:sz="4" w:space="0" w:color="auto"/>
            </w:tcBorders>
          </w:tcPr>
          <w:p w14:paraId="24977D4A"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62AE3754"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508D7B3D"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5EBDB850" w14:textId="77777777" w:rsidR="00D22CF6" w:rsidRPr="007D5748" w:rsidRDefault="00D22CF6" w:rsidP="00D22CF6">
            <w:pPr>
              <w:jc w:val="center"/>
              <w:rPr>
                <w:b/>
                <w:bCs/>
              </w:rPr>
            </w:pPr>
          </w:p>
        </w:tc>
        <w:tc>
          <w:tcPr>
            <w:tcW w:w="3000" w:type="dxa"/>
            <w:tcBorders>
              <w:top w:val="nil"/>
              <w:left w:val="nil"/>
              <w:bottom w:val="single" w:sz="4" w:space="0" w:color="auto"/>
              <w:right w:val="single" w:sz="4" w:space="0" w:color="auto"/>
            </w:tcBorders>
            <w:noWrap/>
            <w:vAlign w:val="bottom"/>
          </w:tcPr>
          <w:p w14:paraId="2F54B725" w14:textId="77E88E42" w:rsidR="00D22CF6" w:rsidRPr="007D5748" w:rsidRDefault="00D22CF6" w:rsidP="00D22CF6"/>
        </w:tc>
      </w:tr>
      <w:tr w:rsidR="00D22CF6" w:rsidRPr="007D5748" w14:paraId="6519808A" w14:textId="77777777" w:rsidTr="00D22CF6">
        <w:trPr>
          <w:trHeight w:val="255"/>
        </w:trPr>
        <w:tc>
          <w:tcPr>
            <w:tcW w:w="4950" w:type="dxa"/>
            <w:tcBorders>
              <w:top w:val="nil"/>
              <w:left w:val="single" w:sz="4" w:space="0" w:color="auto"/>
              <w:bottom w:val="single" w:sz="4" w:space="0" w:color="auto"/>
              <w:right w:val="single" w:sz="4" w:space="0" w:color="auto"/>
            </w:tcBorders>
          </w:tcPr>
          <w:p w14:paraId="680CEB37" w14:textId="77777777" w:rsidR="00D22CF6" w:rsidRPr="007D5748" w:rsidRDefault="00D22CF6" w:rsidP="00D22CF6">
            <w:pPr>
              <w:rPr>
                <w:b/>
                <w:bCs/>
              </w:rPr>
            </w:pPr>
            <w:r w:rsidRPr="007D5748">
              <w:rPr>
                <w:b/>
                <w:bCs/>
              </w:rPr>
              <w:t>Granty a transfery (300)</w:t>
            </w:r>
            <w:r w:rsidRPr="007D5748">
              <w:rPr>
                <w:b/>
                <w:bCs/>
                <w:vertAlign w:val="superscript"/>
              </w:rPr>
              <w:t>1</w:t>
            </w:r>
          </w:p>
        </w:tc>
        <w:tc>
          <w:tcPr>
            <w:tcW w:w="1500" w:type="dxa"/>
            <w:tcBorders>
              <w:top w:val="nil"/>
              <w:left w:val="nil"/>
              <w:bottom w:val="single" w:sz="4" w:space="0" w:color="auto"/>
              <w:right w:val="single" w:sz="4" w:space="0" w:color="auto"/>
            </w:tcBorders>
          </w:tcPr>
          <w:p w14:paraId="52A8946A"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285294E1"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03264493" w14:textId="77777777" w:rsidR="00D22CF6" w:rsidRPr="007D5748" w:rsidRDefault="00D22CF6" w:rsidP="00D22CF6">
            <w:pPr>
              <w:jc w:val="center"/>
              <w:rPr>
                <w:b/>
                <w:bCs/>
              </w:rPr>
            </w:pPr>
          </w:p>
        </w:tc>
        <w:tc>
          <w:tcPr>
            <w:tcW w:w="1500" w:type="dxa"/>
            <w:tcBorders>
              <w:top w:val="nil"/>
              <w:left w:val="nil"/>
              <w:bottom w:val="single" w:sz="4" w:space="0" w:color="auto"/>
              <w:right w:val="single" w:sz="4" w:space="0" w:color="auto"/>
            </w:tcBorders>
          </w:tcPr>
          <w:p w14:paraId="6E215DCB" w14:textId="77777777" w:rsidR="00D22CF6" w:rsidRPr="007D5748" w:rsidRDefault="00D22CF6" w:rsidP="00D22CF6">
            <w:pPr>
              <w:jc w:val="center"/>
              <w:rPr>
                <w:b/>
                <w:bCs/>
              </w:rPr>
            </w:pPr>
          </w:p>
        </w:tc>
        <w:tc>
          <w:tcPr>
            <w:tcW w:w="3000" w:type="dxa"/>
            <w:tcBorders>
              <w:top w:val="nil"/>
              <w:left w:val="nil"/>
              <w:bottom w:val="single" w:sz="4" w:space="0" w:color="auto"/>
              <w:right w:val="single" w:sz="4" w:space="0" w:color="auto"/>
            </w:tcBorders>
            <w:noWrap/>
            <w:vAlign w:val="bottom"/>
          </w:tcPr>
          <w:p w14:paraId="11181CE7" w14:textId="2FA675FC" w:rsidR="00D22CF6" w:rsidRPr="007D5748" w:rsidRDefault="00D22CF6" w:rsidP="00D22CF6"/>
        </w:tc>
      </w:tr>
      <w:tr w:rsidR="00D22CF6" w:rsidRPr="007D5748" w14:paraId="32CC008A" w14:textId="77777777" w:rsidTr="00263677">
        <w:trPr>
          <w:trHeight w:val="255"/>
        </w:trPr>
        <w:tc>
          <w:tcPr>
            <w:tcW w:w="4950" w:type="dxa"/>
            <w:tcBorders>
              <w:top w:val="nil"/>
              <w:left w:val="single" w:sz="4" w:space="0" w:color="auto"/>
              <w:bottom w:val="single" w:sz="4" w:space="0" w:color="auto"/>
              <w:right w:val="single" w:sz="4" w:space="0" w:color="auto"/>
            </w:tcBorders>
          </w:tcPr>
          <w:p w14:paraId="1E6517EF" w14:textId="77777777" w:rsidR="00D22CF6" w:rsidRPr="007D5748" w:rsidRDefault="00D22CF6" w:rsidP="00D22CF6">
            <w:pPr>
              <w:rPr>
                <w:b/>
                <w:bCs/>
              </w:rPr>
            </w:pPr>
            <w:r w:rsidRPr="007D5748">
              <w:rPr>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2753F196" w14:textId="692F38E3" w:rsidR="00D22CF6" w:rsidRPr="00263677" w:rsidRDefault="00D22CF6" w:rsidP="00D22CF6">
            <w:pPr>
              <w:jc w:val="center"/>
              <w:rPr>
                <w:b/>
                <w:bCs/>
                <w:highlight w:val="yellow"/>
              </w:rPr>
            </w:pPr>
          </w:p>
        </w:tc>
        <w:tc>
          <w:tcPr>
            <w:tcW w:w="1500" w:type="dxa"/>
            <w:tcBorders>
              <w:top w:val="nil"/>
              <w:left w:val="nil"/>
              <w:bottom w:val="single" w:sz="4" w:space="0" w:color="auto"/>
              <w:right w:val="single" w:sz="4" w:space="0" w:color="auto"/>
            </w:tcBorders>
            <w:shd w:val="clear" w:color="auto" w:fill="auto"/>
          </w:tcPr>
          <w:p w14:paraId="5A67BF16" w14:textId="2C24AD00" w:rsidR="00D22CF6" w:rsidRPr="00263677" w:rsidRDefault="00D22CF6" w:rsidP="00D22CF6">
            <w:pPr>
              <w:jc w:val="center"/>
              <w:rPr>
                <w:b/>
                <w:bCs/>
                <w:highlight w:val="yellow"/>
              </w:rPr>
            </w:pPr>
          </w:p>
        </w:tc>
        <w:tc>
          <w:tcPr>
            <w:tcW w:w="1500" w:type="dxa"/>
            <w:tcBorders>
              <w:top w:val="nil"/>
              <w:left w:val="nil"/>
              <w:bottom w:val="single" w:sz="4" w:space="0" w:color="auto"/>
              <w:right w:val="single" w:sz="4" w:space="0" w:color="auto"/>
            </w:tcBorders>
            <w:shd w:val="clear" w:color="auto" w:fill="auto"/>
          </w:tcPr>
          <w:p w14:paraId="591AA6A7" w14:textId="160D940C" w:rsidR="00D22CF6" w:rsidRPr="00263677" w:rsidRDefault="00D22CF6" w:rsidP="00D22CF6">
            <w:pPr>
              <w:jc w:val="center"/>
              <w:rPr>
                <w:b/>
                <w:bCs/>
                <w:highlight w:val="yellow"/>
              </w:rPr>
            </w:pPr>
          </w:p>
        </w:tc>
        <w:tc>
          <w:tcPr>
            <w:tcW w:w="1500" w:type="dxa"/>
            <w:tcBorders>
              <w:top w:val="nil"/>
              <w:left w:val="nil"/>
              <w:bottom w:val="single" w:sz="4" w:space="0" w:color="auto"/>
              <w:right w:val="single" w:sz="4" w:space="0" w:color="auto"/>
            </w:tcBorders>
            <w:shd w:val="clear" w:color="auto" w:fill="auto"/>
          </w:tcPr>
          <w:p w14:paraId="6E783194" w14:textId="21F548EF" w:rsidR="00D22CF6" w:rsidRPr="00263677" w:rsidRDefault="00D22CF6" w:rsidP="00D22CF6">
            <w:pPr>
              <w:jc w:val="center"/>
              <w:rPr>
                <w:b/>
                <w:bCs/>
                <w:highlight w:val="yellow"/>
              </w:rPr>
            </w:pPr>
          </w:p>
        </w:tc>
        <w:tc>
          <w:tcPr>
            <w:tcW w:w="3000" w:type="dxa"/>
            <w:tcBorders>
              <w:top w:val="nil"/>
              <w:left w:val="nil"/>
              <w:bottom w:val="single" w:sz="4" w:space="0" w:color="auto"/>
              <w:right w:val="single" w:sz="4" w:space="0" w:color="auto"/>
            </w:tcBorders>
            <w:noWrap/>
            <w:vAlign w:val="bottom"/>
          </w:tcPr>
          <w:p w14:paraId="1412DD99" w14:textId="20090FB4" w:rsidR="00D22CF6" w:rsidRPr="007D5748" w:rsidRDefault="00D22CF6" w:rsidP="00D22CF6"/>
        </w:tc>
      </w:tr>
      <w:tr w:rsidR="00D22CF6" w:rsidRPr="007D5748" w14:paraId="56C3A691" w14:textId="77777777" w:rsidTr="00263677">
        <w:trPr>
          <w:trHeight w:val="255"/>
        </w:trPr>
        <w:tc>
          <w:tcPr>
            <w:tcW w:w="4950" w:type="dxa"/>
            <w:tcBorders>
              <w:top w:val="nil"/>
              <w:left w:val="single" w:sz="4" w:space="0" w:color="auto"/>
              <w:bottom w:val="single" w:sz="4" w:space="0" w:color="auto"/>
              <w:right w:val="single" w:sz="4" w:space="0" w:color="auto"/>
            </w:tcBorders>
          </w:tcPr>
          <w:p w14:paraId="573D6C52" w14:textId="77777777" w:rsidR="00D22CF6" w:rsidRPr="007D5748" w:rsidRDefault="00D22CF6" w:rsidP="00D22CF6">
            <w:pPr>
              <w:rPr>
                <w:b/>
                <w:bCs/>
              </w:rPr>
            </w:pPr>
            <w:r w:rsidRPr="007D5748">
              <w:rPr>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6A717CD9" w14:textId="53A64151" w:rsidR="00D22CF6" w:rsidRPr="00263677" w:rsidRDefault="00D22CF6" w:rsidP="00D22CF6">
            <w:pPr>
              <w:jc w:val="center"/>
              <w:rPr>
                <w:b/>
                <w:bCs/>
                <w:highlight w:val="yellow"/>
              </w:rPr>
            </w:pPr>
          </w:p>
        </w:tc>
        <w:tc>
          <w:tcPr>
            <w:tcW w:w="1500" w:type="dxa"/>
            <w:tcBorders>
              <w:top w:val="nil"/>
              <w:left w:val="nil"/>
              <w:bottom w:val="single" w:sz="4" w:space="0" w:color="auto"/>
              <w:right w:val="single" w:sz="4" w:space="0" w:color="auto"/>
            </w:tcBorders>
            <w:shd w:val="clear" w:color="auto" w:fill="auto"/>
          </w:tcPr>
          <w:p w14:paraId="1ECF82BA" w14:textId="59FBB19E" w:rsidR="00D22CF6" w:rsidRPr="00263677" w:rsidRDefault="00D22CF6" w:rsidP="00D22CF6">
            <w:pPr>
              <w:jc w:val="center"/>
              <w:rPr>
                <w:b/>
                <w:bCs/>
                <w:highlight w:val="yellow"/>
              </w:rPr>
            </w:pPr>
          </w:p>
        </w:tc>
        <w:tc>
          <w:tcPr>
            <w:tcW w:w="1500" w:type="dxa"/>
            <w:tcBorders>
              <w:top w:val="nil"/>
              <w:left w:val="nil"/>
              <w:bottom w:val="single" w:sz="4" w:space="0" w:color="auto"/>
              <w:right w:val="single" w:sz="4" w:space="0" w:color="auto"/>
            </w:tcBorders>
            <w:shd w:val="clear" w:color="auto" w:fill="auto"/>
          </w:tcPr>
          <w:p w14:paraId="19D6D0A5" w14:textId="27D9EE77" w:rsidR="00D22CF6" w:rsidRPr="00263677" w:rsidRDefault="00D22CF6" w:rsidP="00D22CF6">
            <w:pPr>
              <w:jc w:val="center"/>
              <w:rPr>
                <w:b/>
                <w:bCs/>
                <w:highlight w:val="yellow"/>
              </w:rPr>
            </w:pPr>
          </w:p>
        </w:tc>
        <w:tc>
          <w:tcPr>
            <w:tcW w:w="1500" w:type="dxa"/>
            <w:tcBorders>
              <w:top w:val="nil"/>
              <w:left w:val="nil"/>
              <w:bottom w:val="single" w:sz="4" w:space="0" w:color="auto"/>
              <w:right w:val="single" w:sz="4" w:space="0" w:color="auto"/>
            </w:tcBorders>
            <w:shd w:val="clear" w:color="auto" w:fill="auto"/>
          </w:tcPr>
          <w:p w14:paraId="610F10D2" w14:textId="6E9E0C91" w:rsidR="00D22CF6" w:rsidRPr="00263677" w:rsidRDefault="00D22CF6" w:rsidP="00D22CF6">
            <w:pPr>
              <w:jc w:val="center"/>
              <w:rPr>
                <w:b/>
                <w:bCs/>
                <w:highlight w:val="yellow"/>
              </w:rPr>
            </w:pPr>
          </w:p>
        </w:tc>
        <w:tc>
          <w:tcPr>
            <w:tcW w:w="3000" w:type="dxa"/>
            <w:tcBorders>
              <w:top w:val="nil"/>
              <w:left w:val="nil"/>
              <w:bottom w:val="single" w:sz="4" w:space="0" w:color="auto"/>
              <w:right w:val="single" w:sz="4" w:space="0" w:color="auto"/>
            </w:tcBorders>
            <w:noWrap/>
            <w:vAlign w:val="bottom"/>
          </w:tcPr>
          <w:p w14:paraId="1A05420D" w14:textId="16AC26FD" w:rsidR="00D22CF6" w:rsidRPr="007D5748" w:rsidRDefault="00D22CF6" w:rsidP="00D22CF6"/>
        </w:tc>
      </w:tr>
      <w:tr w:rsidR="00D22CF6" w:rsidRPr="007D5748" w14:paraId="0720790F" w14:textId="77777777" w:rsidTr="00D22CF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AD9EB35" w14:textId="77777777" w:rsidR="00D22CF6" w:rsidRPr="007D5748" w:rsidRDefault="00D22CF6" w:rsidP="00D22CF6">
            <w:pPr>
              <w:rPr>
                <w:b/>
                <w:bCs/>
              </w:rPr>
            </w:pPr>
            <w:r w:rsidRPr="007D5748">
              <w:rPr>
                <w:b/>
                <w:bCs/>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052124A1" w14:textId="77777777" w:rsidR="00D22CF6" w:rsidRPr="007D5748" w:rsidRDefault="00D22CF6" w:rsidP="00D22CF6">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6386D5D4" w14:textId="77777777" w:rsidR="00D22CF6" w:rsidRPr="007D5748" w:rsidRDefault="00D22CF6" w:rsidP="00D22CF6">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6C61FB3" w14:textId="77777777" w:rsidR="00D22CF6" w:rsidRPr="007D5748" w:rsidRDefault="00D22CF6" w:rsidP="00D22CF6">
            <w:pPr>
              <w:jc w:val="center"/>
              <w:rPr>
                <w:b/>
                <w:bCs/>
              </w:rPr>
            </w:pPr>
            <w:r w:rsidRPr="007D5748">
              <w:rPr>
                <w:b/>
                <w:bCs/>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9BAEF45" w14:textId="77777777" w:rsidR="00D22CF6" w:rsidRPr="007D5748" w:rsidRDefault="00D22CF6" w:rsidP="00D22CF6">
            <w:pPr>
              <w:jc w:val="center"/>
              <w:rPr>
                <w:b/>
                <w:bCs/>
              </w:rPr>
            </w:pPr>
            <w:r w:rsidRPr="007D5748">
              <w:rPr>
                <w:b/>
                <w:bCs/>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5379EA5B" w14:textId="65606D08" w:rsidR="00D22CF6" w:rsidRPr="007D5748" w:rsidRDefault="00D22CF6" w:rsidP="00D22CF6"/>
        </w:tc>
      </w:tr>
    </w:tbl>
    <w:p w14:paraId="03D0D951" w14:textId="77777777" w:rsidR="00D22CF6" w:rsidRPr="007D5748" w:rsidRDefault="00D22CF6" w:rsidP="00D22CF6">
      <w:pPr>
        <w:tabs>
          <w:tab w:val="num" w:pos="1080"/>
        </w:tabs>
        <w:jc w:val="both"/>
        <w:rPr>
          <w:bCs/>
          <w:sz w:val="20"/>
          <w:szCs w:val="20"/>
        </w:rPr>
      </w:pPr>
      <w:r w:rsidRPr="007D5748">
        <w:rPr>
          <w:bCs/>
          <w:sz w:val="20"/>
          <w:szCs w:val="20"/>
        </w:rPr>
        <w:t>1 –  príjmy rozpísať až do položiek platnej ekonomickej klasifikácie</w:t>
      </w:r>
    </w:p>
    <w:p w14:paraId="30A2589B" w14:textId="77777777" w:rsidR="00263677" w:rsidRPr="00263677" w:rsidRDefault="00263677" w:rsidP="00D22CF6">
      <w:pPr>
        <w:tabs>
          <w:tab w:val="num" w:pos="1080"/>
        </w:tabs>
        <w:jc w:val="both"/>
        <w:rPr>
          <w:bCs/>
          <w:szCs w:val="20"/>
        </w:rPr>
      </w:pPr>
    </w:p>
    <w:p w14:paraId="3B44F647" w14:textId="21A7778E" w:rsidR="00D22CF6" w:rsidRPr="007D5748" w:rsidRDefault="00D22CF6" w:rsidP="00D22CF6">
      <w:pPr>
        <w:tabs>
          <w:tab w:val="num" w:pos="1080"/>
        </w:tabs>
        <w:jc w:val="both"/>
        <w:rPr>
          <w:b/>
          <w:bCs/>
          <w:szCs w:val="20"/>
        </w:rPr>
      </w:pPr>
      <w:r w:rsidRPr="007D5748">
        <w:rPr>
          <w:b/>
          <w:bCs/>
          <w:szCs w:val="20"/>
        </w:rPr>
        <w:t>Poznámka:</w:t>
      </w:r>
    </w:p>
    <w:p w14:paraId="5FA8D3D6" w14:textId="77777777" w:rsidR="00D22CF6" w:rsidRDefault="00D22CF6" w:rsidP="00D22CF6">
      <w:pPr>
        <w:tabs>
          <w:tab w:val="num" w:pos="1080"/>
        </w:tabs>
        <w:jc w:val="both"/>
        <w:rPr>
          <w:bCs/>
          <w:szCs w:val="20"/>
        </w:rPr>
      </w:pPr>
      <w:r w:rsidRPr="007D5748">
        <w:rPr>
          <w:bCs/>
          <w:szCs w:val="20"/>
        </w:rPr>
        <w:t>Ak sa vplyv týka viacerých subjektov verejnej správy, vypĺňa sa samostatná tabuľka za každý subjekt.</w:t>
      </w:r>
    </w:p>
    <w:p w14:paraId="6AD3B4F9" w14:textId="77777777" w:rsidR="00D22CF6" w:rsidRDefault="00D22CF6" w:rsidP="00D22CF6">
      <w:pPr>
        <w:rPr>
          <w:bCs/>
          <w:szCs w:val="20"/>
        </w:rPr>
      </w:pPr>
      <w:r>
        <w:rPr>
          <w:bCs/>
          <w:szCs w:val="20"/>
        </w:rPr>
        <w:br w:type="page"/>
      </w:r>
    </w:p>
    <w:p w14:paraId="6D792D73" w14:textId="449A6CA1" w:rsidR="00D22CF6" w:rsidRPr="007D5748" w:rsidRDefault="00D22CF6" w:rsidP="00D22CF6">
      <w:pPr>
        <w:tabs>
          <w:tab w:val="num" w:pos="1080"/>
        </w:tabs>
        <w:ind w:right="-32"/>
        <w:jc w:val="right"/>
        <w:rPr>
          <w:bCs/>
        </w:rPr>
      </w:pPr>
      <w:r w:rsidRPr="007D5748">
        <w:rPr>
          <w:bCs/>
        </w:rPr>
        <w:lastRenderedPageBreak/>
        <w:t xml:space="preserve">Tabuľka </w:t>
      </w:r>
      <w:r w:rsidR="002F69ED">
        <w:rPr>
          <w:bCs/>
        </w:rPr>
        <w:t>č. </w:t>
      </w:r>
      <w:r w:rsidRPr="007D5748">
        <w:rPr>
          <w:bCs/>
        </w:rPr>
        <w:t>4</w:t>
      </w:r>
    </w:p>
    <w:tbl>
      <w:tblPr>
        <w:tblpPr w:leftFromText="141" w:rightFromText="141" w:vertAnchor="text" w:horzAnchor="page" w:tblpX="629" w:tblpY="2"/>
        <w:tblW w:w="14596" w:type="dxa"/>
        <w:tblCellMar>
          <w:left w:w="70" w:type="dxa"/>
          <w:right w:w="70" w:type="dxa"/>
        </w:tblCellMar>
        <w:tblLook w:val="0000" w:firstRow="0" w:lastRow="0" w:firstColumn="0" w:lastColumn="0" w:noHBand="0" w:noVBand="0"/>
      </w:tblPr>
      <w:tblGrid>
        <w:gridCol w:w="7070"/>
        <w:gridCol w:w="1540"/>
        <w:gridCol w:w="1540"/>
        <w:gridCol w:w="1540"/>
        <w:gridCol w:w="1540"/>
        <w:gridCol w:w="1366"/>
      </w:tblGrid>
      <w:tr w:rsidR="00D22CF6" w:rsidRPr="00A11D3F" w14:paraId="4E8B816F" w14:textId="77777777" w:rsidTr="00263677">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5CD17D9A" w14:textId="77777777" w:rsidR="00D22CF6" w:rsidRPr="00A11D3F" w:rsidRDefault="00D22CF6" w:rsidP="00D22CF6">
            <w:pPr>
              <w:jc w:val="center"/>
              <w:rPr>
                <w:b/>
                <w:bCs/>
                <w:sz w:val="20"/>
                <w:szCs w:val="20"/>
              </w:rPr>
            </w:pPr>
            <w:r w:rsidRPr="00A11D3F">
              <w:rPr>
                <w:b/>
                <w:bCs/>
                <w:sz w:val="20"/>
                <w:szCs w:val="20"/>
              </w:rPr>
              <w:t>Výdavky (v eurách)</w:t>
            </w:r>
          </w:p>
          <w:p w14:paraId="6BCC5B47" w14:textId="77777777" w:rsidR="00D22CF6" w:rsidRPr="00A11D3F" w:rsidRDefault="00D22CF6" w:rsidP="00D22CF6">
            <w:pPr>
              <w:jc w:val="center"/>
              <w:rPr>
                <w:b/>
                <w:bCs/>
                <w:sz w:val="20"/>
                <w:szCs w:val="20"/>
              </w:rPr>
            </w:pPr>
            <w:r w:rsidRPr="00A11D3F">
              <w:rPr>
                <w:b/>
                <w:bCs/>
                <w:sz w:val="20"/>
                <w:szCs w:val="20"/>
              </w:rPr>
              <w:t>ÚNMS SR</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19D6A6EF" w14:textId="77777777" w:rsidR="00D22CF6" w:rsidRPr="00A11D3F" w:rsidRDefault="00D22CF6" w:rsidP="00D22CF6">
            <w:pPr>
              <w:jc w:val="center"/>
              <w:rPr>
                <w:b/>
                <w:bCs/>
                <w:sz w:val="20"/>
                <w:szCs w:val="20"/>
              </w:rPr>
            </w:pPr>
            <w:r w:rsidRPr="00A11D3F">
              <w:rPr>
                <w:b/>
                <w:bCs/>
                <w:sz w:val="20"/>
                <w:szCs w:val="20"/>
              </w:rPr>
              <w:t>Vplyv na rozpočet verejnej správy</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ACEE747" w14:textId="77777777" w:rsidR="00D22CF6" w:rsidRPr="00A11D3F" w:rsidRDefault="00D22CF6" w:rsidP="00D22CF6">
            <w:pPr>
              <w:jc w:val="center"/>
              <w:rPr>
                <w:b/>
                <w:bCs/>
              </w:rPr>
            </w:pPr>
            <w:r w:rsidRPr="00A11D3F">
              <w:rPr>
                <w:b/>
                <w:bCs/>
              </w:rPr>
              <w:t>poznámka</w:t>
            </w:r>
          </w:p>
        </w:tc>
      </w:tr>
      <w:tr w:rsidR="00D22CF6" w:rsidRPr="00A11D3F" w14:paraId="20F1361D" w14:textId="77777777" w:rsidTr="00263677">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58F155B7" w14:textId="77777777" w:rsidR="00D22CF6" w:rsidRPr="00A11D3F" w:rsidRDefault="00D22CF6" w:rsidP="00D22CF6">
            <w:pPr>
              <w:rPr>
                <w:b/>
                <w:bCs/>
                <w:color w:val="FFFFFF"/>
                <w:sz w:val="20"/>
                <w:szCs w:val="20"/>
              </w:rPr>
            </w:pPr>
          </w:p>
        </w:tc>
        <w:tc>
          <w:tcPr>
            <w:tcW w:w="1540" w:type="dxa"/>
            <w:tcBorders>
              <w:top w:val="nil"/>
              <w:left w:val="nil"/>
              <w:bottom w:val="single" w:sz="4" w:space="0" w:color="auto"/>
              <w:right w:val="single" w:sz="4" w:space="0" w:color="auto"/>
            </w:tcBorders>
            <w:shd w:val="clear" w:color="auto" w:fill="BFBFBF" w:themeFill="background1" w:themeFillShade="BF"/>
          </w:tcPr>
          <w:p w14:paraId="3D7237E1" w14:textId="77777777" w:rsidR="00D22CF6" w:rsidRPr="00A11D3F" w:rsidRDefault="00D22CF6" w:rsidP="00D22CF6">
            <w:pPr>
              <w:jc w:val="center"/>
              <w:rPr>
                <w:b/>
                <w:bCs/>
                <w:sz w:val="20"/>
                <w:szCs w:val="20"/>
              </w:rPr>
            </w:pPr>
            <w:r w:rsidRPr="00A11D3F">
              <w:rPr>
                <w:b/>
                <w:bCs/>
                <w:sz w:val="20"/>
                <w:szCs w:val="20"/>
              </w:rPr>
              <w:t>2020</w:t>
            </w:r>
          </w:p>
        </w:tc>
        <w:tc>
          <w:tcPr>
            <w:tcW w:w="1540" w:type="dxa"/>
            <w:tcBorders>
              <w:top w:val="nil"/>
              <w:left w:val="nil"/>
              <w:bottom w:val="single" w:sz="4" w:space="0" w:color="auto"/>
              <w:right w:val="single" w:sz="4" w:space="0" w:color="auto"/>
            </w:tcBorders>
            <w:shd w:val="clear" w:color="auto" w:fill="BFBFBF" w:themeFill="background1" w:themeFillShade="BF"/>
          </w:tcPr>
          <w:p w14:paraId="61D689E1" w14:textId="77777777" w:rsidR="00D22CF6" w:rsidRPr="00A11D3F" w:rsidRDefault="00D22CF6" w:rsidP="00D22CF6">
            <w:pPr>
              <w:jc w:val="center"/>
              <w:rPr>
                <w:b/>
                <w:bCs/>
                <w:sz w:val="20"/>
                <w:szCs w:val="20"/>
              </w:rPr>
            </w:pPr>
            <w:r w:rsidRPr="00A11D3F">
              <w:rPr>
                <w:b/>
                <w:bCs/>
                <w:sz w:val="20"/>
                <w:szCs w:val="20"/>
              </w:rPr>
              <w:t>2021</w:t>
            </w:r>
          </w:p>
        </w:tc>
        <w:tc>
          <w:tcPr>
            <w:tcW w:w="1540" w:type="dxa"/>
            <w:tcBorders>
              <w:top w:val="nil"/>
              <w:left w:val="nil"/>
              <w:bottom w:val="single" w:sz="4" w:space="0" w:color="auto"/>
              <w:right w:val="single" w:sz="4" w:space="0" w:color="auto"/>
            </w:tcBorders>
            <w:shd w:val="clear" w:color="auto" w:fill="BFBFBF" w:themeFill="background1" w:themeFillShade="BF"/>
          </w:tcPr>
          <w:p w14:paraId="7E746017" w14:textId="77777777" w:rsidR="00D22CF6" w:rsidRPr="00A11D3F" w:rsidRDefault="00D22CF6" w:rsidP="00D22CF6">
            <w:pPr>
              <w:jc w:val="center"/>
              <w:rPr>
                <w:b/>
                <w:bCs/>
                <w:sz w:val="20"/>
                <w:szCs w:val="20"/>
              </w:rPr>
            </w:pPr>
            <w:r w:rsidRPr="00A11D3F">
              <w:rPr>
                <w:b/>
                <w:bCs/>
                <w:sz w:val="20"/>
                <w:szCs w:val="20"/>
              </w:rPr>
              <w:t>2022</w:t>
            </w:r>
          </w:p>
        </w:tc>
        <w:tc>
          <w:tcPr>
            <w:tcW w:w="1540" w:type="dxa"/>
            <w:tcBorders>
              <w:top w:val="nil"/>
              <w:left w:val="nil"/>
              <w:bottom w:val="single" w:sz="4" w:space="0" w:color="auto"/>
              <w:right w:val="single" w:sz="4" w:space="0" w:color="auto"/>
            </w:tcBorders>
            <w:shd w:val="clear" w:color="auto" w:fill="BFBFBF" w:themeFill="background1" w:themeFillShade="BF"/>
          </w:tcPr>
          <w:p w14:paraId="51974D03" w14:textId="77777777" w:rsidR="00D22CF6" w:rsidRPr="00A11D3F" w:rsidRDefault="00D22CF6" w:rsidP="00D22CF6">
            <w:pPr>
              <w:jc w:val="center"/>
              <w:rPr>
                <w:b/>
                <w:bCs/>
                <w:sz w:val="20"/>
                <w:szCs w:val="20"/>
              </w:rPr>
            </w:pPr>
            <w:r w:rsidRPr="00A11D3F">
              <w:rPr>
                <w:b/>
                <w:bCs/>
                <w:sz w:val="20"/>
                <w:szCs w:val="20"/>
              </w:rPr>
              <w:t>2023</w:t>
            </w:r>
          </w:p>
        </w:tc>
        <w:tc>
          <w:tcPr>
            <w:tcW w:w="1366" w:type="dxa"/>
            <w:vMerge/>
            <w:tcBorders>
              <w:top w:val="single" w:sz="4" w:space="0" w:color="auto"/>
              <w:left w:val="single" w:sz="4" w:space="0" w:color="auto"/>
              <w:bottom w:val="single" w:sz="4" w:space="0" w:color="auto"/>
              <w:right w:val="single" w:sz="4" w:space="0" w:color="auto"/>
            </w:tcBorders>
            <w:vAlign w:val="center"/>
          </w:tcPr>
          <w:p w14:paraId="34725344" w14:textId="77777777" w:rsidR="00D22CF6" w:rsidRPr="00A11D3F" w:rsidRDefault="00D22CF6" w:rsidP="00D22CF6">
            <w:pPr>
              <w:rPr>
                <w:b/>
                <w:bCs/>
                <w:color w:val="FFFFFF"/>
              </w:rPr>
            </w:pPr>
          </w:p>
        </w:tc>
      </w:tr>
      <w:tr w:rsidR="00D22CF6" w:rsidRPr="00A11D3F" w14:paraId="673F571E" w14:textId="77777777" w:rsidTr="00263677">
        <w:trPr>
          <w:trHeight w:val="255"/>
        </w:trPr>
        <w:tc>
          <w:tcPr>
            <w:tcW w:w="7070" w:type="dxa"/>
            <w:tcBorders>
              <w:top w:val="nil"/>
              <w:left w:val="single" w:sz="4" w:space="0" w:color="auto"/>
              <w:bottom w:val="single" w:sz="4" w:space="0" w:color="auto"/>
              <w:right w:val="single" w:sz="4" w:space="0" w:color="auto"/>
            </w:tcBorders>
            <w:shd w:val="clear" w:color="auto" w:fill="D9D9D9" w:themeFill="background1" w:themeFillShade="D9"/>
          </w:tcPr>
          <w:p w14:paraId="60B5CB47" w14:textId="77777777" w:rsidR="00D22CF6" w:rsidRPr="00A11D3F" w:rsidRDefault="00D22CF6" w:rsidP="00D22CF6">
            <w:pPr>
              <w:tabs>
                <w:tab w:val="left" w:pos="2700"/>
              </w:tabs>
              <w:rPr>
                <w:b/>
                <w:bCs/>
                <w:sz w:val="20"/>
                <w:szCs w:val="20"/>
              </w:rPr>
            </w:pPr>
            <w:r w:rsidRPr="00A11D3F">
              <w:rPr>
                <w:b/>
                <w:bCs/>
                <w:sz w:val="20"/>
                <w:szCs w:val="20"/>
              </w:rPr>
              <w:t xml:space="preserve">Kapitola </w:t>
            </w:r>
            <w:r>
              <w:rPr>
                <w:b/>
                <w:bCs/>
                <w:sz w:val="20"/>
                <w:szCs w:val="20"/>
              </w:rPr>
              <w:t>38</w:t>
            </w:r>
            <w:r w:rsidRPr="00A11D3F">
              <w:rPr>
                <w:b/>
                <w:bCs/>
                <w:sz w:val="20"/>
                <w:szCs w:val="20"/>
              </w:rPr>
              <w:t xml:space="preserve"> </w:t>
            </w:r>
            <w:r>
              <w:rPr>
                <w:b/>
                <w:bCs/>
                <w:sz w:val="20"/>
                <w:szCs w:val="20"/>
              </w:rPr>
              <w:t>ÚNMS SR</w:t>
            </w:r>
          </w:p>
        </w:tc>
        <w:tc>
          <w:tcPr>
            <w:tcW w:w="1540" w:type="dxa"/>
            <w:tcBorders>
              <w:top w:val="nil"/>
              <w:left w:val="nil"/>
              <w:bottom w:val="single" w:sz="4" w:space="0" w:color="auto"/>
              <w:right w:val="single" w:sz="4" w:space="0" w:color="auto"/>
            </w:tcBorders>
            <w:shd w:val="clear" w:color="auto" w:fill="D9D9D9" w:themeFill="background1" w:themeFillShade="D9"/>
          </w:tcPr>
          <w:p w14:paraId="39444D57"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shd w:val="clear" w:color="auto" w:fill="D9D9D9" w:themeFill="background1" w:themeFillShade="D9"/>
          </w:tcPr>
          <w:p w14:paraId="0C57E7B0"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shd w:val="clear" w:color="auto" w:fill="D9D9D9" w:themeFill="background1" w:themeFillShade="D9"/>
          </w:tcPr>
          <w:p w14:paraId="235FFFB0"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shd w:val="clear" w:color="auto" w:fill="D9D9D9" w:themeFill="background1" w:themeFillShade="D9"/>
          </w:tcPr>
          <w:p w14:paraId="34E0D7FB" w14:textId="77777777" w:rsidR="00D22CF6" w:rsidRPr="00A11D3F" w:rsidRDefault="00D22CF6" w:rsidP="00D22CF6">
            <w:pPr>
              <w:jc w:val="center"/>
              <w:rPr>
                <w:b/>
                <w:bCs/>
              </w:rPr>
            </w:pPr>
          </w:p>
        </w:tc>
        <w:tc>
          <w:tcPr>
            <w:tcW w:w="1366" w:type="dxa"/>
            <w:tcBorders>
              <w:top w:val="nil"/>
              <w:left w:val="nil"/>
              <w:bottom w:val="single" w:sz="4" w:space="0" w:color="auto"/>
              <w:right w:val="single" w:sz="4" w:space="0" w:color="auto"/>
            </w:tcBorders>
            <w:shd w:val="clear" w:color="auto" w:fill="D9D9D9" w:themeFill="background1" w:themeFillShade="D9"/>
            <w:noWrap/>
            <w:vAlign w:val="bottom"/>
          </w:tcPr>
          <w:p w14:paraId="30CA983E" w14:textId="77777777" w:rsidR="00D22CF6" w:rsidRPr="00A11D3F" w:rsidRDefault="00D22CF6" w:rsidP="00D22CF6"/>
        </w:tc>
      </w:tr>
      <w:tr w:rsidR="00D22CF6" w:rsidRPr="00A11D3F" w14:paraId="5B20954F" w14:textId="77777777" w:rsidTr="00263677">
        <w:trPr>
          <w:trHeight w:val="255"/>
        </w:trPr>
        <w:tc>
          <w:tcPr>
            <w:tcW w:w="7070" w:type="dxa"/>
            <w:tcBorders>
              <w:top w:val="nil"/>
              <w:left w:val="single" w:sz="4" w:space="0" w:color="auto"/>
              <w:bottom w:val="single" w:sz="4" w:space="0" w:color="auto"/>
              <w:right w:val="single" w:sz="4" w:space="0" w:color="auto"/>
            </w:tcBorders>
          </w:tcPr>
          <w:p w14:paraId="03FDF684" w14:textId="77777777" w:rsidR="00D22CF6" w:rsidRPr="00A11D3F" w:rsidRDefault="00D22CF6" w:rsidP="00D22CF6">
            <w:pPr>
              <w:rPr>
                <w:b/>
                <w:bCs/>
                <w:sz w:val="20"/>
                <w:szCs w:val="20"/>
              </w:rPr>
            </w:pPr>
            <w:r w:rsidRPr="00A11D3F">
              <w:rPr>
                <w:b/>
                <w:bCs/>
                <w:sz w:val="20"/>
                <w:szCs w:val="20"/>
              </w:rPr>
              <w:t>Bežné výdavky (600)</w:t>
            </w:r>
          </w:p>
        </w:tc>
        <w:tc>
          <w:tcPr>
            <w:tcW w:w="1540" w:type="dxa"/>
            <w:tcBorders>
              <w:top w:val="nil"/>
              <w:left w:val="nil"/>
              <w:bottom w:val="single" w:sz="4" w:space="0" w:color="auto"/>
              <w:right w:val="single" w:sz="4" w:space="0" w:color="auto"/>
            </w:tcBorders>
          </w:tcPr>
          <w:p w14:paraId="40E6C68C"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tcPr>
          <w:p w14:paraId="705BC338"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tcPr>
          <w:p w14:paraId="0B5D3DCC"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tcPr>
          <w:p w14:paraId="131877BB" w14:textId="77777777" w:rsidR="00D22CF6" w:rsidRPr="00A11D3F" w:rsidRDefault="00D22CF6" w:rsidP="00D22CF6">
            <w:pPr>
              <w:jc w:val="center"/>
              <w:rPr>
                <w:b/>
                <w:bCs/>
              </w:rPr>
            </w:pPr>
          </w:p>
        </w:tc>
        <w:tc>
          <w:tcPr>
            <w:tcW w:w="1366" w:type="dxa"/>
            <w:tcBorders>
              <w:top w:val="nil"/>
              <w:left w:val="nil"/>
              <w:bottom w:val="single" w:sz="4" w:space="0" w:color="auto"/>
              <w:right w:val="single" w:sz="4" w:space="0" w:color="auto"/>
            </w:tcBorders>
            <w:noWrap/>
            <w:vAlign w:val="bottom"/>
          </w:tcPr>
          <w:p w14:paraId="2CB5F263" w14:textId="35E65877" w:rsidR="00D22CF6" w:rsidRPr="00A11D3F" w:rsidRDefault="00D22CF6" w:rsidP="00D22CF6"/>
        </w:tc>
      </w:tr>
      <w:tr w:rsidR="00D22CF6" w:rsidRPr="00A11D3F" w14:paraId="3066D5EB" w14:textId="77777777" w:rsidTr="00263677">
        <w:trPr>
          <w:trHeight w:val="255"/>
        </w:trPr>
        <w:tc>
          <w:tcPr>
            <w:tcW w:w="7070" w:type="dxa"/>
            <w:tcBorders>
              <w:top w:val="nil"/>
              <w:left w:val="single" w:sz="4" w:space="0" w:color="auto"/>
              <w:bottom w:val="single" w:sz="4" w:space="0" w:color="auto"/>
              <w:right w:val="single" w:sz="4" w:space="0" w:color="auto"/>
            </w:tcBorders>
          </w:tcPr>
          <w:p w14:paraId="0C0CCD45" w14:textId="77777777" w:rsidR="00D22CF6" w:rsidRPr="00A11D3F" w:rsidRDefault="00D22CF6" w:rsidP="00D22CF6">
            <w:pPr>
              <w:rPr>
                <w:sz w:val="20"/>
                <w:szCs w:val="20"/>
              </w:rPr>
            </w:pPr>
            <w:r w:rsidRPr="00A11D3F">
              <w:rPr>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622B942D" w14:textId="77777777" w:rsidR="00D22CF6" w:rsidRPr="00A11D3F" w:rsidRDefault="00D22CF6" w:rsidP="00D22CF6">
            <w:pPr>
              <w:jc w:val="center"/>
              <w:rPr>
                <w:sz w:val="20"/>
                <w:szCs w:val="20"/>
              </w:rPr>
            </w:pPr>
            <w:r w:rsidRPr="00A11D3F">
              <w:rPr>
                <w:sz w:val="20"/>
                <w:szCs w:val="20"/>
              </w:rPr>
              <w:t>0</w:t>
            </w:r>
          </w:p>
        </w:tc>
        <w:tc>
          <w:tcPr>
            <w:tcW w:w="1540" w:type="dxa"/>
            <w:tcBorders>
              <w:top w:val="nil"/>
              <w:left w:val="nil"/>
              <w:bottom w:val="single" w:sz="4" w:space="0" w:color="auto"/>
              <w:right w:val="single" w:sz="4" w:space="0" w:color="auto"/>
            </w:tcBorders>
          </w:tcPr>
          <w:p w14:paraId="3CE06075" w14:textId="77777777" w:rsidR="00D22CF6" w:rsidRPr="00A11D3F" w:rsidRDefault="00D22CF6" w:rsidP="00D22CF6">
            <w:pPr>
              <w:jc w:val="center"/>
              <w:rPr>
                <w:sz w:val="20"/>
                <w:szCs w:val="20"/>
              </w:rPr>
            </w:pPr>
            <w:r w:rsidRPr="00A11D3F">
              <w:rPr>
                <w:sz w:val="20"/>
                <w:szCs w:val="20"/>
              </w:rPr>
              <w:t>+</w:t>
            </w:r>
            <w:r>
              <w:rPr>
                <w:sz w:val="20"/>
                <w:szCs w:val="20"/>
              </w:rPr>
              <w:t>24 876</w:t>
            </w:r>
          </w:p>
        </w:tc>
        <w:tc>
          <w:tcPr>
            <w:tcW w:w="1540" w:type="dxa"/>
            <w:tcBorders>
              <w:top w:val="nil"/>
              <w:left w:val="nil"/>
              <w:bottom w:val="single" w:sz="4" w:space="0" w:color="auto"/>
              <w:right w:val="single" w:sz="4" w:space="0" w:color="auto"/>
            </w:tcBorders>
          </w:tcPr>
          <w:p w14:paraId="06E147BE" w14:textId="77777777" w:rsidR="00D22CF6" w:rsidRPr="00A11D3F" w:rsidRDefault="00D22CF6" w:rsidP="00D22CF6">
            <w:pPr>
              <w:jc w:val="center"/>
              <w:rPr>
                <w:sz w:val="20"/>
                <w:szCs w:val="20"/>
              </w:rPr>
            </w:pPr>
            <w:r w:rsidRPr="00A11D3F">
              <w:rPr>
                <w:sz w:val="20"/>
                <w:szCs w:val="20"/>
              </w:rPr>
              <w:t>+</w:t>
            </w:r>
            <w:r>
              <w:rPr>
                <w:sz w:val="20"/>
                <w:szCs w:val="20"/>
              </w:rPr>
              <w:t>24 876</w:t>
            </w:r>
          </w:p>
        </w:tc>
        <w:tc>
          <w:tcPr>
            <w:tcW w:w="1540" w:type="dxa"/>
            <w:tcBorders>
              <w:top w:val="nil"/>
              <w:left w:val="nil"/>
              <w:bottom w:val="single" w:sz="4" w:space="0" w:color="auto"/>
              <w:right w:val="single" w:sz="4" w:space="0" w:color="auto"/>
            </w:tcBorders>
          </w:tcPr>
          <w:p w14:paraId="0B89F255" w14:textId="77777777" w:rsidR="00D22CF6" w:rsidRPr="00A11D3F" w:rsidRDefault="00D22CF6" w:rsidP="00D22CF6">
            <w:pPr>
              <w:jc w:val="center"/>
            </w:pPr>
            <w:r w:rsidRPr="00A11D3F">
              <w:rPr>
                <w:sz w:val="20"/>
                <w:szCs w:val="20"/>
              </w:rPr>
              <w:t>+</w:t>
            </w:r>
            <w:r>
              <w:rPr>
                <w:sz w:val="20"/>
                <w:szCs w:val="20"/>
              </w:rPr>
              <w:t>24 876</w:t>
            </w:r>
          </w:p>
        </w:tc>
        <w:tc>
          <w:tcPr>
            <w:tcW w:w="1366" w:type="dxa"/>
            <w:tcBorders>
              <w:top w:val="nil"/>
              <w:left w:val="nil"/>
              <w:bottom w:val="single" w:sz="4" w:space="0" w:color="auto"/>
              <w:right w:val="single" w:sz="4" w:space="0" w:color="auto"/>
            </w:tcBorders>
            <w:noWrap/>
            <w:vAlign w:val="bottom"/>
          </w:tcPr>
          <w:p w14:paraId="46226418" w14:textId="60DCABDD" w:rsidR="00D22CF6" w:rsidRPr="00A11D3F" w:rsidRDefault="00D22CF6" w:rsidP="00D22CF6"/>
        </w:tc>
      </w:tr>
      <w:tr w:rsidR="00D22CF6" w:rsidRPr="00A11D3F" w14:paraId="64401050" w14:textId="77777777" w:rsidTr="00263677">
        <w:trPr>
          <w:trHeight w:val="255"/>
        </w:trPr>
        <w:tc>
          <w:tcPr>
            <w:tcW w:w="7070" w:type="dxa"/>
            <w:tcBorders>
              <w:top w:val="nil"/>
              <w:left w:val="single" w:sz="4" w:space="0" w:color="auto"/>
              <w:bottom w:val="single" w:sz="4" w:space="0" w:color="auto"/>
              <w:right w:val="single" w:sz="4" w:space="0" w:color="auto"/>
            </w:tcBorders>
          </w:tcPr>
          <w:p w14:paraId="7429731B" w14:textId="77777777" w:rsidR="00D22CF6" w:rsidRPr="00A11D3F" w:rsidRDefault="00D22CF6" w:rsidP="00D22CF6">
            <w:pPr>
              <w:rPr>
                <w:sz w:val="20"/>
                <w:szCs w:val="20"/>
                <w:vertAlign w:val="superscript"/>
              </w:rPr>
            </w:pPr>
            <w:r w:rsidRPr="00A11D3F">
              <w:rPr>
                <w:sz w:val="20"/>
                <w:szCs w:val="20"/>
              </w:rPr>
              <w:t xml:space="preserve">  Poistné a príspevok do poisťovní (620)</w:t>
            </w:r>
          </w:p>
        </w:tc>
        <w:tc>
          <w:tcPr>
            <w:tcW w:w="1540" w:type="dxa"/>
            <w:tcBorders>
              <w:top w:val="nil"/>
              <w:left w:val="nil"/>
              <w:bottom w:val="single" w:sz="4" w:space="0" w:color="auto"/>
              <w:right w:val="single" w:sz="4" w:space="0" w:color="auto"/>
            </w:tcBorders>
          </w:tcPr>
          <w:p w14:paraId="7531D1BC" w14:textId="77777777" w:rsidR="00D22CF6" w:rsidRPr="00A11D3F" w:rsidRDefault="00D22CF6" w:rsidP="00D22CF6">
            <w:pPr>
              <w:jc w:val="center"/>
              <w:rPr>
                <w:sz w:val="20"/>
                <w:szCs w:val="20"/>
              </w:rPr>
            </w:pPr>
            <w:r w:rsidRPr="00A11D3F">
              <w:rPr>
                <w:sz w:val="20"/>
                <w:szCs w:val="20"/>
              </w:rPr>
              <w:t>0</w:t>
            </w:r>
          </w:p>
        </w:tc>
        <w:tc>
          <w:tcPr>
            <w:tcW w:w="1540" w:type="dxa"/>
            <w:tcBorders>
              <w:top w:val="nil"/>
              <w:left w:val="nil"/>
              <w:bottom w:val="single" w:sz="4" w:space="0" w:color="auto"/>
              <w:right w:val="single" w:sz="4" w:space="0" w:color="auto"/>
            </w:tcBorders>
          </w:tcPr>
          <w:p w14:paraId="13480E1D" w14:textId="77777777" w:rsidR="00D22CF6" w:rsidRPr="00A11D3F" w:rsidRDefault="00D22CF6" w:rsidP="00D22CF6">
            <w:pPr>
              <w:jc w:val="center"/>
              <w:rPr>
                <w:sz w:val="20"/>
                <w:szCs w:val="20"/>
              </w:rPr>
            </w:pPr>
            <w:r w:rsidRPr="00A11D3F">
              <w:rPr>
                <w:sz w:val="20"/>
                <w:szCs w:val="20"/>
              </w:rPr>
              <w:t>+</w:t>
            </w:r>
            <w:r>
              <w:rPr>
                <w:sz w:val="20"/>
                <w:szCs w:val="20"/>
              </w:rPr>
              <w:t>8 694</w:t>
            </w:r>
          </w:p>
        </w:tc>
        <w:tc>
          <w:tcPr>
            <w:tcW w:w="1540" w:type="dxa"/>
            <w:tcBorders>
              <w:top w:val="nil"/>
              <w:left w:val="nil"/>
              <w:bottom w:val="single" w:sz="4" w:space="0" w:color="auto"/>
              <w:right w:val="single" w:sz="4" w:space="0" w:color="auto"/>
            </w:tcBorders>
          </w:tcPr>
          <w:p w14:paraId="4E5228E7" w14:textId="77777777" w:rsidR="00D22CF6" w:rsidRPr="00A11D3F" w:rsidRDefault="00D22CF6" w:rsidP="00D22CF6">
            <w:pPr>
              <w:jc w:val="center"/>
              <w:rPr>
                <w:sz w:val="20"/>
                <w:szCs w:val="20"/>
              </w:rPr>
            </w:pPr>
            <w:r w:rsidRPr="00A11D3F">
              <w:rPr>
                <w:sz w:val="20"/>
                <w:szCs w:val="20"/>
              </w:rPr>
              <w:t>+</w:t>
            </w:r>
            <w:r>
              <w:rPr>
                <w:sz w:val="20"/>
                <w:szCs w:val="20"/>
              </w:rPr>
              <w:t>8 694</w:t>
            </w:r>
          </w:p>
        </w:tc>
        <w:tc>
          <w:tcPr>
            <w:tcW w:w="1540" w:type="dxa"/>
            <w:tcBorders>
              <w:top w:val="nil"/>
              <w:left w:val="nil"/>
              <w:bottom w:val="single" w:sz="4" w:space="0" w:color="auto"/>
              <w:right w:val="single" w:sz="4" w:space="0" w:color="auto"/>
            </w:tcBorders>
          </w:tcPr>
          <w:p w14:paraId="40F812DD" w14:textId="77777777" w:rsidR="00D22CF6" w:rsidRPr="00A11D3F" w:rsidRDefault="00D22CF6" w:rsidP="00D22CF6">
            <w:pPr>
              <w:jc w:val="center"/>
              <w:rPr>
                <w:sz w:val="20"/>
                <w:szCs w:val="20"/>
              </w:rPr>
            </w:pPr>
            <w:r w:rsidRPr="00A11D3F">
              <w:rPr>
                <w:sz w:val="20"/>
                <w:szCs w:val="20"/>
              </w:rPr>
              <w:t>+</w:t>
            </w:r>
            <w:r>
              <w:rPr>
                <w:sz w:val="20"/>
                <w:szCs w:val="20"/>
              </w:rPr>
              <w:t>8 694</w:t>
            </w:r>
          </w:p>
        </w:tc>
        <w:tc>
          <w:tcPr>
            <w:tcW w:w="1366" w:type="dxa"/>
            <w:tcBorders>
              <w:top w:val="nil"/>
              <w:left w:val="nil"/>
              <w:bottom w:val="single" w:sz="4" w:space="0" w:color="auto"/>
              <w:right w:val="single" w:sz="4" w:space="0" w:color="auto"/>
            </w:tcBorders>
            <w:noWrap/>
            <w:vAlign w:val="bottom"/>
          </w:tcPr>
          <w:p w14:paraId="07F8862D" w14:textId="0CBA26F0" w:rsidR="00D22CF6" w:rsidRPr="00A11D3F" w:rsidRDefault="00D22CF6" w:rsidP="00D22CF6"/>
        </w:tc>
      </w:tr>
      <w:tr w:rsidR="00D22CF6" w:rsidRPr="00A11D3F" w14:paraId="5FD813C8" w14:textId="77777777" w:rsidTr="00263677">
        <w:trPr>
          <w:trHeight w:val="255"/>
        </w:trPr>
        <w:tc>
          <w:tcPr>
            <w:tcW w:w="7070" w:type="dxa"/>
            <w:tcBorders>
              <w:top w:val="nil"/>
              <w:left w:val="single" w:sz="4" w:space="0" w:color="auto"/>
              <w:bottom w:val="single" w:sz="4" w:space="0" w:color="auto"/>
              <w:right w:val="single" w:sz="4" w:space="0" w:color="auto"/>
            </w:tcBorders>
          </w:tcPr>
          <w:p w14:paraId="08BEAE19" w14:textId="77777777" w:rsidR="00D22CF6" w:rsidRPr="00A11D3F" w:rsidRDefault="00D22CF6" w:rsidP="00D22CF6">
            <w:pPr>
              <w:rPr>
                <w:sz w:val="20"/>
                <w:szCs w:val="20"/>
              </w:rPr>
            </w:pPr>
            <w:r w:rsidRPr="00A11D3F">
              <w:rPr>
                <w:sz w:val="20"/>
                <w:szCs w:val="20"/>
              </w:rPr>
              <w:t xml:space="preserve">  Bežné transfery (640)</w:t>
            </w:r>
            <w:r w:rsidRPr="00A11D3F">
              <w:rPr>
                <w:sz w:val="20"/>
                <w:szCs w:val="20"/>
                <w:vertAlign w:val="superscript"/>
              </w:rPr>
              <w:t>2</w:t>
            </w:r>
          </w:p>
        </w:tc>
        <w:tc>
          <w:tcPr>
            <w:tcW w:w="1540" w:type="dxa"/>
            <w:tcBorders>
              <w:top w:val="nil"/>
              <w:left w:val="nil"/>
              <w:bottom w:val="single" w:sz="4" w:space="0" w:color="auto"/>
              <w:right w:val="single" w:sz="4" w:space="0" w:color="auto"/>
            </w:tcBorders>
          </w:tcPr>
          <w:p w14:paraId="1629B12D"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587ED8BF"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154E0995"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6DD245B5" w14:textId="77777777" w:rsidR="00D22CF6" w:rsidRPr="00A11D3F" w:rsidRDefault="00D22CF6" w:rsidP="00D22CF6">
            <w:pPr>
              <w:jc w:val="center"/>
            </w:pPr>
          </w:p>
        </w:tc>
        <w:tc>
          <w:tcPr>
            <w:tcW w:w="1366" w:type="dxa"/>
            <w:tcBorders>
              <w:top w:val="nil"/>
              <w:left w:val="nil"/>
              <w:bottom w:val="single" w:sz="4" w:space="0" w:color="auto"/>
              <w:right w:val="single" w:sz="4" w:space="0" w:color="auto"/>
            </w:tcBorders>
            <w:noWrap/>
            <w:vAlign w:val="bottom"/>
          </w:tcPr>
          <w:p w14:paraId="36C933E1" w14:textId="5C747D02" w:rsidR="00D22CF6" w:rsidRPr="00A11D3F" w:rsidRDefault="00D22CF6" w:rsidP="00D22CF6"/>
        </w:tc>
      </w:tr>
      <w:tr w:rsidR="00D22CF6" w:rsidRPr="00A11D3F" w14:paraId="26F579D7" w14:textId="77777777" w:rsidTr="00263677">
        <w:trPr>
          <w:trHeight w:val="255"/>
        </w:trPr>
        <w:tc>
          <w:tcPr>
            <w:tcW w:w="7070" w:type="dxa"/>
            <w:tcBorders>
              <w:top w:val="nil"/>
              <w:left w:val="single" w:sz="4" w:space="0" w:color="auto"/>
              <w:bottom w:val="single" w:sz="4" w:space="0" w:color="auto"/>
              <w:right w:val="single" w:sz="4" w:space="0" w:color="auto"/>
            </w:tcBorders>
            <w:vAlign w:val="center"/>
          </w:tcPr>
          <w:p w14:paraId="7F7BBFB6" w14:textId="77777777" w:rsidR="00D22CF6" w:rsidRPr="00A11D3F" w:rsidRDefault="00D22CF6" w:rsidP="00D22CF6">
            <w:pPr>
              <w:rPr>
                <w:sz w:val="20"/>
                <w:szCs w:val="20"/>
              </w:rPr>
            </w:pPr>
            <w:r w:rsidRPr="00A11D3F">
              <w:rPr>
                <w:sz w:val="20"/>
                <w:szCs w:val="20"/>
              </w:rPr>
              <w:t xml:space="preserve">  Splácanie úrokov a ostatné platby súvisiace s </w:t>
            </w:r>
            <w:r w:rsidRPr="00A11D3F">
              <w:t xml:space="preserve"> </w:t>
            </w:r>
            <w:r w:rsidRPr="00A11D3F">
              <w:rPr>
                <w:sz w:val="20"/>
                <w:szCs w:val="20"/>
              </w:rPr>
              <w:t>úverom, pôžičkou, návratnou finančnou výpomocou a finančným prenájmom (650)</w:t>
            </w:r>
            <w:r w:rsidRPr="00A11D3F">
              <w:rPr>
                <w:sz w:val="20"/>
                <w:szCs w:val="20"/>
                <w:vertAlign w:val="superscript"/>
              </w:rPr>
              <w:t>2</w:t>
            </w:r>
          </w:p>
        </w:tc>
        <w:tc>
          <w:tcPr>
            <w:tcW w:w="1540" w:type="dxa"/>
            <w:tcBorders>
              <w:top w:val="nil"/>
              <w:left w:val="nil"/>
              <w:bottom w:val="single" w:sz="4" w:space="0" w:color="auto"/>
              <w:right w:val="single" w:sz="4" w:space="0" w:color="auto"/>
            </w:tcBorders>
          </w:tcPr>
          <w:p w14:paraId="4976A413"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67814996"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65F0F3C7"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67C515E6" w14:textId="77777777" w:rsidR="00D22CF6" w:rsidRPr="00A11D3F" w:rsidRDefault="00D22CF6" w:rsidP="00D22CF6">
            <w:pPr>
              <w:jc w:val="center"/>
            </w:pPr>
          </w:p>
        </w:tc>
        <w:tc>
          <w:tcPr>
            <w:tcW w:w="1366" w:type="dxa"/>
            <w:tcBorders>
              <w:top w:val="nil"/>
              <w:left w:val="nil"/>
              <w:bottom w:val="single" w:sz="4" w:space="0" w:color="auto"/>
              <w:right w:val="single" w:sz="4" w:space="0" w:color="auto"/>
            </w:tcBorders>
            <w:noWrap/>
            <w:vAlign w:val="bottom"/>
          </w:tcPr>
          <w:p w14:paraId="0EE5F505" w14:textId="77777777" w:rsidR="00D22CF6" w:rsidRPr="00A11D3F" w:rsidRDefault="00D22CF6" w:rsidP="00D22CF6"/>
        </w:tc>
      </w:tr>
      <w:tr w:rsidR="00D22CF6" w:rsidRPr="00A11D3F" w14:paraId="25FDD8DF" w14:textId="77777777" w:rsidTr="00263677">
        <w:trPr>
          <w:trHeight w:val="255"/>
        </w:trPr>
        <w:tc>
          <w:tcPr>
            <w:tcW w:w="7070" w:type="dxa"/>
            <w:tcBorders>
              <w:top w:val="nil"/>
              <w:left w:val="single" w:sz="4" w:space="0" w:color="auto"/>
              <w:bottom w:val="single" w:sz="4" w:space="0" w:color="auto"/>
              <w:right w:val="single" w:sz="4" w:space="0" w:color="auto"/>
            </w:tcBorders>
          </w:tcPr>
          <w:p w14:paraId="324FE959" w14:textId="77777777" w:rsidR="00D22CF6" w:rsidRPr="00A11D3F" w:rsidRDefault="00D22CF6" w:rsidP="00D22CF6">
            <w:pPr>
              <w:rPr>
                <w:b/>
                <w:bCs/>
                <w:sz w:val="20"/>
                <w:szCs w:val="20"/>
              </w:rPr>
            </w:pPr>
            <w:r w:rsidRPr="00A11D3F">
              <w:rPr>
                <w:b/>
                <w:bCs/>
                <w:sz w:val="20"/>
                <w:szCs w:val="20"/>
              </w:rPr>
              <w:t>Kapitálové výdavky (700)</w:t>
            </w:r>
          </w:p>
        </w:tc>
        <w:tc>
          <w:tcPr>
            <w:tcW w:w="1540" w:type="dxa"/>
            <w:tcBorders>
              <w:top w:val="nil"/>
              <w:left w:val="nil"/>
              <w:bottom w:val="single" w:sz="4" w:space="0" w:color="auto"/>
              <w:right w:val="single" w:sz="4" w:space="0" w:color="auto"/>
            </w:tcBorders>
          </w:tcPr>
          <w:p w14:paraId="3EB7D6AC"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tcPr>
          <w:p w14:paraId="2DB34812"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tcPr>
          <w:p w14:paraId="51E0AE3C" w14:textId="77777777"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tcPr>
          <w:p w14:paraId="33890984" w14:textId="77777777" w:rsidR="00D22CF6" w:rsidRPr="00A11D3F" w:rsidRDefault="00D22CF6" w:rsidP="00D22CF6">
            <w:pPr>
              <w:jc w:val="center"/>
              <w:rPr>
                <w:b/>
                <w:bCs/>
              </w:rPr>
            </w:pPr>
          </w:p>
        </w:tc>
        <w:tc>
          <w:tcPr>
            <w:tcW w:w="1366" w:type="dxa"/>
            <w:tcBorders>
              <w:top w:val="nil"/>
              <w:left w:val="nil"/>
              <w:bottom w:val="single" w:sz="4" w:space="0" w:color="auto"/>
              <w:right w:val="single" w:sz="4" w:space="0" w:color="auto"/>
            </w:tcBorders>
            <w:noWrap/>
            <w:vAlign w:val="bottom"/>
          </w:tcPr>
          <w:p w14:paraId="2B3EDF00" w14:textId="7BEC9BED" w:rsidR="00D22CF6" w:rsidRPr="00A11D3F" w:rsidRDefault="00D22CF6" w:rsidP="00D22CF6"/>
        </w:tc>
      </w:tr>
      <w:tr w:rsidR="00D22CF6" w:rsidRPr="00A11D3F" w14:paraId="1F2AD71F" w14:textId="77777777" w:rsidTr="00263677">
        <w:trPr>
          <w:trHeight w:val="255"/>
        </w:trPr>
        <w:tc>
          <w:tcPr>
            <w:tcW w:w="7070" w:type="dxa"/>
            <w:tcBorders>
              <w:top w:val="nil"/>
              <w:left w:val="single" w:sz="4" w:space="0" w:color="auto"/>
              <w:bottom w:val="single" w:sz="4" w:space="0" w:color="auto"/>
              <w:right w:val="single" w:sz="4" w:space="0" w:color="auto"/>
            </w:tcBorders>
          </w:tcPr>
          <w:p w14:paraId="16759CA2" w14:textId="77777777" w:rsidR="00D22CF6" w:rsidRPr="00A11D3F" w:rsidRDefault="00D22CF6" w:rsidP="00D22CF6">
            <w:pPr>
              <w:rPr>
                <w:sz w:val="20"/>
                <w:szCs w:val="20"/>
              </w:rPr>
            </w:pPr>
            <w:r w:rsidRPr="00A11D3F">
              <w:rPr>
                <w:sz w:val="20"/>
                <w:szCs w:val="20"/>
              </w:rPr>
              <w:t xml:space="preserve">  Obstarávanie kapitálových aktív (710)</w:t>
            </w:r>
            <w:r w:rsidRPr="00A11D3F">
              <w:rPr>
                <w:sz w:val="20"/>
                <w:szCs w:val="20"/>
                <w:vertAlign w:val="superscript"/>
              </w:rPr>
              <w:t>2</w:t>
            </w:r>
          </w:p>
        </w:tc>
        <w:tc>
          <w:tcPr>
            <w:tcW w:w="1540" w:type="dxa"/>
            <w:tcBorders>
              <w:top w:val="nil"/>
              <w:left w:val="nil"/>
              <w:bottom w:val="single" w:sz="4" w:space="0" w:color="auto"/>
              <w:right w:val="single" w:sz="4" w:space="0" w:color="auto"/>
            </w:tcBorders>
          </w:tcPr>
          <w:p w14:paraId="3906C07A"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5312E90D"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178384AC"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2B857202" w14:textId="77777777" w:rsidR="00D22CF6" w:rsidRPr="00A11D3F" w:rsidRDefault="00D22CF6" w:rsidP="00D22CF6">
            <w:pPr>
              <w:jc w:val="center"/>
            </w:pPr>
          </w:p>
        </w:tc>
        <w:tc>
          <w:tcPr>
            <w:tcW w:w="1366" w:type="dxa"/>
            <w:tcBorders>
              <w:top w:val="nil"/>
              <w:left w:val="nil"/>
              <w:bottom w:val="single" w:sz="4" w:space="0" w:color="auto"/>
              <w:right w:val="single" w:sz="4" w:space="0" w:color="auto"/>
            </w:tcBorders>
            <w:noWrap/>
            <w:vAlign w:val="bottom"/>
          </w:tcPr>
          <w:p w14:paraId="3973810E" w14:textId="3F26CA02" w:rsidR="00D22CF6" w:rsidRPr="00A11D3F" w:rsidRDefault="00D22CF6" w:rsidP="00D22CF6"/>
        </w:tc>
      </w:tr>
      <w:tr w:rsidR="00D22CF6" w:rsidRPr="00A11D3F" w14:paraId="3003F735" w14:textId="77777777" w:rsidTr="00263677">
        <w:trPr>
          <w:trHeight w:val="255"/>
        </w:trPr>
        <w:tc>
          <w:tcPr>
            <w:tcW w:w="7070" w:type="dxa"/>
            <w:tcBorders>
              <w:top w:val="nil"/>
              <w:left w:val="single" w:sz="4" w:space="0" w:color="auto"/>
              <w:bottom w:val="single" w:sz="4" w:space="0" w:color="auto"/>
              <w:right w:val="single" w:sz="4" w:space="0" w:color="auto"/>
            </w:tcBorders>
          </w:tcPr>
          <w:p w14:paraId="498B7C5B" w14:textId="77777777" w:rsidR="00D22CF6" w:rsidRPr="00A11D3F" w:rsidRDefault="00D22CF6" w:rsidP="00D22CF6">
            <w:pPr>
              <w:rPr>
                <w:sz w:val="20"/>
                <w:szCs w:val="20"/>
              </w:rPr>
            </w:pPr>
            <w:r w:rsidRPr="00A11D3F">
              <w:rPr>
                <w:sz w:val="20"/>
                <w:szCs w:val="20"/>
              </w:rPr>
              <w:t xml:space="preserve">  Kapitálové transfery (720)</w:t>
            </w:r>
            <w:r w:rsidRPr="00A11D3F">
              <w:rPr>
                <w:sz w:val="20"/>
                <w:szCs w:val="20"/>
                <w:vertAlign w:val="superscript"/>
              </w:rPr>
              <w:t>2</w:t>
            </w:r>
          </w:p>
        </w:tc>
        <w:tc>
          <w:tcPr>
            <w:tcW w:w="1540" w:type="dxa"/>
            <w:tcBorders>
              <w:top w:val="nil"/>
              <w:left w:val="nil"/>
              <w:bottom w:val="single" w:sz="4" w:space="0" w:color="auto"/>
              <w:right w:val="single" w:sz="4" w:space="0" w:color="auto"/>
            </w:tcBorders>
          </w:tcPr>
          <w:p w14:paraId="072E7C77"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1D6986B2"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74612D9B" w14:textId="77777777" w:rsidR="00D22CF6" w:rsidRPr="00A11D3F" w:rsidRDefault="00D22CF6" w:rsidP="00D22CF6">
            <w:pPr>
              <w:jc w:val="center"/>
              <w:rPr>
                <w:sz w:val="20"/>
                <w:szCs w:val="20"/>
              </w:rPr>
            </w:pPr>
          </w:p>
        </w:tc>
        <w:tc>
          <w:tcPr>
            <w:tcW w:w="1540" w:type="dxa"/>
            <w:tcBorders>
              <w:top w:val="nil"/>
              <w:left w:val="nil"/>
              <w:bottom w:val="single" w:sz="4" w:space="0" w:color="auto"/>
              <w:right w:val="single" w:sz="4" w:space="0" w:color="auto"/>
            </w:tcBorders>
          </w:tcPr>
          <w:p w14:paraId="4F1F966F" w14:textId="77777777" w:rsidR="00D22CF6" w:rsidRPr="00A11D3F" w:rsidRDefault="00D22CF6" w:rsidP="00D22CF6">
            <w:pPr>
              <w:jc w:val="center"/>
            </w:pPr>
          </w:p>
        </w:tc>
        <w:tc>
          <w:tcPr>
            <w:tcW w:w="1366" w:type="dxa"/>
            <w:tcBorders>
              <w:top w:val="nil"/>
              <w:left w:val="nil"/>
              <w:bottom w:val="single" w:sz="4" w:space="0" w:color="auto"/>
              <w:right w:val="single" w:sz="4" w:space="0" w:color="auto"/>
            </w:tcBorders>
            <w:noWrap/>
            <w:vAlign w:val="bottom"/>
          </w:tcPr>
          <w:p w14:paraId="09DAF55F" w14:textId="4E2092C1" w:rsidR="00D22CF6" w:rsidRPr="00A11D3F" w:rsidRDefault="00D22CF6" w:rsidP="00D22CF6"/>
        </w:tc>
      </w:tr>
      <w:tr w:rsidR="00D22CF6" w:rsidRPr="00A11D3F" w14:paraId="5E8265FB" w14:textId="77777777" w:rsidTr="00263677">
        <w:trPr>
          <w:trHeight w:val="255"/>
        </w:trPr>
        <w:tc>
          <w:tcPr>
            <w:tcW w:w="7070" w:type="dxa"/>
            <w:tcBorders>
              <w:top w:val="nil"/>
              <w:left w:val="single" w:sz="4" w:space="0" w:color="auto"/>
              <w:bottom w:val="single" w:sz="4" w:space="0" w:color="auto"/>
              <w:right w:val="single" w:sz="4" w:space="0" w:color="auto"/>
            </w:tcBorders>
          </w:tcPr>
          <w:p w14:paraId="232F80DA" w14:textId="77777777" w:rsidR="00D22CF6" w:rsidRPr="00A11D3F" w:rsidRDefault="00D22CF6" w:rsidP="00D22CF6">
            <w:pPr>
              <w:rPr>
                <w:b/>
                <w:bCs/>
                <w:sz w:val="20"/>
                <w:szCs w:val="20"/>
              </w:rPr>
            </w:pPr>
            <w:r w:rsidRPr="00A11D3F">
              <w:rPr>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auto"/>
          </w:tcPr>
          <w:p w14:paraId="706EE171" w14:textId="4054FF80"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shd w:val="clear" w:color="auto" w:fill="auto"/>
          </w:tcPr>
          <w:p w14:paraId="68CB995E" w14:textId="17DAAFD6"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shd w:val="clear" w:color="auto" w:fill="auto"/>
          </w:tcPr>
          <w:p w14:paraId="65C7ABF3" w14:textId="3B987285" w:rsidR="00D22CF6" w:rsidRPr="00A11D3F" w:rsidRDefault="00D22CF6" w:rsidP="00D22CF6">
            <w:pPr>
              <w:jc w:val="center"/>
              <w:rPr>
                <w:b/>
                <w:bCs/>
                <w:sz w:val="20"/>
                <w:szCs w:val="20"/>
              </w:rPr>
            </w:pPr>
          </w:p>
        </w:tc>
        <w:tc>
          <w:tcPr>
            <w:tcW w:w="1540" w:type="dxa"/>
            <w:tcBorders>
              <w:top w:val="nil"/>
              <w:left w:val="nil"/>
              <w:bottom w:val="single" w:sz="4" w:space="0" w:color="auto"/>
              <w:right w:val="single" w:sz="4" w:space="0" w:color="auto"/>
            </w:tcBorders>
            <w:shd w:val="clear" w:color="auto" w:fill="auto"/>
          </w:tcPr>
          <w:p w14:paraId="381C6C55" w14:textId="626E209F" w:rsidR="00D22CF6" w:rsidRPr="00A11D3F" w:rsidRDefault="00D22CF6" w:rsidP="00D22CF6">
            <w:pPr>
              <w:jc w:val="center"/>
              <w:rPr>
                <w:b/>
                <w:bCs/>
              </w:rPr>
            </w:pPr>
          </w:p>
        </w:tc>
        <w:tc>
          <w:tcPr>
            <w:tcW w:w="1366" w:type="dxa"/>
            <w:tcBorders>
              <w:top w:val="nil"/>
              <w:left w:val="nil"/>
              <w:bottom w:val="single" w:sz="4" w:space="0" w:color="auto"/>
              <w:right w:val="single" w:sz="4" w:space="0" w:color="auto"/>
            </w:tcBorders>
            <w:noWrap/>
            <w:vAlign w:val="bottom"/>
          </w:tcPr>
          <w:p w14:paraId="3574D7AA" w14:textId="52AAE2C2" w:rsidR="00D22CF6" w:rsidRPr="00A11D3F" w:rsidRDefault="00D22CF6" w:rsidP="00D22CF6"/>
        </w:tc>
      </w:tr>
      <w:tr w:rsidR="00D22CF6" w:rsidRPr="00A11D3F" w14:paraId="7039C8CC" w14:textId="77777777" w:rsidTr="00263677">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8F2420" w14:textId="77777777" w:rsidR="00D22CF6" w:rsidRPr="00A11D3F" w:rsidRDefault="00D22CF6" w:rsidP="00D22CF6">
            <w:pPr>
              <w:rPr>
                <w:b/>
                <w:bCs/>
                <w:sz w:val="20"/>
                <w:szCs w:val="20"/>
              </w:rPr>
            </w:pPr>
            <w:r w:rsidRPr="00A11D3F">
              <w:rPr>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D69C693" w14:textId="77777777" w:rsidR="00D22CF6" w:rsidRPr="00A11D3F" w:rsidRDefault="00D22CF6" w:rsidP="00D22CF6">
            <w:pPr>
              <w:jc w:val="center"/>
              <w:rPr>
                <w:b/>
                <w:bCs/>
                <w:sz w:val="20"/>
                <w:szCs w:val="20"/>
              </w:rPr>
            </w:pPr>
            <w:r w:rsidRPr="00A11D3F">
              <w:rPr>
                <w:b/>
                <w:bCs/>
                <w:sz w:val="20"/>
                <w:szCs w:val="20"/>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DF3E545" w14:textId="77777777" w:rsidR="00D22CF6" w:rsidRPr="00A11D3F" w:rsidRDefault="00D22CF6" w:rsidP="00D22CF6">
            <w:pPr>
              <w:jc w:val="center"/>
              <w:rPr>
                <w:b/>
                <w:bCs/>
                <w:sz w:val="20"/>
                <w:szCs w:val="20"/>
              </w:rPr>
            </w:pPr>
            <w:r w:rsidRPr="00A11D3F">
              <w:rPr>
                <w:b/>
                <w:bCs/>
                <w:sz w:val="20"/>
                <w:szCs w:val="20"/>
              </w:rPr>
              <w:t>+</w:t>
            </w:r>
            <w:r>
              <w:rPr>
                <w:b/>
                <w:bCs/>
                <w:sz w:val="20"/>
                <w:szCs w:val="20"/>
              </w:rPr>
              <w:t>33 570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0AF692C" w14:textId="77777777" w:rsidR="00D22CF6" w:rsidRPr="00A11D3F" w:rsidRDefault="00D22CF6" w:rsidP="00D22CF6">
            <w:pPr>
              <w:jc w:val="center"/>
              <w:rPr>
                <w:b/>
                <w:bCs/>
                <w:sz w:val="20"/>
                <w:szCs w:val="20"/>
              </w:rPr>
            </w:pPr>
            <w:r w:rsidRPr="00A11D3F">
              <w:rPr>
                <w:b/>
                <w:bCs/>
                <w:sz w:val="20"/>
                <w:szCs w:val="20"/>
              </w:rPr>
              <w:t>+</w:t>
            </w:r>
            <w:r>
              <w:rPr>
                <w:b/>
                <w:bCs/>
                <w:sz w:val="20"/>
                <w:szCs w:val="20"/>
              </w:rPr>
              <w:t>33 570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2462A669" w14:textId="77777777" w:rsidR="00D22CF6" w:rsidRPr="00A11D3F" w:rsidRDefault="00D22CF6" w:rsidP="00D22CF6">
            <w:pPr>
              <w:jc w:val="center"/>
              <w:rPr>
                <w:b/>
                <w:bCs/>
              </w:rPr>
            </w:pPr>
            <w:r w:rsidRPr="00A11D3F">
              <w:rPr>
                <w:b/>
                <w:bCs/>
                <w:sz w:val="20"/>
              </w:rPr>
              <w:t>+</w:t>
            </w:r>
            <w:r>
              <w:rPr>
                <w:b/>
                <w:bCs/>
                <w:sz w:val="20"/>
                <w:szCs w:val="20"/>
              </w:rPr>
              <w:t>33 570</w:t>
            </w:r>
          </w:p>
        </w:tc>
        <w:tc>
          <w:tcPr>
            <w:tcW w:w="136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796D36C" w14:textId="00CA14DB" w:rsidR="00D22CF6" w:rsidRPr="00A11D3F" w:rsidRDefault="00D22CF6" w:rsidP="00D22CF6"/>
        </w:tc>
      </w:tr>
    </w:tbl>
    <w:p w14:paraId="73D92FF8" w14:textId="77777777" w:rsidR="00D22CF6" w:rsidRDefault="00D22CF6" w:rsidP="00D22CF6">
      <w:pPr>
        <w:tabs>
          <w:tab w:val="num" w:pos="1080"/>
        </w:tabs>
        <w:ind w:left="-900"/>
        <w:jc w:val="both"/>
        <w:rPr>
          <w:bCs/>
          <w:sz w:val="20"/>
          <w:szCs w:val="20"/>
        </w:rPr>
      </w:pPr>
    </w:p>
    <w:p w14:paraId="6E1232A7" w14:textId="77777777" w:rsidR="00D22CF6" w:rsidRPr="007D5748" w:rsidRDefault="00D22CF6" w:rsidP="00D22CF6">
      <w:pPr>
        <w:tabs>
          <w:tab w:val="num" w:pos="1080"/>
        </w:tabs>
        <w:ind w:left="-900"/>
        <w:jc w:val="both"/>
        <w:rPr>
          <w:bCs/>
          <w:sz w:val="20"/>
          <w:szCs w:val="20"/>
        </w:rPr>
      </w:pPr>
      <w:r w:rsidRPr="007D5748">
        <w:rPr>
          <w:bCs/>
          <w:sz w:val="20"/>
          <w:szCs w:val="20"/>
        </w:rPr>
        <w:t>2 –  výdavky rozpísať až do položiek platnej ekonomickej klasifikácie</w:t>
      </w:r>
    </w:p>
    <w:p w14:paraId="4B2E30B8" w14:textId="77777777" w:rsidR="00D22CF6" w:rsidRPr="00263677" w:rsidRDefault="00D22CF6" w:rsidP="00D22CF6">
      <w:pPr>
        <w:tabs>
          <w:tab w:val="num" w:pos="1080"/>
        </w:tabs>
        <w:ind w:left="-900"/>
        <w:jc w:val="both"/>
        <w:rPr>
          <w:bCs/>
          <w:szCs w:val="20"/>
        </w:rPr>
      </w:pPr>
    </w:p>
    <w:p w14:paraId="460FED04" w14:textId="77777777" w:rsidR="00D22CF6" w:rsidRPr="007D5748" w:rsidRDefault="00D22CF6" w:rsidP="00D22CF6">
      <w:pPr>
        <w:tabs>
          <w:tab w:val="num" w:pos="1080"/>
        </w:tabs>
        <w:ind w:left="-900"/>
        <w:jc w:val="both"/>
        <w:rPr>
          <w:b/>
          <w:bCs/>
          <w:sz w:val="20"/>
          <w:szCs w:val="20"/>
        </w:rPr>
      </w:pPr>
      <w:r w:rsidRPr="007D5748">
        <w:rPr>
          <w:b/>
          <w:bCs/>
          <w:szCs w:val="20"/>
        </w:rPr>
        <w:t>Poznámka:</w:t>
      </w:r>
    </w:p>
    <w:p w14:paraId="6C049B0D" w14:textId="77777777" w:rsidR="00D22CF6" w:rsidRPr="007D5748" w:rsidRDefault="00D22CF6" w:rsidP="00D22CF6">
      <w:pPr>
        <w:tabs>
          <w:tab w:val="num" w:pos="1080"/>
        </w:tabs>
        <w:ind w:left="-900"/>
        <w:jc w:val="both"/>
        <w:rPr>
          <w:bCs/>
          <w:sz w:val="20"/>
          <w:szCs w:val="20"/>
        </w:rPr>
      </w:pPr>
      <w:r w:rsidRPr="007D5748">
        <w:rPr>
          <w:bCs/>
          <w:szCs w:val="20"/>
        </w:rPr>
        <w:t>Ak sa vplyv týka viacerých subjektov verejnej správy, vypĺňa sa samostatná tabuľka za každý subjekt.</w:t>
      </w:r>
    </w:p>
    <w:p w14:paraId="0AB2BB80" w14:textId="77777777" w:rsidR="006668AA" w:rsidRDefault="006668AA" w:rsidP="00D22CF6">
      <w:pPr>
        <w:rPr>
          <w:bCs/>
          <w:sz w:val="20"/>
          <w:szCs w:val="20"/>
        </w:rPr>
        <w:sectPr w:rsidR="006668AA" w:rsidSect="001A1292">
          <w:footerReference w:type="default" r:id="rId14"/>
          <w:pgSz w:w="16838" w:h="11906" w:orient="landscape"/>
          <w:pgMar w:top="1418" w:right="1276" w:bottom="1418" w:left="1418" w:header="709" w:footer="709" w:gutter="0"/>
          <w:cols w:space="708"/>
          <w:docGrid w:linePitch="360"/>
        </w:sectPr>
      </w:pPr>
    </w:p>
    <w:p w14:paraId="2F6C28E2" w14:textId="638C2086" w:rsidR="00D22CF6" w:rsidRDefault="00D22CF6" w:rsidP="00D22CF6">
      <w:pPr>
        <w:tabs>
          <w:tab w:val="num" w:pos="1080"/>
        </w:tabs>
        <w:jc w:val="right"/>
        <w:rPr>
          <w:bCs/>
        </w:rPr>
      </w:pPr>
      <w:r w:rsidRPr="007D5748">
        <w:rPr>
          <w:bCs/>
        </w:rPr>
        <w:lastRenderedPageBreak/>
        <w:t xml:space="preserve">Tabuľka </w:t>
      </w:r>
      <w:r w:rsidR="002F69ED">
        <w:rPr>
          <w:bCs/>
        </w:rPr>
        <w:t>č. </w:t>
      </w:r>
      <w:r w:rsidRPr="007D5748">
        <w:rPr>
          <w:bCs/>
        </w:rPr>
        <w:t>5</w:t>
      </w:r>
    </w:p>
    <w:p w14:paraId="5490C598" w14:textId="77777777" w:rsidR="00D22CF6" w:rsidRPr="007D5748" w:rsidRDefault="00D22CF6" w:rsidP="00D22CF6">
      <w:pPr>
        <w:tabs>
          <w:tab w:val="num" w:pos="1080"/>
        </w:tabs>
        <w:ind w:left="-900"/>
        <w:jc w:val="both"/>
        <w:rPr>
          <w:bCs/>
          <w:sz w:val="20"/>
          <w:szCs w:val="20"/>
        </w:rPr>
      </w:pPr>
    </w:p>
    <w:tbl>
      <w:tblPr>
        <w:tblW w:w="0" w:type="auto"/>
        <w:tblInd w:w="-644" w:type="dxa"/>
        <w:tblCellMar>
          <w:left w:w="70" w:type="dxa"/>
          <w:right w:w="70" w:type="dxa"/>
        </w:tblCellMar>
        <w:tblLook w:val="0000" w:firstRow="0" w:lastRow="0" w:firstColumn="0" w:lastColumn="0" w:noHBand="0" w:noVBand="0"/>
      </w:tblPr>
      <w:tblGrid>
        <w:gridCol w:w="2623"/>
        <w:gridCol w:w="1066"/>
        <w:gridCol w:w="993"/>
        <w:gridCol w:w="1473"/>
        <w:gridCol w:w="2329"/>
        <w:gridCol w:w="1220"/>
      </w:tblGrid>
      <w:tr w:rsidR="00D22CF6" w:rsidRPr="007D5748" w14:paraId="74C698A4" w14:textId="77777777" w:rsidTr="00263677">
        <w:trPr>
          <w:cantSplit/>
          <w:trHeight w:val="255"/>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0F94889" w14:textId="77777777" w:rsidR="00D22CF6" w:rsidRDefault="00D22CF6" w:rsidP="00D22CF6">
            <w:pPr>
              <w:jc w:val="center"/>
              <w:rPr>
                <w:b/>
                <w:bCs/>
              </w:rPr>
            </w:pPr>
            <w:r w:rsidRPr="007D5748">
              <w:rPr>
                <w:b/>
                <w:bCs/>
              </w:rPr>
              <w:t>Zamestnanosť</w:t>
            </w:r>
          </w:p>
          <w:p w14:paraId="06609454" w14:textId="77777777" w:rsidR="00D22CF6" w:rsidRPr="007D5748" w:rsidRDefault="00D22CF6" w:rsidP="00D22CF6">
            <w:pPr>
              <w:jc w:val="center"/>
              <w:rPr>
                <w:b/>
                <w:bCs/>
              </w:rPr>
            </w:pPr>
            <w:r>
              <w:rPr>
                <w:b/>
                <w:bCs/>
              </w:rPr>
              <w:t>ÚNMS SR</w:t>
            </w:r>
          </w:p>
        </w:tc>
        <w:tc>
          <w:tcPr>
            <w:tcW w:w="586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22704DA" w14:textId="77777777" w:rsidR="00D22CF6" w:rsidRPr="007D5748" w:rsidRDefault="00D22CF6" w:rsidP="00D22CF6">
            <w:pPr>
              <w:jc w:val="center"/>
              <w:rPr>
                <w:b/>
                <w:bCs/>
              </w:rPr>
            </w:pPr>
            <w:r w:rsidRPr="007D5748">
              <w:rPr>
                <w:b/>
                <w:bCs/>
              </w:rPr>
              <w:t>Vplyv na rozpočet verejnej správy</w:t>
            </w:r>
          </w:p>
        </w:tc>
        <w:tc>
          <w:tcPr>
            <w:tcW w:w="120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6DF1EAB8" w14:textId="4EB9BE9D" w:rsidR="00D22CF6" w:rsidRPr="007D5748" w:rsidRDefault="00263677" w:rsidP="00D22CF6">
            <w:pPr>
              <w:jc w:val="center"/>
              <w:rPr>
                <w:b/>
                <w:bCs/>
              </w:rPr>
            </w:pPr>
            <w:r>
              <w:rPr>
                <w:b/>
                <w:bCs/>
              </w:rPr>
              <w:t>P</w:t>
            </w:r>
            <w:r w:rsidR="00D22CF6" w:rsidRPr="007D5748">
              <w:rPr>
                <w:b/>
                <w:bCs/>
              </w:rPr>
              <w:t>oznámka</w:t>
            </w:r>
          </w:p>
        </w:tc>
      </w:tr>
      <w:tr w:rsidR="00D22CF6" w:rsidRPr="007D5748" w14:paraId="7328B902" w14:textId="77777777" w:rsidTr="00263677">
        <w:trPr>
          <w:cantSplit/>
          <w:trHeight w:val="255"/>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DAB8E7" w14:textId="77777777" w:rsidR="00D22CF6" w:rsidRPr="007D5748" w:rsidRDefault="00D22CF6" w:rsidP="00D22CF6">
            <w:pPr>
              <w:rPr>
                <w:b/>
                <w:bCs/>
              </w:rPr>
            </w:pPr>
          </w:p>
        </w:tc>
        <w:tc>
          <w:tcPr>
            <w:tcW w:w="1066" w:type="dxa"/>
            <w:tcBorders>
              <w:top w:val="nil"/>
              <w:left w:val="nil"/>
              <w:bottom w:val="single" w:sz="4" w:space="0" w:color="auto"/>
              <w:right w:val="single" w:sz="4" w:space="0" w:color="auto"/>
            </w:tcBorders>
            <w:shd w:val="clear" w:color="auto" w:fill="BFBFBF" w:themeFill="background1" w:themeFillShade="BF"/>
          </w:tcPr>
          <w:p w14:paraId="3EF429FE" w14:textId="77777777" w:rsidR="00D22CF6" w:rsidRPr="007D5748" w:rsidRDefault="00D22CF6" w:rsidP="00D22CF6">
            <w:pPr>
              <w:jc w:val="center"/>
              <w:rPr>
                <w:b/>
                <w:bCs/>
              </w:rPr>
            </w:pPr>
            <w:r>
              <w:rPr>
                <w:b/>
                <w:bCs/>
              </w:rPr>
              <w:t>2020</w:t>
            </w:r>
          </w:p>
        </w:tc>
        <w:tc>
          <w:tcPr>
            <w:tcW w:w="993" w:type="dxa"/>
            <w:tcBorders>
              <w:top w:val="nil"/>
              <w:left w:val="nil"/>
              <w:bottom w:val="single" w:sz="4" w:space="0" w:color="auto"/>
              <w:right w:val="single" w:sz="4" w:space="0" w:color="auto"/>
            </w:tcBorders>
            <w:shd w:val="clear" w:color="auto" w:fill="BFBFBF" w:themeFill="background1" w:themeFillShade="BF"/>
          </w:tcPr>
          <w:p w14:paraId="37FBD855" w14:textId="77777777" w:rsidR="00D22CF6" w:rsidRPr="007D5748" w:rsidRDefault="00D22CF6" w:rsidP="00D22CF6">
            <w:pPr>
              <w:jc w:val="center"/>
              <w:rPr>
                <w:b/>
                <w:bCs/>
              </w:rPr>
            </w:pPr>
            <w:r>
              <w:rPr>
                <w:b/>
                <w:bCs/>
              </w:rPr>
              <w:t>2021</w:t>
            </w:r>
          </w:p>
        </w:tc>
        <w:tc>
          <w:tcPr>
            <w:tcW w:w="1473" w:type="dxa"/>
            <w:tcBorders>
              <w:top w:val="nil"/>
              <w:left w:val="nil"/>
              <w:bottom w:val="single" w:sz="4" w:space="0" w:color="auto"/>
              <w:right w:val="single" w:sz="4" w:space="0" w:color="auto"/>
            </w:tcBorders>
            <w:shd w:val="clear" w:color="auto" w:fill="BFBFBF" w:themeFill="background1" w:themeFillShade="BF"/>
          </w:tcPr>
          <w:p w14:paraId="53A7044D" w14:textId="77777777" w:rsidR="00D22CF6" w:rsidRPr="007D5748" w:rsidRDefault="00D22CF6" w:rsidP="00D22CF6">
            <w:pPr>
              <w:jc w:val="center"/>
              <w:rPr>
                <w:b/>
                <w:bCs/>
              </w:rPr>
            </w:pPr>
            <w:r>
              <w:rPr>
                <w:b/>
                <w:bCs/>
              </w:rPr>
              <w:t>2022</w:t>
            </w:r>
          </w:p>
        </w:tc>
        <w:tc>
          <w:tcPr>
            <w:tcW w:w="2329" w:type="dxa"/>
            <w:tcBorders>
              <w:top w:val="nil"/>
              <w:left w:val="nil"/>
              <w:bottom w:val="single" w:sz="4" w:space="0" w:color="auto"/>
              <w:right w:val="single" w:sz="4" w:space="0" w:color="auto"/>
            </w:tcBorders>
            <w:shd w:val="clear" w:color="auto" w:fill="BFBFBF" w:themeFill="background1" w:themeFillShade="BF"/>
          </w:tcPr>
          <w:p w14:paraId="495CEC7E" w14:textId="77777777" w:rsidR="00D22CF6" w:rsidRPr="007D5748" w:rsidRDefault="00D22CF6" w:rsidP="00D22CF6">
            <w:pPr>
              <w:jc w:val="center"/>
              <w:rPr>
                <w:b/>
                <w:bCs/>
              </w:rPr>
            </w:pPr>
            <w:r>
              <w:rPr>
                <w:b/>
                <w:bCs/>
              </w:rPr>
              <w:t>2023</w:t>
            </w:r>
          </w:p>
        </w:tc>
        <w:tc>
          <w:tcPr>
            <w:tcW w:w="120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E9748B" w14:textId="77777777" w:rsidR="00D22CF6" w:rsidRPr="007D5748" w:rsidRDefault="00D22CF6" w:rsidP="00D22CF6">
            <w:pPr>
              <w:rPr>
                <w:b/>
                <w:bCs/>
                <w:color w:val="FFFFFF"/>
              </w:rPr>
            </w:pPr>
          </w:p>
        </w:tc>
      </w:tr>
      <w:tr w:rsidR="00D22CF6" w:rsidRPr="007D5748" w14:paraId="42207FD2" w14:textId="77777777" w:rsidTr="00263677">
        <w:trPr>
          <w:trHeight w:val="255"/>
        </w:trPr>
        <w:tc>
          <w:tcPr>
            <w:tcW w:w="0" w:type="auto"/>
            <w:tcBorders>
              <w:top w:val="nil"/>
              <w:left w:val="single" w:sz="4" w:space="0" w:color="auto"/>
              <w:bottom w:val="single" w:sz="4" w:space="0" w:color="auto"/>
              <w:right w:val="single" w:sz="4" w:space="0" w:color="auto"/>
            </w:tcBorders>
          </w:tcPr>
          <w:p w14:paraId="7C4E6A9F" w14:textId="77777777" w:rsidR="00D22CF6" w:rsidRPr="00250EB9" w:rsidRDefault="00D22CF6" w:rsidP="00D22CF6">
            <w:pPr>
              <w:rPr>
                <w:b/>
                <w:bCs/>
              </w:rPr>
            </w:pPr>
            <w:r w:rsidRPr="00250EB9">
              <w:rPr>
                <w:b/>
                <w:bCs/>
              </w:rPr>
              <w:t>Počet zamestnancov celkom</w:t>
            </w:r>
          </w:p>
        </w:tc>
        <w:tc>
          <w:tcPr>
            <w:tcW w:w="1066" w:type="dxa"/>
            <w:tcBorders>
              <w:top w:val="nil"/>
              <w:left w:val="nil"/>
              <w:bottom w:val="single" w:sz="4" w:space="0" w:color="auto"/>
              <w:right w:val="single" w:sz="4" w:space="0" w:color="auto"/>
            </w:tcBorders>
          </w:tcPr>
          <w:p w14:paraId="675D615A" w14:textId="77777777" w:rsidR="00D22CF6" w:rsidRPr="00263677" w:rsidRDefault="00D22CF6" w:rsidP="00D22CF6">
            <w:pPr>
              <w:jc w:val="center"/>
              <w:rPr>
                <w:bCs/>
              </w:rPr>
            </w:pPr>
            <w:r w:rsidRPr="00263677">
              <w:rPr>
                <w:bCs/>
              </w:rPr>
              <w:t>0</w:t>
            </w:r>
          </w:p>
        </w:tc>
        <w:tc>
          <w:tcPr>
            <w:tcW w:w="993" w:type="dxa"/>
            <w:tcBorders>
              <w:top w:val="nil"/>
              <w:left w:val="nil"/>
              <w:bottom w:val="single" w:sz="4" w:space="0" w:color="auto"/>
              <w:right w:val="single" w:sz="4" w:space="0" w:color="auto"/>
            </w:tcBorders>
          </w:tcPr>
          <w:p w14:paraId="046CA2D3" w14:textId="77777777" w:rsidR="00D22CF6" w:rsidRPr="007D5748" w:rsidRDefault="00D22CF6" w:rsidP="00D22CF6">
            <w:pPr>
              <w:jc w:val="center"/>
              <w:rPr>
                <w:b/>
                <w:bCs/>
              </w:rPr>
            </w:pPr>
            <w:r>
              <w:rPr>
                <w:b/>
                <w:bCs/>
              </w:rPr>
              <w:t>+1</w:t>
            </w:r>
          </w:p>
        </w:tc>
        <w:tc>
          <w:tcPr>
            <w:tcW w:w="1473" w:type="dxa"/>
            <w:tcBorders>
              <w:top w:val="nil"/>
              <w:left w:val="nil"/>
              <w:bottom w:val="single" w:sz="4" w:space="0" w:color="auto"/>
              <w:right w:val="single" w:sz="4" w:space="0" w:color="auto"/>
            </w:tcBorders>
          </w:tcPr>
          <w:p w14:paraId="56AF260F" w14:textId="77777777" w:rsidR="00D22CF6" w:rsidRPr="007D5748" w:rsidRDefault="00D22CF6" w:rsidP="00D22CF6">
            <w:pPr>
              <w:jc w:val="center"/>
              <w:rPr>
                <w:b/>
                <w:bCs/>
              </w:rPr>
            </w:pPr>
            <w:r>
              <w:rPr>
                <w:b/>
                <w:bCs/>
              </w:rPr>
              <w:t>+1</w:t>
            </w:r>
          </w:p>
        </w:tc>
        <w:tc>
          <w:tcPr>
            <w:tcW w:w="2329" w:type="dxa"/>
            <w:tcBorders>
              <w:top w:val="nil"/>
              <w:left w:val="nil"/>
              <w:bottom w:val="single" w:sz="4" w:space="0" w:color="auto"/>
              <w:right w:val="single" w:sz="4" w:space="0" w:color="auto"/>
            </w:tcBorders>
          </w:tcPr>
          <w:p w14:paraId="1853EA23" w14:textId="77777777" w:rsidR="00D22CF6" w:rsidRPr="007D5748" w:rsidRDefault="00D22CF6" w:rsidP="00D22CF6">
            <w:pPr>
              <w:jc w:val="center"/>
              <w:rPr>
                <w:b/>
                <w:bCs/>
              </w:rPr>
            </w:pPr>
            <w:r>
              <w:rPr>
                <w:b/>
                <w:bCs/>
              </w:rPr>
              <w:t>+1</w:t>
            </w:r>
          </w:p>
        </w:tc>
        <w:tc>
          <w:tcPr>
            <w:tcW w:w="1207" w:type="dxa"/>
            <w:tcBorders>
              <w:top w:val="nil"/>
              <w:left w:val="nil"/>
              <w:bottom w:val="single" w:sz="4" w:space="0" w:color="auto"/>
              <w:right w:val="single" w:sz="4" w:space="0" w:color="auto"/>
            </w:tcBorders>
            <w:noWrap/>
            <w:vAlign w:val="bottom"/>
          </w:tcPr>
          <w:p w14:paraId="664A0EA3" w14:textId="4BE03F74" w:rsidR="00D22CF6" w:rsidRPr="007D5748" w:rsidRDefault="00D22CF6" w:rsidP="00D22CF6"/>
        </w:tc>
      </w:tr>
      <w:tr w:rsidR="00D22CF6" w:rsidRPr="007D5748" w14:paraId="1B59653F" w14:textId="77777777" w:rsidTr="00263677">
        <w:trPr>
          <w:trHeight w:val="255"/>
        </w:trPr>
        <w:tc>
          <w:tcPr>
            <w:tcW w:w="0" w:type="auto"/>
            <w:tcBorders>
              <w:top w:val="nil"/>
              <w:left w:val="single" w:sz="4" w:space="0" w:color="auto"/>
              <w:bottom w:val="single" w:sz="4" w:space="0" w:color="auto"/>
              <w:right w:val="single" w:sz="4" w:space="0" w:color="auto"/>
            </w:tcBorders>
          </w:tcPr>
          <w:p w14:paraId="73D477BF" w14:textId="77777777" w:rsidR="00D22CF6" w:rsidRPr="00250EB9" w:rsidRDefault="00D22CF6" w:rsidP="00D22CF6">
            <w:pPr>
              <w:rPr>
                <w:b/>
                <w:bCs/>
              </w:rPr>
            </w:pPr>
            <w:r w:rsidRPr="00250EB9">
              <w:rPr>
                <w:b/>
                <w:bCs/>
              </w:rPr>
              <w:t xml:space="preserve">   z toho vplyv na ŠR</w:t>
            </w:r>
          </w:p>
        </w:tc>
        <w:tc>
          <w:tcPr>
            <w:tcW w:w="1066" w:type="dxa"/>
            <w:tcBorders>
              <w:top w:val="single" w:sz="4" w:space="0" w:color="auto"/>
              <w:left w:val="nil"/>
              <w:bottom w:val="single" w:sz="4" w:space="0" w:color="auto"/>
              <w:right w:val="single" w:sz="4" w:space="0" w:color="auto"/>
            </w:tcBorders>
          </w:tcPr>
          <w:p w14:paraId="3902E022" w14:textId="77777777" w:rsidR="00D22CF6" w:rsidRPr="00263677" w:rsidRDefault="00D22CF6" w:rsidP="00D22CF6">
            <w:pPr>
              <w:jc w:val="center"/>
              <w:rPr>
                <w:bCs/>
              </w:rPr>
            </w:pPr>
            <w:r w:rsidRPr="00263677">
              <w:rPr>
                <w:bCs/>
              </w:rPr>
              <w:t>0</w:t>
            </w:r>
          </w:p>
        </w:tc>
        <w:tc>
          <w:tcPr>
            <w:tcW w:w="993" w:type="dxa"/>
            <w:tcBorders>
              <w:top w:val="single" w:sz="4" w:space="0" w:color="auto"/>
              <w:left w:val="nil"/>
              <w:bottom w:val="single" w:sz="4" w:space="0" w:color="auto"/>
              <w:right w:val="single" w:sz="4" w:space="0" w:color="auto"/>
            </w:tcBorders>
          </w:tcPr>
          <w:p w14:paraId="3E5D5B08" w14:textId="77777777" w:rsidR="00D22CF6" w:rsidRPr="007D5748" w:rsidRDefault="00D22CF6" w:rsidP="00D22CF6">
            <w:pPr>
              <w:jc w:val="center"/>
              <w:rPr>
                <w:b/>
                <w:bCs/>
              </w:rPr>
            </w:pPr>
            <w:r>
              <w:rPr>
                <w:b/>
                <w:bCs/>
              </w:rPr>
              <w:t>+1</w:t>
            </w:r>
          </w:p>
        </w:tc>
        <w:tc>
          <w:tcPr>
            <w:tcW w:w="1473" w:type="dxa"/>
            <w:tcBorders>
              <w:top w:val="single" w:sz="4" w:space="0" w:color="auto"/>
              <w:left w:val="nil"/>
              <w:bottom w:val="single" w:sz="4" w:space="0" w:color="auto"/>
              <w:right w:val="single" w:sz="4" w:space="0" w:color="auto"/>
            </w:tcBorders>
          </w:tcPr>
          <w:p w14:paraId="1E7A2437" w14:textId="77777777" w:rsidR="00D22CF6" w:rsidRPr="007D5748" w:rsidRDefault="00D22CF6" w:rsidP="00D22CF6">
            <w:pPr>
              <w:jc w:val="center"/>
              <w:rPr>
                <w:b/>
                <w:bCs/>
              </w:rPr>
            </w:pPr>
            <w:r>
              <w:rPr>
                <w:b/>
                <w:bCs/>
              </w:rPr>
              <w:t>+1</w:t>
            </w:r>
          </w:p>
        </w:tc>
        <w:tc>
          <w:tcPr>
            <w:tcW w:w="2329" w:type="dxa"/>
            <w:tcBorders>
              <w:top w:val="single" w:sz="4" w:space="0" w:color="auto"/>
              <w:left w:val="nil"/>
              <w:bottom w:val="single" w:sz="4" w:space="0" w:color="auto"/>
              <w:right w:val="single" w:sz="4" w:space="0" w:color="auto"/>
            </w:tcBorders>
          </w:tcPr>
          <w:p w14:paraId="4ECC1172" w14:textId="77777777" w:rsidR="00D22CF6" w:rsidRPr="007D5748" w:rsidRDefault="00D22CF6" w:rsidP="00D22CF6">
            <w:pPr>
              <w:jc w:val="center"/>
              <w:rPr>
                <w:b/>
                <w:bCs/>
              </w:rPr>
            </w:pPr>
            <w:r>
              <w:rPr>
                <w:b/>
                <w:bCs/>
              </w:rPr>
              <w:t>+1</w:t>
            </w:r>
          </w:p>
        </w:tc>
        <w:tc>
          <w:tcPr>
            <w:tcW w:w="1207" w:type="dxa"/>
            <w:tcBorders>
              <w:top w:val="nil"/>
              <w:left w:val="nil"/>
              <w:bottom w:val="single" w:sz="4" w:space="0" w:color="auto"/>
              <w:right w:val="single" w:sz="4" w:space="0" w:color="auto"/>
            </w:tcBorders>
            <w:noWrap/>
            <w:vAlign w:val="bottom"/>
          </w:tcPr>
          <w:p w14:paraId="05C6167D" w14:textId="77777777" w:rsidR="00D22CF6" w:rsidRPr="007D5748" w:rsidRDefault="00D22CF6" w:rsidP="00D22CF6"/>
        </w:tc>
      </w:tr>
      <w:tr w:rsidR="00D22CF6" w:rsidRPr="007D5748" w14:paraId="152142E0" w14:textId="77777777" w:rsidTr="00263677">
        <w:trPr>
          <w:trHeight w:val="255"/>
        </w:trPr>
        <w:tc>
          <w:tcPr>
            <w:tcW w:w="0" w:type="auto"/>
            <w:tcBorders>
              <w:top w:val="nil"/>
              <w:left w:val="single" w:sz="4" w:space="0" w:color="auto"/>
              <w:bottom w:val="single" w:sz="4" w:space="0" w:color="auto"/>
              <w:right w:val="single" w:sz="4" w:space="0" w:color="auto"/>
            </w:tcBorders>
          </w:tcPr>
          <w:p w14:paraId="4F8DDF54" w14:textId="77777777" w:rsidR="00D22CF6" w:rsidRPr="00250EB9" w:rsidRDefault="00D22CF6" w:rsidP="00D22CF6">
            <w:pPr>
              <w:rPr>
                <w:b/>
                <w:bCs/>
              </w:rPr>
            </w:pPr>
            <w:r w:rsidRPr="00250EB9">
              <w:rPr>
                <w:b/>
                <w:bCs/>
              </w:rPr>
              <w:t>Priemerný mzdový výdavok (v eurách)</w:t>
            </w:r>
          </w:p>
        </w:tc>
        <w:tc>
          <w:tcPr>
            <w:tcW w:w="1066" w:type="dxa"/>
            <w:tcBorders>
              <w:top w:val="single" w:sz="4" w:space="0" w:color="auto"/>
              <w:left w:val="nil"/>
              <w:bottom w:val="single" w:sz="4" w:space="0" w:color="auto"/>
              <w:right w:val="single" w:sz="4" w:space="0" w:color="auto"/>
            </w:tcBorders>
          </w:tcPr>
          <w:p w14:paraId="10BD7143" w14:textId="77777777" w:rsidR="00D22CF6" w:rsidRPr="00263677" w:rsidRDefault="00D22CF6" w:rsidP="00D22CF6">
            <w:pPr>
              <w:jc w:val="center"/>
              <w:rPr>
                <w:bCs/>
              </w:rPr>
            </w:pPr>
            <w:r w:rsidRPr="00263677">
              <w:rPr>
                <w:bCs/>
              </w:rPr>
              <w:t>0</w:t>
            </w:r>
          </w:p>
        </w:tc>
        <w:tc>
          <w:tcPr>
            <w:tcW w:w="993" w:type="dxa"/>
            <w:tcBorders>
              <w:top w:val="single" w:sz="4" w:space="0" w:color="auto"/>
              <w:left w:val="nil"/>
              <w:bottom w:val="single" w:sz="4" w:space="0" w:color="auto"/>
              <w:right w:val="single" w:sz="4" w:space="0" w:color="auto"/>
            </w:tcBorders>
          </w:tcPr>
          <w:p w14:paraId="4EAEBF5A" w14:textId="77777777" w:rsidR="00D22CF6" w:rsidRPr="007D5748" w:rsidRDefault="00D22CF6" w:rsidP="00D22CF6">
            <w:pPr>
              <w:jc w:val="center"/>
              <w:rPr>
                <w:b/>
                <w:bCs/>
              </w:rPr>
            </w:pPr>
            <w:r>
              <w:rPr>
                <w:b/>
                <w:bCs/>
              </w:rPr>
              <w:t>2 073</w:t>
            </w:r>
          </w:p>
        </w:tc>
        <w:tc>
          <w:tcPr>
            <w:tcW w:w="1473" w:type="dxa"/>
            <w:tcBorders>
              <w:top w:val="single" w:sz="4" w:space="0" w:color="auto"/>
              <w:left w:val="nil"/>
              <w:bottom w:val="single" w:sz="4" w:space="0" w:color="auto"/>
              <w:right w:val="single" w:sz="4" w:space="0" w:color="auto"/>
            </w:tcBorders>
          </w:tcPr>
          <w:p w14:paraId="20EFB963" w14:textId="77777777" w:rsidR="00D22CF6" w:rsidRPr="007D5748" w:rsidRDefault="00D22CF6" w:rsidP="00D22CF6">
            <w:pPr>
              <w:jc w:val="center"/>
              <w:rPr>
                <w:b/>
                <w:bCs/>
              </w:rPr>
            </w:pPr>
            <w:r>
              <w:rPr>
                <w:b/>
                <w:bCs/>
              </w:rPr>
              <w:t>2 073</w:t>
            </w:r>
          </w:p>
        </w:tc>
        <w:tc>
          <w:tcPr>
            <w:tcW w:w="2329" w:type="dxa"/>
            <w:tcBorders>
              <w:top w:val="single" w:sz="4" w:space="0" w:color="auto"/>
              <w:left w:val="nil"/>
              <w:bottom w:val="single" w:sz="4" w:space="0" w:color="auto"/>
              <w:right w:val="single" w:sz="4" w:space="0" w:color="auto"/>
            </w:tcBorders>
          </w:tcPr>
          <w:p w14:paraId="27A7CEB4" w14:textId="77777777" w:rsidR="00D22CF6" w:rsidRPr="007D5748" w:rsidRDefault="00D22CF6" w:rsidP="00D22CF6">
            <w:pPr>
              <w:jc w:val="center"/>
              <w:rPr>
                <w:b/>
                <w:bCs/>
              </w:rPr>
            </w:pPr>
            <w:r>
              <w:rPr>
                <w:b/>
                <w:bCs/>
              </w:rPr>
              <w:t>2 073</w:t>
            </w:r>
          </w:p>
        </w:tc>
        <w:tc>
          <w:tcPr>
            <w:tcW w:w="1207" w:type="dxa"/>
            <w:tcBorders>
              <w:top w:val="nil"/>
              <w:left w:val="nil"/>
              <w:bottom w:val="single" w:sz="4" w:space="0" w:color="auto"/>
              <w:right w:val="single" w:sz="4" w:space="0" w:color="auto"/>
            </w:tcBorders>
            <w:noWrap/>
            <w:vAlign w:val="bottom"/>
          </w:tcPr>
          <w:p w14:paraId="6BB18AA8" w14:textId="74EF1FCD" w:rsidR="00D22CF6" w:rsidRPr="007D5748" w:rsidRDefault="00D22CF6" w:rsidP="00D22CF6"/>
        </w:tc>
      </w:tr>
      <w:tr w:rsidR="00D22CF6" w:rsidRPr="007D5748" w14:paraId="2C2E3D53" w14:textId="77777777" w:rsidTr="00263677">
        <w:trPr>
          <w:trHeight w:val="255"/>
        </w:trPr>
        <w:tc>
          <w:tcPr>
            <w:tcW w:w="0" w:type="auto"/>
            <w:tcBorders>
              <w:top w:val="nil"/>
              <w:left w:val="single" w:sz="4" w:space="0" w:color="auto"/>
              <w:bottom w:val="single" w:sz="4" w:space="0" w:color="auto"/>
              <w:right w:val="single" w:sz="4" w:space="0" w:color="auto"/>
            </w:tcBorders>
          </w:tcPr>
          <w:p w14:paraId="380F37F5" w14:textId="77777777" w:rsidR="00D22CF6" w:rsidRPr="00250EB9" w:rsidRDefault="00D22CF6" w:rsidP="00D22CF6">
            <w:r w:rsidRPr="00250EB9">
              <w:rPr>
                <w:b/>
                <w:bCs/>
              </w:rPr>
              <w:t xml:space="preserve">   z toho vplyv na ŠR</w:t>
            </w:r>
          </w:p>
        </w:tc>
        <w:tc>
          <w:tcPr>
            <w:tcW w:w="1066" w:type="dxa"/>
            <w:tcBorders>
              <w:top w:val="single" w:sz="4" w:space="0" w:color="auto"/>
              <w:left w:val="nil"/>
              <w:bottom w:val="single" w:sz="4" w:space="0" w:color="auto"/>
              <w:right w:val="single" w:sz="4" w:space="0" w:color="auto"/>
            </w:tcBorders>
          </w:tcPr>
          <w:p w14:paraId="3AE28EC4" w14:textId="3F43C3CB" w:rsidR="00D22CF6" w:rsidRPr="00263677" w:rsidRDefault="00D22CF6" w:rsidP="00D22CF6">
            <w:pPr>
              <w:jc w:val="center"/>
            </w:pPr>
            <w:r w:rsidRPr="00263677">
              <w:t>0</w:t>
            </w:r>
          </w:p>
        </w:tc>
        <w:tc>
          <w:tcPr>
            <w:tcW w:w="993" w:type="dxa"/>
            <w:tcBorders>
              <w:top w:val="single" w:sz="4" w:space="0" w:color="auto"/>
              <w:left w:val="nil"/>
              <w:bottom w:val="single" w:sz="4" w:space="0" w:color="auto"/>
              <w:right w:val="single" w:sz="4" w:space="0" w:color="auto"/>
            </w:tcBorders>
          </w:tcPr>
          <w:p w14:paraId="208BCA19" w14:textId="77777777" w:rsidR="00D22CF6" w:rsidRPr="007D5748" w:rsidRDefault="00D22CF6" w:rsidP="00D22CF6">
            <w:pPr>
              <w:jc w:val="center"/>
            </w:pPr>
            <w:r>
              <w:rPr>
                <w:b/>
                <w:bCs/>
              </w:rPr>
              <w:t>2 073</w:t>
            </w:r>
          </w:p>
        </w:tc>
        <w:tc>
          <w:tcPr>
            <w:tcW w:w="1473" w:type="dxa"/>
            <w:tcBorders>
              <w:top w:val="single" w:sz="4" w:space="0" w:color="auto"/>
              <w:left w:val="nil"/>
              <w:bottom w:val="single" w:sz="4" w:space="0" w:color="auto"/>
              <w:right w:val="single" w:sz="4" w:space="0" w:color="auto"/>
            </w:tcBorders>
          </w:tcPr>
          <w:p w14:paraId="2DD4F334" w14:textId="77777777" w:rsidR="00D22CF6" w:rsidRPr="007D5748" w:rsidRDefault="00D22CF6" w:rsidP="00D22CF6">
            <w:pPr>
              <w:jc w:val="center"/>
            </w:pPr>
            <w:r>
              <w:rPr>
                <w:b/>
                <w:bCs/>
              </w:rPr>
              <w:t>2 073</w:t>
            </w:r>
          </w:p>
        </w:tc>
        <w:tc>
          <w:tcPr>
            <w:tcW w:w="2329" w:type="dxa"/>
            <w:tcBorders>
              <w:top w:val="single" w:sz="4" w:space="0" w:color="auto"/>
              <w:left w:val="nil"/>
              <w:bottom w:val="single" w:sz="4" w:space="0" w:color="auto"/>
              <w:right w:val="single" w:sz="4" w:space="0" w:color="auto"/>
            </w:tcBorders>
          </w:tcPr>
          <w:p w14:paraId="5D82EEBA" w14:textId="77777777" w:rsidR="00D22CF6" w:rsidRPr="007D5748" w:rsidRDefault="00D22CF6" w:rsidP="00D22CF6">
            <w:pPr>
              <w:jc w:val="center"/>
            </w:pPr>
            <w:r>
              <w:rPr>
                <w:b/>
                <w:bCs/>
              </w:rPr>
              <w:t>2 073</w:t>
            </w:r>
          </w:p>
        </w:tc>
        <w:tc>
          <w:tcPr>
            <w:tcW w:w="1207" w:type="dxa"/>
            <w:tcBorders>
              <w:top w:val="nil"/>
              <w:left w:val="nil"/>
              <w:bottom w:val="single" w:sz="4" w:space="0" w:color="auto"/>
              <w:right w:val="single" w:sz="4" w:space="0" w:color="auto"/>
            </w:tcBorders>
            <w:noWrap/>
            <w:vAlign w:val="bottom"/>
          </w:tcPr>
          <w:p w14:paraId="030D3170" w14:textId="14A3F370" w:rsidR="00D22CF6" w:rsidRPr="007D5748" w:rsidRDefault="00D22CF6" w:rsidP="00D22CF6"/>
        </w:tc>
      </w:tr>
      <w:tr w:rsidR="00D22CF6" w:rsidRPr="007D5748" w14:paraId="1045A66E" w14:textId="77777777" w:rsidTr="00263677">
        <w:trPr>
          <w:trHeight w:val="255"/>
        </w:trPr>
        <w:tc>
          <w:tcPr>
            <w:tcW w:w="0" w:type="auto"/>
            <w:tcBorders>
              <w:top w:val="nil"/>
              <w:left w:val="single" w:sz="4" w:space="0" w:color="auto"/>
              <w:bottom w:val="single" w:sz="4" w:space="0" w:color="auto"/>
              <w:right w:val="single" w:sz="4" w:space="0" w:color="auto"/>
            </w:tcBorders>
            <w:shd w:val="clear" w:color="auto" w:fill="BFBFBF" w:themeFill="background1" w:themeFillShade="BF"/>
          </w:tcPr>
          <w:p w14:paraId="04F3765F" w14:textId="77777777" w:rsidR="00D22CF6" w:rsidRPr="007D5748" w:rsidRDefault="00D22CF6" w:rsidP="00D22CF6">
            <w:pPr>
              <w:rPr>
                <w:b/>
                <w:bCs/>
              </w:rPr>
            </w:pPr>
            <w:r w:rsidRPr="007D5748">
              <w:rPr>
                <w:b/>
                <w:bCs/>
              </w:rPr>
              <w:t>Osobné výdavky celkom (v eurách)</w:t>
            </w:r>
          </w:p>
        </w:tc>
        <w:tc>
          <w:tcPr>
            <w:tcW w:w="1066" w:type="dxa"/>
            <w:tcBorders>
              <w:top w:val="nil"/>
              <w:left w:val="nil"/>
              <w:bottom w:val="single" w:sz="4" w:space="0" w:color="auto"/>
              <w:right w:val="single" w:sz="4" w:space="0" w:color="auto"/>
            </w:tcBorders>
            <w:shd w:val="clear" w:color="auto" w:fill="BFBFBF" w:themeFill="background1" w:themeFillShade="BF"/>
          </w:tcPr>
          <w:p w14:paraId="0B10BD22" w14:textId="77777777" w:rsidR="00D22CF6" w:rsidRPr="00263677" w:rsidRDefault="00D22CF6" w:rsidP="00D22CF6">
            <w:pPr>
              <w:jc w:val="center"/>
              <w:rPr>
                <w:bCs/>
              </w:rPr>
            </w:pPr>
            <w:r w:rsidRPr="00263677">
              <w:rPr>
                <w:bCs/>
              </w:rPr>
              <w:t>0</w:t>
            </w:r>
          </w:p>
        </w:tc>
        <w:tc>
          <w:tcPr>
            <w:tcW w:w="993" w:type="dxa"/>
            <w:tcBorders>
              <w:top w:val="nil"/>
              <w:left w:val="nil"/>
              <w:bottom w:val="single" w:sz="4" w:space="0" w:color="auto"/>
              <w:right w:val="single" w:sz="4" w:space="0" w:color="auto"/>
            </w:tcBorders>
            <w:shd w:val="clear" w:color="auto" w:fill="BFBFBF" w:themeFill="background1" w:themeFillShade="BF"/>
          </w:tcPr>
          <w:p w14:paraId="1C3471AF" w14:textId="77777777" w:rsidR="00D22CF6" w:rsidRPr="007D5748" w:rsidRDefault="00D22CF6" w:rsidP="00D22CF6">
            <w:pPr>
              <w:jc w:val="center"/>
              <w:rPr>
                <w:b/>
                <w:bCs/>
              </w:rPr>
            </w:pPr>
            <w:r>
              <w:rPr>
                <w:b/>
                <w:bCs/>
                <w:sz w:val="20"/>
                <w:szCs w:val="20"/>
              </w:rPr>
              <w:t>33 570</w:t>
            </w:r>
          </w:p>
        </w:tc>
        <w:tc>
          <w:tcPr>
            <w:tcW w:w="1473" w:type="dxa"/>
            <w:tcBorders>
              <w:top w:val="nil"/>
              <w:left w:val="nil"/>
              <w:bottom w:val="single" w:sz="4" w:space="0" w:color="auto"/>
              <w:right w:val="single" w:sz="4" w:space="0" w:color="auto"/>
            </w:tcBorders>
            <w:shd w:val="clear" w:color="auto" w:fill="BFBFBF" w:themeFill="background1" w:themeFillShade="BF"/>
          </w:tcPr>
          <w:p w14:paraId="22FA001F" w14:textId="77777777" w:rsidR="00D22CF6" w:rsidRPr="007D5748" w:rsidRDefault="00D22CF6" w:rsidP="00D22CF6">
            <w:pPr>
              <w:jc w:val="center"/>
              <w:rPr>
                <w:b/>
                <w:bCs/>
              </w:rPr>
            </w:pPr>
            <w:r>
              <w:rPr>
                <w:b/>
                <w:bCs/>
                <w:sz w:val="20"/>
                <w:szCs w:val="20"/>
              </w:rPr>
              <w:t>33 570</w:t>
            </w:r>
          </w:p>
        </w:tc>
        <w:tc>
          <w:tcPr>
            <w:tcW w:w="2329" w:type="dxa"/>
            <w:tcBorders>
              <w:top w:val="nil"/>
              <w:left w:val="nil"/>
              <w:bottom w:val="single" w:sz="4" w:space="0" w:color="auto"/>
              <w:right w:val="single" w:sz="4" w:space="0" w:color="auto"/>
            </w:tcBorders>
            <w:shd w:val="clear" w:color="auto" w:fill="BFBFBF" w:themeFill="background1" w:themeFillShade="BF"/>
          </w:tcPr>
          <w:p w14:paraId="6BE36BEB" w14:textId="77777777" w:rsidR="00D22CF6" w:rsidRPr="007D5748" w:rsidRDefault="00D22CF6" w:rsidP="00D22CF6">
            <w:pPr>
              <w:jc w:val="center"/>
              <w:rPr>
                <w:b/>
                <w:bCs/>
              </w:rPr>
            </w:pPr>
            <w:r>
              <w:rPr>
                <w:b/>
                <w:bCs/>
                <w:sz w:val="20"/>
                <w:szCs w:val="20"/>
              </w:rPr>
              <w:t>33 570</w:t>
            </w:r>
          </w:p>
        </w:tc>
        <w:tc>
          <w:tcPr>
            <w:tcW w:w="1207" w:type="dxa"/>
            <w:tcBorders>
              <w:top w:val="nil"/>
              <w:left w:val="nil"/>
              <w:bottom w:val="single" w:sz="4" w:space="0" w:color="auto"/>
              <w:right w:val="single" w:sz="4" w:space="0" w:color="auto"/>
            </w:tcBorders>
            <w:shd w:val="clear" w:color="auto" w:fill="BFBFBF" w:themeFill="background1" w:themeFillShade="BF"/>
            <w:noWrap/>
            <w:vAlign w:val="bottom"/>
          </w:tcPr>
          <w:p w14:paraId="0EAFFB3A" w14:textId="70BEBBD1" w:rsidR="00D22CF6" w:rsidRPr="007D5748" w:rsidRDefault="00D22CF6" w:rsidP="00D22CF6">
            <w:pPr>
              <w:rPr>
                <w:b/>
                <w:bCs/>
              </w:rPr>
            </w:pPr>
          </w:p>
        </w:tc>
      </w:tr>
      <w:tr w:rsidR="00D22CF6" w:rsidRPr="007D5748" w14:paraId="2BE21E68" w14:textId="77777777" w:rsidTr="00263677">
        <w:trPr>
          <w:trHeight w:val="255"/>
        </w:trPr>
        <w:tc>
          <w:tcPr>
            <w:tcW w:w="0" w:type="auto"/>
            <w:tcBorders>
              <w:top w:val="nil"/>
              <w:left w:val="single" w:sz="4" w:space="0" w:color="auto"/>
              <w:bottom w:val="single" w:sz="4" w:space="0" w:color="auto"/>
              <w:right w:val="single" w:sz="4" w:space="0" w:color="auto"/>
            </w:tcBorders>
          </w:tcPr>
          <w:p w14:paraId="5B0E92F1" w14:textId="77777777" w:rsidR="00D22CF6" w:rsidRPr="00E66D6D" w:rsidRDefault="00D22CF6" w:rsidP="00D22CF6">
            <w:pPr>
              <w:rPr>
                <w:b/>
                <w:bCs/>
              </w:rPr>
            </w:pPr>
            <w:r w:rsidRPr="00E66D6D">
              <w:rPr>
                <w:b/>
                <w:bCs/>
              </w:rPr>
              <w:t>Mzdy, platy, služobné príjmy a ostatné osobné vyrovnania (610)</w:t>
            </w:r>
          </w:p>
        </w:tc>
        <w:tc>
          <w:tcPr>
            <w:tcW w:w="1066" w:type="dxa"/>
            <w:tcBorders>
              <w:top w:val="nil"/>
              <w:left w:val="nil"/>
              <w:bottom w:val="single" w:sz="4" w:space="0" w:color="auto"/>
              <w:right w:val="single" w:sz="4" w:space="0" w:color="auto"/>
            </w:tcBorders>
          </w:tcPr>
          <w:p w14:paraId="5927FE3E" w14:textId="77777777" w:rsidR="00D22CF6" w:rsidRPr="00263677" w:rsidRDefault="00D22CF6" w:rsidP="00D22CF6">
            <w:pPr>
              <w:jc w:val="center"/>
              <w:rPr>
                <w:bCs/>
              </w:rPr>
            </w:pPr>
            <w:r w:rsidRPr="00263677">
              <w:rPr>
                <w:bCs/>
              </w:rPr>
              <w:t>0</w:t>
            </w:r>
          </w:p>
        </w:tc>
        <w:tc>
          <w:tcPr>
            <w:tcW w:w="993" w:type="dxa"/>
            <w:tcBorders>
              <w:top w:val="nil"/>
              <w:left w:val="nil"/>
              <w:bottom w:val="single" w:sz="4" w:space="0" w:color="auto"/>
              <w:right w:val="single" w:sz="4" w:space="0" w:color="auto"/>
            </w:tcBorders>
          </w:tcPr>
          <w:p w14:paraId="6E51706E" w14:textId="77777777" w:rsidR="00D22CF6" w:rsidRPr="007D5748" w:rsidRDefault="00D22CF6" w:rsidP="00D22CF6">
            <w:pPr>
              <w:jc w:val="center"/>
              <w:rPr>
                <w:b/>
                <w:bCs/>
              </w:rPr>
            </w:pPr>
            <w:r>
              <w:rPr>
                <w:b/>
                <w:bCs/>
              </w:rPr>
              <w:t>+</w:t>
            </w:r>
            <w:r>
              <w:rPr>
                <w:sz w:val="20"/>
                <w:szCs w:val="20"/>
              </w:rPr>
              <w:t>24 876</w:t>
            </w:r>
          </w:p>
        </w:tc>
        <w:tc>
          <w:tcPr>
            <w:tcW w:w="1473" w:type="dxa"/>
            <w:tcBorders>
              <w:top w:val="nil"/>
              <w:left w:val="nil"/>
              <w:bottom w:val="single" w:sz="4" w:space="0" w:color="auto"/>
              <w:right w:val="single" w:sz="4" w:space="0" w:color="auto"/>
            </w:tcBorders>
          </w:tcPr>
          <w:p w14:paraId="455318FB" w14:textId="77777777" w:rsidR="00D22CF6" w:rsidRPr="007D5748" w:rsidRDefault="00D22CF6" w:rsidP="00D22CF6">
            <w:pPr>
              <w:jc w:val="center"/>
              <w:rPr>
                <w:b/>
                <w:bCs/>
              </w:rPr>
            </w:pPr>
            <w:r>
              <w:rPr>
                <w:b/>
                <w:bCs/>
              </w:rPr>
              <w:t>+</w:t>
            </w:r>
            <w:r>
              <w:rPr>
                <w:sz w:val="20"/>
                <w:szCs w:val="20"/>
              </w:rPr>
              <w:t>24 876</w:t>
            </w:r>
          </w:p>
        </w:tc>
        <w:tc>
          <w:tcPr>
            <w:tcW w:w="2329" w:type="dxa"/>
            <w:tcBorders>
              <w:top w:val="nil"/>
              <w:left w:val="nil"/>
              <w:bottom w:val="single" w:sz="4" w:space="0" w:color="auto"/>
              <w:right w:val="single" w:sz="4" w:space="0" w:color="auto"/>
            </w:tcBorders>
          </w:tcPr>
          <w:p w14:paraId="1FF23A1D" w14:textId="77777777" w:rsidR="00D22CF6" w:rsidRPr="007D5748" w:rsidRDefault="00D22CF6" w:rsidP="00D22CF6">
            <w:pPr>
              <w:jc w:val="center"/>
              <w:rPr>
                <w:b/>
                <w:bCs/>
              </w:rPr>
            </w:pPr>
            <w:r>
              <w:rPr>
                <w:b/>
                <w:bCs/>
              </w:rPr>
              <w:t>+</w:t>
            </w:r>
            <w:r>
              <w:rPr>
                <w:sz w:val="20"/>
                <w:szCs w:val="20"/>
              </w:rPr>
              <w:t>24 876</w:t>
            </w:r>
          </w:p>
        </w:tc>
        <w:tc>
          <w:tcPr>
            <w:tcW w:w="1207" w:type="dxa"/>
            <w:tcBorders>
              <w:top w:val="nil"/>
              <w:left w:val="nil"/>
              <w:bottom w:val="single" w:sz="4" w:space="0" w:color="auto"/>
              <w:right w:val="single" w:sz="4" w:space="0" w:color="auto"/>
            </w:tcBorders>
            <w:noWrap/>
            <w:vAlign w:val="bottom"/>
          </w:tcPr>
          <w:p w14:paraId="2AAC37B7" w14:textId="6038409A" w:rsidR="00D22CF6" w:rsidRPr="007D5748" w:rsidRDefault="00D22CF6" w:rsidP="00D22CF6">
            <w:pPr>
              <w:rPr>
                <w:b/>
                <w:bCs/>
              </w:rPr>
            </w:pPr>
          </w:p>
        </w:tc>
      </w:tr>
      <w:tr w:rsidR="00D22CF6" w:rsidRPr="007D5748" w14:paraId="74BD711C" w14:textId="77777777" w:rsidTr="00263677">
        <w:trPr>
          <w:trHeight w:val="255"/>
        </w:trPr>
        <w:tc>
          <w:tcPr>
            <w:tcW w:w="0" w:type="auto"/>
            <w:tcBorders>
              <w:top w:val="nil"/>
              <w:left w:val="single" w:sz="4" w:space="0" w:color="auto"/>
              <w:bottom w:val="single" w:sz="4" w:space="0" w:color="auto"/>
              <w:right w:val="single" w:sz="4" w:space="0" w:color="auto"/>
            </w:tcBorders>
          </w:tcPr>
          <w:p w14:paraId="1CB534BB" w14:textId="77777777" w:rsidR="00D22CF6" w:rsidRPr="00E66D6D" w:rsidRDefault="00D22CF6" w:rsidP="00D22CF6">
            <w:r w:rsidRPr="00E66D6D">
              <w:rPr>
                <w:b/>
                <w:bCs/>
              </w:rPr>
              <w:t xml:space="preserve">   z toho vplyv na ŠR</w:t>
            </w:r>
          </w:p>
        </w:tc>
        <w:tc>
          <w:tcPr>
            <w:tcW w:w="1066" w:type="dxa"/>
            <w:tcBorders>
              <w:top w:val="nil"/>
              <w:left w:val="nil"/>
              <w:bottom w:val="single" w:sz="4" w:space="0" w:color="auto"/>
              <w:right w:val="single" w:sz="4" w:space="0" w:color="auto"/>
            </w:tcBorders>
          </w:tcPr>
          <w:p w14:paraId="6EB49F35" w14:textId="77777777" w:rsidR="00D22CF6" w:rsidRPr="00263677" w:rsidRDefault="00D22CF6" w:rsidP="00D22CF6">
            <w:pPr>
              <w:jc w:val="center"/>
            </w:pPr>
            <w:r w:rsidRPr="00263677">
              <w:t>0</w:t>
            </w:r>
          </w:p>
        </w:tc>
        <w:tc>
          <w:tcPr>
            <w:tcW w:w="993" w:type="dxa"/>
            <w:tcBorders>
              <w:top w:val="nil"/>
              <w:left w:val="nil"/>
              <w:bottom w:val="single" w:sz="4" w:space="0" w:color="auto"/>
              <w:right w:val="single" w:sz="4" w:space="0" w:color="auto"/>
            </w:tcBorders>
          </w:tcPr>
          <w:p w14:paraId="224C93B7" w14:textId="77777777" w:rsidR="00D22CF6" w:rsidRPr="007D5748" w:rsidRDefault="00D22CF6" w:rsidP="00D22CF6">
            <w:pPr>
              <w:jc w:val="center"/>
            </w:pPr>
            <w:r>
              <w:t>+</w:t>
            </w:r>
            <w:r>
              <w:rPr>
                <w:sz w:val="20"/>
                <w:szCs w:val="20"/>
              </w:rPr>
              <w:t>24 876</w:t>
            </w:r>
          </w:p>
        </w:tc>
        <w:tc>
          <w:tcPr>
            <w:tcW w:w="1473" w:type="dxa"/>
            <w:tcBorders>
              <w:top w:val="nil"/>
              <w:left w:val="nil"/>
              <w:bottom w:val="single" w:sz="4" w:space="0" w:color="auto"/>
              <w:right w:val="single" w:sz="4" w:space="0" w:color="auto"/>
            </w:tcBorders>
          </w:tcPr>
          <w:p w14:paraId="6ECB96D7" w14:textId="77777777" w:rsidR="00D22CF6" w:rsidRPr="007D5748" w:rsidRDefault="00D22CF6" w:rsidP="00D22CF6">
            <w:pPr>
              <w:jc w:val="center"/>
            </w:pPr>
            <w:r>
              <w:t>+</w:t>
            </w:r>
            <w:r>
              <w:rPr>
                <w:sz w:val="20"/>
                <w:szCs w:val="20"/>
              </w:rPr>
              <w:t>24 876</w:t>
            </w:r>
          </w:p>
        </w:tc>
        <w:tc>
          <w:tcPr>
            <w:tcW w:w="2329" w:type="dxa"/>
            <w:tcBorders>
              <w:top w:val="nil"/>
              <w:left w:val="nil"/>
              <w:bottom w:val="single" w:sz="4" w:space="0" w:color="auto"/>
              <w:right w:val="single" w:sz="4" w:space="0" w:color="auto"/>
            </w:tcBorders>
          </w:tcPr>
          <w:p w14:paraId="13669B43" w14:textId="77777777" w:rsidR="00D22CF6" w:rsidRPr="007D5748" w:rsidRDefault="00D22CF6" w:rsidP="00D22CF6">
            <w:pPr>
              <w:jc w:val="center"/>
            </w:pPr>
            <w:r>
              <w:t>+</w:t>
            </w:r>
            <w:r>
              <w:rPr>
                <w:sz w:val="20"/>
                <w:szCs w:val="20"/>
              </w:rPr>
              <w:t>24 876</w:t>
            </w:r>
          </w:p>
        </w:tc>
        <w:tc>
          <w:tcPr>
            <w:tcW w:w="1207" w:type="dxa"/>
            <w:tcBorders>
              <w:top w:val="nil"/>
              <w:left w:val="nil"/>
              <w:bottom w:val="single" w:sz="4" w:space="0" w:color="auto"/>
              <w:right w:val="single" w:sz="4" w:space="0" w:color="auto"/>
            </w:tcBorders>
            <w:noWrap/>
            <w:vAlign w:val="bottom"/>
          </w:tcPr>
          <w:p w14:paraId="625F1535" w14:textId="69134190" w:rsidR="00D22CF6" w:rsidRPr="007D5748" w:rsidRDefault="00D22CF6" w:rsidP="00D22CF6"/>
        </w:tc>
      </w:tr>
      <w:tr w:rsidR="00D22CF6" w:rsidRPr="007D5748" w14:paraId="3355F821" w14:textId="77777777" w:rsidTr="00263677">
        <w:trPr>
          <w:trHeight w:val="255"/>
        </w:trPr>
        <w:tc>
          <w:tcPr>
            <w:tcW w:w="0" w:type="auto"/>
            <w:tcBorders>
              <w:top w:val="nil"/>
              <w:left w:val="single" w:sz="4" w:space="0" w:color="auto"/>
              <w:bottom w:val="single" w:sz="4" w:space="0" w:color="auto"/>
              <w:right w:val="single" w:sz="4" w:space="0" w:color="auto"/>
            </w:tcBorders>
          </w:tcPr>
          <w:p w14:paraId="22A93DBA" w14:textId="77777777" w:rsidR="00D22CF6" w:rsidRPr="00E66D6D" w:rsidRDefault="00D22CF6" w:rsidP="00D22CF6">
            <w:pPr>
              <w:rPr>
                <w:b/>
                <w:bCs/>
              </w:rPr>
            </w:pPr>
            <w:r w:rsidRPr="00E66D6D">
              <w:rPr>
                <w:b/>
                <w:bCs/>
              </w:rPr>
              <w:t>Poistné a príspevok do poisťovní (620)</w:t>
            </w:r>
          </w:p>
        </w:tc>
        <w:tc>
          <w:tcPr>
            <w:tcW w:w="1066" w:type="dxa"/>
            <w:tcBorders>
              <w:top w:val="nil"/>
              <w:left w:val="nil"/>
              <w:bottom w:val="single" w:sz="4" w:space="0" w:color="auto"/>
              <w:right w:val="single" w:sz="4" w:space="0" w:color="auto"/>
            </w:tcBorders>
          </w:tcPr>
          <w:p w14:paraId="51B1DA77" w14:textId="77777777" w:rsidR="00D22CF6" w:rsidRPr="00263677" w:rsidRDefault="00D22CF6" w:rsidP="00D22CF6">
            <w:pPr>
              <w:jc w:val="center"/>
              <w:rPr>
                <w:bCs/>
              </w:rPr>
            </w:pPr>
            <w:r w:rsidRPr="00263677">
              <w:rPr>
                <w:bCs/>
              </w:rPr>
              <w:t>0</w:t>
            </w:r>
          </w:p>
        </w:tc>
        <w:tc>
          <w:tcPr>
            <w:tcW w:w="993" w:type="dxa"/>
            <w:tcBorders>
              <w:top w:val="nil"/>
              <w:left w:val="nil"/>
              <w:bottom w:val="single" w:sz="4" w:space="0" w:color="auto"/>
              <w:right w:val="single" w:sz="4" w:space="0" w:color="auto"/>
            </w:tcBorders>
          </w:tcPr>
          <w:p w14:paraId="2F16F587" w14:textId="77777777" w:rsidR="00D22CF6" w:rsidRPr="007D5748" w:rsidRDefault="00D22CF6" w:rsidP="00D22CF6">
            <w:pPr>
              <w:jc w:val="center"/>
              <w:rPr>
                <w:b/>
                <w:bCs/>
              </w:rPr>
            </w:pPr>
            <w:r>
              <w:rPr>
                <w:b/>
                <w:bCs/>
              </w:rPr>
              <w:t>+</w:t>
            </w:r>
            <w:r>
              <w:rPr>
                <w:sz w:val="20"/>
                <w:szCs w:val="20"/>
              </w:rPr>
              <w:t>8 694</w:t>
            </w:r>
          </w:p>
        </w:tc>
        <w:tc>
          <w:tcPr>
            <w:tcW w:w="1473" w:type="dxa"/>
            <w:tcBorders>
              <w:top w:val="nil"/>
              <w:left w:val="nil"/>
              <w:bottom w:val="single" w:sz="4" w:space="0" w:color="auto"/>
              <w:right w:val="single" w:sz="4" w:space="0" w:color="auto"/>
            </w:tcBorders>
          </w:tcPr>
          <w:p w14:paraId="1ED5FDE8" w14:textId="77777777" w:rsidR="00D22CF6" w:rsidRPr="007D5748" w:rsidRDefault="00D22CF6" w:rsidP="00D22CF6">
            <w:pPr>
              <w:jc w:val="center"/>
              <w:rPr>
                <w:b/>
                <w:bCs/>
              </w:rPr>
            </w:pPr>
            <w:r>
              <w:rPr>
                <w:b/>
                <w:bCs/>
              </w:rPr>
              <w:t>+</w:t>
            </w:r>
            <w:r>
              <w:rPr>
                <w:sz w:val="20"/>
                <w:szCs w:val="20"/>
              </w:rPr>
              <w:t>8 694</w:t>
            </w:r>
          </w:p>
        </w:tc>
        <w:tc>
          <w:tcPr>
            <w:tcW w:w="2329" w:type="dxa"/>
            <w:tcBorders>
              <w:top w:val="nil"/>
              <w:left w:val="nil"/>
              <w:bottom w:val="single" w:sz="4" w:space="0" w:color="auto"/>
              <w:right w:val="single" w:sz="4" w:space="0" w:color="auto"/>
            </w:tcBorders>
          </w:tcPr>
          <w:p w14:paraId="127A7A29" w14:textId="77777777" w:rsidR="00D22CF6" w:rsidRPr="007D5748" w:rsidRDefault="00D22CF6" w:rsidP="00D22CF6">
            <w:pPr>
              <w:jc w:val="center"/>
              <w:rPr>
                <w:b/>
                <w:bCs/>
              </w:rPr>
            </w:pPr>
            <w:r>
              <w:rPr>
                <w:b/>
                <w:bCs/>
              </w:rPr>
              <w:t>+</w:t>
            </w:r>
            <w:r>
              <w:rPr>
                <w:sz w:val="20"/>
                <w:szCs w:val="20"/>
              </w:rPr>
              <w:t>8 694</w:t>
            </w:r>
          </w:p>
        </w:tc>
        <w:tc>
          <w:tcPr>
            <w:tcW w:w="1207" w:type="dxa"/>
            <w:tcBorders>
              <w:top w:val="nil"/>
              <w:left w:val="nil"/>
              <w:bottom w:val="single" w:sz="4" w:space="0" w:color="auto"/>
              <w:right w:val="single" w:sz="4" w:space="0" w:color="auto"/>
            </w:tcBorders>
            <w:noWrap/>
            <w:vAlign w:val="bottom"/>
          </w:tcPr>
          <w:p w14:paraId="7FAD384E" w14:textId="22C7278D" w:rsidR="00D22CF6" w:rsidRPr="007D5748" w:rsidRDefault="00D22CF6" w:rsidP="00D22CF6">
            <w:pPr>
              <w:rPr>
                <w:b/>
                <w:bCs/>
              </w:rPr>
            </w:pPr>
          </w:p>
        </w:tc>
      </w:tr>
      <w:tr w:rsidR="00D22CF6" w:rsidRPr="007D5748" w14:paraId="453888B7" w14:textId="77777777" w:rsidTr="00263677">
        <w:trPr>
          <w:trHeight w:val="255"/>
        </w:trPr>
        <w:tc>
          <w:tcPr>
            <w:tcW w:w="0" w:type="auto"/>
            <w:tcBorders>
              <w:top w:val="nil"/>
              <w:left w:val="single" w:sz="4" w:space="0" w:color="auto"/>
              <w:bottom w:val="single" w:sz="4" w:space="0" w:color="auto"/>
              <w:right w:val="single" w:sz="4" w:space="0" w:color="auto"/>
            </w:tcBorders>
          </w:tcPr>
          <w:p w14:paraId="041CE422" w14:textId="77777777" w:rsidR="00D22CF6" w:rsidRPr="00E66D6D" w:rsidRDefault="00D22CF6" w:rsidP="00D22CF6">
            <w:r w:rsidRPr="00E66D6D">
              <w:rPr>
                <w:b/>
                <w:bCs/>
              </w:rPr>
              <w:t xml:space="preserve">   z toho vplyv na ŠR</w:t>
            </w:r>
          </w:p>
        </w:tc>
        <w:tc>
          <w:tcPr>
            <w:tcW w:w="1066" w:type="dxa"/>
            <w:tcBorders>
              <w:top w:val="nil"/>
              <w:left w:val="nil"/>
              <w:bottom w:val="single" w:sz="4" w:space="0" w:color="auto"/>
              <w:right w:val="single" w:sz="4" w:space="0" w:color="auto"/>
            </w:tcBorders>
          </w:tcPr>
          <w:p w14:paraId="63688D2B" w14:textId="77777777" w:rsidR="00D22CF6" w:rsidRPr="00263677" w:rsidRDefault="00D22CF6" w:rsidP="00D22CF6">
            <w:pPr>
              <w:jc w:val="center"/>
            </w:pPr>
            <w:r w:rsidRPr="00263677">
              <w:t>0</w:t>
            </w:r>
          </w:p>
        </w:tc>
        <w:tc>
          <w:tcPr>
            <w:tcW w:w="993" w:type="dxa"/>
            <w:tcBorders>
              <w:top w:val="nil"/>
              <w:left w:val="nil"/>
              <w:bottom w:val="single" w:sz="4" w:space="0" w:color="auto"/>
              <w:right w:val="single" w:sz="4" w:space="0" w:color="auto"/>
            </w:tcBorders>
          </w:tcPr>
          <w:p w14:paraId="3CFC99E4" w14:textId="77777777" w:rsidR="00D22CF6" w:rsidRPr="007D5748" w:rsidRDefault="00D22CF6" w:rsidP="00D22CF6">
            <w:pPr>
              <w:jc w:val="center"/>
            </w:pPr>
            <w:r>
              <w:t>+</w:t>
            </w:r>
            <w:r>
              <w:rPr>
                <w:sz w:val="20"/>
                <w:szCs w:val="20"/>
              </w:rPr>
              <w:t>8 694</w:t>
            </w:r>
          </w:p>
        </w:tc>
        <w:tc>
          <w:tcPr>
            <w:tcW w:w="1473" w:type="dxa"/>
            <w:tcBorders>
              <w:top w:val="nil"/>
              <w:left w:val="nil"/>
              <w:bottom w:val="single" w:sz="4" w:space="0" w:color="auto"/>
              <w:right w:val="single" w:sz="4" w:space="0" w:color="auto"/>
            </w:tcBorders>
          </w:tcPr>
          <w:p w14:paraId="41A88F8D" w14:textId="77777777" w:rsidR="00D22CF6" w:rsidRPr="007D5748" w:rsidRDefault="00D22CF6" w:rsidP="00D22CF6">
            <w:pPr>
              <w:jc w:val="center"/>
            </w:pPr>
            <w:r>
              <w:t>+</w:t>
            </w:r>
            <w:r>
              <w:rPr>
                <w:sz w:val="20"/>
                <w:szCs w:val="20"/>
              </w:rPr>
              <w:t>8 694</w:t>
            </w:r>
          </w:p>
        </w:tc>
        <w:tc>
          <w:tcPr>
            <w:tcW w:w="2329" w:type="dxa"/>
            <w:tcBorders>
              <w:top w:val="nil"/>
              <w:left w:val="nil"/>
              <w:bottom w:val="single" w:sz="4" w:space="0" w:color="auto"/>
              <w:right w:val="single" w:sz="4" w:space="0" w:color="auto"/>
            </w:tcBorders>
          </w:tcPr>
          <w:p w14:paraId="7A97F840" w14:textId="77777777" w:rsidR="00D22CF6" w:rsidRPr="007D5748" w:rsidRDefault="00D22CF6" w:rsidP="00D22CF6">
            <w:pPr>
              <w:jc w:val="center"/>
            </w:pPr>
            <w:r>
              <w:t>+</w:t>
            </w:r>
            <w:r>
              <w:rPr>
                <w:sz w:val="20"/>
                <w:szCs w:val="20"/>
              </w:rPr>
              <w:t>8 694</w:t>
            </w:r>
          </w:p>
        </w:tc>
        <w:tc>
          <w:tcPr>
            <w:tcW w:w="1207" w:type="dxa"/>
            <w:tcBorders>
              <w:top w:val="nil"/>
              <w:left w:val="nil"/>
              <w:bottom w:val="single" w:sz="4" w:space="0" w:color="auto"/>
              <w:right w:val="single" w:sz="4" w:space="0" w:color="auto"/>
            </w:tcBorders>
            <w:noWrap/>
            <w:vAlign w:val="bottom"/>
          </w:tcPr>
          <w:p w14:paraId="331B9BE6" w14:textId="4D4517D3" w:rsidR="00D22CF6" w:rsidRPr="007D5748" w:rsidRDefault="00D22CF6" w:rsidP="00D22CF6"/>
        </w:tc>
      </w:tr>
      <w:tr w:rsidR="00D22CF6" w:rsidRPr="007D5748" w14:paraId="4AA34580" w14:textId="77777777" w:rsidTr="00263677">
        <w:trPr>
          <w:trHeight w:val="255"/>
        </w:trPr>
        <w:tc>
          <w:tcPr>
            <w:tcW w:w="9704" w:type="dxa"/>
            <w:gridSpan w:val="6"/>
            <w:tcBorders>
              <w:top w:val="nil"/>
              <w:left w:val="nil"/>
              <w:bottom w:val="nil"/>
              <w:right w:val="nil"/>
            </w:tcBorders>
          </w:tcPr>
          <w:p w14:paraId="24E1BD3B" w14:textId="77777777" w:rsidR="00D22CF6" w:rsidRPr="00263677" w:rsidRDefault="00D22CF6" w:rsidP="00D22CF6">
            <w:pPr>
              <w:rPr>
                <w:bCs/>
              </w:rPr>
            </w:pPr>
          </w:p>
          <w:p w14:paraId="032557BB" w14:textId="77777777" w:rsidR="00D22CF6" w:rsidRPr="007D5748" w:rsidRDefault="00D22CF6" w:rsidP="00D22CF6">
            <w:pPr>
              <w:rPr>
                <w:b/>
                <w:bCs/>
              </w:rPr>
            </w:pPr>
            <w:r w:rsidRPr="007D5748">
              <w:rPr>
                <w:b/>
                <w:bCs/>
              </w:rPr>
              <w:t>Poznámky:</w:t>
            </w:r>
          </w:p>
        </w:tc>
      </w:tr>
      <w:tr w:rsidR="00D22CF6" w:rsidRPr="007D5748" w14:paraId="56FB09AC" w14:textId="77777777" w:rsidTr="00263677">
        <w:trPr>
          <w:trHeight w:val="255"/>
        </w:trPr>
        <w:tc>
          <w:tcPr>
            <w:tcW w:w="9704" w:type="dxa"/>
            <w:gridSpan w:val="6"/>
            <w:tcBorders>
              <w:top w:val="nil"/>
              <w:left w:val="nil"/>
              <w:bottom w:val="nil"/>
              <w:right w:val="nil"/>
            </w:tcBorders>
          </w:tcPr>
          <w:p w14:paraId="74AE0B8D" w14:textId="77777777" w:rsidR="00D22CF6" w:rsidRPr="007D5748" w:rsidRDefault="00D22CF6" w:rsidP="00D22CF6">
            <w:pPr>
              <w:tabs>
                <w:tab w:val="num" w:pos="1080"/>
              </w:tabs>
              <w:jc w:val="both"/>
              <w:rPr>
                <w:bCs/>
                <w:szCs w:val="20"/>
              </w:rPr>
            </w:pPr>
            <w:r w:rsidRPr="007D5748">
              <w:rPr>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53FE1F13" w14:textId="77777777" w:rsidR="00D22CF6" w:rsidRDefault="00D22CF6" w:rsidP="00D22CF6">
            <w:pPr>
              <w:rPr>
                <w:b/>
                <w:bCs/>
              </w:rPr>
            </w:pPr>
            <w:r w:rsidRPr="007D5748">
              <w:t>Priemerný mzdový výdavok je tvorený podielom mzdových výdavkov na jedného zamestnanca na jeden kalendárny mesiac bežného roka.</w:t>
            </w:r>
          </w:p>
        </w:tc>
      </w:tr>
      <w:tr w:rsidR="00D22CF6" w:rsidRPr="007D5748" w14:paraId="0C38CBF9" w14:textId="77777777" w:rsidTr="00263677">
        <w:trPr>
          <w:trHeight w:val="255"/>
        </w:trPr>
        <w:tc>
          <w:tcPr>
            <w:tcW w:w="9704" w:type="dxa"/>
            <w:gridSpan w:val="6"/>
            <w:tcBorders>
              <w:top w:val="nil"/>
              <w:left w:val="nil"/>
              <w:bottom w:val="nil"/>
              <w:right w:val="nil"/>
            </w:tcBorders>
          </w:tcPr>
          <w:p w14:paraId="77AEE94B" w14:textId="77777777" w:rsidR="00D22CF6" w:rsidRDefault="00D22CF6" w:rsidP="00D22CF6">
            <w:pPr>
              <w:rPr>
                <w:b/>
                <w:bCs/>
              </w:rPr>
            </w:pPr>
            <w:r w:rsidRPr="007D5748">
              <w:t>Kategórie 610 a 620 sú z tejto prílohy prenášané do príslušných kategórií prílohy „výdavky“.</w:t>
            </w:r>
          </w:p>
        </w:tc>
      </w:tr>
    </w:tbl>
    <w:p w14:paraId="6C436D59" w14:textId="77777777" w:rsidR="00D22CF6" w:rsidRDefault="00D22CF6">
      <w:pPr>
        <w:widowControl/>
        <w:adjustRightInd/>
        <w:spacing w:after="200" w:line="276" w:lineRule="auto"/>
        <w:rPr>
          <w:b/>
          <w:caps/>
          <w:spacing w:val="30"/>
        </w:rPr>
      </w:pPr>
      <w:r>
        <w:rPr>
          <w:b/>
          <w:caps/>
          <w:spacing w:val="30"/>
        </w:rPr>
        <w:br w:type="page"/>
      </w:r>
    </w:p>
    <w:p w14:paraId="3547C0A1" w14:textId="33E82796" w:rsidR="00D22CF6" w:rsidRPr="00BA2467" w:rsidRDefault="00D22CF6" w:rsidP="00D22CF6">
      <w:pPr>
        <w:jc w:val="center"/>
        <w:rPr>
          <w:b/>
          <w:caps/>
          <w:spacing w:val="30"/>
        </w:rPr>
      </w:pPr>
      <w:r w:rsidRPr="00BA2467">
        <w:rPr>
          <w:b/>
          <w:caps/>
          <w:spacing w:val="30"/>
        </w:rPr>
        <w:lastRenderedPageBreak/>
        <w:t>Doložka zlučiteľnosti</w:t>
      </w:r>
    </w:p>
    <w:p w14:paraId="1CB5AFB1" w14:textId="77777777" w:rsidR="00D22CF6" w:rsidRPr="00BA2467" w:rsidRDefault="00D22CF6" w:rsidP="00D22CF6">
      <w:pPr>
        <w:jc w:val="center"/>
        <w:rPr>
          <w:b/>
        </w:rPr>
      </w:pPr>
      <w:r w:rsidRPr="00BA2467">
        <w:rPr>
          <w:b/>
        </w:rPr>
        <w:t xml:space="preserve">návrhu </w:t>
      </w:r>
      <w:r>
        <w:rPr>
          <w:b/>
        </w:rPr>
        <w:t>zákona</w:t>
      </w:r>
      <w:r w:rsidRPr="00BA2467">
        <w:rPr>
          <w:b/>
        </w:rPr>
        <w:t xml:space="preserve"> s právom Európskej únie</w:t>
      </w:r>
    </w:p>
    <w:p w14:paraId="0121CC8E" w14:textId="77777777" w:rsidR="00D22CF6" w:rsidRPr="00BA2467" w:rsidRDefault="00D22CF6" w:rsidP="00D22CF6">
      <w:pPr>
        <w:jc w:val="both"/>
        <w:rPr>
          <w:b/>
        </w:rPr>
      </w:pPr>
    </w:p>
    <w:tbl>
      <w:tblPr>
        <w:tblStyle w:val="Mriekatabuky"/>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D22CF6" w:rsidRPr="00BA2467" w14:paraId="38874434" w14:textId="77777777" w:rsidTr="00D22CF6">
        <w:trPr>
          <w:trHeight w:val="562"/>
        </w:trPr>
        <w:tc>
          <w:tcPr>
            <w:tcW w:w="396" w:type="dxa"/>
          </w:tcPr>
          <w:p w14:paraId="08B1205B" w14:textId="77777777" w:rsidR="00D22CF6" w:rsidRPr="00BA2467" w:rsidRDefault="00D22CF6" w:rsidP="00D22CF6">
            <w:pPr>
              <w:tabs>
                <w:tab w:val="left" w:pos="360"/>
              </w:tabs>
              <w:jc w:val="both"/>
              <w:rPr>
                <w:b/>
              </w:rPr>
            </w:pPr>
            <w:r w:rsidRPr="00BA2467">
              <w:rPr>
                <w:b/>
              </w:rPr>
              <w:t>1.</w:t>
            </w:r>
          </w:p>
        </w:tc>
        <w:tc>
          <w:tcPr>
            <w:tcW w:w="9191" w:type="dxa"/>
          </w:tcPr>
          <w:p w14:paraId="0E330274" w14:textId="77777777" w:rsidR="00D22CF6" w:rsidRDefault="00D22CF6" w:rsidP="00D22CF6">
            <w:pPr>
              <w:tabs>
                <w:tab w:val="left" w:pos="360"/>
              </w:tabs>
              <w:jc w:val="both"/>
            </w:pPr>
            <w:r w:rsidRPr="00BA2467">
              <w:rPr>
                <w:b/>
              </w:rPr>
              <w:t xml:space="preserve">Navrhovateľ </w:t>
            </w:r>
            <w:r>
              <w:rPr>
                <w:b/>
              </w:rPr>
              <w:t>zákona</w:t>
            </w:r>
            <w:r w:rsidRPr="00BA2467">
              <w:rPr>
                <w:b/>
              </w:rPr>
              <w:t>:</w:t>
            </w:r>
            <w:r w:rsidRPr="00BA2467">
              <w:t xml:space="preserve"> </w:t>
            </w:r>
            <w:r>
              <w:t>Úrad pre normalizáciu, metrológiu a skúšobníctvo Slovenskej republiky</w:t>
            </w:r>
          </w:p>
          <w:p w14:paraId="55F1CE61" w14:textId="77777777" w:rsidR="00D22CF6" w:rsidRPr="00BA2467" w:rsidRDefault="00D22CF6" w:rsidP="00D22CF6">
            <w:pPr>
              <w:tabs>
                <w:tab w:val="left" w:pos="360"/>
              </w:tabs>
              <w:jc w:val="both"/>
            </w:pPr>
          </w:p>
        </w:tc>
      </w:tr>
      <w:tr w:rsidR="00D22CF6" w:rsidRPr="00BA2467" w14:paraId="51D7BA5F" w14:textId="77777777" w:rsidTr="00D22CF6">
        <w:trPr>
          <w:trHeight w:val="562"/>
        </w:trPr>
        <w:tc>
          <w:tcPr>
            <w:tcW w:w="396" w:type="dxa"/>
          </w:tcPr>
          <w:p w14:paraId="385062B2" w14:textId="77777777" w:rsidR="00D22CF6" w:rsidRPr="00BA2467" w:rsidRDefault="00D22CF6" w:rsidP="00D22CF6">
            <w:pPr>
              <w:tabs>
                <w:tab w:val="left" w:pos="360"/>
              </w:tabs>
              <w:jc w:val="both"/>
              <w:rPr>
                <w:b/>
              </w:rPr>
            </w:pPr>
            <w:r w:rsidRPr="00BA2467">
              <w:rPr>
                <w:b/>
              </w:rPr>
              <w:t>2.</w:t>
            </w:r>
          </w:p>
        </w:tc>
        <w:tc>
          <w:tcPr>
            <w:tcW w:w="9191" w:type="dxa"/>
          </w:tcPr>
          <w:p w14:paraId="7EE71E67" w14:textId="1FE2D8CA" w:rsidR="00D22CF6" w:rsidRDefault="00D22CF6" w:rsidP="00D22CF6">
            <w:pPr>
              <w:tabs>
                <w:tab w:val="left" w:pos="360"/>
              </w:tabs>
              <w:jc w:val="both"/>
            </w:pPr>
            <w:r w:rsidRPr="00BA2467">
              <w:rPr>
                <w:b/>
              </w:rPr>
              <w:t xml:space="preserve">Názov návrhu </w:t>
            </w:r>
            <w:r>
              <w:rPr>
                <w:b/>
              </w:rPr>
              <w:t>zákona</w:t>
            </w:r>
            <w:r w:rsidRPr="00BA2467">
              <w:rPr>
                <w:b/>
              </w:rPr>
              <w:t>:</w:t>
            </w:r>
            <w:r w:rsidRPr="00BA2467">
              <w:t xml:space="preserve"> </w:t>
            </w:r>
            <w:r w:rsidRPr="002F78F7">
              <w:t xml:space="preserve">Návrh </w:t>
            </w:r>
            <w:r>
              <w:t xml:space="preserve">zákona, </w:t>
            </w:r>
            <w:r w:rsidRPr="000E716B">
              <w:t xml:space="preserve">ktorým sa mení a dopĺňa zákon </w:t>
            </w:r>
            <w:r w:rsidR="002F69ED">
              <w:t>č. </w:t>
            </w:r>
            <w:r w:rsidRPr="000E716B">
              <w:t xml:space="preserve">56/2018 </w:t>
            </w:r>
            <w:r w:rsidR="002F69ED">
              <w:t>Z. z.</w:t>
            </w:r>
            <w:r w:rsidRPr="000E716B">
              <w:t xml:space="preserve"> o</w:t>
            </w:r>
            <w:r>
              <w:t> </w:t>
            </w:r>
            <w:r w:rsidRPr="000E716B">
              <w:t>posudzovaní</w:t>
            </w:r>
            <w:r>
              <w:t xml:space="preserve"> </w:t>
            </w:r>
            <w:r w:rsidRPr="000E716B">
              <w:t>zhody výrobku, sprístupňovaní určeného výrobku na trhu a o zmene a doplnení niektorých zákonov a ktorým sa menia a dopĺňajú niektoré zákony</w:t>
            </w:r>
            <w:r>
              <w:t xml:space="preserve"> </w:t>
            </w:r>
          </w:p>
          <w:p w14:paraId="03864A29" w14:textId="77777777" w:rsidR="00D22CF6" w:rsidRPr="00BA2467" w:rsidRDefault="00D22CF6" w:rsidP="00D22CF6">
            <w:pPr>
              <w:tabs>
                <w:tab w:val="left" w:pos="360"/>
              </w:tabs>
              <w:jc w:val="both"/>
            </w:pPr>
          </w:p>
        </w:tc>
      </w:tr>
      <w:tr w:rsidR="00D22CF6" w:rsidRPr="00BA2467" w14:paraId="20CFAF42" w14:textId="77777777" w:rsidTr="00D22CF6">
        <w:trPr>
          <w:trHeight w:val="273"/>
        </w:trPr>
        <w:tc>
          <w:tcPr>
            <w:tcW w:w="396" w:type="dxa"/>
          </w:tcPr>
          <w:p w14:paraId="5C15A02F" w14:textId="77777777" w:rsidR="00D22CF6" w:rsidRPr="00BA2467" w:rsidRDefault="00D22CF6" w:rsidP="00D22CF6">
            <w:pPr>
              <w:tabs>
                <w:tab w:val="left" w:pos="360"/>
              </w:tabs>
              <w:jc w:val="both"/>
              <w:rPr>
                <w:b/>
              </w:rPr>
            </w:pPr>
            <w:r w:rsidRPr="00BA2467">
              <w:rPr>
                <w:b/>
              </w:rPr>
              <w:t>3.</w:t>
            </w:r>
          </w:p>
        </w:tc>
        <w:tc>
          <w:tcPr>
            <w:tcW w:w="9191" w:type="dxa"/>
          </w:tcPr>
          <w:p w14:paraId="44AF0477" w14:textId="77777777" w:rsidR="00D22CF6" w:rsidRDefault="00D22CF6" w:rsidP="00D22CF6">
            <w:pPr>
              <w:tabs>
                <w:tab w:val="left" w:pos="360"/>
              </w:tabs>
              <w:jc w:val="both"/>
              <w:rPr>
                <w:b/>
              </w:rPr>
            </w:pPr>
            <w:r w:rsidRPr="00BA2467">
              <w:rPr>
                <w:b/>
              </w:rPr>
              <w:t xml:space="preserve">Predmet návrhu </w:t>
            </w:r>
            <w:r>
              <w:rPr>
                <w:b/>
              </w:rPr>
              <w:t xml:space="preserve">zákona </w:t>
            </w:r>
            <w:r w:rsidRPr="00BA2467">
              <w:rPr>
                <w:b/>
              </w:rPr>
              <w:t>je upravený v práve Európskej únie:</w:t>
            </w:r>
          </w:p>
          <w:p w14:paraId="094B1776" w14:textId="77777777" w:rsidR="00D22CF6" w:rsidRPr="00BA2467" w:rsidRDefault="00D22CF6" w:rsidP="00D22CF6">
            <w:pPr>
              <w:tabs>
                <w:tab w:val="left" w:pos="360"/>
              </w:tabs>
              <w:jc w:val="both"/>
            </w:pPr>
            <w:r w:rsidRPr="00BA2467">
              <w:rPr>
                <w:b/>
              </w:rPr>
              <w:t xml:space="preserve"> </w:t>
            </w:r>
          </w:p>
        </w:tc>
      </w:tr>
      <w:tr w:rsidR="00D22CF6" w:rsidRPr="00B14496" w14:paraId="507C215D" w14:textId="77777777" w:rsidTr="00D22CF6">
        <w:trPr>
          <w:trHeight w:val="562"/>
        </w:trPr>
        <w:tc>
          <w:tcPr>
            <w:tcW w:w="396" w:type="dxa"/>
          </w:tcPr>
          <w:p w14:paraId="5A8342F4" w14:textId="77777777" w:rsidR="00D22CF6" w:rsidRPr="00B14496" w:rsidRDefault="00D22CF6" w:rsidP="00D22CF6">
            <w:pPr>
              <w:tabs>
                <w:tab w:val="left" w:pos="360"/>
              </w:tabs>
              <w:jc w:val="both"/>
            </w:pPr>
            <w:r w:rsidRPr="00B14496">
              <w:t xml:space="preserve"> </w:t>
            </w:r>
          </w:p>
        </w:tc>
        <w:tc>
          <w:tcPr>
            <w:tcW w:w="9191" w:type="dxa"/>
          </w:tcPr>
          <w:p w14:paraId="78AC6B85" w14:textId="77777777" w:rsidR="00D22CF6" w:rsidRPr="00B14496" w:rsidRDefault="00D22CF6" w:rsidP="00D22CF6">
            <w:pPr>
              <w:pStyle w:val="Odsekzoznamu"/>
              <w:widowControl w:val="0"/>
              <w:numPr>
                <w:ilvl w:val="0"/>
                <w:numId w:val="3"/>
              </w:numPr>
              <w:tabs>
                <w:tab w:val="left" w:pos="360"/>
              </w:tabs>
              <w:adjustRightInd w:val="0"/>
              <w:spacing w:after="0" w:line="240" w:lineRule="auto"/>
              <w:jc w:val="both"/>
              <w:rPr>
                <w:rFonts w:ascii="Times New Roman" w:hAnsi="Times New Roman" w:cs="Times New Roman"/>
                <w:sz w:val="24"/>
                <w:szCs w:val="24"/>
              </w:rPr>
            </w:pPr>
            <w:r w:rsidRPr="00B14496">
              <w:rPr>
                <w:rFonts w:ascii="Times New Roman" w:hAnsi="Times New Roman" w:cs="Times New Roman"/>
                <w:sz w:val="24"/>
                <w:szCs w:val="24"/>
              </w:rPr>
              <w:t>v primárnom práve</w:t>
            </w:r>
          </w:p>
          <w:p w14:paraId="09A5C834" w14:textId="77777777" w:rsidR="00D22CF6" w:rsidRPr="00B14496" w:rsidRDefault="00D22CF6" w:rsidP="00D22CF6">
            <w:pPr>
              <w:pStyle w:val="Odsekzoznamu"/>
              <w:tabs>
                <w:tab w:val="left" w:pos="360"/>
              </w:tabs>
              <w:ind w:left="360"/>
              <w:jc w:val="both"/>
              <w:rPr>
                <w:rFonts w:ascii="Times New Roman" w:hAnsi="Times New Roman" w:cs="Times New Roman"/>
                <w:sz w:val="24"/>
                <w:szCs w:val="24"/>
              </w:rPr>
            </w:pPr>
          </w:p>
          <w:p w14:paraId="37FE222C" w14:textId="77777777" w:rsidR="00D22CF6" w:rsidRPr="00B14496" w:rsidRDefault="00D22CF6" w:rsidP="00D22CF6">
            <w:pPr>
              <w:pStyle w:val="Odsekzoznamu"/>
              <w:tabs>
                <w:tab w:val="left" w:pos="360"/>
              </w:tabs>
              <w:ind w:left="360"/>
              <w:jc w:val="both"/>
              <w:rPr>
                <w:rFonts w:ascii="Times New Roman" w:hAnsi="Times New Roman" w:cs="Times New Roman"/>
                <w:sz w:val="24"/>
                <w:szCs w:val="24"/>
              </w:rPr>
            </w:pPr>
            <w:r w:rsidRPr="00B14496">
              <w:rPr>
                <w:rFonts w:ascii="Times New Roman" w:hAnsi="Times New Roman" w:cs="Times New Roman"/>
                <w:sz w:val="24"/>
                <w:szCs w:val="24"/>
              </w:rPr>
              <w:t>Zmluva o fungovaní Európskej únie – HLAVA I SPOLOČNÉ USTANOVENIA, článok 114 Aproximácia práva</w:t>
            </w:r>
          </w:p>
          <w:p w14:paraId="2B71BD10" w14:textId="77777777" w:rsidR="00D22CF6" w:rsidRPr="00B14496" w:rsidRDefault="00D22CF6" w:rsidP="00D22CF6">
            <w:pPr>
              <w:pStyle w:val="Odsekzoznamu"/>
              <w:tabs>
                <w:tab w:val="left" w:pos="360"/>
              </w:tabs>
              <w:ind w:left="360"/>
              <w:jc w:val="both"/>
              <w:rPr>
                <w:rFonts w:ascii="Times New Roman" w:hAnsi="Times New Roman" w:cs="Times New Roman"/>
                <w:sz w:val="24"/>
                <w:szCs w:val="24"/>
              </w:rPr>
            </w:pPr>
          </w:p>
          <w:p w14:paraId="456EE8CD" w14:textId="77777777" w:rsidR="00D22CF6" w:rsidRPr="00B14496" w:rsidRDefault="00D22CF6" w:rsidP="00D22CF6">
            <w:pPr>
              <w:pStyle w:val="Odsekzoznamu"/>
              <w:widowControl w:val="0"/>
              <w:numPr>
                <w:ilvl w:val="0"/>
                <w:numId w:val="3"/>
              </w:numPr>
              <w:tabs>
                <w:tab w:val="left" w:pos="360"/>
              </w:tabs>
              <w:adjustRightInd w:val="0"/>
              <w:spacing w:after="0" w:line="240" w:lineRule="auto"/>
              <w:jc w:val="both"/>
              <w:rPr>
                <w:rFonts w:ascii="Times New Roman" w:hAnsi="Times New Roman" w:cs="Times New Roman"/>
                <w:sz w:val="24"/>
                <w:szCs w:val="24"/>
              </w:rPr>
            </w:pPr>
            <w:r w:rsidRPr="00B14496">
              <w:rPr>
                <w:rFonts w:ascii="Times New Roman" w:hAnsi="Times New Roman" w:cs="Times New Roman"/>
                <w:sz w:val="24"/>
                <w:szCs w:val="24"/>
              </w:rPr>
              <w:t>v sekundárnom práve</w:t>
            </w:r>
          </w:p>
          <w:p w14:paraId="4AE5E015" w14:textId="77777777" w:rsidR="00D22CF6" w:rsidRPr="00B14496" w:rsidRDefault="00D22CF6" w:rsidP="00D22CF6">
            <w:pPr>
              <w:tabs>
                <w:tab w:val="left" w:pos="360"/>
              </w:tabs>
              <w:jc w:val="both"/>
            </w:pPr>
          </w:p>
          <w:p w14:paraId="6FD256C6" w14:textId="380F4085" w:rsidR="00D22CF6" w:rsidRPr="00B14496" w:rsidRDefault="00D22CF6" w:rsidP="00D22CF6">
            <w:pPr>
              <w:ind w:left="313"/>
              <w:jc w:val="both"/>
            </w:pPr>
            <w:r w:rsidRPr="00B14496">
              <w:t xml:space="preserve">Nariadenie Európskeho parlamentu a Rady (EÚ) 2019/1020 z 20. júna 2019 o dohľade nad trhom a súlade výrobkov a o zmene smernice 2004/42/ES a nariadení (ES) </w:t>
            </w:r>
            <w:r w:rsidR="002F69ED">
              <w:t>č. </w:t>
            </w:r>
            <w:r w:rsidRPr="00B14496">
              <w:t xml:space="preserve">765/2008 a (EÚ) </w:t>
            </w:r>
            <w:r w:rsidR="002F69ED">
              <w:t>č. </w:t>
            </w:r>
            <w:r w:rsidRPr="00B14496">
              <w:t xml:space="preserve">305/2011 (Ú. v. EÚ L </w:t>
            </w:r>
            <w:r w:rsidRPr="00B14496">
              <w:rPr>
                <w:color w:val="444444"/>
                <w:shd w:val="clear" w:color="auto" w:fill="FFFFFF"/>
              </w:rPr>
              <w:t>169</w:t>
            </w:r>
            <w:r w:rsidRPr="00B14496">
              <w:t xml:space="preserve">, 25. 06. 2019) – gestor Ministerstvo hospodárstva Slovenskej republiky, </w:t>
            </w:r>
            <w:proofErr w:type="spellStart"/>
            <w:r w:rsidRPr="00B14496">
              <w:t>spolugestor</w:t>
            </w:r>
            <w:proofErr w:type="spellEnd"/>
            <w:r w:rsidRPr="00B14496">
              <w:t xml:space="preserve"> Úrad pre normalizáciu, metrológiu a skúšobníctvo Slovenskej republiky.</w:t>
            </w:r>
          </w:p>
          <w:p w14:paraId="7357DF44" w14:textId="77777777" w:rsidR="00D22CF6" w:rsidRPr="00B14496" w:rsidRDefault="00D22CF6" w:rsidP="00D22CF6">
            <w:pPr>
              <w:ind w:left="313"/>
              <w:jc w:val="both"/>
            </w:pPr>
          </w:p>
          <w:p w14:paraId="0D1D1EEE" w14:textId="5657906C" w:rsidR="00D22CF6" w:rsidRPr="00B14496" w:rsidRDefault="00D22CF6" w:rsidP="00D22CF6">
            <w:pPr>
              <w:spacing w:after="250"/>
              <w:ind w:left="313"/>
              <w:jc w:val="both"/>
            </w:pPr>
            <w:r w:rsidRPr="00B14496">
              <w:t xml:space="preserve">Nariadenie Európskeho parlamentu a Rady (EÚ) 2019/1009 z 5. júna 2019, ktorým sa stanovujú pravidlá sprístupňovania EÚ produktov na hnojenie na trhu, menia nariadenia (ES) </w:t>
            </w:r>
            <w:r w:rsidR="002F69ED">
              <w:t>č. </w:t>
            </w:r>
            <w:r w:rsidRPr="00B14496">
              <w:t xml:space="preserve">1069/2009 a (ES) </w:t>
            </w:r>
            <w:r w:rsidR="002F69ED">
              <w:t>č. </w:t>
            </w:r>
            <w:r w:rsidRPr="00B14496">
              <w:t xml:space="preserve">1107/2009 a ruší nariadenie (ES) </w:t>
            </w:r>
            <w:r w:rsidR="002F69ED">
              <w:t>č. </w:t>
            </w:r>
            <w:r w:rsidRPr="00B14496">
              <w:t xml:space="preserve">2003/2003 (Ú. v. EÚ L 170, 25.6.2019) – gestor Ministerstvo pôdohospodárstva a rozvoja vidieka Slovenskej republiky, </w:t>
            </w:r>
            <w:proofErr w:type="spellStart"/>
            <w:r w:rsidRPr="00B14496">
              <w:t>spolugestor</w:t>
            </w:r>
            <w:proofErr w:type="spellEnd"/>
            <w:r w:rsidRPr="00B14496">
              <w:t xml:space="preserve"> Úrad pre normalizáciu, metrológiu a skúšobníctvo Slovenskej republiky</w:t>
            </w:r>
          </w:p>
          <w:p w14:paraId="3138413E" w14:textId="77777777" w:rsidR="00D22CF6" w:rsidRPr="00B14496" w:rsidRDefault="00D22CF6" w:rsidP="00D22CF6">
            <w:pPr>
              <w:spacing w:after="250"/>
              <w:ind w:left="313"/>
              <w:jc w:val="both"/>
            </w:pPr>
            <w:r w:rsidRPr="00B14496">
              <w:t xml:space="preserve">Delegované nariadenie Komisie (EÚ) 2019/945 z 12. marca 2019 o bezpilotných leteckých systémoch a o prevádzkovateľoch bezpilotných leteckých systémov z tretích krajín (Ú. v. EÚ L 152, 11.6.2019) v platnom znení, gestor Ministerstvo dopravy a výstavby Slovenskej republiky, </w:t>
            </w:r>
            <w:proofErr w:type="spellStart"/>
            <w:r w:rsidRPr="00B14496">
              <w:t>spolugestor</w:t>
            </w:r>
            <w:proofErr w:type="spellEnd"/>
            <w:r w:rsidRPr="00B14496">
              <w:t xml:space="preserve"> Úrad pre normalizáciu, metrológiu a skúšobníctvo Slovenskej republiky</w:t>
            </w:r>
          </w:p>
          <w:p w14:paraId="562BA484" w14:textId="16D5E9F4" w:rsidR="00D22CF6" w:rsidRPr="00B14496" w:rsidRDefault="00D22CF6" w:rsidP="00D22CF6">
            <w:pPr>
              <w:ind w:left="313"/>
              <w:jc w:val="both"/>
            </w:pPr>
            <w:r w:rsidRPr="00B14496">
              <w:t>Nariadenie Európskeho parlamentu a Rady (EÚ) 2016/424 z 9. marca 2016 o lanovkových zariadeniach a zrušení smernice 2000/9/ES (Ú. v. EÚ L 81, 31. 3. 2016) –</w:t>
            </w:r>
            <w:r w:rsidR="00263677">
              <w:t xml:space="preserve"> </w:t>
            </w:r>
            <w:r w:rsidRPr="00B14496">
              <w:t>gestor Ministerstvo dopravy a výstavby Slovenskej republiky a Úrad pre normalizáciu, metrológiu a</w:t>
            </w:r>
            <w:r w:rsidR="00263677">
              <w:t> </w:t>
            </w:r>
            <w:r w:rsidRPr="00B14496">
              <w:t>skúšobníctvo</w:t>
            </w:r>
            <w:r w:rsidR="00263677">
              <w:t xml:space="preserve"> </w:t>
            </w:r>
            <w:r w:rsidRPr="00B14496">
              <w:t>Slovenskej republiky</w:t>
            </w:r>
          </w:p>
          <w:p w14:paraId="6353303F" w14:textId="77777777" w:rsidR="00D22CF6" w:rsidRPr="00B14496" w:rsidRDefault="00D22CF6" w:rsidP="00D22CF6">
            <w:pPr>
              <w:ind w:left="313"/>
              <w:jc w:val="both"/>
            </w:pPr>
          </w:p>
          <w:p w14:paraId="096EC7FE" w14:textId="77777777" w:rsidR="00D22CF6" w:rsidRPr="00B14496" w:rsidRDefault="00D22CF6" w:rsidP="00D22CF6">
            <w:pPr>
              <w:ind w:left="313"/>
              <w:jc w:val="both"/>
            </w:pPr>
            <w:r w:rsidRPr="00B14496">
              <w:t>Nariadenie Európskeho parlamentu a Rady (EÚ) 2016/425 z 9. marca 2016 o osobných ochranných prostriedkoch a o zrušení smernice Rady 89/686/EHS (Ú. v. EÚ L 81, 31. 3. 2016) – gestor: Ministerstvo práce, sociálnych vecí a rodiny Slovenskej republiky, Ministerstvo hospodárstva Slovenskej republiky, Úrad pre normalizáciu, metrológiu a skúšobníctvo Slovenskej republiky</w:t>
            </w:r>
          </w:p>
          <w:p w14:paraId="79FB0C59" w14:textId="77777777" w:rsidR="00D22CF6" w:rsidRPr="00B14496" w:rsidRDefault="00D22CF6" w:rsidP="00D22CF6">
            <w:pPr>
              <w:ind w:left="313"/>
              <w:jc w:val="both"/>
            </w:pPr>
          </w:p>
          <w:p w14:paraId="2F15B190" w14:textId="77777777" w:rsidR="00D22CF6" w:rsidRPr="00B14496" w:rsidRDefault="00D22CF6" w:rsidP="00D22CF6">
            <w:pPr>
              <w:ind w:left="313"/>
              <w:jc w:val="both"/>
            </w:pPr>
            <w:r w:rsidRPr="00B14496">
              <w:t xml:space="preserve">Nariadenie Európskeho parlamentu a Rady (EÚ) 2016/426 z 9. marca 2016 o spotrebičoch </w:t>
            </w:r>
            <w:r w:rsidRPr="00B14496">
              <w:lastRenderedPageBreak/>
              <w:t>spaľujúcich plynné palivá a o zrušení smernice 2009/142/ES (Ú. v. EÚ L 81, 31. 3. 2016) – gestor Ministerstvo hospodárstva Slovenskej republiky, Úrad pre normalizáciu, metrológiu a skúšobníctvo Slovenskej republiky</w:t>
            </w:r>
          </w:p>
          <w:p w14:paraId="6E49A545" w14:textId="77777777" w:rsidR="00D22CF6" w:rsidRPr="00B14496" w:rsidRDefault="00D22CF6" w:rsidP="00D22CF6">
            <w:pPr>
              <w:ind w:left="313"/>
              <w:jc w:val="both"/>
            </w:pPr>
          </w:p>
          <w:p w14:paraId="1A563E9B" w14:textId="5C7123A9" w:rsidR="00D22CF6" w:rsidRPr="00B14496" w:rsidRDefault="00D22CF6" w:rsidP="00D22CF6">
            <w:pPr>
              <w:ind w:left="313"/>
              <w:jc w:val="both"/>
            </w:pPr>
            <w:r w:rsidRPr="00B14496">
              <w:t xml:space="preserve">Nariadenie Európskeho parlamentu a Rady (EÚ) 2017/745 z 5. apríla 2017 o zdravotníckych pomôckach, zmene smernice 2001/83/ES, nariadenia (ES) </w:t>
            </w:r>
            <w:r w:rsidR="002F69ED">
              <w:t>č. </w:t>
            </w:r>
            <w:r w:rsidRPr="00B14496">
              <w:t xml:space="preserve">178/2002 a nariadenia (ES) </w:t>
            </w:r>
            <w:r w:rsidR="002F69ED">
              <w:t>č. </w:t>
            </w:r>
            <w:r w:rsidRPr="00B14496">
              <w:t>1223/2009 a o zrušení smerníc Rady 90/385/EHS a 93/42/EHS (Ú. v. EÚ L 117, 5.5.2017) v platnom znení – gestor: Ministerstvo zdravotníctva Slovenskej republiky a </w:t>
            </w:r>
            <w:proofErr w:type="spellStart"/>
            <w:r w:rsidRPr="00B14496">
              <w:t>spolugestor</w:t>
            </w:r>
            <w:proofErr w:type="spellEnd"/>
            <w:r w:rsidRPr="00B14496">
              <w:t xml:space="preserve"> Úrad pre normalizáciu, metrológiu a skúšobníctvo Slovenskej republiky</w:t>
            </w:r>
          </w:p>
          <w:p w14:paraId="79AC8191" w14:textId="77777777" w:rsidR="00D22CF6" w:rsidRPr="00B14496" w:rsidRDefault="00D22CF6" w:rsidP="00D22CF6">
            <w:pPr>
              <w:ind w:left="313"/>
              <w:jc w:val="both"/>
            </w:pPr>
          </w:p>
          <w:p w14:paraId="69F39FE5" w14:textId="77777777" w:rsidR="00D22CF6" w:rsidRPr="00B14496" w:rsidRDefault="00D22CF6" w:rsidP="00D22CF6">
            <w:pPr>
              <w:ind w:left="313"/>
              <w:jc w:val="both"/>
            </w:pPr>
            <w:r w:rsidRPr="00B14496">
              <w:t>Nariadenie Európskeho parlamentu a Rady (EÚ) 2017/746 z 5. apríla 2017 o diagnostických zdravotníckych pomôckach in vitro a o zrušení smernice 98/79/ES a rozhodnutia Komisie 2010/227/EÚ (Ú. v. EÚ L 117, 5.5.2017) - gestor: Ministerstvo zdravotníctva Slovenskej republiky a </w:t>
            </w:r>
            <w:proofErr w:type="spellStart"/>
            <w:r w:rsidRPr="00B14496">
              <w:t>spolugestor</w:t>
            </w:r>
            <w:proofErr w:type="spellEnd"/>
            <w:r w:rsidRPr="00B14496">
              <w:t xml:space="preserve"> Úrad pre normalizáciu, metrológiu a skúšobníctvo Slovenskej republiky</w:t>
            </w:r>
          </w:p>
          <w:p w14:paraId="4249F6B9" w14:textId="77777777" w:rsidR="00D22CF6" w:rsidRPr="00B14496" w:rsidRDefault="00D22CF6" w:rsidP="00D22CF6">
            <w:pPr>
              <w:ind w:left="313"/>
              <w:jc w:val="both"/>
            </w:pPr>
          </w:p>
          <w:p w14:paraId="2A8AEB94" w14:textId="3B0479AB" w:rsidR="00D22CF6" w:rsidRPr="00B14496" w:rsidRDefault="00D22CF6" w:rsidP="00D22CF6">
            <w:pPr>
              <w:ind w:left="313"/>
              <w:jc w:val="both"/>
            </w:pPr>
            <w:r w:rsidRPr="00B14496">
              <w:t xml:space="preserve">Rozhodnutie Európskeho parlamentu a Rady </w:t>
            </w:r>
            <w:r w:rsidR="002F69ED">
              <w:t>č. </w:t>
            </w:r>
            <w:r w:rsidRPr="00B14496">
              <w:t>768/2008/ES zo dňa 9. júla 2008 o spoločnom rámci na uvádzanie výrobkov na trh a o zrušení rozhodnutia 93/465/EHS (Ú.</w:t>
            </w:r>
            <w:r w:rsidR="008906F3">
              <w:t> </w:t>
            </w:r>
            <w:r w:rsidRPr="00B14496">
              <w:t xml:space="preserve">v. EÚ L 218, 13.8.2008) - gestor: Úrad pre normalizáciu, metrológiu a skúšobníctvo Slovenskej republiky, </w:t>
            </w:r>
            <w:proofErr w:type="spellStart"/>
            <w:r w:rsidRPr="00B14496">
              <w:t>spolugestor</w:t>
            </w:r>
            <w:proofErr w:type="spellEnd"/>
            <w:r w:rsidRPr="00B14496">
              <w:t>: Ministerstvo hospodárstva Slovenskej republiky, Ministerstvo práce, sociálnych vecí a rodiny Slovenskej republiky, Ministerstvo dopravy a výstavby Slovenskej republiky,  Ministerstvo zdravotníctva Slovenskej republiky.</w:t>
            </w:r>
          </w:p>
          <w:p w14:paraId="2E7C5479" w14:textId="77777777" w:rsidR="00D22CF6" w:rsidRPr="00B14496" w:rsidRDefault="00D22CF6" w:rsidP="00D22CF6">
            <w:pPr>
              <w:ind w:left="313"/>
              <w:jc w:val="both"/>
            </w:pPr>
          </w:p>
          <w:p w14:paraId="72C17946" w14:textId="77777777" w:rsidR="00D22CF6" w:rsidRPr="00B14496" w:rsidRDefault="00D22CF6" w:rsidP="00D22CF6">
            <w:pPr>
              <w:ind w:left="313"/>
              <w:jc w:val="both"/>
            </w:pPr>
            <w:r w:rsidRPr="00B14496">
              <w:t>Smernica Európskeho parlamentu a Rady 2013/29/EÚ z 12. júna 2013 o harmonizácii zákonov členských štátov týkajúcich sa sprístupňovania pyrotechnických výrobkov na trhu (prepracované znenie) (Ú. v. EÚ L 178, 28. 6. 2013) - gestor: Úrad pre normalizáciu, metrológiu a skúšobníctvo Slovenskej republiky a </w:t>
            </w:r>
            <w:proofErr w:type="spellStart"/>
            <w:r w:rsidRPr="00B14496">
              <w:t>spolugestor</w:t>
            </w:r>
            <w:proofErr w:type="spellEnd"/>
            <w:r w:rsidRPr="00B14496">
              <w:t xml:space="preserve"> Ministerstvo hospodárstva Slovenskej republiky</w:t>
            </w:r>
          </w:p>
          <w:p w14:paraId="03567209" w14:textId="77777777" w:rsidR="00D22CF6" w:rsidRPr="00B14496" w:rsidRDefault="00D22CF6" w:rsidP="00D22CF6">
            <w:pPr>
              <w:ind w:left="313"/>
              <w:jc w:val="both"/>
            </w:pPr>
          </w:p>
          <w:p w14:paraId="266183A3" w14:textId="77777777" w:rsidR="00D22CF6" w:rsidRPr="00B14496" w:rsidRDefault="00D22CF6" w:rsidP="00D22CF6">
            <w:pPr>
              <w:ind w:left="313"/>
              <w:jc w:val="both"/>
            </w:pPr>
            <w:r w:rsidRPr="00B14496">
              <w:t>Smernica Európskeho parlamentu a Rady 2013/53/EÚ z 20. novembra 2013 o rekreačných plavidlách a vodných skútroch a o zrušení smernice 94/25/ES (Ú. v. EÚ L 354, 28. 12. 2013), gestor Úrad pre normalizáciu, metrológiu a skúšobníctvo Slovenskej republiky a </w:t>
            </w:r>
            <w:proofErr w:type="spellStart"/>
            <w:r w:rsidRPr="00B14496">
              <w:t>spolugestor</w:t>
            </w:r>
            <w:proofErr w:type="spellEnd"/>
            <w:r w:rsidRPr="00B14496">
              <w:t xml:space="preserve"> Ministerstvo dopravy a výstavby Slovenskej republiky</w:t>
            </w:r>
          </w:p>
          <w:p w14:paraId="0603B8D2" w14:textId="77777777" w:rsidR="00D22CF6" w:rsidRPr="00B14496" w:rsidRDefault="00D22CF6" w:rsidP="00D22CF6">
            <w:pPr>
              <w:ind w:left="313"/>
              <w:jc w:val="both"/>
            </w:pPr>
          </w:p>
          <w:p w14:paraId="57D5F108" w14:textId="77777777" w:rsidR="00D22CF6" w:rsidRPr="00B14496" w:rsidRDefault="00D22CF6" w:rsidP="00D22CF6">
            <w:pPr>
              <w:ind w:left="313"/>
              <w:jc w:val="both"/>
            </w:pPr>
            <w:r w:rsidRPr="00B14496">
              <w:t>Smernica Európskeho parlamentu a Rady 2014/28/EÚ z 26. februára 2014 o harmonizácii právnych predpisov členských štátov týkajúcich sa sprístupňovania výbušnín na civilné použitie na trhu a ich kontroly (prepracované znenie) (Ú. v. EÚ L 96, 29. 3. 2014) - gestor: Ministerstvo hospodárstva Slovenskej republiky a </w:t>
            </w:r>
            <w:proofErr w:type="spellStart"/>
            <w:r w:rsidRPr="00B14496">
              <w:t>spolugestor</w:t>
            </w:r>
            <w:proofErr w:type="spellEnd"/>
            <w:r w:rsidRPr="00B14496">
              <w:t xml:space="preserve"> Úrad pre normalizáciu, metrológiu a skúšobníctvo Slovenskej republiky</w:t>
            </w:r>
          </w:p>
          <w:p w14:paraId="458CA835" w14:textId="77777777" w:rsidR="00D22CF6" w:rsidRPr="00B14496" w:rsidRDefault="00D22CF6" w:rsidP="00D22CF6">
            <w:pPr>
              <w:ind w:left="313"/>
              <w:jc w:val="both"/>
            </w:pPr>
          </w:p>
          <w:p w14:paraId="401DCD19" w14:textId="77777777" w:rsidR="00D22CF6" w:rsidRPr="00B14496" w:rsidRDefault="00D22CF6" w:rsidP="00D22CF6">
            <w:pPr>
              <w:ind w:left="313"/>
              <w:jc w:val="both"/>
            </w:pPr>
            <w:r w:rsidRPr="00B14496">
              <w:t xml:space="preserve">Smernica Európskeho parlamentu a Rady 2014/29/EÚ z 26. februára 2014 o harmonizácii právnych predpisov členských štátov týkajúcich sa sprístupnenia jednoduchých tlakových nádob na trhu (prepracované znenie) (Ú. v. EÚ L 96, 29. 3. 2014) - gestor: Ministerstvo práce, sociálnych vecí a rodiny Slovenskej republiky a </w:t>
            </w:r>
            <w:proofErr w:type="spellStart"/>
            <w:r w:rsidRPr="00B14496">
              <w:t>spolugestor</w:t>
            </w:r>
            <w:proofErr w:type="spellEnd"/>
            <w:r w:rsidRPr="00B14496">
              <w:t xml:space="preserve"> Úrad pre normalizáciu, metrológiu a skúšobníctvo Slovenskej republiky</w:t>
            </w:r>
          </w:p>
          <w:p w14:paraId="52521BBC" w14:textId="77777777" w:rsidR="00D22CF6" w:rsidRPr="00B14496" w:rsidRDefault="00D22CF6" w:rsidP="00D22CF6">
            <w:pPr>
              <w:ind w:left="313"/>
              <w:jc w:val="both"/>
            </w:pPr>
          </w:p>
          <w:p w14:paraId="32FEEB77" w14:textId="77777777" w:rsidR="00D22CF6" w:rsidRPr="00B14496" w:rsidRDefault="00D22CF6" w:rsidP="00D22CF6">
            <w:pPr>
              <w:ind w:left="313"/>
              <w:jc w:val="both"/>
            </w:pPr>
            <w:r w:rsidRPr="00B14496">
              <w:t>Smernica Európskeho parlamentu a Rady 2014/31/EÚ z 26. februára 2014 o harmonizácii právnych predpisov členských štátov týkajúcich sa sprístupňovania váh s neautomatickou činnosťou na trhu (prepracované znenie) (Ú. v. EÚ L 96, 29. 3. 2014) - gestor: Úrad pre normalizáciu, metrológiu a skúšobníctvo Slovenskej republiky</w:t>
            </w:r>
          </w:p>
          <w:p w14:paraId="1558FFC6" w14:textId="77777777" w:rsidR="00D22CF6" w:rsidRPr="00B14496" w:rsidRDefault="00D22CF6" w:rsidP="00D22CF6">
            <w:pPr>
              <w:ind w:left="313"/>
              <w:jc w:val="both"/>
            </w:pPr>
          </w:p>
          <w:p w14:paraId="125919C9" w14:textId="77777777" w:rsidR="00D22CF6" w:rsidRPr="00B14496" w:rsidRDefault="00D22CF6" w:rsidP="00D22CF6">
            <w:pPr>
              <w:ind w:left="313"/>
              <w:jc w:val="both"/>
            </w:pPr>
            <w:r w:rsidRPr="00B14496">
              <w:t>Smernica Európskeho parlamentu a Rady 2014/32/EÚ z 26. februára 2014 o harmonizácii právnych predpisov členských štátov týkajúcich sa sprístupnenia meradiel na trhu (Ú. v. EÚ L 96, 29. 3. 2014) v znení Delegovanej smernice Komisie (EÚ) 2015/13 z 31. októbra 2014, ktorou sa mení príloha III k smernici Európskeho parlamentu a Rady 2014/32/EÚ, pokiaľ ide o rozsah prietoku vodomerov (Ú. v. EÚ L 3, 7. 1. 2015) - gestor: Úrad pre normalizáciu, metrológiu a skúšobníctvo Slovenskej republiky</w:t>
            </w:r>
          </w:p>
          <w:p w14:paraId="7F3EF91A" w14:textId="77777777" w:rsidR="00D22CF6" w:rsidRPr="00B14496" w:rsidRDefault="00D22CF6" w:rsidP="00D22CF6">
            <w:pPr>
              <w:ind w:left="313"/>
              <w:jc w:val="both"/>
            </w:pPr>
          </w:p>
          <w:p w14:paraId="2DE7466B" w14:textId="77777777" w:rsidR="00D22CF6" w:rsidRPr="00B14496" w:rsidRDefault="00D22CF6" w:rsidP="00D22CF6">
            <w:pPr>
              <w:ind w:left="313"/>
              <w:jc w:val="both"/>
            </w:pPr>
            <w:r w:rsidRPr="00B14496">
              <w:t xml:space="preserve">Smernica Európskeho parlamentu a Rady 2014/33/EÚ z 26. februára 2014 o harmonizácii právnych predpisov členských štátov týkajúcich sa výťahov a bezpečnostných komponentov do výťahov (prepracované znenie) (Ú. v. EÚ L 96, 29. 3. 2014) - gestor: Ministerstvo práce, sociálnych vecí a rodiny Slovenskej republiky a </w:t>
            </w:r>
            <w:proofErr w:type="spellStart"/>
            <w:r w:rsidRPr="00B14496">
              <w:t>spolugestor</w:t>
            </w:r>
            <w:proofErr w:type="spellEnd"/>
            <w:r w:rsidRPr="00B14496">
              <w:t xml:space="preserve"> Úrad pre normalizáciu, metrológiu a skúšobníctvo Slovenskej republiky</w:t>
            </w:r>
          </w:p>
          <w:p w14:paraId="1C8546F9" w14:textId="77777777" w:rsidR="00D22CF6" w:rsidRPr="00B14496" w:rsidRDefault="00D22CF6" w:rsidP="00D22CF6">
            <w:pPr>
              <w:ind w:left="313"/>
              <w:jc w:val="both"/>
            </w:pPr>
          </w:p>
          <w:p w14:paraId="4000789A" w14:textId="77777777" w:rsidR="00D22CF6" w:rsidRPr="00B14496" w:rsidRDefault="00D22CF6" w:rsidP="00D22CF6">
            <w:pPr>
              <w:ind w:left="313"/>
              <w:jc w:val="both"/>
            </w:pPr>
            <w:r w:rsidRPr="00B14496">
              <w:t>Smernica Európskeho parlamentu a Rady 2014/34/EÚ z 26. februára 2014 o harmonizácii právnych predpisov členských štátov týkajúcich sa zariadení a ochranných systémov určených na použitie v potenciálne výbušnej atmosfére (prepracované znenie) (Ú. v. EÚ L 96, 29. 3. 2014) - gestor: Úrad pre normalizáciu, metrológiu a skúšobníctvo Slovenskej republiky</w:t>
            </w:r>
          </w:p>
          <w:p w14:paraId="6D1F83FC" w14:textId="77777777" w:rsidR="00D22CF6" w:rsidRPr="00B14496" w:rsidRDefault="00D22CF6" w:rsidP="00D22CF6">
            <w:pPr>
              <w:ind w:left="313"/>
              <w:jc w:val="both"/>
            </w:pPr>
          </w:p>
          <w:p w14:paraId="6D1744CB" w14:textId="77777777" w:rsidR="00D22CF6" w:rsidRPr="00B14496" w:rsidRDefault="00D22CF6" w:rsidP="00D22CF6">
            <w:pPr>
              <w:ind w:left="313"/>
              <w:jc w:val="both"/>
            </w:pPr>
            <w:r w:rsidRPr="00B14496">
              <w:t>Smernica Európskeho parlamentu a Rady 2014/35/EÚ z 26. februára 2014 o harmonizácii právnych predpisov členských štátov týkajúcich sa sprístupnenia elektrického zariadenia určeného na používanie v rámci určitých limitov napätia na trhu (Ú. v. EÚ L 96, 29. 3. 2014) - gestor: Úrad pre normalizáciu, metrológiu a skúšobníctvo Slovenskej republiky</w:t>
            </w:r>
          </w:p>
          <w:p w14:paraId="30B70F77" w14:textId="77777777" w:rsidR="00D22CF6" w:rsidRPr="00B14496" w:rsidRDefault="00D22CF6" w:rsidP="00D22CF6">
            <w:pPr>
              <w:ind w:left="313"/>
              <w:jc w:val="both"/>
            </w:pPr>
          </w:p>
          <w:p w14:paraId="79D91B79" w14:textId="77777777" w:rsidR="00D22CF6" w:rsidRPr="00B14496" w:rsidRDefault="00D22CF6" w:rsidP="00D22CF6">
            <w:pPr>
              <w:ind w:left="313"/>
              <w:jc w:val="both"/>
            </w:pPr>
            <w:r w:rsidRPr="00B14496">
              <w:t>Smernica Európskeho parlamentu a Rady 2014/53/EÚ zo 16. apríla 2014 o harmonizácii právnych predpisov členských štátov týkajúcich sa sprístupňovania rádiových zariadení na trhu, ktorou sa zrušuje smernica 1999/5/ES (Ú. v. EÚ L 153, 22. 05. 2014) - gestor: Úrad pre normalizáciu, metrológiu a skúšobníctvo Slovenskej republiky a </w:t>
            </w:r>
            <w:proofErr w:type="spellStart"/>
            <w:r w:rsidRPr="00B14496">
              <w:t>spolugestor</w:t>
            </w:r>
            <w:proofErr w:type="spellEnd"/>
            <w:r w:rsidRPr="00B14496">
              <w:t xml:space="preserve"> Ministerstvo dopravy a výstavby Slovenskej republiky</w:t>
            </w:r>
          </w:p>
          <w:p w14:paraId="18FFE998" w14:textId="77777777" w:rsidR="00D22CF6" w:rsidRPr="00B14496" w:rsidRDefault="00D22CF6" w:rsidP="00D22CF6">
            <w:pPr>
              <w:ind w:left="313"/>
              <w:jc w:val="both"/>
            </w:pPr>
          </w:p>
          <w:p w14:paraId="2CB130C8" w14:textId="77777777" w:rsidR="00D22CF6" w:rsidRPr="00B14496" w:rsidRDefault="00D22CF6" w:rsidP="00D22CF6">
            <w:pPr>
              <w:ind w:left="313"/>
              <w:jc w:val="both"/>
            </w:pPr>
            <w:r w:rsidRPr="00B14496">
              <w:t xml:space="preserve">Smernica Európskeho parlamentu a Rady 2014/68/EÚ z 15. mája 2014 o harmonizácii právnych predpisov členských štátov týkajúcich sa sprístupňovania tlakových zariadení na trhu (prepracované znenie) (Ú. v. EÚ L 189, 27. 6. 2014) - gestor: Ministerstvo práce, sociálnych vecí a rodiny Slovenskej republiky a </w:t>
            </w:r>
            <w:proofErr w:type="spellStart"/>
            <w:r w:rsidRPr="00B14496">
              <w:t>spolugestor</w:t>
            </w:r>
            <w:proofErr w:type="spellEnd"/>
            <w:r w:rsidRPr="00B14496">
              <w:t xml:space="preserve"> Úrad pre normalizáciu, metrológiu a skúšobníctvo Slovenskej republiky</w:t>
            </w:r>
          </w:p>
          <w:p w14:paraId="24A923DA" w14:textId="77777777" w:rsidR="00D22CF6" w:rsidRPr="00B14496" w:rsidRDefault="00D22CF6" w:rsidP="00D22CF6">
            <w:pPr>
              <w:ind w:left="313"/>
              <w:jc w:val="both"/>
            </w:pPr>
          </w:p>
          <w:p w14:paraId="07D128B5" w14:textId="77777777" w:rsidR="00D22CF6" w:rsidRPr="00B14496" w:rsidRDefault="00D22CF6" w:rsidP="00D22CF6">
            <w:pPr>
              <w:ind w:left="313"/>
              <w:jc w:val="both"/>
            </w:pPr>
            <w:r w:rsidRPr="00B14496">
              <w:t>Smernica Európskeho parlamentu a Rady 2014/90/EÚ z 23. júla 2014 o vybavení námorných lodí a o zrušení smernice Rady 96/98/ES (Ú. v. EÚ L 257, 28. 8. 2014) - gestor: Úrad pre normalizáciu, metrológiu a skúšobníctvo Slovenskej republiky a </w:t>
            </w:r>
            <w:proofErr w:type="spellStart"/>
            <w:r w:rsidRPr="00B14496">
              <w:t>spolugestor</w:t>
            </w:r>
            <w:proofErr w:type="spellEnd"/>
            <w:r w:rsidRPr="00B14496">
              <w:t xml:space="preserve"> Ministerstvo dopravy a výstavby Slovenskej republiky</w:t>
            </w:r>
          </w:p>
          <w:p w14:paraId="472F9D26" w14:textId="77777777" w:rsidR="00D22CF6" w:rsidRPr="00B14496" w:rsidRDefault="00D22CF6" w:rsidP="00D22CF6">
            <w:pPr>
              <w:tabs>
                <w:tab w:val="left" w:pos="360"/>
              </w:tabs>
              <w:ind w:left="313"/>
              <w:jc w:val="both"/>
            </w:pPr>
          </w:p>
          <w:p w14:paraId="08AC9B8A" w14:textId="77777777" w:rsidR="00D22CF6" w:rsidRPr="00B14496" w:rsidRDefault="00D22CF6" w:rsidP="00D22CF6">
            <w:pPr>
              <w:pStyle w:val="Odsekzoznamu"/>
              <w:widowControl w:val="0"/>
              <w:numPr>
                <w:ilvl w:val="0"/>
                <w:numId w:val="3"/>
              </w:numPr>
              <w:tabs>
                <w:tab w:val="left" w:pos="360"/>
              </w:tabs>
              <w:adjustRightInd w:val="0"/>
              <w:spacing w:after="0" w:line="240" w:lineRule="auto"/>
              <w:jc w:val="both"/>
              <w:rPr>
                <w:rFonts w:ascii="Times New Roman" w:hAnsi="Times New Roman" w:cs="Times New Roman"/>
                <w:sz w:val="24"/>
                <w:szCs w:val="24"/>
              </w:rPr>
            </w:pPr>
            <w:r w:rsidRPr="00B14496">
              <w:rPr>
                <w:rFonts w:ascii="Times New Roman" w:hAnsi="Times New Roman" w:cs="Times New Roman"/>
                <w:sz w:val="24"/>
                <w:szCs w:val="24"/>
              </w:rPr>
              <w:t>v judikatúre Súdneho dvora Európskej únie</w:t>
            </w:r>
          </w:p>
          <w:p w14:paraId="60D7C3B7" w14:textId="35BC6A2A" w:rsidR="00D22CF6" w:rsidRPr="00B14496" w:rsidRDefault="008906F3" w:rsidP="00D22CF6">
            <w:pPr>
              <w:pStyle w:val="Odsekzoznamu"/>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w:t>
            </w:r>
          </w:p>
        </w:tc>
      </w:tr>
    </w:tbl>
    <w:p w14:paraId="11471B00" w14:textId="77777777" w:rsidR="00B14496" w:rsidRDefault="00B14496">
      <w:pPr>
        <w:widowControl/>
        <w:adjustRightInd/>
        <w:spacing w:after="200" w:line="276" w:lineRule="auto"/>
        <w:rPr>
          <w:b/>
        </w:rPr>
      </w:pPr>
      <w:r>
        <w:rPr>
          <w:b/>
        </w:rPr>
        <w:lastRenderedPageBreak/>
        <w:br w:type="page"/>
      </w:r>
    </w:p>
    <w:p w14:paraId="0B196EDF" w14:textId="154849E2" w:rsidR="00D22CF6" w:rsidRPr="00BA2467" w:rsidRDefault="00D22CF6" w:rsidP="00D22CF6">
      <w:pPr>
        <w:tabs>
          <w:tab w:val="left" w:pos="360"/>
        </w:tabs>
        <w:jc w:val="both"/>
        <w:rPr>
          <w:b/>
        </w:rPr>
      </w:pPr>
      <w:r w:rsidRPr="00BA2467">
        <w:rPr>
          <w:b/>
        </w:rPr>
        <w:lastRenderedPageBreak/>
        <w:t xml:space="preserve">4. </w:t>
      </w:r>
      <w:r w:rsidRPr="00BA2467">
        <w:rPr>
          <w:b/>
        </w:rPr>
        <w:tab/>
        <w:t>Záväzky Slovenskej republiky vo vzťahu k Európskej únii:</w:t>
      </w:r>
    </w:p>
    <w:p w14:paraId="69BF0D98" w14:textId="77777777" w:rsidR="00D22CF6" w:rsidRPr="00B14496" w:rsidRDefault="00D22CF6" w:rsidP="00D22CF6">
      <w:pPr>
        <w:pStyle w:val="Odsekzoznamu"/>
        <w:widowControl w:val="0"/>
        <w:numPr>
          <w:ilvl w:val="0"/>
          <w:numId w:val="4"/>
        </w:numPr>
        <w:tabs>
          <w:tab w:val="left" w:pos="360"/>
        </w:tabs>
        <w:autoSpaceDE w:val="0"/>
        <w:autoSpaceDN w:val="0"/>
        <w:adjustRightInd w:val="0"/>
        <w:spacing w:after="0" w:line="240" w:lineRule="auto"/>
        <w:jc w:val="both"/>
        <w:rPr>
          <w:rFonts w:ascii="Times New Roman" w:hAnsi="Times New Roman" w:cs="Times New Roman"/>
          <w:b/>
          <w:sz w:val="24"/>
          <w:szCs w:val="24"/>
        </w:rPr>
      </w:pPr>
      <w:r w:rsidRPr="00B14496">
        <w:rPr>
          <w:rFonts w:ascii="Times New Roman" w:hAnsi="Times New Roman" w:cs="Times New Roman"/>
          <w:sz w:val="24"/>
          <w:szCs w:val="24"/>
        </w:rPr>
        <w:t>uviesť lehotu na prebranie príslušného právneho aktu Európskej únie, príp. aj osobitnú lehotu účinnosti jeho ustanovení</w:t>
      </w:r>
    </w:p>
    <w:p w14:paraId="07F0DE15" w14:textId="77777777" w:rsidR="00D22CF6" w:rsidRPr="00A65EB3" w:rsidRDefault="00D22CF6" w:rsidP="00B14496">
      <w:pPr>
        <w:ind w:left="709"/>
        <w:jc w:val="both"/>
      </w:pPr>
      <w:r w:rsidRPr="00A65EB3">
        <w:t>Nariadenie (EÚ) 2019/1020 sa uplatňuje sa od 16. júla 2021. Články 29, 30, 31, 32, 33 a 36 sa však uplatňujú od 1. januára 2021.</w:t>
      </w:r>
    </w:p>
    <w:p w14:paraId="3E847763" w14:textId="77777777" w:rsidR="00D22CF6" w:rsidRPr="00A65EB3" w:rsidRDefault="00D22CF6" w:rsidP="00B14496">
      <w:pPr>
        <w:ind w:left="709"/>
        <w:jc w:val="both"/>
      </w:pPr>
      <w:r w:rsidRPr="00A65EB3">
        <w:t>Nariadenie (EÚ) 2019/1009 sa uplatňuje sa od 16. júla 2022. Avšak:</w:t>
      </w:r>
    </w:p>
    <w:p w14:paraId="7AE4EDCC" w14:textId="77777777" w:rsidR="00D22CF6" w:rsidRPr="00A65EB3" w:rsidRDefault="00D22CF6" w:rsidP="00B14496">
      <w:pPr>
        <w:ind w:left="709"/>
        <w:jc w:val="both"/>
      </w:pPr>
      <w:r w:rsidRPr="00A65EB3">
        <w:t>a) článok 4 ods. 3 a články 14, 42, 43, 44, 45, 46 a 47 sa uplatňujú od 15. júla 2019; a</w:t>
      </w:r>
    </w:p>
    <w:p w14:paraId="3B83AD56" w14:textId="77777777" w:rsidR="00D22CF6" w:rsidRPr="00A65EB3" w:rsidRDefault="00D22CF6" w:rsidP="00B14496">
      <w:pPr>
        <w:ind w:left="709"/>
        <w:jc w:val="both"/>
      </w:pPr>
      <w:r w:rsidRPr="00A65EB3">
        <w:t>b) články 20 až 36 sa uplatňujú od 16. apríla 2020.</w:t>
      </w:r>
    </w:p>
    <w:p w14:paraId="47D3097A" w14:textId="77777777" w:rsidR="00D22CF6" w:rsidRPr="00A65EB3" w:rsidRDefault="00D22CF6" w:rsidP="00B14496">
      <w:pPr>
        <w:ind w:left="709"/>
        <w:jc w:val="both"/>
      </w:pPr>
      <w:r w:rsidRPr="00A65EB3">
        <w:t>Delegované nariadenie Komisie (EÚ) 2019/945 z 12. marca 2019 o bezpilotných leteckých systémoch a o prevádzkovateľoch bezpilotných leteckých systémov z tretích krajín (Ú. v. EÚ L 152, 11.6.2019) nadobúda účinnosť dvadsiatym dňom po jeho uverejnení v Úradnom vestníku Európskej únie.</w:t>
      </w:r>
    </w:p>
    <w:p w14:paraId="7C4FB260" w14:textId="77777777" w:rsidR="00D22CF6" w:rsidRPr="00A65EB3" w:rsidRDefault="00D22CF6" w:rsidP="00B14496">
      <w:pPr>
        <w:ind w:left="709"/>
        <w:jc w:val="both"/>
      </w:pPr>
      <w:r w:rsidRPr="00A65EB3">
        <w:t xml:space="preserve">Do 21. októbra 2016 pre články 22 až 38 a článok 44 nariadenia (EÚ) 2016/424, ostatné ustanovenia sa uplatňujú od 21. apríla 2018, </w:t>
      </w:r>
    </w:p>
    <w:p w14:paraId="187B0B48" w14:textId="77777777" w:rsidR="00D22CF6" w:rsidRPr="00A65EB3" w:rsidRDefault="00D22CF6" w:rsidP="00B14496">
      <w:pPr>
        <w:ind w:left="709"/>
        <w:jc w:val="both"/>
      </w:pPr>
      <w:r w:rsidRPr="00A65EB3">
        <w:t xml:space="preserve">Do 21. októbra 2016 pre články 20 až 36 a článok 44 nariadenia (EÚ) 2016/425, ostatné ustanovenia sa uplatňujú od 21. apríla 2018, </w:t>
      </w:r>
    </w:p>
    <w:p w14:paraId="436C8D1E" w14:textId="77777777" w:rsidR="00D22CF6" w:rsidRPr="00A65EB3" w:rsidRDefault="00D22CF6" w:rsidP="00B14496">
      <w:pPr>
        <w:ind w:left="709"/>
        <w:jc w:val="both"/>
      </w:pPr>
      <w:r w:rsidRPr="00A65EB3">
        <w:t xml:space="preserve">Do 21. októbra 2016 pre články 4, 19 až 35, článok 42 a prílohu II nariadenia (EÚ) 2016/426, článok 43 ods. 1 sa uplatňuje od 21. marca 2018, ostatné ustanovenia sa uplatňujú od 21. apríla 2018, </w:t>
      </w:r>
    </w:p>
    <w:p w14:paraId="366E8813" w14:textId="115A07EC" w:rsidR="00D22CF6" w:rsidRPr="00A65EB3" w:rsidRDefault="00D22CF6" w:rsidP="00B14496">
      <w:pPr>
        <w:ind w:left="709"/>
        <w:jc w:val="both"/>
      </w:pPr>
      <w:r w:rsidRPr="00A65EB3">
        <w:t>Články 35 až 50 sa uplatňujú od 26. novembra 2017. Povinnosti notifikovaných osôb podľa článkov 35 až 50 sa však uplatňujú od uvedeného dátumu do 26. mája 2020 len v</w:t>
      </w:r>
      <w:r w:rsidR="008906F3">
        <w:t> </w:t>
      </w:r>
      <w:r w:rsidRPr="00A65EB3">
        <w:t>prípade</w:t>
      </w:r>
      <w:r w:rsidR="008906F3">
        <w:t xml:space="preserve"> </w:t>
      </w:r>
      <w:r w:rsidRPr="00A65EB3">
        <w:t>tých osôb, ktoré predložili žiadosť o autorizáciu v súlade s článkom 38; články 101 a 103 sa uplatňujú od 26. novembra 2017; článok 102 sa uplatňuje od 26. mája 2018 nariadenia (EÚ) 2017/745, ostatné ustanovenia sa uplatňujú od 26. mája 2020,</w:t>
      </w:r>
    </w:p>
    <w:p w14:paraId="49670204" w14:textId="31961417" w:rsidR="00D22CF6" w:rsidRPr="00A65EB3" w:rsidRDefault="00D22CF6" w:rsidP="00B14496">
      <w:pPr>
        <w:ind w:left="709"/>
        <w:jc w:val="both"/>
      </w:pPr>
      <w:r w:rsidRPr="00A65EB3">
        <w:t>Článok 27 ods. 3 a článok 51 ods. 5 sa uplatňujú od 27. novembra 2023; články 31 až 46 a</w:t>
      </w:r>
      <w:r>
        <w:t> </w:t>
      </w:r>
      <w:r w:rsidRPr="00A65EB3">
        <w:t>článok</w:t>
      </w:r>
      <w:r>
        <w:t xml:space="preserve"> </w:t>
      </w:r>
      <w:r w:rsidRPr="00A65EB3">
        <w:t>96 sa uplatňujú od 26. novembra 2017. Povinnosti notifikovaných osôb podľa článkov 31 až 46 sa však uplatňujú od uvedeného dátumu do 26. mája 2022 len v</w:t>
      </w:r>
      <w:r w:rsidR="008906F3">
        <w:t> </w:t>
      </w:r>
      <w:r w:rsidRPr="00A65EB3">
        <w:t>prípade</w:t>
      </w:r>
      <w:r w:rsidR="008906F3">
        <w:t xml:space="preserve"> </w:t>
      </w:r>
      <w:r w:rsidRPr="00A65EB3">
        <w:t>tých osôb, ktoré predložili žiadosť o autorizáciu v súlade s článkom 34 tohto nariadenia; článok 97 sa uplatňuje od 26. mája 2018; článok 100 sa uplatňuje od 25.</w:t>
      </w:r>
      <w:r w:rsidR="008906F3">
        <w:t> </w:t>
      </w:r>
      <w:r w:rsidRPr="00A65EB3">
        <w:t>novembra 2020; V prípade pomôcok triedy D sa článok 24 ods. 4 uplatňuje od 26.</w:t>
      </w:r>
      <w:r w:rsidR="008906F3">
        <w:t> </w:t>
      </w:r>
      <w:r w:rsidRPr="00A65EB3">
        <w:t>mája 2023. V prípade pomôcok triedy B a C sa článok 24 ods. 4 uplatňuje od 26.</w:t>
      </w:r>
      <w:r w:rsidR="008906F3">
        <w:t> </w:t>
      </w:r>
      <w:r w:rsidRPr="00A65EB3">
        <w:t>mája 2025. V prípade pomôcok triedy A sa článok 24 ods. 4 uplatňuje od 26.</w:t>
      </w:r>
      <w:r w:rsidR="008906F3">
        <w:t> </w:t>
      </w:r>
      <w:r w:rsidRPr="00A65EB3">
        <w:t>mája</w:t>
      </w:r>
      <w:r w:rsidR="008906F3">
        <w:t> </w:t>
      </w:r>
      <w:r w:rsidRPr="00A65EB3">
        <w:t>2027 nariadenia (EÚ) 2017/746, ostatné ustanovenia sa uplatňujú od 26. mája 2022.</w:t>
      </w:r>
    </w:p>
    <w:p w14:paraId="0FC52760" w14:textId="77777777" w:rsidR="00D22CF6" w:rsidRPr="00A65EB3" w:rsidRDefault="00D22CF6" w:rsidP="00B14496">
      <w:pPr>
        <w:tabs>
          <w:tab w:val="left" w:pos="360"/>
        </w:tabs>
        <w:ind w:left="709"/>
        <w:jc w:val="both"/>
      </w:pPr>
      <w:r>
        <w:t>D</w:t>
      </w:r>
      <w:r w:rsidRPr="00A65EB3">
        <w:t>o 1. januára 2010 pri nariadení 765/2008/ES.</w:t>
      </w:r>
    </w:p>
    <w:p w14:paraId="19845223" w14:textId="77777777" w:rsidR="00D22CF6" w:rsidRPr="00B14496" w:rsidRDefault="00D22CF6" w:rsidP="00D22CF6">
      <w:pPr>
        <w:tabs>
          <w:tab w:val="left" w:pos="360"/>
        </w:tabs>
        <w:jc w:val="both"/>
        <w:rPr>
          <w:b/>
        </w:rPr>
      </w:pPr>
    </w:p>
    <w:p w14:paraId="044FCE67" w14:textId="6B924483" w:rsidR="00D22CF6" w:rsidRPr="00D22CF6" w:rsidRDefault="00D22CF6" w:rsidP="00D22CF6">
      <w:pPr>
        <w:pStyle w:val="Odsekzoznamu"/>
        <w:widowControl w:val="0"/>
        <w:numPr>
          <w:ilvl w:val="0"/>
          <w:numId w:val="4"/>
        </w:numPr>
        <w:tabs>
          <w:tab w:val="left" w:pos="360"/>
        </w:tabs>
        <w:autoSpaceDE w:val="0"/>
        <w:autoSpaceDN w:val="0"/>
        <w:adjustRightInd w:val="0"/>
        <w:spacing w:after="0" w:line="240" w:lineRule="auto"/>
        <w:jc w:val="both"/>
        <w:rPr>
          <w:rFonts w:ascii="Times New Roman" w:hAnsi="Times New Roman" w:cs="Times New Roman"/>
          <w:b/>
          <w:sz w:val="24"/>
          <w:szCs w:val="24"/>
        </w:rPr>
      </w:pPr>
      <w:r w:rsidRPr="00D22CF6">
        <w:rPr>
          <w:rFonts w:ascii="Times New Roman" w:hAnsi="Times New Roman" w:cs="Times New Roman"/>
          <w:sz w:val="24"/>
          <w:szCs w:val="24"/>
        </w:rPr>
        <w:t xml:space="preserve">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w:t>
      </w:r>
      <w:r w:rsidR="002F69ED">
        <w:rPr>
          <w:rFonts w:ascii="Times New Roman" w:hAnsi="Times New Roman" w:cs="Times New Roman"/>
          <w:sz w:val="24"/>
          <w:szCs w:val="24"/>
        </w:rPr>
        <w:t>č. </w:t>
      </w:r>
      <w:r w:rsidRPr="00D22CF6">
        <w:rPr>
          <w:rFonts w:ascii="Times New Roman" w:hAnsi="Times New Roman" w:cs="Times New Roman"/>
          <w:sz w:val="24"/>
          <w:szCs w:val="24"/>
        </w:rPr>
        <w:t>1049/2001 z</w:t>
      </w:r>
      <w:r w:rsidR="008906F3">
        <w:rPr>
          <w:rFonts w:ascii="Times New Roman" w:hAnsi="Times New Roman" w:cs="Times New Roman"/>
          <w:sz w:val="24"/>
          <w:szCs w:val="24"/>
        </w:rPr>
        <w:t> </w:t>
      </w:r>
      <w:r w:rsidRPr="00D22CF6">
        <w:rPr>
          <w:rFonts w:ascii="Times New Roman" w:hAnsi="Times New Roman" w:cs="Times New Roman"/>
          <w:sz w:val="24"/>
          <w:szCs w:val="24"/>
        </w:rPr>
        <w:t>30.</w:t>
      </w:r>
      <w:r w:rsidR="008906F3">
        <w:rPr>
          <w:rFonts w:ascii="Times New Roman" w:hAnsi="Times New Roman" w:cs="Times New Roman"/>
          <w:sz w:val="24"/>
          <w:szCs w:val="24"/>
        </w:rPr>
        <w:t> </w:t>
      </w:r>
      <w:r w:rsidRPr="00D22CF6">
        <w:rPr>
          <w:rFonts w:ascii="Times New Roman" w:hAnsi="Times New Roman" w:cs="Times New Roman"/>
          <w:sz w:val="24"/>
          <w:szCs w:val="24"/>
        </w:rPr>
        <w:t>mája</w:t>
      </w:r>
      <w:r w:rsidR="008906F3">
        <w:rPr>
          <w:rFonts w:ascii="Times New Roman" w:hAnsi="Times New Roman" w:cs="Times New Roman"/>
          <w:sz w:val="24"/>
          <w:szCs w:val="24"/>
        </w:rPr>
        <w:t> </w:t>
      </w:r>
      <w:r w:rsidRPr="00D22CF6">
        <w:rPr>
          <w:rFonts w:ascii="Times New Roman" w:hAnsi="Times New Roman" w:cs="Times New Roman"/>
          <w:sz w:val="24"/>
          <w:szCs w:val="24"/>
        </w:rPr>
        <w:t>2001 o prístupe verejnosti k dokumentom Európskeho parlamentu, Rady a Komisie</w:t>
      </w:r>
    </w:p>
    <w:p w14:paraId="20C4FFC8" w14:textId="77777777" w:rsidR="00D22CF6" w:rsidRPr="00D22CF6" w:rsidRDefault="00D22CF6" w:rsidP="00D22CF6">
      <w:pPr>
        <w:pStyle w:val="Odsekzoznamu"/>
        <w:tabs>
          <w:tab w:val="left" w:pos="360"/>
        </w:tabs>
        <w:ind w:left="360"/>
        <w:jc w:val="both"/>
        <w:rPr>
          <w:rFonts w:ascii="Times New Roman" w:hAnsi="Times New Roman" w:cs="Times New Roman"/>
          <w:sz w:val="24"/>
          <w:szCs w:val="24"/>
        </w:rPr>
      </w:pPr>
      <w:r w:rsidRPr="00D22CF6">
        <w:rPr>
          <w:rFonts w:ascii="Times New Roman" w:hAnsi="Times New Roman" w:cs="Times New Roman"/>
          <w:i/>
          <w:sz w:val="24"/>
          <w:szCs w:val="24"/>
        </w:rPr>
        <w:tab/>
      </w:r>
      <w:r w:rsidRPr="00D22CF6">
        <w:rPr>
          <w:rFonts w:ascii="Times New Roman" w:hAnsi="Times New Roman" w:cs="Times New Roman"/>
          <w:sz w:val="24"/>
          <w:szCs w:val="24"/>
        </w:rPr>
        <w:t>konanie nebolo začaté</w:t>
      </w:r>
    </w:p>
    <w:p w14:paraId="409551D4" w14:textId="77777777" w:rsidR="00D22CF6" w:rsidRPr="00D22CF6" w:rsidRDefault="00D22CF6" w:rsidP="00D22CF6">
      <w:pPr>
        <w:pStyle w:val="Odsekzoznamu"/>
        <w:tabs>
          <w:tab w:val="left" w:pos="360"/>
        </w:tabs>
        <w:ind w:left="360"/>
        <w:jc w:val="both"/>
        <w:rPr>
          <w:rFonts w:ascii="Times New Roman" w:hAnsi="Times New Roman" w:cs="Times New Roman"/>
          <w:i/>
          <w:sz w:val="24"/>
          <w:szCs w:val="24"/>
        </w:rPr>
      </w:pPr>
    </w:p>
    <w:p w14:paraId="3B71185E" w14:textId="77777777" w:rsidR="00D22CF6" w:rsidRPr="00D22CF6" w:rsidRDefault="00D22CF6" w:rsidP="00D22CF6">
      <w:pPr>
        <w:pStyle w:val="Odsekzoznamu"/>
        <w:widowControl w:val="0"/>
        <w:numPr>
          <w:ilvl w:val="0"/>
          <w:numId w:val="4"/>
        </w:numPr>
        <w:tabs>
          <w:tab w:val="left" w:pos="360"/>
        </w:tabs>
        <w:autoSpaceDE w:val="0"/>
        <w:autoSpaceDN w:val="0"/>
        <w:adjustRightInd w:val="0"/>
        <w:spacing w:after="0" w:line="240" w:lineRule="auto"/>
        <w:jc w:val="both"/>
        <w:rPr>
          <w:rFonts w:ascii="Times New Roman" w:hAnsi="Times New Roman" w:cs="Times New Roman"/>
          <w:b/>
          <w:sz w:val="24"/>
          <w:szCs w:val="24"/>
        </w:rPr>
      </w:pPr>
      <w:r w:rsidRPr="00D22CF6">
        <w:rPr>
          <w:rFonts w:ascii="Times New Roman" w:hAnsi="Times New Roman" w:cs="Times New Roman"/>
          <w:sz w:val="24"/>
          <w:szCs w:val="24"/>
        </w:rPr>
        <w:t>uviesť informáciu o právnych predpisoch, v ktorých sú uvádzané právne akty Európskej únie už prebrané, spolu s uvedením rozsahu ich prebrania, príp. potreby prijatia ďalších úprav</w:t>
      </w:r>
    </w:p>
    <w:p w14:paraId="06AB9E91" w14:textId="06C2C75D" w:rsidR="00D22CF6" w:rsidRPr="00A65EB3" w:rsidRDefault="00D22CF6" w:rsidP="00B14496">
      <w:pPr>
        <w:ind w:left="709"/>
        <w:jc w:val="both"/>
      </w:pPr>
      <w:r>
        <w:t>Nariadenie</w:t>
      </w:r>
      <w:r w:rsidRPr="00A65EB3">
        <w:t xml:space="preserve"> vlády Slovenskej republiky </w:t>
      </w:r>
      <w:r w:rsidR="002F69ED">
        <w:t>č. </w:t>
      </w:r>
      <w:r w:rsidRPr="00A65EB3">
        <w:t xml:space="preserve">70/2015 </w:t>
      </w:r>
      <w:r w:rsidR="002F69ED">
        <w:t>Z. z.</w:t>
      </w:r>
      <w:r w:rsidRPr="00A65EB3">
        <w:t xml:space="preserve"> o sprístupňovaní pyrotechni</w:t>
      </w:r>
      <w:r>
        <w:t>ckých výrobkov na trhu, ktoré transponuje smernicu</w:t>
      </w:r>
      <w:r w:rsidRPr="00A65EB3">
        <w:t xml:space="preserve"> Európskeho parlamentu </w:t>
      </w:r>
      <w:r w:rsidRPr="00A65EB3">
        <w:lastRenderedPageBreak/>
        <w:t>a Rady 2013/29/EÚ z 12. júna 2013 o harmonizácii zákonov členských štátov týkajúcich sa sprístupňovania pyrotechnických výrobkov na trhu (prepracované znenie</w:t>
      </w:r>
      <w:r>
        <w:t>) (Ú. v. EÚ L 178, 28. 6. 2013).</w:t>
      </w:r>
    </w:p>
    <w:p w14:paraId="00EEE0BE" w14:textId="7BE67C7C" w:rsidR="00D22CF6" w:rsidRPr="00A65EB3" w:rsidRDefault="00D22CF6" w:rsidP="00B14496">
      <w:pPr>
        <w:ind w:left="709"/>
        <w:jc w:val="both"/>
      </w:pPr>
      <w:r>
        <w:t>Nariadenie</w:t>
      </w:r>
      <w:r w:rsidRPr="00A65EB3">
        <w:t xml:space="preserve"> vlády Slovenskej republiky </w:t>
      </w:r>
      <w:r w:rsidR="002F69ED">
        <w:t>č. </w:t>
      </w:r>
      <w:r w:rsidRPr="00A65EB3">
        <w:t xml:space="preserve">77/2016 </w:t>
      </w:r>
      <w:r w:rsidR="002F69ED">
        <w:t>Z. z.</w:t>
      </w:r>
      <w:r w:rsidRPr="00A65EB3">
        <w:t xml:space="preserve"> o sprístupňovaní rekreačných plavidiel a vodných skútrov na trhu</w:t>
      </w:r>
      <w:r>
        <w:t>, ktoré</w:t>
      </w:r>
      <w:r w:rsidRPr="00A65EB3">
        <w:t xml:space="preserve"> </w:t>
      </w:r>
      <w:r>
        <w:t>transponuje</w:t>
      </w:r>
      <w:r w:rsidRPr="00A65EB3">
        <w:t xml:space="preserve"> </w:t>
      </w:r>
      <w:r>
        <w:t>smernicu</w:t>
      </w:r>
      <w:r w:rsidRPr="00A65EB3">
        <w:t xml:space="preserve"> Európskeho parlamentu a</w:t>
      </w:r>
      <w:r>
        <w:t> </w:t>
      </w:r>
      <w:r w:rsidRPr="00A65EB3">
        <w:t>Rady</w:t>
      </w:r>
      <w:r>
        <w:t xml:space="preserve"> </w:t>
      </w:r>
      <w:r w:rsidRPr="00A65EB3">
        <w:t>2013/53/EÚ z 20. novembra 2013 o rekreačných plavidlách a vodných skútroch a</w:t>
      </w:r>
      <w:r>
        <w:t> </w:t>
      </w:r>
      <w:r w:rsidRPr="00A65EB3">
        <w:t>o</w:t>
      </w:r>
      <w:r>
        <w:t> </w:t>
      </w:r>
      <w:r w:rsidRPr="00A65EB3">
        <w:t>zrušení</w:t>
      </w:r>
      <w:r>
        <w:t xml:space="preserve"> </w:t>
      </w:r>
      <w:r w:rsidRPr="00A65EB3">
        <w:t>smernice 94/25/ES (Ú. v. EÚ L 354, 28. 12. 2013).</w:t>
      </w:r>
    </w:p>
    <w:p w14:paraId="6730981C" w14:textId="007153B5" w:rsidR="00D22CF6" w:rsidRPr="00A65EB3" w:rsidRDefault="00D22CF6" w:rsidP="00B14496">
      <w:pPr>
        <w:ind w:left="709"/>
        <w:jc w:val="both"/>
      </w:pPr>
      <w:r>
        <w:t>Nariadenie</w:t>
      </w:r>
      <w:r w:rsidRPr="00A65EB3">
        <w:t xml:space="preserve"> vlády Slovenskej republiky </w:t>
      </w:r>
      <w:r w:rsidR="002F69ED">
        <w:t>č. </w:t>
      </w:r>
      <w:r w:rsidRPr="00A65EB3">
        <w:t xml:space="preserve">131/2016 </w:t>
      </w:r>
      <w:r w:rsidR="002F69ED">
        <w:t>Z. z.</w:t>
      </w:r>
      <w:r w:rsidRPr="00A65EB3">
        <w:t xml:space="preserve"> o sprístupňovaní výbušnín na civilné použitie na trhu</w:t>
      </w:r>
      <w:r>
        <w:t>, ktoré</w:t>
      </w:r>
      <w:r w:rsidRPr="00A65EB3">
        <w:t xml:space="preserve"> </w:t>
      </w:r>
      <w:r>
        <w:t>transponuje</w:t>
      </w:r>
      <w:r w:rsidRPr="00A65EB3">
        <w:t xml:space="preserve"> </w:t>
      </w:r>
      <w:r>
        <w:t>smernicu</w:t>
      </w:r>
      <w:r w:rsidRPr="00A65EB3">
        <w:t xml:space="preserve"> Európskeho parlamentu a Rady 2014/28/EÚ z 26. februára 2014 o harmonizácii právnych predpisov členských štátov týkajúcich sa sprístupňovania výbušnín na civilné použitie na trhu a ich kontroly (prepracované znenie) (Ú. v. EÚ L 96, 29. 3. 2014).</w:t>
      </w:r>
    </w:p>
    <w:p w14:paraId="4E486820" w14:textId="16A4FA4F" w:rsidR="00D22CF6" w:rsidRPr="00A65EB3" w:rsidRDefault="00D22CF6" w:rsidP="00B14496">
      <w:pPr>
        <w:ind w:left="709"/>
        <w:jc w:val="both"/>
      </w:pPr>
      <w:r>
        <w:t>Nariadenie</w:t>
      </w:r>
      <w:r w:rsidRPr="00A65EB3">
        <w:t xml:space="preserve"> vlády Slovenskej republiky </w:t>
      </w:r>
      <w:r w:rsidR="002F69ED">
        <w:t>č. </w:t>
      </w:r>
      <w:r w:rsidRPr="00A65EB3">
        <w:t xml:space="preserve">234/2015 </w:t>
      </w:r>
      <w:r w:rsidR="002F69ED">
        <w:t>Z. z.</w:t>
      </w:r>
      <w:r w:rsidRPr="00A65EB3">
        <w:t xml:space="preserve"> o sprístupňovaní jednoduchých tlakových nádob na trhu</w:t>
      </w:r>
      <w:r>
        <w:t>,</w:t>
      </w:r>
      <w:r w:rsidRPr="00800F94">
        <w:t xml:space="preserve"> </w:t>
      </w:r>
      <w:r>
        <w:t>ktoré</w:t>
      </w:r>
      <w:r w:rsidRPr="00A65EB3">
        <w:t xml:space="preserve"> </w:t>
      </w:r>
      <w:r>
        <w:t>transponuje</w:t>
      </w:r>
      <w:r w:rsidRPr="00A65EB3">
        <w:t xml:space="preserve"> </w:t>
      </w:r>
      <w:r>
        <w:t>smernicu</w:t>
      </w:r>
      <w:r w:rsidRPr="00A65EB3">
        <w:t xml:space="preserve"> Európskeho parlamentu a Rady 2014/29/EÚ z 26. februára 2014 o harmonizácii právnych predpisov členských štátov týkajúcich sa sprístupnenia jednoduchých tlakových nádob na trhu (prepracované znenie) (Ú. v. EÚ L 96, 29. 3. 2014).</w:t>
      </w:r>
    </w:p>
    <w:p w14:paraId="4ACF85E4" w14:textId="249EF031" w:rsidR="00D22CF6" w:rsidRPr="00A65EB3" w:rsidRDefault="00D22CF6" w:rsidP="00B14496">
      <w:pPr>
        <w:ind w:left="709"/>
        <w:jc w:val="both"/>
      </w:pPr>
      <w:r>
        <w:t>Nariadenie</w:t>
      </w:r>
      <w:r w:rsidRPr="00A65EB3">
        <w:t xml:space="preserve"> vlády Slovenskej republiky </w:t>
      </w:r>
      <w:r w:rsidR="002F69ED">
        <w:t>č. </w:t>
      </w:r>
      <w:r w:rsidRPr="00A65EB3">
        <w:t xml:space="preserve">127/2016 </w:t>
      </w:r>
      <w:r w:rsidR="002F69ED">
        <w:t>Z. z.</w:t>
      </w:r>
      <w:r w:rsidRPr="00A65EB3">
        <w:t xml:space="preserve"> o elektromagnetickej kompatibilite</w:t>
      </w:r>
      <w:r>
        <w:t>,</w:t>
      </w:r>
      <w:r w:rsidRPr="00A65EB3">
        <w:t xml:space="preserve"> </w:t>
      </w:r>
      <w:r>
        <w:t>ktoré</w:t>
      </w:r>
      <w:r w:rsidRPr="00A65EB3">
        <w:t xml:space="preserve"> </w:t>
      </w:r>
      <w:r>
        <w:t>transponuje</w:t>
      </w:r>
      <w:r w:rsidRPr="00A65EB3">
        <w:t xml:space="preserve"> </w:t>
      </w:r>
      <w:r>
        <w:t>smernicu</w:t>
      </w:r>
      <w:r w:rsidRPr="00A65EB3">
        <w:t xml:space="preserve"> Európskeho parlamentu a Rady 2014/30/EÚ z</w:t>
      </w:r>
      <w:r>
        <w:t> </w:t>
      </w:r>
      <w:r w:rsidRPr="00A65EB3">
        <w:t>26. februára 2014 o harmonizácii právnych predpisov členských štátov vzťahujúcich sa na elektromagnetickú kompatibilitu (prepracované znenie) (Ú. v. EÚ L 96, 29.</w:t>
      </w:r>
      <w:r w:rsidR="008906F3">
        <w:t> </w:t>
      </w:r>
      <w:r w:rsidRPr="00A65EB3">
        <w:t>3.</w:t>
      </w:r>
      <w:r w:rsidR="008906F3">
        <w:t> </w:t>
      </w:r>
      <w:r w:rsidRPr="00A65EB3">
        <w:t>2014).</w:t>
      </w:r>
    </w:p>
    <w:p w14:paraId="165055BF" w14:textId="52235AFA" w:rsidR="00D22CF6" w:rsidRPr="00A65EB3" w:rsidRDefault="00D22CF6" w:rsidP="00B14496">
      <w:pPr>
        <w:ind w:left="709"/>
        <w:jc w:val="both"/>
      </w:pPr>
      <w:r>
        <w:t>Nariadenie</w:t>
      </w:r>
      <w:r w:rsidRPr="00A65EB3">
        <w:t xml:space="preserve"> vlády Slovenskej republiky </w:t>
      </w:r>
      <w:r w:rsidR="002F69ED">
        <w:t>č. </w:t>
      </w:r>
      <w:r w:rsidRPr="00A65EB3">
        <w:t xml:space="preserve">126/2016 </w:t>
      </w:r>
      <w:r w:rsidR="002F69ED">
        <w:t>Z. z.</w:t>
      </w:r>
      <w:r w:rsidRPr="00A65EB3">
        <w:t xml:space="preserve"> o sprístupňovaní váh s</w:t>
      </w:r>
      <w:r>
        <w:t> </w:t>
      </w:r>
      <w:r w:rsidRPr="00A65EB3">
        <w:t>neautomatickou</w:t>
      </w:r>
      <w:r>
        <w:t xml:space="preserve"> </w:t>
      </w:r>
      <w:r w:rsidRPr="00A65EB3">
        <w:t>činnosťou na trhu</w:t>
      </w:r>
      <w:r>
        <w:t>, ktoré</w:t>
      </w:r>
      <w:r w:rsidRPr="00A65EB3">
        <w:t xml:space="preserve"> </w:t>
      </w:r>
      <w:r>
        <w:t>transponuje</w:t>
      </w:r>
      <w:r w:rsidRPr="00A65EB3">
        <w:t xml:space="preserve"> </w:t>
      </w:r>
      <w:r>
        <w:t xml:space="preserve">smernicu </w:t>
      </w:r>
      <w:r w:rsidRPr="00A65EB3">
        <w:t>Európskeho parlamentu a</w:t>
      </w:r>
      <w:r>
        <w:t> </w:t>
      </w:r>
      <w:r w:rsidRPr="00A65EB3">
        <w:t>Rady</w:t>
      </w:r>
      <w:r>
        <w:t xml:space="preserve"> </w:t>
      </w:r>
      <w:r w:rsidRPr="00A65EB3">
        <w:t>2014/31/EÚ z 26. februára 2014 o harmonizácii právnych predpisov členských štátov týkajúcich sa sprístupňovania váh s neautomatickou činnosťou na trhu (prepracované znenie) (Ú. v. EÚ L 96, 29. 3. 2014).</w:t>
      </w:r>
    </w:p>
    <w:p w14:paraId="22F632AA" w14:textId="69402794" w:rsidR="00D22CF6" w:rsidRPr="00A65EB3" w:rsidRDefault="00D22CF6" w:rsidP="00B14496">
      <w:pPr>
        <w:ind w:left="709"/>
        <w:jc w:val="both"/>
      </w:pPr>
      <w:r>
        <w:t>Nariadenie</w:t>
      </w:r>
      <w:r w:rsidRPr="00A65EB3">
        <w:t xml:space="preserve"> vlády Slovenskej republiky č.145/2016 </w:t>
      </w:r>
      <w:r w:rsidR="002F69ED">
        <w:t>Z. z.</w:t>
      </w:r>
      <w:r w:rsidRPr="00A65EB3">
        <w:t xml:space="preserve"> o sprístupňovaní meradiel na trhu</w:t>
      </w:r>
      <w:r>
        <w:t>, ktoré</w:t>
      </w:r>
      <w:r w:rsidRPr="00A65EB3">
        <w:t xml:space="preserve"> </w:t>
      </w:r>
      <w:r>
        <w:t>transponuje</w:t>
      </w:r>
      <w:r w:rsidRPr="00A65EB3">
        <w:t xml:space="preserve"> </w:t>
      </w:r>
      <w:r>
        <w:t>smernicu</w:t>
      </w:r>
      <w:r w:rsidRPr="00A65EB3">
        <w:t xml:space="preserve"> Európskeho parlamentu a Rady 2014/32/EÚ z</w:t>
      </w:r>
      <w:r w:rsidR="008906F3">
        <w:t> </w:t>
      </w:r>
      <w:r w:rsidRPr="00A65EB3">
        <w:t>26.</w:t>
      </w:r>
      <w:r w:rsidR="008906F3">
        <w:t> </w:t>
      </w:r>
      <w:r w:rsidRPr="00A65EB3">
        <w:t>februára 2014 o harmonizácii právnych predpisov členských štátov týkajúcich sa sprístupnenia meradiel na trhu (Ú. v. EÚ L 96, 29. 3. 2014) v znení Delegovanej smernice Komisie (EÚ) 2015/13 z 31. októbra 2014, ktorou sa mení príloha III k</w:t>
      </w:r>
      <w:r w:rsidR="008906F3">
        <w:t> </w:t>
      </w:r>
      <w:r w:rsidRPr="00A65EB3">
        <w:t>smernici</w:t>
      </w:r>
      <w:r w:rsidR="008906F3">
        <w:t xml:space="preserve"> </w:t>
      </w:r>
      <w:r w:rsidRPr="00A65EB3">
        <w:t xml:space="preserve">Európskeho parlamentu a Rady 2014/32/EÚ, pokiaľ ide o rozsah prietoku vodomerov (Ú. v. EÚ L 3, 7. 1. 2015). </w:t>
      </w:r>
    </w:p>
    <w:p w14:paraId="5A027906" w14:textId="38FAA4C1" w:rsidR="00D22CF6" w:rsidRPr="00A65EB3" w:rsidRDefault="00D22CF6" w:rsidP="00B14496">
      <w:pPr>
        <w:ind w:left="709"/>
        <w:jc w:val="both"/>
      </w:pPr>
      <w:r>
        <w:t>Nariadenie</w:t>
      </w:r>
      <w:r w:rsidRPr="00A65EB3">
        <w:t xml:space="preserve"> vlády Slovenskej republiky </w:t>
      </w:r>
      <w:r w:rsidR="002F69ED">
        <w:t>č. </w:t>
      </w:r>
      <w:r w:rsidRPr="00A65EB3">
        <w:t xml:space="preserve">235/2015 </w:t>
      </w:r>
      <w:r w:rsidR="002F69ED">
        <w:t>Z. z.</w:t>
      </w:r>
      <w:r w:rsidRPr="00A65EB3">
        <w:t xml:space="preserve"> o uvádzaní výťahov na trh a</w:t>
      </w:r>
      <w:r>
        <w:t> </w:t>
      </w:r>
      <w:r w:rsidRPr="00A65EB3">
        <w:t>sprístupňovaní</w:t>
      </w:r>
      <w:r>
        <w:t xml:space="preserve"> </w:t>
      </w:r>
      <w:r w:rsidRPr="00A65EB3">
        <w:t>bezpečnostných častí do výťahov na trhu</w:t>
      </w:r>
      <w:r>
        <w:t>, ktoré</w:t>
      </w:r>
      <w:r w:rsidRPr="00A65EB3">
        <w:t xml:space="preserve"> </w:t>
      </w:r>
      <w:r>
        <w:t>transponuje</w:t>
      </w:r>
      <w:r w:rsidRPr="00A65EB3">
        <w:t xml:space="preserve"> </w:t>
      </w:r>
      <w:r>
        <w:t>smernicu</w:t>
      </w:r>
      <w:r w:rsidRPr="00A65EB3">
        <w:t xml:space="preserve"> Európskeho parlamentu a Rady 2014/33/EÚ z 26. februára 2014 o harmonizácii právnych predpisov členských štátov týkajúcich sa výťahov a bezpečnostných komponentov do výťahov (prepracované znenie) (Ú. v. EÚ L 96, 29. 3. 2014).</w:t>
      </w:r>
    </w:p>
    <w:p w14:paraId="2BE9D025" w14:textId="7966C2F7" w:rsidR="00D22CF6" w:rsidRPr="00A65EB3" w:rsidRDefault="00D22CF6" w:rsidP="00B14496">
      <w:pPr>
        <w:ind w:left="709"/>
        <w:jc w:val="both"/>
      </w:pPr>
      <w:r>
        <w:t xml:space="preserve"> Nariadenie</w:t>
      </w:r>
      <w:r w:rsidRPr="00A65EB3">
        <w:t xml:space="preserve"> vlády Slovenskej republiky </w:t>
      </w:r>
      <w:r w:rsidR="002F69ED">
        <w:t>č. </w:t>
      </w:r>
      <w:r w:rsidRPr="00A65EB3">
        <w:t xml:space="preserve">149/2016 </w:t>
      </w:r>
      <w:r w:rsidR="002F69ED">
        <w:t>Z. z.</w:t>
      </w:r>
      <w:r w:rsidRPr="00A65EB3">
        <w:t xml:space="preserve"> o zariadeniach a ochranných systémoch určených na použitie v prostredí s nebezpečenstvom výbuchu</w:t>
      </w:r>
      <w:r>
        <w:t>, ktoré</w:t>
      </w:r>
      <w:r w:rsidRPr="00A65EB3">
        <w:t xml:space="preserve"> </w:t>
      </w:r>
      <w:r>
        <w:t>transponuje</w:t>
      </w:r>
      <w:r w:rsidRPr="00A65EB3">
        <w:t xml:space="preserve"> </w:t>
      </w:r>
      <w:r>
        <w:t>smernicu</w:t>
      </w:r>
      <w:r w:rsidRPr="00A65EB3">
        <w:t xml:space="preserve"> Európskeho parlamentu a Rady 2014/34/EÚ z 26. februára 2014 o</w:t>
      </w:r>
      <w:r w:rsidR="008906F3">
        <w:t> </w:t>
      </w:r>
      <w:r w:rsidRPr="00A65EB3">
        <w:t>harmonizácii</w:t>
      </w:r>
      <w:r w:rsidR="008906F3">
        <w:t xml:space="preserve"> </w:t>
      </w:r>
      <w:r w:rsidRPr="00A65EB3">
        <w:t>právnych predpisov členských štátov týkajúcich sa zariadení a</w:t>
      </w:r>
      <w:r w:rsidR="008906F3">
        <w:t> </w:t>
      </w:r>
      <w:r w:rsidRPr="00A65EB3">
        <w:t>ochranných</w:t>
      </w:r>
      <w:r w:rsidR="008906F3">
        <w:t xml:space="preserve"> </w:t>
      </w:r>
      <w:r w:rsidRPr="00A65EB3">
        <w:t>systémov určených na použitie v potenciálne výbušnej atmosfére (prepracované znenie) (Ú. v. EÚ L</w:t>
      </w:r>
      <w:r>
        <w:t> </w:t>
      </w:r>
      <w:r w:rsidRPr="00A65EB3">
        <w:t xml:space="preserve">96, 29. 3. 2014). </w:t>
      </w:r>
    </w:p>
    <w:p w14:paraId="43E2E3AC" w14:textId="76528679" w:rsidR="00D22CF6" w:rsidRPr="00A65EB3" w:rsidRDefault="00D22CF6" w:rsidP="00B14496">
      <w:pPr>
        <w:ind w:left="709"/>
        <w:jc w:val="both"/>
      </w:pPr>
      <w:r>
        <w:t>Nariadenie</w:t>
      </w:r>
      <w:r w:rsidRPr="00A65EB3">
        <w:t xml:space="preserve"> vlády Slovenskej republiky </w:t>
      </w:r>
      <w:r w:rsidR="002F69ED">
        <w:t>č. </w:t>
      </w:r>
      <w:r w:rsidRPr="00A65EB3">
        <w:t xml:space="preserve">148/2016 </w:t>
      </w:r>
      <w:r w:rsidR="002F69ED">
        <w:t>Z. z.</w:t>
      </w:r>
      <w:r w:rsidRPr="00A65EB3">
        <w:t xml:space="preserve"> o sprístupňovaní elektrického zariadenia určeného na používanie v rámci určitých limitov napätia na trhu</w:t>
      </w:r>
      <w:r>
        <w:t>, ktoré</w:t>
      </w:r>
      <w:r w:rsidRPr="00A65EB3">
        <w:t xml:space="preserve"> </w:t>
      </w:r>
      <w:r>
        <w:t>transponuje</w:t>
      </w:r>
      <w:r w:rsidRPr="00A65EB3">
        <w:t xml:space="preserve"> </w:t>
      </w:r>
      <w:r>
        <w:t>smernicu</w:t>
      </w:r>
      <w:r w:rsidRPr="00A65EB3">
        <w:t xml:space="preserve"> Európskeho parlamentu a Rady 2014/35/EÚ z 26. februára 2014 o</w:t>
      </w:r>
      <w:r>
        <w:t> </w:t>
      </w:r>
      <w:r w:rsidRPr="00A65EB3">
        <w:t>harmonizácii</w:t>
      </w:r>
      <w:r>
        <w:t xml:space="preserve"> </w:t>
      </w:r>
      <w:r w:rsidRPr="00A65EB3">
        <w:t>právnych predpisov členských štátov týkajúcich sa sprístupnenia elektrického zariadenia určeného na používanie v rámci určitých limitov napätia na trhu (Ú.</w:t>
      </w:r>
      <w:r>
        <w:t> </w:t>
      </w:r>
      <w:r w:rsidRPr="00A65EB3">
        <w:t>v. EÚ L 96, 29. 3. 2014).</w:t>
      </w:r>
    </w:p>
    <w:p w14:paraId="72451B38" w14:textId="56FDBCD4" w:rsidR="00D22CF6" w:rsidRPr="00A65EB3" w:rsidRDefault="00D22CF6" w:rsidP="00B14496">
      <w:pPr>
        <w:ind w:left="709"/>
        <w:jc w:val="both"/>
      </w:pPr>
      <w:r>
        <w:lastRenderedPageBreak/>
        <w:t>Nariadenie</w:t>
      </w:r>
      <w:r w:rsidRPr="00A65EB3">
        <w:t xml:space="preserve"> vlády Slovenskej republiky </w:t>
      </w:r>
      <w:r w:rsidR="002F69ED">
        <w:t>č. </w:t>
      </w:r>
      <w:r w:rsidRPr="00A65EB3">
        <w:t xml:space="preserve">193/2016 </w:t>
      </w:r>
      <w:r w:rsidR="002F69ED">
        <w:t>Z. z.</w:t>
      </w:r>
      <w:r w:rsidRPr="00A65EB3">
        <w:t xml:space="preserve"> o sprístupňovaní rádiových zariadení na trhu</w:t>
      </w:r>
      <w:r>
        <w:t>, ktoré</w:t>
      </w:r>
      <w:r w:rsidRPr="00A65EB3">
        <w:t xml:space="preserve"> </w:t>
      </w:r>
      <w:r>
        <w:t>transponuje</w:t>
      </w:r>
      <w:r w:rsidRPr="00A65EB3">
        <w:t xml:space="preserve"> </w:t>
      </w:r>
      <w:r>
        <w:t>smernicu</w:t>
      </w:r>
      <w:r w:rsidRPr="00A65EB3">
        <w:t xml:space="preserve"> Európskeho parlamentu a Rady 2014/53/EÚ zo 16. apríla 2014 o harmonizácii právnych predpisov členských štátov týkajúcich sa sprístupňovania rádiových zariadení na trhu, ktorou sa zrušuje smernica 1999/5/ES (Ú. v. EÚ L 153, 22. 05. 2014).</w:t>
      </w:r>
    </w:p>
    <w:p w14:paraId="60321619" w14:textId="3FE9663E" w:rsidR="00D22CF6" w:rsidRPr="00A65EB3" w:rsidRDefault="00D22CF6" w:rsidP="00B14496">
      <w:pPr>
        <w:ind w:left="709"/>
        <w:jc w:val="both"/>
      </w:pPr>
      <w:r>
        <w:t>Nariadenie</w:t>
      </w:r>
      <w:r w:rsidRPr="00A65EB3">
        <w:t xml:space="preserve"> vlády Slovenskej republiky </w:t>
      </w:r>
      <w:r w:rsidR="002F69ED">
        <w:t>č. </w:t>
      </w:r>
      <w:r w:rsidRPr="00A65EB3">
        <w:t xml:space="preserve">1/2016 </w:t>
      </w:r>
      <w:r w:rsidR="002F69ED">
        <w:t>Z. z.</w:t>
      </w:r>
      <w:r w:rsidRPr="00A65EB3">
        <w:t xml:space="preserve"> o sprístupňovaní tlakových zariadení na trhu</w:t>
      </w:r>
      <w:r>
        <w:t>, ktoré</w:t>
      </w:r>
      <w:r w:rsidRPr="00A65EB3">
        <w:t xml:space="preserve"> </w:t>
      </w:r>
      <w:r>
        <w:t>transponuje</w:t>
      </w:r>
      <w:r w:rsidRPr="00A65EB3">
        <w:t xml:space="preserve"> Smernica Európskeho parlamentu a Rady 2014/68/EÚ z 15. mája 2014 o harmonizácii právnych predpisov členských štátov týkajúcich sa sprístupňovania tlakových zariadení na trhu (Ú. v. EÚ L 189, 27. 6. 2014).</w:t>
      </w:r>
    </w:p>
    <w:p w14:paraId="7C86A681" w14:textId="52E1F8E8" w:rsidR="00D22CF6" w:rsidRPr="00825E8F" w:rsidRDefault="00D22CF6" w:rsidP="00B14496">
      <w:pPr>
        <w:pStyle w:val="Odsekzoznamu"/>
        <w:tabs>
          <w:tab w:val="left" w:pos="360"/>
        </w:tabs>
        <w:spacing w:after="0"/>
        <w:ind w:left="709"/>
        <w:contextualSpacing w:val="0"/>
        <w:jc w:val="both"/>
        <w:rPr>
          <w:rFonts w:ascii="Times New Roman" w:hAnsi="Times New Roman" w:cs="Times New Roman"/>
          <w:i/>
          <w:sz w:val="24"/>
          <w:szCs w:val="24"/>
        </w:rPr>
      </w:pPr>
      <w:r w:rsidRPr="00825E8F">
        <w:rPr>
          <w:rFonts w:ascii="Times New Roman" w:hAnsi="Times New Roman" w:cs="Times New Roman"/>
          <w:sz w:val="24"/>
          <w:szCs w:val="24"/>
        </w:rPr>
        <w:t xml:space="preserve">Nariadenie vlády Slovenskej republiky </w:t>
      </w:r>
      <w:r w:rsidR="002F69ED">
        <w:rPr>
          <w:rFonts w:ascii="Times New Roman" w:hAnsi="Times New Roman" w:cs="Times New Roman"/>
          <w:sz w:val="24"/>
          <w:szCs w:val="24"/>
        </w:rPr>
        <w:t>č. </w:t>
      </w:r>
      <w:r w:rsidRPr="00825E8F">
        <w:rPr>
          <w:rFonts w:ascii="Times New Roman" w:hAnsi="Times New Roman" w:cs="Times New Roman"/>
          <w:sz w:val="24"/>
          <w:szCs w:val="24"/>
        </w:rPr>
        <w:t xml:space="preserve">262/2016 </w:t>
      </w:r>
      <w:r w:rsidR="002F69ED">
        <w:rPr>
          <w:rFonts w:ascii="Times New Roman" w:hAnsi="Times New Roman" w:cs="Times New Roman"/>
          <w:sz w:val="24"/>
          <w:szCs w:val="24"/>
        </w:rPr>
        <w:t>Z. z.</w:t>
      </w:r>
      <w:r w:rsidRPr="00825E8F">
        <w:rPr>
          <w:rFonts w:ascii="Times New Roman" w:hAnsi="Times New Roman" w:cs="Times New Roman"/>
          <w:sz w:val="24"/>
          <w:szCs w:val="24"/>
        </w:rPr>
        <w:t xml:space="preserve"> o vybavení námorných lodí, ktoré transponuje smernicu Európskeho parlamentu a Rady 2014/90/EÚ z 23. júla 2014 o vybavení námorných lodí a o zrušení smernice Rady 96/98/ES (Ú. v. EÚ L 257, 28. 8. 2014) transponovaná.</w:t>
      </w:r>
    </w:p>
    <w:p w14:paraId="54AE9281" w14:textId="77777777" w:rsidR="00D22CF6" w:rsidRPr="00BA2467" w:rsidRDefault="00D22CF6" w:rsidP="00D22CF6">
      <w:pPr>
        <w:tabs>
          <w:tab w:val="left" w:pos="360"/>
        </w:tabs>
        <w:jc w:val="both"/>
        <w:rPr>
          <w:b/>
        </w:rPr>
      </w:pPr>
      <w:r w:rsidRPr="00BA2467">
        <w:rPr>
          <w:b/>
        </w:rPr>
        <w:t>5. Návrh právneho predpisu je zlučiteľný s právom Európskej únie:</w:t>
      </w:r>
    </w:p>
    <w:p w14:paraId="48375194" w14:textId="77777777" w:rsidR="00D22CF6" w:rsidRPr="00825E8F" w:rsidRDefault="00D22CF6" w:rsidP="00D22CF6">
      <w:pPr>
        <w:pStyle w:val="Odsekzoznamu"/>
        <w:widowControl w:val="0"/>
        <w:numPr>
          <w:ilvl w:val="0"/>
          <w:numId w:val="5"/>
        </w:numPr>
        <w:tabs>
          <w:tab w:val="left" w:pos="360"/>
        </w:tabs>
        <w:autoSpaceDE w:val="0"/>
        <w:autoSpaceDN w:val="0"/>
        <w:adjustRightInd w:val="0"/>
        <w:spacing w:after="0" w:line="240" w:lineRule="auto"/>
        <w:jc w:val="both"/>
        <w:rPr>
          <w:rFonts w:ascii="Times New Roman" w:hAnsi="Times New Roman" w:cs="Times New Roman"/>
          <w:sz w:val="24"/>
          <w:szCs w:val="24"/>
        </w:rPr>
      </w:pPr>
      <w:r w:rsidRPr="00825E8F">
        <w:rPr>
          <w:rFonts w:ascii="Times New Roman" w:hAnsi="Times New Roman" w:cs="Times New Roman"/>
          <w:sz w:val="24"/>
          <w:szCs w:val="24"/>
        </w:rPr>
        <w:t>úplne (ak je právny akt prebraný náležite, t. j. v zodpovedajúcej právnej forme, včas, v celom rozsahu a správne)</w:t>
      </w:r>
    </w:p>
    <w:p w14:paraId="0D417821" w14:textId="77777777" w:rsidR="00D22CF6" w:rsidRPr="00825E8F" w:rsidRDefault="00D22CF6" w:rsidP="00D22CF6">
      <w:pPr>
        <w:pStyle w:val="Odsekzoznamu"/>
        <w:tabs>
          <w:tab w:val="left" w:pos="360"/>
        </w:tabs>
        <w:ind w:left="644"/>
        <w:jc w:val="both"/>
        <w:rPr>
          <w:rFonts w:ascii="Times New Roman" w:hAnsi="Times New Roman" w:cs="Times New Roman"/>
          <w:sz w:val="24"/>
          <w:szCs w:val="24"/>
        </w:rPr>
      </w:pPr>
      <w:r w:rsidRPr="00825E8F">
        <w:rPr>
          <w:rFonts w:ascii="Times New Roman" w:hAnsi="Times New Roman" w:cs="Times New Roman"/>
          <w:sz w:val="24"/>
          <w:szCs w:val="24"/>
        </w:rPr>
        <w:t>Návrh zákona je úplne zlučiteľný s právom Európskej únie.</w:t>
      </w:r>
    </w:p>
    <w:p w14:paraId="23AA49E7" w14:textId="77777777" w:rsidR="00D22CF6" w:rsidRPr="00825E8F" w:rsidRDefault="00D22CF6" w:rsidP="00D22CF6">
      <w:pPr>
        <w:pStyle w:val="Odsekzoznamu"/>
        <w:widowControl w:val="0"/>
        <w:numPr>
          <w:ilvl w:val="0"/>
          <w:numId w:val="5"/>
        </w:numPr>
        <w:tabs>
          <w:tab w:val="left" w:pos="360"/>
        </w:tabs>
        <w:autoSpaceDE w:val="0"/>
        <w:autoSpaceDN w:val="0"/>
        <w:adjustRightInd w:val="0"/>
        <w:spacing w:after="0" w:line="240" w:lineRule="auto"/>
        <w:jc w:val="both"/>
        <w:rPr>
          <w:rFonts w:ascii="Times New Roman" w:hAnsi="Times New Roman" w:cs="Times New Roman"/>
          <w:sz w:val="24"/>
          <w:szCs w:val="24"/>
        </w:rPr>
      </w:pPr>
      <w:r w:rsidRPr="00825E8F">
        <w:rPr>
          <w:rFonts w:ascii="Times New Roman" w:hAnsi="Times New Roman" w:cs="Times New Roman"/>
          <w:sz w:val="24"/>
          <w:szCs w:val="24"/>
        </w:rPr>
        <w:t xml:space="preserve">čiastočne (uviesť dôvody, predpokladaný termín a spôsob dosiahnutia úplného súladu) </w:t>
      </w:r>
    </w:p>
    <w:p w14:paraId="56E1FA6F" w14:textId="77777777" w:rsidR="00D22CF6" w:rsidRPr="00825E8F" w:rsidRDefault="00D22CF6" w:rsidP="00D22CF6">
      <w:pPr>
        <w:pStyle w:val="Odsekzoznamu"/>
        <w:tabs>
          <w:tab w:val="left" w:pos="360"/>
        </w:tabs>
        <w:ind w:left="644"/>
        <w:jc w:val="both"/>
        <w:rPr>
          <w:rFonts w:ascii="Times New Roman" w:hAnsi="Times New Roman" w:cs="Times New Roman"/>
          <w:sz w:val="24"/>
          <w:szCs w:val="24"/>
        </w:rPr>
      </w:pPr>
      <w:r w:rsidRPr="00825E8F">
        <w:rPr>
          <w:rFonts w:ascii="Times New Roman" w:hAnsi="Times New Roman" w:cs="Times New Roman"/>
          <w:sz w:val="24"/>
          <w:szCs w:val="24"/>
        </w:rPr>
        <w:t xml:space="preserve"> -</w:t>
      </w:r>
    </w:p>
    <w:p w14:paraId="36515429" w14:textId="77777777" w:rsidR="00D22CF6" w:rsidRPr="00825E8F" w:rsidRDefault="00D22CF6" w:rsidP="00D22CF6">
      <w:pPr>
        <w:pStyle w:val="Odsekzoznamu"/>
        <w:widowControl w:val="0"/>
        <w:numPr>
          <w:ilvl w:val="0"/>
          <w:numId w:val="5"/>
        </w:numPr>
        <w:tabs>
          <w:tab w:val="left" w:pos="360"/>
        </w:tabs>
        <w:autoSpaceDE w:val="0"/>
        <w:autoSpaceDN w:val="0"/>
        <w:adjustRightInd w:val="0"/>
        <w:spacing w:after="0" w:line="240" w:lineRule="auto"/>
        <w:jc w:val="both"/>
        <w:rPr>
          <w:rFonts w:ascii="Times New Roman" w:hAnsi="Times New Roman" w:cs="Times New Roman"/>
          <w:sz w:val="24"/>
          <w:szCs w:val="24"/>
        </w:rPr>
      </w:pPr>
      <w:r w:rsidRPr="00825E8F">
        <w:rPr>
          <w:rFonts w:ascii="Times New Roman" w:hAnsi="Times New Roman" w:cs="Times New Roman"/>
          <w:sz w:val="24"/>
          <w:szCs w:val="24"/>
        </w:rPr>
        <w:t>ak nie je, uviesť dôvody, predpokladaný termín a spôsob dosiahnutia úplného súladu</w:t>
      </w:r>
    </w:p>
    <w:p w14:paraId="69166895" w14:textId="77777777" w:rsidR="00D22CF6" w:rsidRPr="00825E8F" w:rsidRDefault="00D22CF6" w:rsidP="00D22CF6">
      <w:pPr>
        <w:pStyle w:val="Odsekzoznamu"/>
        <w:tabs>
          <w:tab w:val="left" w:pos="360"/>
        </w:tabs>
        <w:ind w:left="644"/>
        <w:jc w:val="both"/>
        <w:rPr>
          <w:rFonts w:ascii="Times New Roman" w:hAnsi="Times New Roman" w:cs="Times New Roman"/>
          <w:sz w:val="24"/>
          <w:szCs w:val="24"/>
        </w:rPr>
      </w:pPr>
      <w:r w:rsidRPr="00825E8F">
        <w:rPr>
          <w:rFonts w:ascii="Times New Roman" w:hAnsi="Times New Roman" w:cs="Times New Roman"/>
          <w:sz w:val="24"/>
          <w:szCs w:val="24"/>
        </w:rPr>
        <w:t>-</w:t>
      </w:r>
    </w:p>
    <w:p w14:paraId="6054EAD9" w14:textId="77777777" w:rsidR="00BD2FAC" w:rsidRDefault="00BD2FAC">
      <w:pPr>
        <w:widowControl/>
        <w:adjustRightInd/>
        <w:spacing w:after="200" w:line="276" w:lineRule="auto"/>
        <w:rPr>
          <w:b/>
          <w:color w:val="000000"/>
        </w:rPr>
      </w:pPr>
      <w:r>
        <w:rPr>
          <w:b/>
          <w:color w:val="000000"/>
        </w:rPr>
        <w:br w:type="page"/>
      </w:r>
    </w:p>
    <w:p w14:paraId="45530792" w14:textId="338DC1EA" w:rsidR="00BD2FAC" w:rsidRDefault="00BD2FAC" w:rsidP="00BD2FAC">
      <w:pPr>
        <w:widowControl/>
        <w:jc w:val="both"/>
        <w:rPr>
          <w:b/>
          <w:color w:val="000000"/>
        </w:rPr>
      </w:pPr>
      <w:r>
        <w:rPr>
          <w:b/>
          <w:color w:val="000000"/>
        </w:rPr>
        <w:lastRenderedPageBreak/>
        <w:t>B. Osobitná časť</w:t>
      </w:r>
    </w:p>
    <w:p w14:paraId="1D564488" w14:textId="77777777" w:rsidR="00BD2FAC" w:rsidRDefault="00BD2FAC" w:rsidP="00BD2FAC">
      <w:pPr>
        <w:widowControl/>
        <w:jc w:val="both"/>
        <w:rPr>
          <w:color w:val="000000"/>
        </w:rPr>
      </w:pPr>
    </w:p>
    <w:p w14:paraId="118FDCBE" w14:textId="77777777" w:rsidR="00BD2FAC" w:rsidRDefault="00BD2FAC" w:rsidP="00BD2FAC">
      <w:pPr>
        <w:widowControl/>
        <w:spacing w:after="100" w:afterAutospacing="1"/>
        <w:jc w:val="both"/>
        <w:rPr>
          <w:color w:val="000000"/>
        </w:rPr>
      </w:pPr>
      <w:r>
        <w:rPr>
          <w:rStyle w:val="Zstupntext"/>
          <w:b/>
          <w:color w:val="000000"/>
        </w:rPr>
        <w:t>K Čl. I</w:t>
      </w:r>
    </w:p>
    <w:p w14:paraId="57141580" w14:textId="77777777" w:rsidR="00BD2FAC" w:rsidRDefault="00BD2FAC" w:rsidP="00BD2FAC">
      <w:pPr>
        <w:widowControl/>
        <w:spacing w:after="100" w:afterAutospacing="1"/>
        <w:jc w:val="both"/>
        <w:rPr>
          <w:rStyle w:val="Zstupntext"/>
          <w:color w:val="000000"/>
        </w:rPr>
      </w:pPr>
      <w:r>
        <w:rPr>
          <w:rStyle w:val="Zstupntext"/>
          <w:b/>
          <w:color w:val="000000"/>
        </w:rPr>
        <w:t>K bodu 1</w:t>
      </w:r>
    </w:p>
    <w:p w14:paraId="3889BD58" w14:textId="77777777" w:rsidR="00BD2FAC" w:rsidRDefault="00BD2FAC" w:rsidP="00BD2FAC">
      <w:pPr>
        <w:widowControl/>
        <w:spacing w:after="100" w:afterAutospacing="1"/>
        <w:jc w:val="both"/>
        <w:rPr>
          <w:rStyle w:val="Zstupntext"/>
          <w:color w:val="000000"/>
        </w:rPr>
      </w:pPr>
      <w:r>
        <w:t>Pojem orgán dohľadu sa dopĺňa slovami „nad určenými výrobkami“ z dôvodu potreby jeho precizovania pre účely rámcového zákona č. 56/2018 Z. z. o posudzovaní zhody výrobku, sprístupňovaní určeného výrobku na trhu a o zmene a doplnení niektorých zákonov (ďalej len „zákon č. 56/2018 Z. z.“), keďže zákon č. 56/2018 Z. z. ustanovuje orgány dohľadu, ktoré vykonávajú dohľad len nad určenými výrobkami. Určený výrobok je výrobok, ktorý predstavuje zvýšené riziko ohrozenia oprávneného záujmu, na ktorého zmiernenie alebo odstránenie sú ustanovené základné požiadavky a posudzovanie zhody podľa § 21.</w:t>
      </w:r>
    </w:p>
    <w:p w14:paraId="1731BDC0" w14:textId="4D75AC5E" w:rsidR="00BD2FAC" w:rsidRDefault="00BD2FAC" w:rsidP="00BD2FAC">
      <w:pPr>
        <w:widowControl/>
        <w:spacing w:after="100" w:afterAutospacing="1"/>
        <w:jc w:val="both"/>
        <w:rPr>
          <w:rStyle w:val="Zstupntext"/>
          <w:color w:val="000000"/>
        </w:rPr>
      </w:pPr>
      <w:r>
        <w:rPr>
          <w:rStyle w:val="Zstupntext"/>
          <w:b/>
          <w:color w:val="000000"/>
        </w:rPr>
        <w:t>K bodu 2</w:t>
      </w:r>
    </w:p>
    <w:p w14:paraId="6A492DFD" w14:textId="77777777" w:rsidR="00BD2FAC" w:rsidRDefault="00BD2FAC" w:rsidP="00BD2FAC">
      <w:pPr>
        <w:widowControl/>
        <w:spacing w:after="100" w:afterAutospacing="1"/>
        <w:jc w:val="both"/>
      </w:pPr>
      <w:r>
        <w:t xml:space="preserve">V § 3 ods. 1 písm. g) sa vymedzujú kompetencie </w:t>
      </w:r>
      <w:r>
        <w:rPr>
          <w:bCs/>
        </w:rPr>
        <w:t>Úradu pre normalizáciu, metrológiu a skúšobníctvo Slovenskej republiky (ďalej len „úrad alebo ÚNMS SR“)</w:t>
      </w:r>
      <w:r>
        <w:t xml:space="preserve">, ktoré vyplývajú zo súčasného § 4 ods. 5 zákona č. 56/2018 Z. z., ktoré sa týmto návrhom zákona nemenia len sa v § 3 uvádzajú medzi všetky ostatné kompetencie úradu za účelom ich jasného vymedzenia. Na základe aplikačnej praxe udeľovania tzv. výnimiek (rozhodnutí o uvedení určeného výrobku na trh bez posudzovania zhody podľa § 22), ktorá úradu vyplynula najmä z prebiehajúcej mimoriadnej situácie v súvislosti so šírením nebezpečnej nákazlivej ľudskej choroby COVID-19, predkladateľ dopĺňa v § 3 právo úradu metodicky usmerňovať postup udeľovania tzv. výnimiek v zmysle § 4 ods. 5 od podania žiadosti až po vydanie samotného rozhodnutia úradom, čím sa zabezpečí transparentnejší, jednoduchší a jednotný postup zo strany úradu ako aj zo strany žiadateľov u udelenie tzv. výnimky.  </w:t>
      </w:r>
    </w:p>
    <w:p w14:paraId="14762871" w14:textId="77777777" w:rsidR="00BD2FAC" w:rsidRDefault="00BD2FAC" w:rsidP="00BD2FAC">
      <w:pPr>
        <w:widowControl/>
        <w:spacing w:after="100" w:afterAutospacing="1"/>
        <w:jc w:val="both"/>
      </w:pPr>
      <w:r>
        <w:t>Zároveň sa na základe čl. 120 ods. 3 nariadenia (EÚ) 2017/745 a čl. 110 ods. 3 nariadenia (EÚ) 2017/746 dopĺňa v § 3 ods. 1 písm. h) nové oprávnenie úradu vykonávať v rámci dohľadu u výrobcov kontrolu certifikátov, ktoré vydala autorizovaná a notifikovaná osoba podľa nariadenia vlády Slovenskej republiky č. 166/2020 Z. z., ktorým sa ustanovujú podrobnosti o technických požiadavkách a postupoch posudzovania zhody zdravotníckych pomôcok a nariadenia vlády Slovenskej republiky č. 569/2001 Z. z., ktorým sa ustanovujú podrobnosti o technických požiadavkách a postupoch posudzovania zhody diagnostických zdravotníckych pomôcok in vitro, ktoré je úrad ako notifikujúci orgán podľa § 3 ods. 2 zákona č. 56/2018 Z. z. povinný vykonávať nad zdravotníckymi pomôckami a diagnostickými zdravotníckymi pomôckami in vitro.</w:t>
      </w:r>
    </w:p>
    <w:p w14:paraId="13FA2F40" w14:textId="77777777" w:rsidR="00BD2FAC" w:rsidRDefault="00BD2FAC" w:rsidP="00BD2FAC">
      <w:pPr>
        <w:widowControl/>
        <w:spacing w:after="100" w:afterAutospacing="1"/>
        <w:jc w:val="both"/>
        <w:rPr>
          <w:rStyle w:val="Zstupntext"/>
          <w:b/>
          <w:color w:val="000000"/>
        </w:rPr>
      </w:pPr>
      <w:r>
        <w:rPr>
          <w:rStyle w:val="Zstupntext"/>
          <w:b/>
          <w:color w:val="000000"/>
        </w:rPr>
        <w:t>K bodu 3</w:t>
      </w:r>
    </w:p>
    <w:p w14:paraId="7FF36690" w14:textId="77777777" w:rsidR="00BD2FAC" w:rsidRDefault="00BD2FAC" w:rsidP="00BD2FAC">
      <w:pPr>
        <w:widowControl/>
        <w:spacing w:after="100" w:afterAutospacing="1"/>
        <w:jc w:val="both"/>
        <w:rPr>
          <w:rStyle w:val="Zstupntext"/>
          <w:color w:val="000000"/>
        </w:rPr>
      </w:pPr>
      <w:r>
        <w:rPr>
          <w:rStyle w:val="Zstupntext"/>
          <w:color w:val="000000"/>
        </w:rPr>
        <w:t xml:space="preserve">Dopĺňa sa povinnosť úradu zverejňovať na webovom sídle úradu aj metodický postup podľa § 4 ods. 5 v zmysle doplnenia podľa novelizačného bodu 2 (§ 3 ods. 1 písm. g). </w:t>
      </w:r>
    </w:p>
    <w:p w14:paraId="37B2AAFC" w14:textId="77777777" w:rsidR="00BD2FAC" w:rsidRDefault="00BD2FAC" w:rsidP="00BD2FAC">
      <w:pPr>
        <w:widowControl/>
        <w:spacing w:after="100" w:afterAutospacing="1"/>
        <w:jc w:val="both"/>
        <w:rPr>
          <w:rStyle w:val="Zstupntext"/>
          <w:b/>
          <w:color w:val="000000"/>
        </w:rPr>
      </w:pPr>
      <w:r>
        <w:rPr>
          <w:rStyle w:val="Zstupntext"/>
          <w:b/>
          <w:color w:val="000000"/>
        </w:rPr>
        <w:t xml:space="preserve">K bodu 4 </w:t>
      </w:r>
    </w:p>
    <w:p w14:paraId="5C564502" w14:textId="77777777" w:rsidR="00BD2FAC" w:rsidRDefault="00BD2FAC" w:rsidP="00BD2FAC">
      <w:pPr>
        <w:widowControl/>
        <w:spacing w:after="100" w:afterAutospacing="1"/>
        <w:jc w:val="both"/>
        <w:rPr>
          <w:rStyle w:val="Zstupntext"/>
          <w:color w:val="000000"/>
        </w:rPr>
      </w:pPr>
      <w:r>
        <w:rPr>
          <w:rStyle w:val="Zstupntext"/>
          <w:color w:val="000000"/>
        </w:rPr>
        <w:t>Ustanovuje sa povinnosť úradu zverejňovať na webovom sídle úradu súhrnnú správu o činnosti autorizovaných a notifikovaných osôb, ktorá sa vytvára ako sumár výročných správ autorizovaných a notifikovaných osôb.</w:t>
      </w:r>
    </w:p>
    <w:p w14:paraId="74A25828" w14:textId="77777777" w:rsidR="00BD2FAC" w:rsidRDefault="00BD2FAC" w:rsidP="00BD2FAC">
      <w:pPr>
        <w:widowControl/>
        <w:adjustRightInd/>
        <w:spacing w:after="200" w:line="276" w:lineRule="auto"/>
        <w:rPr>
          <w:rStyle w:val="Zstupntext"/>
          <w:b/>
          <w:color w:val="000000"/>
        </w:rPr>
      </w:pPr>
      <w:r>
        <w:rPr>
          <w:rStyle w:val="Zstupntext"/>
          <w:b/>
          <w:color w:val="000000"/>
        </w:rPr>
        <w:br w:type="page"/>
      </w:r>
    </w:p>
    <w:p w14:paraId="131CEF18" w14:textId="77777777" w:rsidR="00BD2FAC" w:rsidRDefault="00BD2FAC" w:rsidP="00BD2FAC">
      <w:pPr>
        <w:widowControl/>
        <w:spacing w:after="100" w:afterAutospacing="1"/>
        <w:jc w:val="both"/>
        <w:rPr>
          <w:rStyle w:val="Zstupntext"/>
          <w:b/>
          <w:color w:val="000000"/>
        </w:rPr>
      </w:pPr>
      <w:r>
        <w:rPr>
          <w:rStyle w:val="Zstupntext"/>
          <w:b/>
          <w:color w:val="000000"/>
        </w:rPr>
        <w:lastRenderedPageBreak/>
        <w:t>K bodu 5</w:t>
      </w:r>
    </w:p>
    <w:p w14:paraId="580D293C" w14:textId="77777777" w:rsidR="00BD2FAC" w:rsidRDefault="00BD2FAC" w:rsidP="00BD2FAC">
      <w:pPr>
        <w:widowControl/>
        <w:spacing w:after="100" w:afterAutospacing="1"/>
        <w:jc w:val="both"/>
        <w:rPr>
          <w:rStyle w:val="Zstupntext"/>
          <w:color w:val="000000"/>
        </w:rPr>
      </w:pPr>
      <w:r>
        <w:rPr>
          <w:rStyle w:val="Zstupntext"/>
          <w:color w:val="000000"/>
        </w:rPr>
        <w:t>Upravujú sa poznámky pod čiarou k odkazom 12, 15 a 16 z dôvodu prijatia nových právnych predpisov.</w:t>
      </w:r>
    </w:p>
    <w:p w14:paraId="0BF3C182" w14:textId="77777777" w:rsidR="00BD2FAC" w:rsidRDefault="00BD2FAC" w:rsidP="00BD2FAC">
      <w:pPr>
        <w:widowControl/>
        <w:spacing w:after="100" w:afterAutospacing="1"/>
        <w:jc w:val="both"/>
        <w:rPr>
          <w:rStyle w:val="Zstupntext"/>
          <w:b/>
          <w:color w:val="000000"/>
        </w:rPr>
      </w:pPr>
      <w:r>
        <w:rPr>
          <w:rStyle w:val="Zstupntext"/>
          <w:b/>
          <w:color w:val="000000"/>
        </w:rPr>
        <w:t>K bodu 6</w:t>
      </w:r>
    </w:p>
    <w:p w14:paraId="2153627C" w14:textId="77777777" w:rsidR="00BD2FAC" w:rsidRDefault="00BD2FAC" w:rsidP="00BD2FAC">
      <w:pPr>
        <w:widowControl/>
        <w:spacing w:after="100" w:afterAutospacing="1"/>
        <w:jc w:val="both"/>
        <w:rPr>
          <w:rStyle w:val="Zstupntext"/>
          <w:color w:val="000000"/>
        </w:rPr>
      </w:pPr>
      <w:r>
        <w:rPr>
          <w:rStyle w:val="Zstupntext"/>
          <w:color w:val="000000"/>
        </w:rPr>
        <w:t>Spresňuje sa postup upravujúci rozhodovanie úradu o tzv. výnimkách podľa § 4 ods. 5 zákona č. 56/2018 Z. z., ktorým úrad môže rozhodnúť o uvedení určeného výrobku na trh bez posudzovania zhody podľa § 22. Musí ísť o prípad mimoriadnej situácie a  posúdením všetkých potrebných dokumentov a dokladov k určenému výrobku, ako aj nutnej potreby takéhoto určeného výrobku na trhu Slovenskej republiky sa musí preukázať dostatočná záruka, že určený výrobok, ktorému sa rozhodnutím úradu udelí výnimka, neohrozí život a zdravie jeho používateľov aj napriek tomu, že určený výrobok nebol úplne posúdený v zmysle príslušných postupov posudzovania zhody v zmysle § 22 zákona č. 56/2018 a príslušného technického predpisu z oblasti posudzovania zhody. Žiadosť o udelenie tzv. výnimky podľa tohto ustanovenia môže podať ministerstvo, ostatný ústredný orgán štátnej správy, v  pôsobnosti ktorého je technický predpis z oblasti posudzovania zhody, ktorý upravuje určený výrobok, ktorý je predmetom žiadosti, ako aj hospodársky subjekt, ktorý má k dispozícii určený výrobok, ktorý je potrebný počas mimoriadnej situácie, a je zodpovedný za uvedenie určeného výrobku na trh a za jeho bezpečnosť. V každom prípade je hospodársky subjekt, ktorý uvádza takýto určený výrobok na trh, ak to mimoriadna situácia dovoľuje, povinný predložiť úradu všetky potrebné doklady, protokoly o skúškach a technickú dokumentáciu, ktorá preukazuje, že bolo začaté posudzovanie zhody podľa príslušných postupov posudzovania zhody, a je povinný po vydaní tzv. výnimky úradom zabezpečiť, aby bolo posudzovanie zhody určeného výrobku ukončené podľa príslušného postupu posudzovania zhody ustanoveného príslušným technickým predpisom z oblasti posudzovania zhody. Zároveň sa nad slovo hospodársky subjekt presúva odkaz na novú definíciu pojmu „hospodársky subjekt“, ktorá vyplýva z nariadenia (EÚ) 2019/1020 a ktorá rozširuje pôvodnú definíciu hospodárskeho subjektu podľa nariadenia (ES) č. 765/2008 o poskytovateľa logistických služieb, ale aj o akúkoľvek inú fyzickú alebo právnickú osobu, ktorá podlieha povinnostiam súvisiacim s výrobou výrobkov, s ich sprístupňovaním na trhu alebo uvádzaním do prevádzky v súlade s príslušnými technickými predpismi z oblasti posudzovania zhody (harmonizačnými právnymi predpismi Únie).</w:t>
      </w:r>
    </w:p>
    <w:p w14:paraId="16F5E2C0" w14:textId="77777777" w:rsidR="00BD2FAC" w:rsidRDefault="00BD2FAC" w:rsidP="00BD2FAC">
      <w:pPr>
        <w:widowControl/>
        <w:spacing w:after="100" w:afterAutospacing="1"/>
        <w:jc w:val="both"/>
        <w:rPr>
          <w:rStyle w:val="Zstupntext"/>
          <w:b/>
          <w:color w:val="000000"/>
        </w:rPr>
      </w:pPr>
      <w:r>
        <w:rPr>
          <w:rStyle w:val="Zstupntext"/>
          <w:b/>
          <w:color w:val="000000"/>
        </w:rPr>
        <w:t>K bodu 7</w:t>
      </w:r>
    </w:p>
    <w:p w14:paraId="72089FF6" w14:textId="77777777" w:rsidR="00BD2FAC" w:rsidRDefault="00BD2FAC" w:rsidP="00BD2FAC">
      <w:pPr>
        <w:widowControl/>
        <w:spacing w:after="100" w:afterAutospacing="1"/>
        <w:jc w:val="both"/>
        <w:rPr>
          <w:rStyle w:val="Zstupntext"/>
          <w:color w:val="000000"/>
        </w:rPr>
      </w:pPr>
      <w:r>
        <w:rPr>
          <w:rStyle w:val="Zstupntext"/>
          <w:color w:val="000000"/>
        </w:rPr>
        <w:t>Vypúšťa sa poznámka pod čiarou. Legislatívno-technická úprava.</w:t>
      </w:r>
    </w:p>
    <w:p w14:paraId="4FED93C2" w14:textId="77777777" w:rsidR="00BD2FAC" w:rsidRDefault="00BD2FAC" w:rsidP="00BD2FAC">
      <w:pPr>
        <w:widowControl/>
        <w:spacing w:after="100" w:afterAutospacing="1"/>
        <w:jc w:val="both"/>
        <w:rPr>
          <w:rStyle w:val="Zstupntext"/>
          <w:b/>
          <w:color w:val="000000"/>
        </w:rPr>
      </w:pPr>
      <w:r>
        <w:rPr>
          <w:rStyle w:val="Zstupntext"/>
          <w:b/>
          <w:color w:val="000000"/>
        </w:rPr>
        <w:t>K bodu 8</w:t>
      </w:r>
    </w:p>
    <w:p w14:paraId="684A48D3" w14:textId="77777777" w:rsidR="00BD2FAC" w:rsidRPr="002F69ED" w:rsidRDefault="00BD2FAC" w:rsidP="00BD2FAC">
      <w:pPr>
        <w:widowControl/>
        <w:spacing w:after="100" w:afterAutospacing="1"/>
        <w:jc w:val="both"/>
        <w:rPr>
          <w:rStyle w:val="Zstupntext"/>
          <w:color w:val="000000"/>
        </w:rPr>
      </w:pPr>
      <w:r>
        <w:rPr>
          <w:rStyle w:val="Zstupntext"/>
          <w:color w:val="000000"/>
        </w:rPr>
        <w:t>Dopĺňa sa znenie § 6 ods. 4 z dôvodu implementácie čl. 5 ods. 2 nariadenia (EÚ) 2019/1020, ktorým sa stanovuje nová povinnosť splnomocneného zástupcu.</w:t>
      </w:r>
    </w:p>
    <w:p w14:paraId="04D8AE35" w14:textId="77777777" w:rsidR="00BD2FAC" w:rsidRDefault="00BD2FAC" w:rsidP="00BD2FAC">
      <w:pPr>
        <w:widowControl/>
        <w:spacing w:after="100" w:afterAutospacing="1"/>
        <w:jc w:val="both"/>
        <w:rPr>
          <w:rStyle w:val="Zstupntext"/>
          <w:b/>
          <w:color w:val="000000"/>
        </w:rPr>
      </w:pPr>
      <w:r>
        <w:rPr>
          <w:rStyle w:val="Zstupntext"/>
          <w:b/>
          <w:color w:val="000000"/>
        </w:rPr>
        <w:t>K bodu 9</w:t>
      </w:r>
    </w:p>
    <w:p w14:paraId="079FDBC8" w14:textId="77777777" w:rsidR="00BD2FAC" w:rsidRDefault="00BD2FAC" w:rsidP="00BD2FAC">
      <w:pPr>
        <w:widowControl/>
        <w:spacing w:after="100" w:afterAutospacing="1"/>
        <w:jc w:val="both"/>
        <w:rPr>
          <w:rStyle w:val="Zstupntext"/>
          <w:color w:val="000000"/>
        </w:rPr>
      </w:pPr>
      <w:r>
        <w:rPr>
          <w:rStyle w:val="Zstupntext"/>
          <w:color w:val="000000"/>
        </w:rPr>
        <w:t xml:space="preserve">Vkladá sa nový § 9a, ktorý prepája povinnosti podľa článku 4 ods. 1, 3 a 4 nariadenia (EÚ) 2019/1020, ktoré majú plniť hospodárske subjekty vymedzené v článku 4 ods. 2 nariadenia (EÚ) 2019/1020 (výrobca usadený v Únii, dovozca, ak výrobca nie je usadený v Únii, splnomocnený zástupca výrobcu s písomným splnomocnením od výrobcu, v ktorom splnomocneného zástupcu poveruje plnením úloh stanovených v článku 4 ods. 3 nariadenia </w:t>
      </w:r>
      <w:r>
        <w:rPr>
          <w:rStyle w:val="Zstupntext"/>
          <w:color w:val="000000"/>
        </w:rPr>
        <w:lastRenderedPageBreak/>
        <w:t xml:space="preserve">(EÚ) 2019/1020 v mene výrobcu, poskytovateľ logistických služieb usadený v Únii, pokiaľ ide o výrobky, s ktorými nakladá, keď v Únii nie je usadený iný hospodársky subjekt). Tieto povinnosti platia pre vymedzené hospodárske subjekty len pre určené výrobky upravené nasledujúcimi právnymi predpismi podľa článku 4 ods. 5 nariadenia (EÚ) 2019/1020: </w:t>
      </w:r>
      <w:r>
        <w:t>n</w:t>
      </w:r>
      <w:r>
        <w:rPr>
          <w:rStyle w:val="Zstupntext"/>
          <w:color w:val="000000"/>
        </w:rPr>
        <w:t xml:space="preserve">ariadenia Európskeho parlamentu a Rady (EÚ) 2016/425 (35) a (EÚ) 2016/426 (36) a smernice Európskeho parlamentu a Rady 2000/14/ES (37), 2006/42/ES (38), 2009/48/ES (39), 2009/125/ES (40), 2013/29/EÚ (42), 2013/53/EÚ (43), 2014/29/EÚ (44), 2014/30/EÚ (45), 2014/31/EÚ (46), 2014/32/EÚ (47), 2014/34/EÚ (48), 2014/35/EÚ (49), 2014/53/EÚ (50) a 2014/68/EÚ (51). </w:t>
      </w:r>
    </w:p>
    <w:p w14:paraId="1ABF47CC" w14:textId="77777777" w:rsidR="00BD2FAC" w:rsidRDefault="00BD2FAC" w:rsidP="00BD2FAC">
      <w:pPr>
        <w:widowControl/>
        <w:spacing w:after="100" w:afterAutospacing="1"/>
        <w:jc w:val="both"/>
        <w:rPr>
          <w:rStyle w:val="Zstupntext"/>
          <w:color w:val="000000"/>
        </w:rPr>
      </w:pPr>
      <w:r>
        <w:t>Zákon č. 56/2018 Z. z. je rámcovým zákonom k technickým predpisom z oblasti posudzovania zhody. Všetky uvedené predpisy sú technické predpisy z oblasti posudzovania zhody a zákonom č. 56/2018 Z. z. je zabezpečovaná ich implementácia alebo transpozícia. Nie všetky predpisy uvedené v čl. 4 ods. 5 nariadenia (EÚ) 2019/1020 sú priamo účinné v členskom štáte, lebo sú tam uvedené okrem nariadení aj smernice, a z toho dôvodu považujeme za potrebné, aby bolo ustanovené, ktorých slovenských právnych predpisov sa týka ustanovenie čl. 4 nariadenia (EÚ) 2019/1020.</w:t>
      </w:r>
    </w:p>
    <w:p w14:paraId="3732232B" w14:textId="77777777" w:rsidR="00BD2FAC" w:rsidRDefault="00BD2FAC" w:rsidP="00BD2FAC">
      <w:pPr>
        <w:widowControl/>
        <w:spacing w:after="100" w:afterAutospacing="1"/>
        <w:jc w:val="both"/>
        <w:rPr>
          <w:rStyle w:val="Zstupntext"/>
          <w:color w:val="000000"/>
        </w:rPr>
      </w:pPr>
      <w:r w:rsidRPr="002F69ED">
        <w:t xml:space="preserve">Zákon </w:t>
      </w:r>
      <w:r>
        <w:t>č. </w:t>
      </w:r>
      <w:hyperlink r:id="rId15" w:tooltip="Odkaz na predpis alebo ustanovenie" w:history="1">
        <w:r w:rsidRPr="002F69ED">
          <w:rPr>
            <w:rStyle w:val="Hypertextovprepojenie"/>
            <w:color w:val="auto"/>
            <w:u w:val="none"/>
          </w:rPr>
          <w:t xml:space="preserve">529/2010 </w:t>
        </w:r>
        <w:r>
          <w:rPr>
            <w:rStyle w:val="Hypertextovprepojenie"/>
            <w:color w:val="auto"/>
            <w:u w:val="none"/>
          </w:rPr>
          <w:t>Z. z.</w:t>
        </w:r>
      </w:hyperlink>
      <w:r w:rsidRPr="002F69ED">
        <w:t xml:space="preserve"> o environmentálnom navrhovaní a používaní výrobkov (zákon o </w:t>
      </w:r>
      <w:proofErr w:type="spellStart"/>
      <w:r w:rsidRPr="002F69ED">
        <w:t>ekodizajne</w:t>
      </w:r>
      <w:proofErr w:type="spellEnd"/>
      <w:r w:rsidRPr="002F69ED">
        <w:t xml:space="preserve">) v znení zákona </w:t>
      </w:r>
      <w:r>
        <w:t>č. </w:t>
      </w:r>
      <w:r w:rsidRPr="002F69ED">
        <w:t xml:space="preserve">56/2018 </w:t>
      </w:r>
      <w:r>
        <w:t>Z. z.</w:t>
      </w:r>
      <w:r w:rsidRPr="002F69ED">
        <w:t xml:space="preserve">, zákon </w:t>
      </w:r>
      <w:r>
        <w:t>č. </w:t>
      </w:r>
      <w:hyperlink r:id="rId16" w:tooltip="Odkaz na predpis alebo ustanovenie" w:history="1">
        <w:r w:rsidRPr="002F69ED">
          <w:rPr>
            <w:rStyle w:val="Hypertextovprepojenie"/>
            <w:color w:val="auto"/>
            <w:u w:val="none"/>
          </w:rPr>
          <w:t xml:space="preserve">78/2012 </w:t>
        </w:r>
        <w:r>
          <w:rPr>
            <w:rStyle w:val="Hypertextovprepojenie"/>
            <w:color w:val="auto"/>
            <w:u w:val="none"/>
          </w:rPr>
          <w:t>Z. z.</w:t>
        </w:r>
      </w:hyperlink>
      <w:r w:rsidRPr="002F69ED">
        <w:t xml:space="preserve"> o bezpečnosti hračiek a o zmene a doplnení zákona </w:t>
      </w:r>
      <w:r>
        <w:t>č. </w:t>
      </w:r>
      <w:r w:rsidRPr="002F69ED">
        <w:t xml:space="preserve">128/2002 </w:t>
      </w:r>
      <w:r>
        <w:t>Z. z.</w:t>
      </w:r>
      <w:r w:rsidRPr="002F69ED">
        <w:t xml:space="preserve"> o štátnej kontrole vnútorného trhu vo veciach ochrany spotrebiteľa a o zmene a doplnení niektorých zákonov v znení neskorších predpisov v znení neskorších predpisov, zákon </w:t>
      </w:r>
      <w:r>
        <w:t>č. </w:t>
      </w:r>
      <w:hyperlink r:id="rId17" w:tooltip="Odkaz na predpis alebo ustanovenie" w:history="1">
        <w:r w:rsidRPr="002F69ED">
          <w:rPr>
            <w:rStyle w:val="Hypertextovprepojenie"/>
            <w:color w:val="auto"/>
            <w:u w:val="none"/>
          </w:rPr>
          <w:t xml:space="preserve">346/2013 </w:t>
        </w:r>
        <w:r>
          <w:rPr>
            <w:rStyle w:val="Hypertextovprepojenie"/>
            <w:color w:val="auto"/>
            <w:u w:val="none"/>
          </w:rPr>
          <w:t>Z. z.</w:t>
        </w:r>
      </w:hyperlink>
      <w:r w:rsidRPr="002F69ED">
        <w:t xml:space="preserve"> o obmedzení používania určitých </w:t>
      </w:r>
      <w:r>
        <w:t>nebezpečných látok v elektrických zariadeniach a elektronických zariadeniach a ktorým sa mení zákon č. 223/2001 Z. z. o odpadoch a o zmene a doplnení niektorých zákonov v znení neskorších predpisov v znení neskorších predpisov nie sú uvedené v poznámke pod čiarou, lebo sú priamo upravené v čl. III až V návrhu zákona.</w:t>
      </w:r>
    </w:p>
    <w:p w14:paraId="197BFC18" w14:textId="77777777" w:rsidR="00BD2FAC" w:rsidRDefault="00BD2FAC" w:rsidP="00BD2FAC">
      <w:pPr>
        <w:widowControl/>
        <w:spacing w:after="100" w:afterAutospacing="1"/>
        <w:jc w:val="both"/>
        <w:rPr>
          <w:rStyle w:val="Zstupntext"/>
          <w:color w:val="000000"/>
        </w:rPr>
      </w:pPr>
      <w:r>
        <w:rPr>
          <w:rStyle w:val="Zstupntext"/>
          <w:color w:val="000000"/>
        </w:rPr>
        <w:t xml:space="preserve">V článku 4 ods. 5 nariadenia (EÚ) 2019/1020 je uvedený aj predpis Nariadenie Európskeho parlamentu a Rady (EÚ) č. 305/2011 z  9. marca 2011, ktorým sa ustanovujú harmonizované podmienky uvádzania stavebných výrobkov na trh a ktorým sa zrušuje smernica Rady 89/106/EHS Text s významom pre EHP, na ktorý sa však podľa § 30 ustanovenia zákona č. 56/2018 Z. z. nevzťahujú. </w:t>
      </w:r>
    </w:p>
    <w:p w14:paraId="4482E588" w14:textId="77777777" w:rsidR="00BD2FAC" w:rsidRDefault="00BD2FAC" w:rsidP="00BD2FAC">
      <w:pPr>
        <w:widowControl/>
        <w:spacing w:after="100" w:afterAutospacing="1"/>
        <w:jc w:val="both"/>
        <w:rPr>
          <w:rStyle w:val="Zstupntext"/>
          <w:color w:val="000000"/>
        </w:rPr>
      </w:pPr>
      <w:r>
        <w:rPr>
          <w:rStyle w:val="Zstupntext"/>
          <w:color w:val="000000"/>
        </w:rPr>
        <w:t>Vymožiteľnosť ustanovenia § 9a je zabezpečené prostredníctvom § 28 ods. 3. Vo vzťahu k iným technickým predpisom z oblasti posudzovania zhody, ktoré ustanovujú sankcie za porušenie povinnosti hospodárskych subjektov, sú v čl. III až V navrhované znenia zákona č. 529/2010 Z. z., zákona č. 78/2012 Z. z. a zákona č. 346/2013 Z. z.</w:t>
      </w:r>
    </w:p>
    <w:p w14:paraId="6CAC70D0" w14:textId="77777777" w:rsidR="00BD2FAC" w:rsidRDefault="00BD2FAC" w:rsidP="00BD2FAC">
      <w:pPr>
        <w:widowControl/>
        <w:spacing w:after="100" w:afterAutospacing="1"/>
        <w:jc w:val="both"/>
        <w:rPr>
          <w:rStyle w:val="Zstupntext"/>
          <w:b/>
          <w:color w:val="000000"/>
        </w:rPr>
      </w:pPr>
      <w:r>
        <w:rPr>
          <w:rStyle w:val="Zstupntext"/>
          <w:b/>
          <w:color w:val="000000"/>
        </w:rPr>
        <w:t>K bodom 10 a 11</w:t>
      </w:r>
    </w:p>
    <w:p w14:paraId="2E70D6AC" w14:textId="77777777" w:rsidR="00BD2FAC" w:rsidRDefault="00BD2FAC" w:rsidP="00BD2FAC">
      <w:pPr>
        <w:widowControl/>
        <w:spacing w:after="100" w:afterAutospacing="1"/>
        <w:jc w:val="both"/>
        <w:rPr>
          <w:rStyle w:val="Zstupntext"/>
          <w:color w:val="000000"/>
        </w:rPr>
      </w:pPr>
      <w:r>
        <w:rPr>
          <w:rStyle w:val="Zstupntext"/>
          <w:color w:val="000000"/>
        </w:rPr>
        <w:t>V § 11 ods. 2 sa v písmenách c) a d) vypúšťa povinnosť pripojiť podpis v žiadosti o autorizáciu a notifikáciu pre všetkých členov štatutárneho orgánu a pre osoby oprávnené konať v mene autorizovanej osoby, v písmene h) sa však ponecháva povinnosť pripojiť na konci žiadosti podpis štatutárneho orgánu, ktorý je oprávnený podpisovať v mene žiadateľa. Touto zmenou sa odbremení podnikateľské prostredie (autorizované a notifikované osoby) od nadbytočnej administratívnej záťaže, ktorú uvedená požiadavka predstavuje, a ktorá prispeje k jednoduchšiemu podávaniu žiadostí zo strany podnikateľských subjektov.</w:t>
      </w:r>
    </w:p>
    <w:p w14:paraId="39E848BF" w14:textId="77777777" w:rsidR="00BD2FAC" w:rsidRDefault="00BD2FAC" w:rsidP="00BD2FAC">
      <w:pPr>
        <w:widowControl/>
        <w:adjustRightInd/>
        <w:spacing w:after="200" w:line="276" w:lineRule="auto"/>
        <w:rPr>
          <w:rStyle w:val="Zstupntext"/>
          <w:b/>
          <w:color w:val="000000"/>
        </w:rPr>
      </w:pPr>
      <w:r>
        <w:rPr>
          <w:b/>
          <w:color w:val="000000"/>
        </w:rPr>
        <w:br w:type="page"/>
      </w:r>
    </w:p>
    <w:p w14:paraId="1F3B8D13" w14:textId="77777777" w:rsidR="00BD2FAC" w:rsidRDefault="00BD2FAC" w:rsidP="00BD2FAC">
      <w:pPr>
        <w:widowControl/>
        <w:spacing w:after="100" w:afterAutospacing="1"/>
        <w:jc w:val="both"/>
        <w:rPr>
          <w:rStyle w:val="Zstupntext"/>
          <w:b/>
          <w:color w:val="000000"/>
        </w:rPr>
      </w:pPr>
      <w:r>
        <w:rPr>
          <w:rStyle w:val="Zstupntext"/>
          <w:b/>
          <w:color w:val="000000"/>
        </w:rPr>
        <w:lastRenderedPageBreak/>
        <w:t>K bodu 12</w:t>
      </w:r>
    </w:p>
    <w:p w14:paraId="4A9FC288" w14:textId="77777777" w:rsidR="00BD2FAC" w:rsidRDefault="00BD2FAC" w:rsidP="00BD2FAC">
      <w:pPr>
        <w:widowControl/>
        <w:spacing w:after="100" w:afterAutospacing="1"/>
        <w:jc w:val="both"/>
        <w:rPr>
          <w:rStyle w:val="Zstupntext"/>
          <w:color w:val="000000"/>
        </w:rPr>
      </w:pPr>
      <w:r>
        <w:rPr>
          <w:rStyle w:val="Zstupntext"/>
          <w:color w:val="000000"/>
        </w:rPr>
        <w:t xml:space="preserve">V poznámke pod čiarou k odkazu 26) sa dopĺňa zákon č. 513/2009 Z. z. o dráhach a o zmene a doplnení niektorých zákonov v znení neskorších predpisov z dôvodu, že smernica Európskeho parlamentu a Rady (EÚ) 2016/797 z 11. mája 2016 o </w:t>
      </w:r>
      <w:proofErr w:type="spellStart"/>
      <w:r>
        <w:rPr>
          <w:rStyle w:val="Zstupntext"/>
          <w:color w:val="000000"/>
        </w:rPr>
        <w:t>interoperabilite</w:t>
      </w:r>
      <w:proofErr w:type="spellEnd"/>
      <w:r>
        <w:rPr>
          <w:rStyle w:val="Zstupntext"/>
          <w:color w:val="000000"/>
        </w:rPr>
        <w:t xml:space="preserve"> železničného systému v Európskej únii, ktorá je týmto zákonom transponovaná zakladá ako jednu z podmienok aj plnenie požiadaviek príručky </w:t>
      </w:r>
      <w:hyperlink r:id="rId18" w:history="1">
        <w:proofErr w:type="spellStart"/>
        <w:r>
          <w:rPr>
            <w:rStyle w:val="Zstupntext"/>
            <w:color w:val="000000"/>
          </w:rPr>
          <w:t>Technical</w:t>
        </w:r>
        <w:proofErr w:type="spellEnd"/>
        <w:r>
          <w:rPr>
            <w:rStyle w:val="Zstupntext"/>
            <w:color w:val="000000"/>
          </w:rPr>
          <w:t xml:space="preserve"> </w:t>
        </w:r>
        <w:proofErr w:type="spellStart"/>
        <w:r>
          <w:rPr>
            <w:rStyle w:val="Zstupntext"/>
            <w:color w:val="000000"/>
          </w:rPr>
          <w:t>Document</w:t>
        </w:r>
        <w:proofErr w:type="spellEnd"/>
        <w:r>
          <w:rPr>
            <w:rStyle w:val="Zstupntext"/>
            <w:color w:val="000000"/>
          </w:rPr>
          <w:t xml:space="preserve"> </w:t>
        </w:r>
        <w:proofErr w:type="spellStart"/>
        <w:r>
          <w:rPr>
            <w:rStyle w:val="Zstupntext"/>
            <w:color w:val="000000"/>
          </w:rPr>
          <w:t>Requirements</w:t>
        </w:r>
        <w:proofErr w:type="spellEnd"/>
        <w:r>
          <w:rPr>
            <w:rStyle w:val="Zstupntext"/>
            <w:color w:val="000000"/>
          </w:rPr>
          <w:t xml:space="preserve"> </w:t>
        </w:r>
        <w:proofErr w:type="spellStart"/>
        <w:r>
          <w:rPr>
            <w:rStyle w:val="Zstupntext"/>
            <w:color w:val="000000"/>
          </w:rPr>
          <w:t>for</w:t>
        </w:r>
        <w:proofErr w:type="spellEnd"/>
        <w:r>
          <w:rPr>
            <w:rStyle w:val="Zstupntext"/>
            <w:color w:val="000000"/>
          </w:rPr>
          <w:t xml:space="preserve"> </w:t>
        </w:r>
        <w:proofErr w:type="spellStart"/>
        <w:r>
          <w:rPr>
            <w:rStyle w:val="Zstupntext"/>
            <w:color w:val="000000"/>
          </w:rPr>
          <w:t>NoBos</w:t>
        </w:r>
        <w:proofErr w:type="spellEnd"/>
      </w:hyperlink>
      <w:r>
        <w:rPr>
          <w:rStyle w:val="Zstupntext"/>
          <w:color w:val="000000"/>
        </w:rPr>
        <w:t xml:space="preserve">. Tá sa uplatňuje pri posudzovaní žiadateľov o autorizáciu podľa zákona č. 513/2009 Z. z. a smernice 2016/797/EU. Splnenie tejto podmienky sa deklaruje aj pri vykonaní notifikácie v databáze NANDO. </w:t>
      </w:r>
    </w:p>
    <w:p w14:paraId="6DF6B0D2" w14:textId="77777777" w:rsidR="00BD2FAC" w:rsidRDefault="00BD2FAC" w:rsidP="00BD2FAC">
      <w:pPr>
        <w:widowControl/>
        <w:adjustRightInd/>
        <w:spacing w:after="200" w:line="276" w:lineRule="auto"/>
        <w:rPr>
          <w:rStyle w:val="Zstupntext"/>
          <w:b/>
          <w:color w:val="000000"/>
        </w:rPr>
      </w:pPr>
      <w:r>
        <w:rPr>
          <w:rStyle w:val="Zstupntext"/>
          <w:b/>
          <w:color w:val="000000"/>
        </w:rPr>
        <w:t>K bodu 13</w:t>
      </w:r>
    </w:p>
    <w:p w14:paraId="2BEA6B31" w14:textId="77777777" w:rsidR="00BD2FAC" w:rsidRDefault="00BD2FAC" w:rsidP="00BD2FAC">
      <w:pPr>
        <w:widowControl/>
        <w:spacing w:after="100" w:afterAutospacing="1"/>
        <w:jc w:val="both"/>
        <w:rPr>
          <w:rStyle w:val="Zstupntext"/>
          <w:b/>
          <w:color w:val="000000"/>
        </w:rPr>
      </w:pPr>
      <w:r>
        <w:rPr>
          <w:rStyle w:val="Zstupntext"/>
          <w:color w:val="000000"/>
        </w:rPr>
        <w:t>V poznámke pod čiarou k odkazu 27) sa dopĺňajú dva nové technické predpisy z oblasti posudzovania zhody, ktoré povinne požadujú ako prílohu k žiadosti o autorizáciu/notifikáciu osvedčenie o akreditácii vydané vnútroštátnym akreditačným orgánom.</w:t>
      </w:r>
    </w:p>
    <w:p w14:paraId="5B1EF6DD" w14:textId="77777777" w:rsidR="00BD2FAC" w:rsidRDefault="00BD2FAC" w:rsidP="00BD2FAC">
      <w:pPr>
        <w:widowControl/>
        <w:spacing w:after="100" w:afterAutospacing="1"/>
        <w:jc w:val="both"/>
        <w:rPr>
          <w:rStyle w:val="Zstupntext"/>
          <w:b/>
          <w:color w:val="000000"/>
        </w:rPr>
      </w:pPr>
      <w:r>
        <w:rPr>
          <w:rStyle w:val="Zstupntext"/>
          <w:b/>
          <w:color w:val="000000"/>
        </w:rPr>
        <w:t>K bodu 14</w:t>
      </w:r>
    </w:p>
    <w:p w14:paraId="4DF161BD" w14:textId="77777777" w:rsidR="00BD2FAC" w:rsidRDefault="00BD2FAC" w:rsidP="00BD2FAC">
      <w:pPr>
        <w:widowControl/>
        <w:spacing w:after="100" w:afterAutospacing="1"/>
        <w:jc w:val="both"/>
        <w:rPr>
          <w:rStyle w:val="Zstupntext"/>
          <w:color w:val="000000"/>
        </w:rPr>
      </w:pPr>
      <w:r>
        <w:rPr>
          <w:rStyle w:val="Zstupntext"/>
          <w:color w:val="000000"/>
        </w:rPr>
        <w:t>Precizuje sa autorizačná požiadavka podľa § 12 ods. 1 písm. i), kde sa presnejšie vymedzuje pojem „prostriedky“, ktorými sa v rámci európskej legislatívy majú na mysli nielen technické, ale aj finančné prostriedky, teda celkové zabezpečenie chodu subjektu – orgánu posudzovania zhody a autorizovanej osoby, ktorá chce získať autorizáciu – oprávnenie a notifikáciu na vykonávanie posudzovania zhody príslušného určeného výrobku. Predmetná požiadavka predstavuje dôležitý predpoklad a ubezpečenie výrobcov príslušných určených výrobkov, ako aj notifikujúceho orgánu, iných členských štátov a Komisie, že predmetný subjekt má dostatočné finančné a technické prostriedky, ktorými dokáže pokryť činnosti posudzovania zhody učených výrobkov, na výkon ktorých získa autorizáciu a notifikáciu, a ktorými sa zabezpečí jeho stabilita na trhu Únie. Uvedené je zároveň podkladom a podmienkou toho, aby bol v rámci Európskej únie dostatočný počet autorizovaných a notifikovaných osôb pre dané určené výrobky, čo je dôležité pre funkčnosť a zdravie trhu s výrobkami v rámci celej Európskej únie, ako aj fungovania a činnosti hospodárskych subjektov.</w:t>
      </w:r>
    </w:p>
    <w:p w14:paraId="403F6740" w14:textId="77777777" w:rsidR="00BD2FAC" w:rsidRDefault="00BD2FAC" w:rsidP="00BD2FAC">
      <w:pPr>
        <w:widowControl/>
        <w:spacing w:after="100" w:afterAutospacing="1"/>
        <w:jc w:val="both"/>
        <w:rPr>
          <w:rStyle w:val="Zstupntext"/>
          <w:b/>
          <w:color w:val="000000"/>
        </w:rPr>
      </w:pPr>
      <w:r>
        <w:rPr>
          <w:rStyle w:val="Zstupntext"/>
          <w:b/>
          <w:color w:val="000000"/>
        </w:rPr>
        <w:t>K bodu 15</w:t>
      </w:r>
    </w:p>
    <w:p w14:paraId="5B68E90D" w14:textId="77777777" w:rsidR="00BD2FAC" w:rsidRDefault="00BD2FAC" w:rsidP="00BD2FAC">
      <w:pPr>
        <w:widowControl/>
        <w:spacing w:after="100" w:afterAutospacing="1"/>
        <w:jc w:val="both"/>
        <w:rPr>
          <w:rStyle w:val="Zstupntext"/>
          <w:color w:val="000000"/>
        </w:rPr>
      </w:pPr>
      <w:r>
        <w:rPr>
          <w:rStyle w:val="Zstupntext"/>
          <w:color w:val="000000"/>
        </w:rPr>
        <w:t>V náležitostiach rozhodnutia o autorizácii podľa § 14 sa dopĺňa slovo „najmä“ z dôvodu potreby aplikačnej praxe, kedy je v rámci rozhodnutia o autorizácii potrebné prepojiť rozsah postupov posudzovania zhody a určených výrobkov s potvrdením spôsobilosti autorizovanej osoby odkazom na rozsah akreditácie.</w:t>
      </w:r>
    </w:p>
    <w:p w14:paraId="62C179A7" w14:textId="77777777" w:rsidR="00BD2FAC" w:rsidRDefault="00BD2FAC" w:rsidP="00BD2FAC">
      <w:pPr>
        <w:widowControl/>
        <w:spacing w:after="100" w:afterAutospacing="1"/>
        <w:jc w:val="both"/>
        <w:rPr>
          <w:rStyle w:val="Zstupntext"/>
          <w:b/>
          <w:color w:val="000000"/>
        </w:rPr>
      </w:pPr>
      <w:r>
        <w:rPr>
          <w:rStyle w:val="Zstupntext"/>
          <w:b/>
          <w:color w:val="000000"/>
        </w:rPr>
        <w:t>K bodu 16</w:t>
      </w:r>
    </w:p>
    <w:p w14:paraId="3364E505" w14:textId="77777777" w:rsidR="00BD2FAC" w:rsidRDefault="00BD2FAC" w:rsidP="00BD2FAC">
      <w:pPr>
        <w:widowControl/>
        <w:spacing w:after="100" w:afterAutospacing="1"/>
        <w:jc w:val="both"/>
        <w:rPr>
          <w:rStyle w:val="Zstupntext"/>
          <w:color w:val="000000"/>
        </w:rPr>
      </w:pPr>
      <w:r>
        <w:rPr>
          <w:rStyle w:val="Zstupntext"/>
          <w:color w:val="000000"/>
        </w:rPr>
        <w:t>V § 14 sa dopĺňa nový odsek, ktorým úrad vyhovel požiadavke autorizovaných osôb vydávať potvrdenia o autorizácii a notifikácii, ktoré budú vydávané len na žiadosť autorizovanej osoby alebo orgánu posudzovania zhody a ktoré budú vydávané listinne na papier s ochranou vodotlačou a podpisom štatutárneho orgánu úradu. U</w:t>
      </w:r>
      <w:r>
        <w:t>vedeným ustanovením sa vyjadruje ústretovosť k podnikateľským subjektom, ktoré považujú za potrebné mať k dispozícii rozhodnutie o autorizácii aj v reprezentačnom formáte.</w:t>
      </w:r>
    </w:p>
    <w:p w14:paraId="40B2B321" w14:textId="77777777" w:rsidR="00BD2FAC" w:rsidRPr="002F69ED" w:rsidRDefault="00BD2FAC" w:rsidP="00BD2FAC">
      <w:pPr>
        <w:widowControl/>
        <w:adjustRightInd/>
        <w:spacing w:after="200" w:line="276" w:lineRule="auto"/>
        <w:rPr>
          <w:rStyle w:val="Zstupntext"/>
          <w:color w:val="000000"/>
        </w:rPr>
      </w:pPr>
      <w:r>
        <w:rPr>
          <w:b/>
          <w:color w:val="000000"/>
        </w:rPr>
        <w:br w:type="page"/>
      </w:r>
    </w:p>
    <w:p w14:paraId="228EC950" w14:textId="77777777" w:rsidR="00BD2FAC" w:rsidRDefault="00BD2FAC" w:rsidP="00BD2FAC">
      <w:pPr>
        <w:widowControl/>
        <w:spacing w:after="100" w:afterAutospacing="1"/>
        <w:jc w:val="both"/>
        <w:rPr>
          <w:rStyle w:val="Zstupntext"/>
          <w:b/>
          <w:color w:val="000000"/>
        </w:rPr>
      </w:pPr>
      <w:r>
        <w:rPr>
          <w:rStyle w:val="Zstupntext"/>
          <w:b/>
          <w:color w:val="000000"/>
        </w:rPr>
        <w:lastRenderedPageBreak/>
        <w:t>K bodu 17</w:t>
      </w:r>
    </w:p>
    <w:p w14:paraId="5ACDD11C" w14:textId="77777777" w:rsidR="00BD2FAC" w:rsidRDefault="00BD2FAC" w:rsidP="00BD2FAC">
      <w:pPr>
        <w:widowControl/>
        <w:jc w:val="both"/>
        <w:rPr>
          <w:rStyle w:val="Zstupntext"/>
          <w:color w:val="000000"/>
        </w:rPr>
      </w:pPr>
      <w:r>
        <w:rPr>
          <w:rStyle w:val="Zstupntext"/>
          <w:color w:val="000000"/>
        </w:rPr>
        <w:t>Ak autorizovaná osoba nahlási úradu zmenu obchodného mena alebo názvu, sídla a právnej formy, mena, priezviska, funkcie a bydliska osoby alebo osôb, ktoré sú oprávnené konať v jej mene, resp. ich odobratie alebo doplnenie alebo požiada o rozšírenie autorizácie na ďalší technický predpis z oblasti posudzovania zhody alebo jeho časť a spĺňa príslušné požiadavky podľa § 12, úrad vydá nové rozhodnutie, ktorým sa skôr vydané rozhodnutie ruší a je týmto rozhodnutím podľa § 15 nahradené v plnom rozsahu. Zároveň platí, že pôvodný rozsah autorizácie udelený rozhodnutím o autorizácii podľa § 14 ostáva nezmenený a považuje sa za posúdený a úrad preverí  splnenie autorizačných požiadaviek len v rozsahu podanej žiadosti o zmenu autorizácie.</w:t>
      </w:r>
    </w:p>
    <w:p w14:paraId="24DC1137" w14:textId="77777777" w:rsidR="00BD2FAC" w:rsidRDefault="00BD2FAC" w:rsidP="00BD2FAC">
      <w:pPr>
        <w:widowControl/>
        <w:jc w:val="both"/>
        <w:rPr>
          <w:rStyle w:val="Zstupntext"/>
          <w:color w:val="000000"/>
        </w:rPr>
      </w:pPr>
      <w:r>
        <w:rPr>
          <w:rStyle w:val="Zstupntext"/>
          <w:color w:val="000000"/>
        </w:rPr>
        <w:t>§ 15 sa v odseku 2 dopĺňa spresnenie platnosti autorizácie autorizovaných osôb, kde platí, že v prípade, ak autorizovaná osoba požiada o zmenu autorizácie podľa pôvodného rozhodnutia o autorizácii vydaného podľa § 14 zákona č. 56/2018 Z. z., platnosť autorizácie, ktorá bola určená v pôvodnom rozhodnutí o autorizácii podľa § 14 ostáva nezmenená, čo však neplatí len v prípade, ak by autorizovaná osoba požiadala úrad v rámci jednej žiadosti o zmenu autorizácie podľa § 15 (rozšírenie autorizácie napr. o pridanie nového technického predpisu z oblasti posudzovania zhody), a zároveň o predĺženie autorizácie podľa § 16. V takom prípade dôjde aj k predĺženiu platnosti pôvodnej autorizácie a to maximálne o 5 rokov, ak technický predpis z oblasti posudzovacia zhody neustanovuje inak.</w:t>
      </w:r>
    </w:p>
    <w:p w14:paraId="298D2FFE" w14:textId="77777777" w:rsidR="00BD2FAC" w:rsidRDefault="00BD2FAC" w:rsidP="00BD2FAC">
      <w:pPr>
        <w:widowControl/>
        <w:jc w:val="both"/>
        <w:rPr>
          <w:rStyle w:val="Zstupntext"/>
          <w:color w:val="000000"/>
        </w:rPr>
      </w:pPr>
      <w:r>
        <w:rPr>
          <w:rStyle w:val="Zstupntext"/>
          <w:color w:val="000000"/>
        </w:rPr>
        <w:t>Rovnako v rámci konania o predĺžení autorizácie bude vydávané nové rozhodnutie</w:t>
      </w:r>
      <w:r>
        <w:t xml:space="preserve"> </w:t>
      </w:r>
      <w:r>
        <w:rPr>
          <w:rStyle w:val="Zstupntext"/>
          <w:color w:val="000000"/>
        </w:rPr>
        <w:t>o autorizácii, ktorým zruší rozhodnutie o autorizácii podľa § 14, predĺži autorizáciu, ak autorizovaná osoba preukáže splnenie autorizačných požiadaviek a nahradí tak pôvodné rozhodnutie o autorizácii.</w:t>
      </w:r>
    </w:p>
    <w:p w14:paraId="2876E1EA" w14:textId="77777777" w:rsidR="00BD2FAC" w:rsidRDefault="00BD2FAC" w:rsidP="00BD2FAC">
      <w:pPr>
        <w:widowControl/>
        <w:spacing w:after="100" w:afterAutospacing="1"/>
        <w:jc w:val="both"/>
      </w:pPr>
      <w:r>
        <w:rPr>
          <w:rStyle w:val="Zstupntext"/>
          <w:color w:val="000000"/>
        </w:rPr>
        <w:t xml:space="preserve">Cieľom uvedenej právnej úpravy je, aby sa autorizovaná osoba preukazovala vždy len jedným platným rozhodnutím o autorizácii, čo prispeje k zjednodušeniu preukazovania sa uvedeným oprávnením v rámci iných správnych konaní, v rámci ktorých je rozhodnutie o autorizácii </w:t>
      </w:r>
      <w:r>
        <w:t>potrebné doložiť.</w:t>
      </w:r>
    </w:p>
    <w:p w14:paraId="73C5A226" w14:textId="77777777" w:rsidR="00BD2FAC" w:rsidRDefault="00BD2FAC" w:rsidP="00BD2FAC">
      <w:pPr>
        <w:widowControl/>
        <w:spacing w:after="100" w:afterAutospacing="1"/>
        <w:jc w:val="both"/>
        <w:rPr>
          <w:rStyle w:val="Zstupntext"/>
          <w:b/>
          <w:color w:val="000000"/>
        </w:rPr>
      </w:pPr>
      <w:r>
        <w:rPr>
          <w:rStyle w:val="Zstupntext"/>
          <w:b/>
          <w:color w:val="000000"/>
        </w:rPr>
        <w:t>K bodu 18</w:t>
      </w:r>
    </w:p>
    <w:p w14:paraId="7FEA8B54" w14:textId="77777777" w:rsidR="00BD2FAC" w:rsidRDefault="00BD2FAC" w:rsidP="00BD2FAC">
      <w:pPr>
        <w:widowControl/>
        <w:spacing w:after="100" w:afterAutospacing="1"/>
        <w:jc w:val="both"/>
        <w:rPr>
          <w:rStyle w:val="Zstupntext"/>
          <w:color w:val="000000"/>
        </w:rPr>
      </w:pPr>
      <w:r>
        <w:rPr>
          <w:rStyle w:val="Zstupntext"/>
          <w:color w:val="000000"/>
        </w:rPr>
        <w:t xml:space="preserve">V § 26 sa upravuje oprávnenie orgánov dohľadu nad určenými výrobkami vykonávať dohľad nad určenými výrobkami nie len </w:t>
      </w:r>
      <w:proofErr w:type="spellStart"/>
      <w:r>
        <w:rPr>
          <w:rStyle w:val="Zstupntext"/>
          <w:color w:val="000000"/>
        </w:rPr>
        <w:t>offline</w:t>
      </w:r>
      <w:proofErr w:type="spellEnd"/>
      <w:r>
        <w:rPr>
          <w:rStyle w:val="Zstupntext"/>
          <w:color w:val="000000"/>
        </w:rPr>
        <w:t>, ale aj online s cieľom zabezpečiť ochranu zdravia, bezpečnosti, majetku osôb, životného prostredia</w:t>
      </w:r>
      <w:r>
        <w:rPr>
          <w:color w:val="000000"/>
        </w:rPr>
        <w:t>, verejného poriadku, verejného záujmu alebo spotrebiteľa.</w:t>
      </w:r>
    </w:p>
    <w:p w14:paraId="63F01BB6" w14:textId="77777777" w:rsidR="00BD2FAC" w:rsidRDefault="00BD2FAC" w:rsidP="00BD2FAC">
      <w:pPr>
        <w:widowControl/>
        <w:spacing w:after="100" w:afterAutospacing="1"/>
        <w:jc w:val="both"/>
        <w:rPr>
          <w:rStyle w:val="Zstupntext"/>
          <w:b/>
          <w:color w:val="000000"/>
        </w:rPr>
      </w:pPr>
      <w:r>
        <w:rPr>
          <w:rStyle w:val="Zstupntext"/>
          <w:b/>
          <w:color w:val="000000"/>
        </w:rPr>
        <w:t>K bodu 19</w:t>
      </w:r>
    </w:p>
    <w:p w14:paraId="0D63FB3F" w14:textId="77777777" w:rsidR="00BD2FAC" w:rsidRDefault="00BD2FAC" w:rsidP="00BD2FAC">
      <w:pPr>
        <w:widowControl/>
        <w:spacing w:after="100" w:afterAutospacing="1"/>
        <w:jc w:val="both"/>
        <w:rPr>
          <w:rStyle w:val="Zstupntext"/>
          <w:color w:val="000000"/>
        </w:rPr>
      </w:pPr>
      <w:r>
        <w:rPr>
          <w:rStyle w:val="Zstupntext"/>
          <w:color w:val="000000"/>
        </w:rPr>
        <w:t>Upravuje sa znenie poznámky pod čiarou k odkazu 45) tak, že sa dopĺňa č</w:t>
      </w:r>
      <w:r>
        <w:t xml:space="preserve">l. 2 ods. 1 písm. a) pre časti 1 až 5, 16 a 17 prílohy, čl. 2 ods. 1 písm. b) a c) </w:t>
      </w:r>
      <w:r>
        <w:rPr>
          <w:rStyle w:val="Zstupntext"/>
          <w:color w:val="000000"/>
        </w:rPr>
        <w:t>delegovaného nariadenia Komisie (EÚ) 2019/945 z 12. marca 2019 o bezpilotných leteckých systémoch a o prevádzkovateľoch bezpilotných leteckých systémov z tretích krajín (ďalej len „nariadenie (EÚ) 2019/945“), čiže Slovenská obchodná inšpekcia je orgánom dohľadu pre bezpilotné letecké systémy podľa uvedených ustanovení nariadenia (EÚ) 2019/945. Druhým orgánom dohľadu pre bezpilotných leteckých systémoch podľa iných ustanovení nariadenie (EÚ) 2019/945 je Dopravný úrad. Z dôvodu nových právnych predpisov, ktoré nahradili predpisy uvedené v poznámke pod čiarou sa novelizuje celé znenie poznámky pod čiarou k odkazu 45.</w:t>
      </w:r>
    </w:p>
    <w:p w14:paraId="4FAA6977" w14:textId="77777777" w:rsidR="00BD2FAC" w:rsidRPr="00AA5537" w:rsidRDefault="00BD2FAC" w:rsidP="00BD2FAC">
      <w:pPr>
        <w:widowControl/>
        <w:adjustRightInd/>
        <w:spacing w:after="200" w:line="276" w:lineRule="auto"/>
        <w:rPr>
          <w:rStyle w:val="Zstupntext"/>
          <w:color w:val="000000"/>
        </w:rPr>
      </w:pPr>
      <w:r>
        <w:rPr>
          <w:b/>
          <w:color w:val="000000"/>
        </w:rPr>
        <w:br w:type="page"/>
      </w:r>
    </w:p>
    <w:p w14:paraId="579CE24E" w14:textId="77777777" w:rsidR="00BD2FAC" w:rsidRDefault="00BD2FAC" w:rsidP="00BD2FAC">
      <w:pPr>
        <w:widowControl/>
        <w:spacing w:after="100" w:afterAutospacing="1"/>
        <w:jc w:val="both"/>
        <w:rPr>
          <w:rStyle w:val="Zstupntext"/>
          <w:b/>
          <w:color w:val="000000"/>
        </w:rPr>
      </w:pPr>
      <w:r>
        <w:rPr>
          <w:rStyle w:val="Zstupntext"/>
          <w:b/>
          <w:color w:val="000000"/>
        </w:rPr>
        <w:lastRenderedPageBreak/>
        <w:t>K bodu 20</w:t>
      </w:r>
    </w:p>
    <w:p w14:paraId="38A2AFA4" w14:textId="77777777" w:rsidR="00BD2FAC" w:rsidRDefault="00BD2FAC" w:rsidP="00BD2FAC">
      <w:pPr>
        <w:widowControl/>
        <w:spacing w:after="100" w:afterAutospacing="1"/>
        <w:jc w:val="both"/>
        <w:rPr>
          <w:rStyle w:val="Zstupntext"/>
          <w:color w:val="000000"/>
        </w:rPr>
      </w:pPr>
      <w:r>
        <w:rPr>
          <w:rStyle w:val="Zstupntext"/>
          <w:color w:val="000000"/>
        </w:rPr>
        <w:t>Ustanovuje sa znenie poznámky pod čiarou k odkazu 46 pre rozsah činností pre Slovenskú obchodnú inšpekciu ako orgánu dohľadu nad bezpilotnými leteckými systémami.</w:t>
      </w:r>
    </w:p>
    <w:p w14:paraId="5438F03B" w14:textId="77777777" w:rsidR="00BD2FAC" w:rsidRDefault="00BD2FAC" w:rsidP="00BD2FAC">
      <w:pPr>
        <w:widowControl/>
        <w:spacing w:after="100" w:afterAutospacing="1"/>
        <w:jc w:val="both"/>
        <w:rPr>
          <w:rStyle w:val="Zstupntext"/>
          <w:b/>
          <w:color w:val="000000"/>
        </w:rPr>
      </w:pPr>
      <w:r>
        <w:rPr>
          <w:rStyle w:val="Zstupntext"/>
          <w:b/>
          <w:color w:val="000000"/>
        </w:rPr>
        <w:t>K bodu 21</w:t>
      </w:r>
    </w:p>
    <w:p w14:paraId="2764F67B" w14:textId="77777777" w:rsidR="00BD2FAC" w:rsidRDefault="00BD2FAC" w:rsidP="00BD2FAC">
      <w:pPr>
        <w:widowControl/>
        <w:spacing w:after="100" w:afterAutospacing="1"/>
        <w:jc w:val="both"/>
        <w:rPr>
          <w:rStyle w:val="Zstupntext"/>
          <w:color w:val="000000"/>
        </w:rPr>
      </w:pPr>
      <w:r>
        <w:rPr>
          <w:rStyle w:val="Zstupntext"/>
          <w:color w:val="000000"/>
        </w:rPr>
        <w:t>Medzi osobitné predpisy sa Inšpektorátom práce dopĺňa nariadenie vlády Slovenskej republiky č. 193/2016 Z. z. o sprístupňovaní rádiových zariadení na trhu v znení nariadenia vlády SR č. 332/2019 Z. z.</w:t>
      </w:r>
    </w:p>
    <w:p w14:paraId="67508780" w14:textId="77777777" w:rsidR="00BD2FAC" w:rsidRDefault="00BD2FAC" w:rsidP="00BD2FAC">
      <w:pPr>
        <w:widowControl/>
        <w:adjustRightInd/>
        <w:spacing w:after="200" w:line="276" w:lineRule="auto"/>
        <w:rPr>
          <w:rStyle w:val="Zstupntext"/>
          <w:b/>
          <w:color w:val="000000"/>
        </w:rPr>
      </w:pPr>
      <w:r>
        <w:rPr>
          <w:rStyle w:val="Zstupntext"/>
          <w:b/>
          <w:color w:val="000000"/>
        </w:rPr>
        <w:t>K bodu 22</w:t>
      </w:r>
    </w:p>
    <w:p w14:paraId="176B29E5" w14:textId="77777777" w:rsidR="00BD2FAC" w:rsidRDefault="00BD2FAC" w:rsidP="00BD2FAC">
      <w:pPr>
        <w:widowControl/>
        <w:spacing w:after="100" w:afterAutospacing="1"/>
        <w:jc w:val="both"/>
        <w:rPr>
          <w:rStyle w:val="Zstupntext"/>
          <w:color w:val="000000"/>
        </w:rPr>
      </w:pPr>
      <w:r>
        <w:rPr>
          <w:rStyle w:val="Zstupntext"/>
          <w:color w:val="000000"/>
        </w:rPr>
        <w:t xml:space="preserve">Upravuje sa znenie poznámky pod čiarou k odkazu 51 z dôvodu, že Dopravný úrad je druhým orgánom dohľadu pre bezpilotných leteckých systémoch podľa ustanovenia </w:t>
      </w:r>
      <w:r>
        <w:t xml:space="preserve">čl. 40 ods. 1 </w:t>
      </w:r>
      <w:r>
        <w:rPr>
          <w:rStyle w:val="Zstupntext"/>
          <w:color w:val="000000"/>
        </w:rPr>
        <w:t xml:space="preserve">nariadenia (EÚ) 2019/945. </w:t>
      </w:r>
    </w:p>
    <w:p w14:paraId="0532FB5B" w14:textId="77777777" w:rsidR="00BD2FAC" w:rsidRDefault="00BD2FAC" w:rsidP="00BD2FAC">
      <w:pPr>
        <w:widowControl/>
        <w:spacing w:after="100" w:afterAutospacing="1"/>
        <w:jc w:val="both"/>
        <w:rPr>
          <w:rStyle w:val="Zstupntext"/>
          <w:b/>
          <w:color w:val="000000"/>
        </w:rPr>
      </w:pPr>
      <w:r>
        <w:rPr>
          <w:rStyle w:val="Zstupntext"/>
          <w:b/>
          <w:color w:val="000000"/>
        </w:rPr>
        <w:t>K bodu 23</w:t>
      </w:r>
    </w:p>
    <w:p w14:paraId="0FE17846" w14:textId="77777777" w:rsidR="00BD2FAC" w:rsidRDefault="00BD2FAC" w:rsidP="00BD2FAC">
      <w:pPr>
        <w:widowControl/>
        <w:spacing w:after="100" w:afterAutospacing="1"/>
        <w:jc w:val="both"/>
        <w:rPr>
          <w:rStyle w:val="Zstupntext"/>
          <w:color w:val="000000"/>
        </w:rPr>
      </w:pPr>
      <w:r>
        <w:rPr>
          <w:rStyle w:val="Zstupntext"/>
          <w:color w:val="000000"/>
        </w:rPr>
        <w:t>Ustanovuje sa znenie poznámky pod čiarou k odkazu 52 pre rozsah činností Dopravného úradu ako orgánu dohľadu nad bezpilotnými leteckými systémami.</w:t>
      </w:r>
    </w:p>
    <w:p w14:paraId="57CFE155" w14:textId="77777777" w:rsidR="00BD2FAC" w:rsidRDefault="00BD2FAC" w:rsidP="00BD2FAC">
      <w:pPr>
        <w:widowControl/>
        <w:spacing w:after="100" w:afterAutospacing="1"/>
        <w:jc w:val="both"/>
        <w:rPr>
          <w:rStyle w:val="Zstupntext"/>
          <w:b/>
          <w:color w:val="000000"/>
        </w:rPr>
      </w:pPr>
      <w:r>
        <w:rPr>
          <w:rStyle w:val="Zstupntext"/>
          <w:b/>
          <w:color w:val="000000"/>
        </w:rPr>
        <w:t>K bodu 24</w:t>
      </w:r>
    </w:p>
    <w:p w14:paraId="5D0453CB" w14:textId="77777777" w:rsidR="00BD2FAC" w:rsidRDefault="00BD2FAC" w:rsidP="00BD2FAC">
      <w:pPr>
        <w:widowControl/>
        <w:spacing w:after="100" w:afterAutospacing="1"/>
        <w:jc w:val="both"/>
        <w:rPr>
          <w:rStyle w:val="Zstupntext"/>
          <w:color w:val="000000"/>
        </w:rPr>
      </w:pPr>
      <w:r>
        <w:rPr>
          <w:rStyle w:val="Zstupntext"/>
          <w:color w:val="000000"/>
        </w:rPr>
        <w:t>Upravuje sa znenie poznámky pod čiarou k odkazu 54 z dôvodu prijatia nových právnych predpisov, ktoré nahradili pôvodné nariadenia vlády Slovenskej republiky uvedené v tejto poznámke pod čiarou.</w:t>
      </w:r>
    </w:p>
    <w:p w14:paraId="0A0F6B64" w14:textId="77777777" w:rsidR="00BD2FAC" w:rsidRDefault="00BD2FAC" w:rsidP="00BD2FAC">
      <w:pPr>
        <w:widowControl/>
        <w:spacing w:after="100" w:afterAutospacing="1"/>
        <w:jc w:val="both"/>
        <w:rPr>
          <w:rStyle w:val="Zstupntext"/>
          <w:b/>
          <w:color w:val="000000"/>
        </w:rPr>
      </w:pPr>
      <w:r>
        <w:rPr>
          <w:rStyle w:val="Zstupntext"/>
          <w:b/>
          <w:color w:val="000000"/>
        </w:rPr>
        <w:t>K bodu 25</w:t>
      </w:r>
    </w:p>
    <w:p w14:paraId="0C978A3D" w14:textId="77777777" w:rsidR="00BD2FAC" w:rsidRDefault="00BD2FAC" w:rsidP="00BD2FAC">
      <w:pPr>
        <w:widowControl/>
        <w:spacing w:after="100" w:afterAutospacing="1"/>
        <w:jc w:val="both"/>
        <w:rPr>
          <w:rStyle w:val="Zstupntext"/>
          <w:color w:val="000000"/>
        </w:rPr>
      </w:pPr>
      <w:r>
        <w:rPr>
          <w:rStyle w:val="Zstupntext"/>
          <w:color w:val="000000"/>
        </w:rPr>
        <w:t>Upravuje sa znenie § 26 písm. g) z dôvodu legislatívno-technickej úpravy.</w:t>
      </w:r>
    </w:p>
    <w:p w14:paraId="2C9EEE66" w14:textId="77777777" w:rsidR="00BD2FAC" w:rsidRDefault="00BD2FAC" w:rsidP="00BD2FAC">
      <w:pPr>
        <w:widowControl/>
        <w:spacing w:after="100" w:afterAutospacing="1"/>
        <w:jc w:val="both"/>
        <w:rPr>
          <w:rStyle w:val="Zstupntext"/>
          <w:b/>
          <w:color w:val="000000"/>
        </w:rPr>
      </w:pPr>
      <w:r>
        <w:rPr>
          <w:rStyle w:val="Zstupntext"/>
          <w:b/>
          <w:color w:val="000000"/>
        </w:rPr>
        <w:t>K bodu 26</w:t>
      </w:r>
    </w:p>
    <w:p w14:paraId="682C8749" w14:textId="77777777" w:rsidR="00BD2FAC" w:rsidRDefault="00BD2FAC" w:rsidP="00BD2FAC">
      <w:pPr>
        <w:widowControl/>
        <w:spacing w:after="100" w:afterAutospacing="1"/>
        <w:jc w:val="both"/>
        <w:rPr>
          <w:rStyle w:val="Zstupntext"/>
          <w:b/>
          <w:color w:val="000000"/>
        </w:rPr>
      </w:pPr>
      <w:r>
        <w:t>Dopĺňa sa nový orgán dohľadu Ústredný kontrolný a skúšobný ústav poľnohospodársky v Bratislave pre hnojivá podľa nariadenia (EÚ) 2019/1009.</w:t>
      </w:r>
    </w:p>
    <w:p w14:paraId="0F4ED942" w14:textId="77777777" w:rsidR="00BD2FAC" w:rsidRDefault="00BD2FAC" w:rsidP="00BD2FAC">
      <w:pPr>
        <w:widowControl/>
        <w:spacing w:after="100" w:afterAutospacing="1"/>
        <w:jc w:val="both"/>
        <w:rPr>
          <w:rStyle w:val="Zstupntext"/>
          <w:b/>
          <w:color w:val="000000"/>
        </w:rPr>
      </w:pPr>
      <w:r>
        <w:rPr>
          <w:rStyle w:val="Zstupntext"/>
          <w:b/>
          <w:color w:val="000000"/>
        </w:rPr>
        <w:t>K bodu 27</w:t>
      </w:r>
    </w:p>
    <w:p w14:paraId="5EF1755E" w14:textId="77777777" w:rsidR="00BD2FAC" w:rsidRDefault="00BD2FAC" w:rsidP="00BD2FAC">
      <w:pPr>
        <w:widowControl/>
        <w:spacing w:after="100" w:afterAutospacing="1"/>
        <w:jc w:val="both"/>
        <w:rPr>
          <w:rStyle w:val="Zstupntext"/>
          <w:color w:val="000000"/>
        </w:rPr>
      </w:pPr>
      <w:r>
        <w:rPr>
          <w:rStyle w:val="Zstupntext"/>
          <w:color w:val="000000"/>
        </w:rPr>
        <w:t>V § 27 sú transponované ustanovenia týkajúce sa dohľadu nad určenými výrobkami zo smerníc Európskeho parlamentu a Rady uvedených v prílohe k zákonu. Upravuje sa znenie § 27 návrhu zákona s cieľom jeho zosúladenia a zabezpečenia implementácie nariadenia (EÚ) 2019/1020, konkrétne s jeho ustanoveniami upravujúcimi výkon dohľadu nad trhom vrátane jednotlivých oprávnení, právomocí a opatrení ukladaných orgánmi dohľadu nad určenými výrobkami, t. j. dohľadu nad približne tridsiatimi technickými predpismi z oblasti posudzovania zhody uvedenými v prílohe k nariadeniu (EÚ) 2019/1020 a ktoré pokrýva rámcový zákon č. 56/2018 Z. z. Ostatné predpisy uvedené v prílohe k nariadeniu (EÚ) 2019/1020 nie sú pokryté zákonom č. 56/2018 Z. z.</w:t>
      </w:r>
    </w:p>
    <w:p w14:paraId="7030806C" w14:textId="77777777" w:rsidR="00BD2FAC" w:rsidRDefault="00BD2FAC" w:rsidP="00BD2FAC">
      <w:pPr>
        <w:widowControl/>
        <w:spacing w:after="100" w:afterAutospacing="1"/>
        <w:jc w:val="both"/>
        <w:rPr>
          <w:rStyle w:val="Zstupntext"/>
          <w:color w:val="000000"/>
        </w:rPr>
      </w:pPr>
      <w:r>
        <w:lastRenderedPageBreak/>
        <w:t>Z dôvodu právnej istoty sa v § 27 ods. 1 písm. m) jasne ustanovuje, že popri opatreniach sú orgány dohľadu oprávnené udeliť pokutu, lebo v minulosti sa vyskytli v aplikačnej praxi problémy s interpretáciou ukladania opatrení a pokút.</w:t>
      </w:r>
    </w:p>
    <w:p w14:paraId="0FBB90F2" w14:textId="77777777" w:rsidR="00BD2FAC" w:rsidRDefault="00BD2FAC" w:rsidP="00BD2FAC">
      <w:pPr>
        <w:widowControl/>
        <w:spacing w:after="100" w:afterAutospacing="1"/>
        <w:jc w:val="both"/>
        <w:rPr>
          <w:rStyle w:val="Zstupntext"/>
          <w:b/>
          <w:color w:val="000000"/>
        </w:rPr>
      </w:pPr>
      <w:r>
        <w:rPr>
          <w:rStyle w:val="Zstupntext"/>
          <w:b/>
          <w:color w:val="000000"/>
        </w:rPr>
        <w:t>K bodom 28 a 29</w:t>
      </w:r>
    </w:p>
    <w:p w14:paraId="29B441FF" w14:textId="77777777" w:rsidR="00BD2FAC" w:rsidRDefault="00BD2FAC" w:rsidP="00BD2FAC">
      <w:pPr>
        <w:widowControl/>
        <w:jc w:val="both"/>
        <w:rPr>
          <w:rStyle w:val="Zstupntext"/>
          <w:color w:val="000000"/>
        </w:rPr>
      </w:pPr>
      <w:r>
        <w:rPr>
          <w:rStyle w:val="Zstupntext"/>
          <w:color w:val="000000"/>
        </w:rPr>
        <w:t xml:space="preserve">§ 28 sa dopĺňa o novú skutkovú podstatu, ktorej sa môže dopustiť fyzická osoba, fyzická osoba podnikateľ alebo právnická osoba a ktorá spočíva v potrebe doplnenia sankcie za porušenia zákazu uvedeného v § 24 ods. 4, </w:t>
      </w:r>
      <w:proofErr w:type="spellStart"/>
      <w:r>
        <w:rPr>
          <w:rStyle w:val="Zstupntext"/>
          <w:color w:val="000000"/>
        </w:rPr>
        <w:t>t.j</w:t>
      </w:r>
      <w:proofErr w:type="spellEnd"/>
      <w:r>
        <w:rPr>
          <w:rStyle w:val="Zstupntext"/>
          <w:color w:val="000000"/>
        </w:rPr>
        <w:t>. za to, že výrobca alebo akýkoľvek iný hospodársky subjekt uvedie na výrobku, ktorý nie je určeným výrobkom, označenie CE alebo inú značku podľa § 24 neoprávnene, teda na výrobok, pri ktorom nie je oprávnený takéto označenie umiestniť a ktoré legislatíva pre uvedené výrobky neustanovuje. Označenie CE alebo inú značku podľa § 24 je možné umiestniť len na určené výrobky, pre ktoré to ustanovujú explicitne technické predpisy z oblasti posudzovania zhody.</w:t>
      </w:r>
    </w:p>
    <w:p w14:paraId="0354A251" w14:textId="77777777" w:rsidR="00BD2FAC" w:rsidRDefault="00BD2FAC" w:rsidP="00BD2FAC">
      <w:pPr>
        <w:widowControl/>
        <w:spacing w:after="100" w:afterAutospacing="1"/>
        <w:jc w:val="both"/>
        <w:rPr>
          <w:rStyle w:val="Zstupntext"/>
          <w:color w:val="000000"/>
        </w:rPr>
      </w:pPr>
      <w:r>
        <w:rPr>
          <w:rStyle w:val="Zstupntext"/>
          <w:color w:val="000000"/>
        </w:rPr>
        <w:t xml:space="preserve">Ďalej sa dopĺňa nová skutková podstata, ktorej sa môže dopustiť fyzická osoba, fyzická osoba podnikateľ alebo právnická osoba a ktorá spočíva v potrebe doplnenia sankcie v prípade, že hospodársky subjekt </w:t>
      </w:r>
      <w:r>
        <w:t>sprístupni na trh určený výrobok, u ktorého nevie preukázať posudzovanie zhody určeného výrobku. Dôvodom doplnenia tejto skutkovej podstaty je</w:t>
      </w:r>
      <w:r>
        <w:rPr>
          <w:rStyle w:val="Zstupntext"/>
          <w:color w:val="000000"/>
        </w:rPr>
        <w:t xml:space="preserve"> aplikačná prax, ktorá ukázala, že najmä hospodárske subjekty v postavení distribútora nevedia relevantným spôsobom preukázať, či bola alebo nebola zhoda výrobku posúdená. Cieľom týchto ustanovení je efektívne vymáhanie povinností ustanovených týmto zákonom, čím sa docieli bezpečnosť určených výrobkov sprístupňovaných na území Slovenskej republiky, ale aj v celej Európskej únii.</w:t>
      </w:r>
    </w:p>
    <w:p w14:paraId="60E3A643" w14:textId="77777777" w:rsidR="00BD2FAC" w:rsidRDefault="00BD2FAC" w:rsidP="00BD2FAC">
      <w:pPr>
        <w:widowControl/>
        <w:spacing w:after="100" w:afterAutospacing="1"/>
        <w:jc w:val="both"/>
        <w:rPr>
          <w:rStyle w:val="Zstupntext"/>
          <w:b/>
          <w:color w:val="000000"/>
        </w:rPr>
      </w:pPr>
      <w:r>
        <w:rPr>
          <w:rStyle w:val="Zstupntext"/>
          <w:b/>
          <w:color w:val="000000"/>
        </w:rPr>
        <w:t>K bodu 30</w:t>
      </w:r>
    </w:p>
    <w:p w14:paraId="186E31F6" w14:textId="77777777" w:rsidR="00BD2FAC" w:rsidRDefault="00BD2FAC" w:rsidP="00BD2FAC">
      <w:pPr>
        <w:widowControl/>
        <w:spacing w:after="100" w:afterAutospacing="1"/>
        <w:jc w:val="both"/>
        <w:rPr>
          <w:rStyle w:val="Zstupntext"/>
          <w:color w:val="000000"/>
        </w:rPr>
      </w:pPr>
      <w:r>
        <w:rPr>
          <w:rStyle w:val="Zstupntext"/>
          <w:color w:val="000000"/>
        </w:rPr>
        <w:t>Upravujú sa vnútorné odkazy z dôvodu úpravy § 27.</w:t>
      </w:r>
    </w:p>
    <w:p w14:paraId="567F57C6" w14:textId="77777777" w:rsidR="00BD2FAC" w:rsidRDefault="00BD2FAC" w:rsidP="00BD2FAC">
      <w:pPr>
        <w:widowControl/>
        <w:spacing w:after="100" w:afterAutospacing="1"/>
        <w:jc w:val="both"/>
        <w:rPr>
          <w:rStyle w:val="Zstupntext"/>
          <w:b/>
          <w:color w:val="000000"/>
        </w:rPr>
      </w:pPr>
      <w:r>
        <w:rPr>
          <w:rStyle w:val="Zstupntext"/>
          <w:b/>
          <w:color w:val="000000"/>
        </w:rPr>
        <w:t>K bodu 31</w:t>
      </w:r>
    </w:p>
    <w:p w14:paraId="6E57239D" w14:textId="77777777" w:rsidR="00BD2FAC" w:rsidRDefault="00BD2FAC" w:rsidP="00BD2FAC">
      <w:pPr>
        <w:widowControl/>
        <w:spacing w:after="100" w:afterAutospacing="1"/>
        <w:jc w:val="both"/>
        <w:rPr>
          <w:rStyle w:val="Zstupntext"/>
          <w:color w:val="000000"/>
        </w:rPr>
      </w:pPr>
      <w:r>
        <w:rPr>
          <w:rStyle w:val="Zstupntext"/>
          <w:color w:val="000000"/>
        </w:rPr>
        <w:t xml:space="preserve">§ 28 sa dopĺňa o novú skutkovú podstatu, ktorej sa môže dopustiť hospodársky vymedzený v článku 4 ods. 2 nariadenia (EÚ) 2019/1020. Tieto povinnosti platia pre vymedzené hospodárske subjekty len pre určené výrobky upravené nasledujúcimi právnymi predpismi podľa článku 4 ods. 5 nariadenia (EÚ) 2019/1020: </w:t>
      </w:r>
      <w:r>
        <w:t>n</w:t>
      </w:r>
      <w:r>
        <w:rPr>
          <w:rStyle w:val="Zstupntext"/>
          <w:color w:val="000000"/>
        </w:rPr>
        <w:t xml:space="preserve">ariadenia Európskeho parlamentu a Rady (EÚ) 2016/425 (35) a (EÚ) 2016/426 (36) a smernice Európskeho parlamentu a Rady 2000/14/ES (37), 2006/42/ES (38), 2009/48/ES (39), 2009/125/ES (40), 2013/29/EÚ (42), 2013/53/EÚ (43), 2014/29/EÚ (44), 2014/30/EÚ (45), 2014/31/EÚ (46), 2014/32/EÚ (47), 2014/34/EÚ (48), 2014/35/EÚ (49), 2014/53/EÚ (50) a 2014/68/EÚ (51). Doplnením tejto skutkovej podstaty sa zakladá vymožiteľnosť § 9a.  </w:t>
      </w:r>
    </w:p>
    <w:p w14:paraId="1FFE3253" w14:textId="77777777" w:rsidR="00BD2FAC" w:rsidRDefault="00BD2FAC" w:rsidP="00BD2FAC">
      <w:pPr>
        <w:widowControl/>
        <w:spacing w:after="100" w:afterAutospacing="1"/>
        <w:jc w:val="both"/>
        <w:rPr>
          <w:rStyle w:val="Zstupntext"/>
          <w:b/>
          <w:color w:val="000000"/>
        </w:rPr>
      </w:pPr>
      <w:r>
        <w:rPr>
          <w:rStyle w:val="Zstupntext"/>
          <w:b/>
          <w:color w:val="000000"/>
        </w:rPr>
        <w:t>K bodu 32 až 35</w:t>
      </w:r>
    </w:p>
    <w:p w14:paraId="75DD7064" w14:textId="77777777" w:rsidR="00BD2FAC" w:rsidRDefault="00BD2FAC" w:rsidP="00BD2FAC">
      <w:pPr>
        <w:widowControl/>
        <w:spacing w:after="100" w:afterAutospacing="1"/>
        <w:jc w:val="both"/>
        <w:rPr>
          <w:rStyle w:val="Zstupntext"/>
          <w:color w:val="000000"/>
        </w:rPr>
      </w:pPr>
      <w:r>
        <w:rPr>
          <w:rStyle w:val="Zstupntext"/>
          <w:color w:val="000000"/>
        </w:rPr>
        <w:t>Upravujú sa vnútorné odkazy – legislatívno-technická úprava.</w:t>
      </w:r>
    </w:p>
    <w:p w14:paraId="4B2DAF27" w14:textId="77777777" w:rsidR="00BD2FAC" w:rsidRDefault="00BD2FAC" w:rsidP="00BD2FAC">
      <w:pPr>
        <w:widowControl/>
        <w:spacing w:after="100" w:afterAutospacing="1"/>
        <w:jc w:val="both"/>
        <w:rPr>
          <w:rStyle w:val="Zstupntext"/>
          <w:b/>
          <w:color w:val="000000"/>
        </w:rPr>
      </w:pPr>
      <w:r>
        <w:rPr>
          <w:rStyle w:val="Zstupntext"/>
          <w:b/>
          <w:color w:val="000000"/>
        </w:rPr>
        <w:t>K bodu 36</w:t>
      </w:r>
    </w:p>
    <w:p w14:paraId="32A54AB4" w14:textId="77777777" w:rsidR="00BD2FAC" w:rsidRDefault="00BD2FAC" w:rsidP="00BD2FAC">
      <w:pPr>
        <w:widowControl/>
        <w:spacing w:after="100" w:afterAutospacing="1"/>
        <w:jc w:val="both"/>
        <w:rPr>
          <w:rStyle w:val="Zstupntext"/>
          <w:color w:val="000000"/>
        </w:rPr>
      </w:pPr>
      <w:r>
        <w:rPr>
          <w:rStyle w:val="Zstupntext"/>
          <w:color w:val="000000"/>
        </w:rPr>
        <w:t xml:space="preserve">Ustanovujú sa kompetencie úradu vo vzťahu k orgánom dohľadu nad určenými výrobkami. Ďalej sa ustanovujú informačné povinnosti medzi jednotlivými zodpovednými subjektmi tak, aby v rámci svojich kompetencií mohli zdieľať informácie o nebezpečných výrobkoch a efektívne zasahovať priamo na trhu vo všetkých členských štátoch Európskej únie. Ustanovenie je rámcové a berie do úvahy rôznosť databáz a informačných systémov Európskej </w:t>
      </w:r>
      <w:r>
        <w:rPr>
          <w:rStyle w:val="Zstupntext"/>
          <w:color w:val="000000"/>
        </w:rPr>
        <w:lastRenderedPageBreak/>
        <w:t xml:space="preserve">komisie na zdieľanie údajov o nebezpečnosti určených výrobkov, ktoré bolo potrebné upraviť a zosúladiť s ustanoveniami nariadenia (EÚ) 2019/1020. </w:t>
      </w:r>
    </w:p>
    <w:p w14:paraId="0A2FA593" w14:textId="77777777" w:rsidR="00BD2FAC" w:rsidRDefault="00BD2FAC" w:rsidP="00BD2FAC">
      <w:pPr>
        <w:widowControl/>
        <w:spacing w:after="100" w:afterAutospacing="1"/>
        <w:jc w:val="both"/>
        <w:rPr>
          <w:rStyle w:val="Zstupntext"/>
          <w:b/>
          <w:color w:val="000000"/>
        </w:rPr>
      </w:pPr>
      <w:r>
        <w:rPr>
          <w:rStyle w:val="Zstupntext"/>
          <w:b/>
          <w:color w:val="000000"/>
        </w:rPr>
        <w:t>K bodu 37</w:t>
      </w:r>
    </w:p>
    <w:p w14:paraId="60EFA522" w14:textId="77777777" w:rsidR="00BD2FAC" w:rsidRDefault="00BD2FAC" w:rsidP="00BD2FAC">
      <w:pPr>
        <w:widowControl/>
        <w:spacing w:after="100" w:afterAutospacing="1"/>
        <w:jc w:val="both"/>
        <w:rPr>
          <w:rStyle w:val="Zstupntext"/>
          <w:color w:val="000000"/>
        </w:rPr>
      </w:pPr>
      <w:r>
        <w:rPr>
          <w:rStyle w:val="Zstupntext"/>
          <w:color w:val="000000"/>
        </w:rPr>
        <w:t>Upravuje sa, že správny poriadok sa nevzťahuje na konanie podľa celého § 27.</w:t>
      </w:r>
    </w:p>
    <w:p w14:paraId="649EF40C" w14:textId="77777777" w:rsidR="00BD2FAC" w:rsidRDefault="00BD2FAC" w:rsidP="00BD2FAC">
      <w:pPr>
        <w:widowControl/>
        <w:spacing w:after="100" w:afterAutospacing="1"/>
        <w:jc w:val="both"/>
        <w:rPr>
          <w:rStyle w:val="Zstupntext"/>
          <w:b/>
          <w:color w:val="000000"/>
        </w:rPr>
      </w:pPr>
      <w:r>
        <w:rPr>
          <w:rStyle w:val="Zstupntext"/>
          <w:b/>
          <w:color w:val="000000"/>
        </w:rPr>
        <w:t>K bodu 38</w:t>
      </w:r>
    </w:p>
    <w:p w14:paraId="41056360" w14:textId="77777777" w:rsidR="00BD2FAC" w:rsidRDefault="00BD2FAC" w:rsidP="00BD2FAC">
      <w:pPr>
        <w:widowControl/>
        <w:spacing w:after="100" w:afterAutospacing="1"/>
        <w:jc w:val="both"/>
        <w:rPr>
          <w:rStyle w:val="Zstupntext"/>
          <w:color w:val="000000"/>
        </w:rPr>
      </w:pPr>
      <w:r>
        <w:rPr>
          <w:rStyle w:val="Zstupntext"/>
          <w:color w:val="000000"/>
        </w:rPr>
        <w:t>Upravuje sa znenie prechodných a záverečných ustanovení z dôvodu potreby predĺženia lehoty platnosti autorizácie doterajšej autorizovanej osoby vykonávajúcej preskúšanie výbušnín, výbušných predmetov a munície. Pre vydanie novej autorizácie je nevyhnutné prijatie technického predpisu z oblasti posudzovania zhody pre tieto výrobky tak, aby autorizovaná osoba mohla plynule posudzovať daný nebezpečný materiál až do vydania technického predpisu na základe prijatej novely zákona č. 58/2014 Z. z. a aby bol vytvorený dostatočný časový priestor aj pre následné vydanie novej autorizácie. Zabezpečenie riadneho technického stavu tohto nebezpečného a citlivého materiálu je základným predpokladom na zabránenie havárií a iných neželaných udalostí, ako aj na plnenie úloh rezortu ministerstva obrany.</w:t>
      </w:r>
    </w:p>
    <w:p w14:paraId="06C22CC0" w14:textId="77777777" w:rsidR="00BD2FAC" w:rsidRDefault="00BD2FAC" w:rsidP="00BD2FAC">
      <w:pPr>
        <w:widowControl/>
        <w:spacing w:after="100" w:afterAutospacing="1"/>
        <w:jc w:val="both"/>
        <w:rPr>
          <w:rStyle w:val="Zstupntext"/>
          <w:b/>
          <w:color w:val="000000"/>
        </w:rPr>
      </w:pPr>
      <w:r>
        <w:rPr>
          <w:rStyle w:val="Zstupntext"/>
          <w:b/>
          <w:color w:val="000000"/>
        </w:rPr>
        <w:t>K bodu 39</w:t>
      </w:r>
    </w:p>
    <w:p w14:paraId="623B712E" w14:textId="77777777" w:rsidR="00BD2FAC" w:rsidRDefault="00BD2FAC" w:rsidP="00BD2FAC">
      <w:pPr>
        <w:widowControl/>
        <w:spacing w:after="100" w:afterAutospacing="1"/>
        <w:jc w:val="both"/>
        <w:rPr>
          <w:rStyle w:val="Zstupntext"/>
          <w:color w:val="000000"/>
        </w:rPr>
      </w:pPr>
      <w:r>
        <w:rPr>
          <w:rStyle w:val="Zstupntext"/>
          <w:color w:val="000000"/>
        </w:rPr>
        <w:t>Dopĺňa sa nový § 31a, ktorý ustanovuje prechodné ustanovenia k úpravám účinným od 16. júla 2021.</w:t>
      </w:r>
    </w:p>
    <w:p w14:paraId="1D71CABA" w14:textId="77777777" w:rsidR="00BD2FAC" w:rsidRDefault="00BD2FAC" w:rsidP="00BD2FAC">
      <w:pPr>
        <w:widowControl/>
        <w:spacing w:after="100" w:afterAutospacing="1"/>
        <w:jc w:val="both"/>
        <w:rPr>
          <w:rStyle w:val="Zstupntext"/>
          <w:b/>
          <w:color w:val="000000"/>
        </w:rPr>
      </w:pPr>
      <w:r>
        <w:rPr>
          <w:rStyle w:val="Zstupntext"/>
          <w:b/>
          <w:color w:val="000000"/>
        </w:rPr>
        <w:t>K Čl. II</w:t>
      </w:r>
    </w:p>
    <w:p w14:paraId="317B1351" w14:textId="77777777" w:rsidR="00BD2FAC" w:rsidRDefault="00BD2FAC" w:rsidP="00BD2FAC">
      <w:pPr>
        <w:widowControl/>
        <w:spacing w:after="100" w:afterAutospacing="1"/>
        <w:jc w:val="both"/>
        <w:rPr>
          <w:rStyle w:val="Zstupntext"/>
          <w:color w:val="000000"/>
        </w:rPr>
      </w:pPr>
      <w:r>
        <w:rPr>
          <w:rStyle w:val="Zstupntext"/>
          <w:color w:val="000000"/>
        </w:rPr>
        <w:t>Zákon Národnej rady Slovenskej republiky č. 145/1995 Z. z. o správnych poplatkoch v znení neskorších predpisov sa mení v položke 237, avšak upravujú sa len znenia jednotlivých položiek sadzobníka tak, aby boli zrozumiteľnejšie pre platcov pri ich výbere v rámci jednotlivých správnych konaní, ktoré sú úradom v rámci udelenia autorizácie a notifikácie vedené a aby nevytvárali žiadne problémy pri ich výbere.</w:t>
      </w:r>
      <w:r>
        <w:t xml:space="preserve"> V</w:t>
      </w:r>
      <w:r>
        <w:rPr>
          <w:rStyle w:val="Zstupntext"/>
          <w:color w:val="000000"/>
        </w:rPr>
        <w:t>ýška hodnoty správnych poplatkov voči súčasnej právnej úprave ostáva nezmenená.</w:t>
      </w:r>
    </w:p>
    <w:p w14:paraId="59A0EAC8" w14:textId="77777777" w:rsidR="00BD2FAC" w:rsidRDefault="00BD2FAC" w:rsidP="00BD2FAC">
      <w:pPr>
        <w:widowControl/>
        <w:adjustRightInd/>
        <w:spacing w:after="200" w:line="276" w:lineRule="auto"/>
        <w:rPr>
          <w:rStyle w:val="Zstupntext"/>
          <w:b/>
          <w:color w:val="000000"/>
        </w:rPr>
      </w:pPr>
      <w:r>
        <w:rPr>
          <w:rStyle w:val="Zstupntext"/>
          <w:b/>
          <w:color w:val="000000"/>
        </w:rPr>
        <w:t>K Čl. III, IV, V</w:t>
      </w:r>
    </w:p>
    <w:p w14:paraId="0D5BEB21" w14:textId="77777777" w:rsidR="00BD2FAC" w:rsidRDefault="00BD2FAC" w:rsidP="00BD2FAC">
      <w:pPr>
        <w:widowControl/>
        <w:spacing w:after="100" w:afterAutospacing="1"/>
        <w:jc w:val="both"/>
        <w:rPr>
          <w:rStyle w:val="Zstupntext"/>
          <w:color w:val="000000"/>
        </w:rPr>
      </w:pPr>
      <w:r>
        <w:rPr>
          <w:rStyle w:val="Zstupntext"/>
          <w:color w:val="000000"/>
        </w:rPr>
        <w:t>Zákon č. 529/2010 Z. z. o environmentálnom navrhovaní a používaní výrobkov (zákon o </w:t>
      </w:r>
      <w:proofErr w:type="spellStart"/>
      <w:r>
        <w:rPr>
          <w:rStyle w:val="Zstupntext"/>
          <w:color w:val="000000"/>
        </w:rPr>
        <w:t>ekodizajne</w:t>
      </w:r>
      <w:proofErr w:type="spellEnd"/>
      <w:r>
        <w:rPr>
          <w:rStyle w:val="Zstupntext"/>
          <w:color w:val="000000"/>
        </w:rPr>
        <w:t xml:space="preserve">) v znení zákona č. 56/2018 Z. z., </w:t>
      </w:r>
      <w:r>
        <w:t>zákon č. 78/2012 Z. z. o bezpečnosti hračiek a o zmene a doplnení zákona č. 128/2002 Z. z. o štátnej kontrole vnútorného trhu vo veciach ochrany spotrebiteľa a o zmene a doplnení niektorých zákonov v znení neskorších predpisov v znení zákona č. 140/2013 Z. z., zákona č. 391/2015 Z. z., zákona č. 51/2017 Z. z. a zákona č. 56/2018 Z. z. a zákona č. 346/2013 Z. z. o obmedzení používania určitých nebezpečných látok v elektrických zariadeniach a elektronických zariadeniach a ktorým sa mení zákon č. 223/2001 Z. z. o odpadoch a o zmene a doplnení niektorých zákonov v znení neskorších predpisov</w:t>
      </w:r>
      <w:r>
        <w:rPr>
          <w:rFonts w:eastAsia="TeX Gyre Bonum"/>
        </w:rPr>
        <w:t xml:space="preserve"> v znení zákona č. 145/2019 Z. z. a zákona č. 314/2016 Z. z. </w:t>
      </w:r>
      <w:r>
        <w:rPr>
          <w:rStyle w:val="Zstupntext"/>
          <w:color w:val="000000"/>
        </w:rPr>
        <w:t xml:space="preserve">sa menia a dopĺňajú z dôvodu zabezpečenia vymožiteľnosti ustanovenia § 9a vo vzťahu technickým predpisom z oblasti posudzovania zhody, ktorými sú uvedené zákony, ktoré ustanovujú sankcie za porušenie povinnosti hospodárskych subjektov. </w:t>
      </w:r>
    </w:p>
    <w:p w14:paraId="1A57F6C1" w14:textId="77777777" w:rsidR="00BD2FAC" w:rsidRDefault="00BD2FAC" w:rsidP="00BD2FAC">
      <w:pPr>
        <w:widowControl/>
        <w:adjustRightInd/>
        <w:spacing w:after="200" w:line="276" w:lineRule="auto"/>
        <w:rPr>
          <w:rStyle w:val="Zstupntext"/>
          <w:b/>
          <w:color w:val="000000"/>
        </w:rPr>
      </w:pPr>
      <w:r>
        <w:rPr>
          <w:b/>
          <w:color w:val="000000"/>
        </w:rPr>
        <w:br w:type="page"/>
      </w:r>
    </w:p>
    <w:p w14:paraId="3BA21292" w14:textId="77777777" w:rsidR="00BD2FAC" w:rsidRDefault="00BD2FAC" w:rsidP="00BD2FAC">
      <w:pPr>
        <w:widowControl/>
        <w:spacing w:after="100" w:afterAutospacing="1"/>
        <w:jc w:val="both"/>
        <w:rPr>
          <w:rStyle w:val="Zstupntext"/>
          <w:b/>
          <w:color w:val="000000"/>
        </w:rPr>
      </w:pPr>
      <w:r>
        <w:rPr>
          <w:rStyle w:val="Zstupntext"/>
          <w:b/>
          <w:color w:val="000000"/>
        </w:rPr>
        <w:lastRenderedPageBreak/>
        <w:t>K Čl. VI</w:t>
      </w:r>
    </w:p>
    <w:p w14:paraId="53AF3751" w14:textId="77777777" w:rsidR="00BD2FAC" w:rsidRDefault="00BD2FAC" w:rsidP="00BD2FAC">
      <w:pPr>
        <w:spacing w:before="360" w:after="120"/>
        <w:jc w:val="both"/>
        <w:outlineLvl w:val="0"/>
        <w:rPr>
          <w:lang w:eastAsia="ja-JP"/>
        </w:rPr>
      </w:pPr>
      <w:r>
        <w:rPr>
          <w:bCs/>
          <w:szCs w:val="28"/>
        </w:rPr>
        <w:t xml:space="preserve">Zákon č. 58/2014 Z. z. o výbušninách, výbušných predmetoch a munícii a o zmene a doplnení niektorých zákonov v znení zákona č. 331/2015 Z. z., zákona č. 177/2018 Z. z. a zákona č. 220/2018 Z. z. sa mení a dopĺňa </w:t>
      </w:r>
      <w:r>
        <w:t>z dôvodu, že p</w:t>
      </w:r>
      <w:r>
        <w:rPr>
          <w:lang w:eastAsia="ja-JP"/>
        </w:rPr>
        <w:t xml:space="preserve">odľa platného znenia § 31 ods. 2 zákona č. 56/2018 Z. z. o posudzovaní zhody výrobku, sprístupňovaní určeného výrobku na trhu a o zmene a doplnení niektorých zákonov zaniká 31. decembra 2021 platnosť autorizácie autorizovanej osoby vykonávajúcej preskúšanie výbušnín, výbušných predmetov a munície v pôsobnosti Ministerstva obrany Slovenskej republiky. V nadväznosti na danú právnu úpravu je nevyhnutné pre vydanie novej autorizácie prijatie technického predpisu z oblasti posudzovania zhody pre tieto výrobky. Takýto technický predpis možno vypracovať len na základe splnomocňovacieho ustanovenia príslušného zákona č. 58/2014 Z. z. o výbušninách, výbušných predmetoch a munícii a o zmene a doplnení niektorých zákonov v znení neskorších predpisov. Cieľom právnej úpravy je zabezpečiť riadny technický stav výbušnín, výbušných predmetov a munície v pôsobnosti Ministerstva obrany Slovenskej republiky a posudzovanie ich zhody tak, aby príslušníci ozbrojených síl Slovenskej republiky vždy pracovali iba s výbušninami, výbušnými predmetmi a muníciou, ktoré spĺňajú predpísané parametre, a aby tieto určené výrobky boli spoľahlivé a bezpečné pre manipuláciu, skladovanie, prepravu a použitie. </w:t>
      </w:r>
      <w:r>
        <w:t xml:space="preserve">Výbušniny, výbušné predmety a munícia počas ich životného cyklu podliehajú fyzikálnym a chemickým zmenám a je potrebné neustále sledovať ich kvalitu vo všetkých fázach ich životného cyklu. </w:t>
      </w:r>
      <w:r>
        <w:rPr>
          <w:lang w:eastAsia="ja-JP"/>
        </w:rPr>
        <w:t>Predloženou právnou úpravou zákona č. 58/2014 Z. z. sa zladí a upresní terminológia, procesy posudzovania zhody výbušnín, výbušných predmetov a munície na účely obrany a výstupné dokumenty z posudzovania zhody so všeobecnou právnou úpravou v oblasti posudzovania zhody uvedenou v zákone č. 56/2018 Z. z.</w:t>
      </w:r>
    </w:p>
    <w:p w14:paraId="03E9F4D2" w14:textId="77777777" w:rsidR="00BD2FAC" w:rsidRDefault="00BD2FAC" w:rsidP="00BD2FAC">
      <w:pPr>
        <w:widowControl/>
        <w:spacing w:after="100" w:afterAutospacing="1"/>
        <w:jc w:val="both"/>
      </w:pPr>
      <w:r>
        <w:t>Zároveň v nadväznosti na upravené znenie § 57 zákona č. 58/2014 Z. z. sa mení aj znenie splnomocňovacieho ustanovenia § 87 ods. 2 písm. a) zákona č. 58/2014 Z. z. tak, aby bolo zladené s terminológiou a požiadavkami vyplývajúcimi zo zákona č. 56/2018 Z. z. V tejto súvislosti je pripravený návrh nového vykonávacieho právneho predpisu, ktorý by zodpovedal novej všeobecnej zákonnej právnej úprave, a ktorý bude predmetom samostatného legislatívneho procesu.</w:t>
      </w:r>
    </w:p>
    <w:p w14:paraId="4161E053" w14:textId="77777777" w:rsidR="00BD2FAC" w:rsidRDefault="00BD2FAC" w:rsidP="00BD2FAC">
      <w:pPr>
        <w:widowControl/>
        <w:spacing w:after="100" w:afterAutospacing="1"/>
        <w:jc w:val="both"/>
        <w:rPr>
          <w:rStyle w:val="Zstupntext"/>
          <w:color w:val="000000"/>
        </w:rPr>
      </w:pPr>
      <w:r>
        <w:t xml:space="preserve">V rámci novely zákona č. 58/2014 Z. z. sa dopĺňa aj prechodné ustanovenie, ktoré umožní autorizovanej osobe vykonávať preskúšanie určených výrobkov, vydávanie rozhodnutí o zhode a ostatné činnosti podľa § 57 a § 87 ods. 2 písm. a) doterajšej právnej úpravy tohto zákona </w:t>
      </w:r>
      <w:r>
        <w:rPr>
          <w:lang w:eastAsia="ja-JP"/>
        </w:rPr>
        <w:t xml:space="preserve">vrátane právnej úpravy vykonávacieho právneho predpisu vydaného na jej základe </w:t>
      </w:r>
      <w:r>
        <w:t xml:space="preserve">bez prerušenia aj počas prechodného obdobia, ustanoveného na splnenie podmienok na autorizáciu, </w:t>
      </w:r>
      <w:r>
        <w:rPr>
          <w:rStyle w:val="Zstupntext"/>
          <w:color w:val="000000"/>
        </w:rPr>
        <w:t>na predloženie žiadosti a rozhodnutie o autorizácii podľa právnej úpravy zákona č. 56/2018 Z. z., pričom pôvodnému rozhodnutiu o autorizácii vydanému podľa zákona č. 56/2018 Z. z. sa podľa čl. I bod 38 predlžuje platnosť do 31. decembra 2022.</w:t>
      </w:r>
    </w:p>
    <w:p w14:paraId="62E7A74B" w14:textId="77777777" w:rsidR="00BD2FAC" w:rsidRDefault="00BD2FAC" w:rsidP="00BD2FAC">
      <w:pPr>
        <w:widowControl/>
        <w:spacing w:after="100" w:afterAutospacing="1"/>
        <w:jc w:val="both"/>
        <w:rPr>
          <w:rStyle w:val="Zstupntext"/>
          <w:b/>
          <w:color w:val="000000"/>
        </w:rPr>
      </w:pPr>
      <w:r>
        <w:rPr>
          <w:rStyle w:val="Zstupntext"/>
          <w:b/>
          <w:color w:val="000000"/>
        </w:rPr>
        <w:t>K Čl. VII</w:t>
      </w:r>
    </w:p>
    <w:p w14:paraId="6C09CB99" w14:textId="77777777" w:rsidR="00BD2FAC" w:rsidRDefault="00BD2FAC" w:rsidP="00BD2FAC">
      <w:pPr>
        <w:widowControl/>
        <w:spacing w:after="100" w:afterAutospacing="1"/>
        <w:jc w:val="both"/>
      </w:pPr>
      <w:r>
        <w:t xml:space="preserve">Zákon č. 55/2018 Z. z. o poskytovaní informácií o technickom predpise a o prekážkach voľného pohybu tovaru v znení zákona č. 260/2020 Z. z. sa mení a dopĺňa z dôvodu prijatia nariadenia (EÚ) 2019/1020, ktorým sa po nadobudnutí účinnosti návrhu zákona zabezpečí riadne plnenie nových povinnosti Kontaktného miesta pre výrobky, ktorým bude poskytovanie informácii hospodárskym subjektom nie len o neharmonizovanej legislatíve týkajúcej sa výrobkov v Slovenskej republike, ale od 16. 7. 2021 aj o harmonizačných právnych predpisoch Európskej únie týkajúcich sa výrobkov a zároveň povinnosť zhromažďovať spätnú väzbu od používateľov v spojení s čl. 24 ods. 1 a 2 a čl. 25 nariadenia Európskeho parlamentu a Rady (EÚ) 2018/1724 </w:t>
      </w:r>
      <w:r>
        <w:lastRenderedPageBreak/>
        <w:t>z 2. októbra 2018 o zriadení jednotnej digitálnej brány na poskytovanie prístupu k informáciám, postupom a asistenčným službám a službám riešenia problémov a o zmene nariadenia (EÚ) č. 1024/2012 (ďalej len „nariadenie (EÚ) 2018/1724“). Zároveň sa implementuje časť nariadenia (EÚ) 2018/1724, v súlade s ktorým majú členské štáty povinnosť zaviesť postupy na bezplatné poskytovanie informácií podľa nariadenia (EÚ) 2019/515 hospodárskym subjektom na základe ich žiadosti, ktorými sú malé a stredné podniky, a uľahčiť im prístup k informáciám, ktoré sa týkajú výrobkov v harmonizovanej a neharmonizovanej oblasti alebo technických noriem. Tieto činnosti sa majú vykonávať v súlade s nariadením (EÚ) 2018/1724. ÚNMS SR má poskytovať informácie o všetkých právnych predpisoch a požiadavkách týkajúcich sa výrobkov, ktoré sú aj v gescii iných rezortov a vytvoriť a udržiavať aktuálnu databázu obsahujúcu tieto informácie vo forme webovej aplikácie, ktorá prostredníctvom portálu slovensko.sk, bude prepojená s portálom Vaša Európa a tým sprístupnená občanom a podnikateľom v celej EÚ. Podľa nariadenia (EÚ) 2018/1724, ktorá je novou prioritou na európskej úrovni, ÚNMS SR zodpovedá za digitalizáciu podľa prílohy I nariadenia (EÚ) 2018/1724 časť M - Tovar body 1, 2  a 4, čo zahŕňa označenie CE, pravidlá a požiadavky týkajúce sa výrobkov a vzájomné uznávanie výrobkov a podľa prílohy III nariadenia (EÚ) 2018/1724 - Asistenčné služby v rámci Kontaktného miesta pre výrobky podľa nariadenia (EÚ) 2019/515.</w:t>
      </w:r>
    </w:p>
    <w:p w14:paraId="4ED4A73D" w14:textId="77777777" w:rsidR="00BD2FAC" w:rsidRDefault="00BD2FAC" w:rsidP="00BD2FAC">
      <w:pPr>
        <w:widowControl/>
        <w:spacing w:after="100" w:afterAutospacing="1"/>
        <w:jc w:val="both"/>
        <w:rPr>
          <w:rStyle w:val="Zstupntext"/>
          <w:b/>
          <w:color w:val="000000"/>
        </w:rPr>
      </w:pPr>
      <w:r>
        <w:rPr>
          <w:rStyle w:val="Zstupntext"/>
          <w:b/>
          <w:color w:val="000000"/>
        </w:rPr>
        <w:t>K Čl. VIII</w:t>
      </w:r>
    </w:p>
    <w:p w14:paraId="4F20B656" w14:textId="77777777" w:rsidR="00BD2FAC" w:rsidRDefault="00BD2FAC" w:rsidP="00BD2FAC">
      <w:pPr>
        <w:widowControl/>
        <w:spacing w:after="100" w:afterAutospacing="1"/>
        <w:jc w:val="both"/>
      </w:pPr>
      <w:r>
        <w:t xml:space="preserve">Zákon č. 60/2018 Z. z. o technickej normalizácii v znení zákona č. 215/2019 Z. z. sa mení a dopĺňa o povinnosť podľa prílohy I nariadenia (EÚ) 2018/1724 časť M – Tovar bod 3 nariadenia (EÚ) 2018/1724, ktorú predstavujú technické normy z dôvodu, že úrad je okrem povinností podľa prílohy I nariadenia (EÚ) 2018/1724 časť M - Tovar body 1, 2 a 4 nariadenia (EÚ) 2018/1724 zodpovedný aj za technické normy. </w:t>
      </w:r>
    </w:p>
    <w:p w14:paraId="34FFDFA7" w14:textId="77777777" w:rsidR="00BD2FAC" w:rsidRDefault="00BD2FAC" w:rsidP="00BD2FAC">
      <w:pPr>
        <w:widowControl/>
        <w:spacing w:after="100" w:afterAutospacing="1"/>
        <w:jc w:val="both"/>
        <w:rPr>
          <w:rStyle w:val="Zstupntext"/>
          <w:color w:val="000000"/>
        </w:rPr>
      </w:pPr>
      <w:r>
        <w:rPr>
          <w:rStyle w:val="Zstupntext"/>
          <w:b/>
          <w:color w:val="000000"/>
        </w:rPr>
        <w:t>K Čl. IX</w:t>
      </w:r>
    </w:p>
    <w:p w14:paraId="5733DE69" w14:textId="77777777" w:rsidR="00BD2FAC" w:rsidRDefault="00BD2FAC" w:rsidP="00BD2FAC">
      <w:pPr>
        <w:spacing w:before="120" w:after="280"/>
        <w:jc w:val="both"/>
        <w:rPr>
          <w:rStyle w:val="Zstupntext"/>
          <w:color w:val="000000"/>
        </w:rPr>
      </w:pPr>
      <w:r>
        <w:rPr>
          <w:rStyle w:val="Zstupntext"/>
          <w:color w:val="000000"/>
        </w:rPr>
        <w:t>Ustanovuje sa dátum nadobudnutia účinnosti návrhu zákona.</w:t>
      </w:r>
    </w:p>
    <w:p w14:paraId="58F3F9C2" w14:textId="2D3ECA69" w:rsidR="00111E70" w:rsidRDefault="00111E70" w:rsidP="00111E70">
      <w:pPr>
        <w:keepNext/>
        <w:keepLines/>
        <w:widowControl/>
        <w:spacing w:before="120" w:after="120"/>
        <w:jc w:val="both"/>
      </w:pPr>
      <w:r>
        <w:t>V Bratislave 14. apríla 2021</w:t>
      </w:r>
    </w:p>
    <w:p w14:paraId="22C173C0" w14:textId="18569425" w:rsidR="00F10CB2" w:rsidRPr="00F10CB2" w:rsidRDefault="00F10CB2" w:rsidP="00372300">
      <w:pPr>
        <w:spacing w:before="1200"/>
        <w:ind w:left="4956" w:hanging="4956"/>
        <w:jc w:val="center"/>
        <w:rPr>
          <w:b/>
        </w:rPr>
      </w:pPr>
      <w:r w:rsidRPr="00F10CB2">
        <w:rPr>
          <w:b/>
        </w:rPr>
        <w:t>Eduard Heger</w:t>
      </w:r>
      <w:r w:rsidR="00B873EC">
        <w:rPr>
          <w:b/>
        </w:rPr>
        <w:t>, v. r.</w:t>
      </w:r>
    </w:p>
    <w:p w14:paraId="72825248" w14:textId="77777777" w:rsidR="00F10CB2" w:rsidRDefault="00F10CB2" w:rsidP="00372300">
      <w:pPr>
        <w:ind w:left="4956" w:hanging="4956"/>
        <w:jc w:val="center"/>
      </w:pPr>
      <w:r>
        <w:t>predseda vlády Slovenskej republiky</w:t>
      </w:r>
    </w:p>
    <w:p w14:paraId="0C9B8394" w14:textId="14DA733E" w:rsidR="00F10CB2" w:rsidRPr="00F10CB2" w:rsidRDefault="00F10CB2" w:rsidP="00372300">
      <w:pPr>
        <w:tabs>
          <w:tab w:val="center" w:pos="3541"/>
          <w:tab w:val="center" w:pos="4249"/>
          <w:tab w:val="center" w:pos="4957"/>
          <w:tab w:val="center" w:pos="5665"/>
          <w:tab w:val="center" w:pos="6373"/>
          <w:tab w:val="right" w:pos="9073"/>
        </w:tabs>
        <w:spacing w:before="1200"/>
        <w:jc w:val="center"/>
        <w:rPr>
          <w:b/>
        </w:rPr>
      </w:pPr>
      <w:r w:rsidRPr="00F10CB2">
        <w:rPr>
          <w:b/>
        </w:rPr>
        <w:t>Katarína Surmíková Tatranská</w:t>
      </w:r>
      <w:r w:rsidR="00B873EC">
        <w:rPr>
          <w:b/>
        </w:rPr>
        <w:t>, v. r.</w:t>
      </w:r>
      <w:bookmarkStart w:id="1" w:name="_GoBack"/>
      <w:bookmarkEnd w:id="1"/>
    </w:p>
    <w:p w14:paraId="45137C23" w14:textId="77777777" w:rsidR="00F10CB2" w:rsidRDefault="00F10CB2" w:rsidP="00372300">
      <w:pPr>
        <w:tabs>
          <w:tab w:val="center" w:pos="2124"/>
          <w:tab w:val="center" w:pos="2833"/>
          <w:tab w:val="center" w:pos="3541"/>
          <w:tab w:val="center" w:pos="4249"/>
          <w:tab w:val="center" w:pos="4957"/>
          <w:tab w:val="center" w:pos="5665"/>
          <w:tab w:val="center" w:pos="6373"/>
          <w:tab w:val="right" w:pos="9073"/>
        </w:tabs>
        <w:ind w:left="-15"/>
        <w:jc w:val="center"/>
      </w:pPr>
      <w:r>
        <w:t>predsedníčka Úradu pre normalizáciu, metrológiu a skúšobníctva Slovenskej republiky</w:t>
      </w:r>
    </w:p>
    <w:sectPr w:rsidR="00F10CB2" w:rsidSect="001A1292">
      <w:footerReference w:type="default" r:id="rId19"/>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9658A" w14:textId="77777777" w:rsidR="002F69ED" w:rsidRDefault="002F69ED" w:rsidP="00587FD8">
      <w:r>
        <w:separator/>
      </w:r>
    </w:p>
  </w:endnote>
  <w:endnote w:type="continuationSeparator" w:id="0">
    <w:p w14:paraId="52D34C7E" w14:textId="77777777" w:rsidR="002F69ED" w:rsidRDefault="002F69ED" w:rsidP="0058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eX Gyre Bonum">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350B1" w14:textId="77777777" w:rsidR="002F69ED" w:rsidRDefault="002F69ED">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1CB4A73" w14:textId="77777777" w:rsidR="002F69ED" w:rsidRDefault="002F69ED">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080099"/>
      <w:docPartObj>
        <w:docPartGallery w:val="Page Numbers (Bottom of Page)"/>
        <w:docPartUnique/>
      </w:docPartObj>
    </w:sdtPr>
    <w:sdtEndPr/>
    <w:sdtContent>
      <w:p w14:paraId="41A59127" w14:textId="125CD8DF" w:rsidR="002F69ED" w:rsidRDefault="002F69ED" w:rsidP="00B14496">
        <w:pPr>
          <w:pStyle w:val="Pta"/>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4FAF2" w14:textId="77777777" w:rsidR="002F69ED" w:rsidRDefault="002F69ED">
    <w:pPr>
      <w:pStyle w:val="Pta"/>
      <w:jc w:val="right"/>
    </w:pPr>
    <w:r>
      <w:fldChar w:fldCharType="begin"/>
    </w:r>
    <w:r>
      <w:instrText>PAGE   \* MERGEFORMAT</w:instrText>
    </w:r>
    <w:r>
      <w:fldChar w:fldCharType="separate"/>
    </w:r>
    <w:r>
      <w:rPr>
        <w:noProof/>
      </w:rPr>
      <w:t>0</w:t>
    </w:r>
    <w:r>
      <w:fldChar w:fldCharType="end"/>
    </w:r>
  </w:p>
  <w:p w14:paraId="1AABE6EA" w14:textId="77777777" w:rsidR="002F69ED" w:rsidRDefault="002F69ED">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2540279"/>
      <w:docPartObj>
        <w:docPartGallery w:val="Page Numbers (Bottom of Page)"/>
        <w:docPartUnique/>
      </w:docPartObj>
    </w:sdtPr>
    <w:sdtEndPr/>
    <w:sdtContent>
      <w:p w14:paraId="67D463AB" w14:textId="6E57DA5A" w:rsidR="002F69ED" w:rsidRPr="006668AA" w:rsidRDefault="002F69ED" w:rsidP="00B14496">
        <w:pPr>
          <w:pStyle w:val="Pta"/>
          <w:jc w:val="center"/>
        </w:pPr>
        <w:r>
          <w:fldChar w:fldCharType="begin"/>
        </w:r>
        <w:r>
          <w:instrText>PAGE   \* MERGEFORMAT</w:instrText>
        </w:r>
        <w:r>
          <w:fldChar w:fldCharType="separate"/>
        </w:r>
        <w: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340098"/>
      <w:docPartObj>
        <w:docPartGallery w:val="Page Numbers (Bottom of Page)"/>
        <w:docPartUnique/>
      </w:docPartObj>
    </w:sdtPr>
    <w:sdtEndPr/>
    <w:sdtContent>
      <w:p w14:paraId="655D41E9" w14:textId="77777777" w:rsidR="002F69ED" w:rsidRPr="006668AA" w:rsidRDefault="002F69ED" w:rsidP="00B14496">
        <w:pPr>
          <w:pStyle w:val="Pt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E2D79" w14:textId="77777777" w:rsidR="002F69ED" w:rsidRDefault="002F69ED" w:rsidP="00587FD8">
      <w:r>
        <w:separator/>
      </w:r>
    </w:p>
  </w:footnote>
  <w:footnote w:type="continuationSeparator" w:id="0">
    <w:p w14:paraId="14194F5C" w14:textId="77777777" w:rsidR="002F69ED" w:rsidRDefault="002F69ED" w:rsidP="0058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08D6" w14:textId="08D169E2" w:rsidR="002F69ED" w:rsidRDefault="002F69ED" w:rsidP="00D22CF6">
    <w:pPr>
      <w:pStyle w:val="Hlavika"/>
      <w:jc w:val="right"/>
    </w:pPr>
    <w:r>
      <w:t>Príloha č. 2</w:t>
    </w:r>
  </w:p>
  <w:p w14:paraId="1DD4ED0F" w14:textId="77777777" w:rsidR="002F69ED" w:rsidRPr="00EB59C8" w:rsidRDefault="002F69ED" w:rsidP="00D22CF6">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41099" w14:textId="40847475" w:rsidR="002F69ED" w:rsidRPr="000A15AE" w:rsidRDefault="002F69ED" w:rsidP="00D22CF6">
    <w:pPr>
      <w:pStyle w:val="Hlavika"/>
      <w:jc w:val="right"/>
    </w:pPr>
    <w: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87418"/>
    <w:multiLevelType w:val="hybridMultilevel"/>
    <w:tmpl w:val="7A9631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55A43918"/>
    <w:multiLevelType w:val="hybridMultilevel"/>
    <w:tmpl w:val="3076638E"/>
    <w:lvl w:ilvl="0" w:tplc="C4FA5D76">
      <w:start w:val="1"/>
      <w:numFmt w:val="lowerLetter"/>
      <w:lvlText w:val="%1)"/>
      <w:lvlJc w:val="left"/>
      <w:pPr>
        <w:ind w:left="644" w:hanging="360"/>
      </w:pPr>
      <w:rPr>
        <w:rFonts w:hint="default"/>
        <w:b w:val="0"/>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6DAF2D25"/>
    <w:multiLevelType w:val="hybridMultilevel"/>
    <w:tmpl w:val="5276E4AC"/>
    <w:lvl w:ilvl="0" w:tplc="4EC40A92">
      <w:start w:val="1"/>
      <w:numFmt w:val="lowerLetter"/>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EB1"/>
    <w:rsid w:val="00010531"/>
    <w:rsid w:val="00031F18"/>
    <w:rsid w:val="00071ED6"/>
    <w:rsid w:val="000A6354"/>
    <w:rsid w:val="000C0576"/>
    <w:rsid w:val="000E0EF9"/>
    <w:rsid w:val="00111E70"/>
    <w:rsid w:val="00186C19"/>
    <w:rsid w:val="001A1292"/>
    <w:rsid w:val="001A4D9B"/>
    <w:rsid w:val="001B26EA"/>
    <w:rsid w:val="001D5299"/>
    <w:rsid w:val="001E0B5C"/>
    <w:rsid w:val="002031CA"/>
    <w:rsid w:val="002579D6"/>
    <w:rsid w:val="00263677"/>
    <w:rsid w:val="00295014"/>
    <w:rsid w:val="002B002D"/>
    <w:rsid w:val="002C3DA8"/>
    <w:rsid w:val="002F69ED"/>
    <w:rsid w:val="0036128F"/>
    <w:rsid w:val="003646AA"/>
    <w:rsid w:val="00372300"/>
    <w:rsid w:val="00377D32"/>
    <w:rsid w:val="003C158B"/>
    <w:rsid w:val="003C5A23"/>
    <w:rsid w:val="003C64DE"/>
    <w:rsid w:val="003F4295"/>
    <w:rsid w:val="00426968"/>
    <w:rsid w:val="00446502"/>
    <w:rsid w:val="004B1A8D"/>
    <w:rsid w:val="004D42DE"/>
    <w:rsid w:val="004E7E5E"/>
    <w:rsid w:val="004F7935"/>
    <w:rsid w:val="00525DB3"/>
    <w:rsid w:val="00552CAE"/>
    <w:rsid w:val="00583DE8"/>
    <w:rsid w:val="00587853"/>
    <w:rsid w:val="00587FD8"/>
    <w:rsid w:val="00590252"/>
    <w:rsid w:val="0059487B"/>
    <w:rsid w:val="00625CC6"/>
    <w:rsid w:val="00645E20"/>
    <w:rsid w:val="006630AD"/>
    <w:rsid w:val="006668AA"/>
    <w:rsid w:val="00673454"/>
    <w:rsid w:val="00686297"/>
    <w:rsid w:val="006B1012"/>
    <w:rsid w:val="006C606A"/>
    <w:rsid w:val="006F707F"/>
    <w:rsid w:val="00700FC4"/>
    <w:rsid w:val="007032D8"/>
    <w:rsid w:val="00716E89"/>
    <w:rsid w:val="00760CA8"/>
    <w:rsid w:val="00767D30"/>
    <w:rsid w:val="00785D4C"/>
    <w:rsid w:val="00794032"/>
    <w:rsid w:val="007B1CDA"/>
    <w:rsid w:val="007B41E8"/>
    <w:rsid w:val="007B795C"/>
    <w:rsid w:val="007E17E5"/>
    <w:rsid w:val="008038C5"/>
    <w:rsid w:val="00825E8F"/>
    <w:rsid w:val="008906F3"/>
    <w:rsid w:val="008C0BB3"/>
    <w:rsid w:val="008C6EBF"/>
    <w:rsid w:val="008D5363"/>
    <w:rsid w:val="008F1979"/>
    <w:rsid w:val="009070D9"/>
    <w:rsid w:val="00930963"/>
    <w:rsid w:val="00946B91"/>
    <w:rsid w:val="00987014"/>
    <w:rsid w:val="009A243B"/>
    <w:rsid w:val="009D7353"/>
    <w:rsid w:val="009E0C95"/>
    <w:rsid w:val="009E5B2C"/>
    <w:rsid w:val="009F3D39"/>
    <w:rsid w:val="00A177A0"/>
    <w:rsid w:val="00A24602"/>
    <w:rsid w:val="00A36C09"/>
    <w:rsid w:val="00A47382"/>
    <w:rsid w:val="00A66F6E"/>
    <w:rsid w:val="00AA1793"/>
    <w:rsid w:val="00AA5537"/>
    <w:rsid w:val="00B05CCE"/>
    <w:rsid w:val="00B14496"/>
    <w:rsid w:val="00B16441"/>
    <w:rsid w:val="00B6081E"/>
    <w:rsid w:val="00B623DB"/>
    <w:rsid w:val="00B873EC"/>
    <w:rsid w:val="00BB6EB1"/>
    <w:rsid w:val="00BC0BDC"/>
    <w:rsid w:val="00BD2FAC"/>
    <w:rsid w:val="00BE261B"/>
    <w:rsid w:val="00BE7142"/>
    <w:rsid w:val="00BF51A4"/>
    <w:rsid w:val="00C0396F"/>
    <w:rsid w:val="00C119AD"/>
    <w:rsid w:val="00C12B80"/>
    <w:rsid w:val="00C17195"/>
    <w:rsid w:val="00C23467"/>
    <w:rsid w:val="00C85697"/>
    <w:rsid w:val="00C93E85"/>
    <w:rsid w:val="00C96A1E"/>
    <w:rsid w:val="00CB3EB1"/>
    <w:rsid w:val="00CB61BF"/>
    <w:rsid w:val="00CD20CD"/>
    <w:rsid w:val="00D01F12"/>
    <w:rsid w:val="00D033E0"/>
    <w:rsid w:val="00D11663"/>
    <w:rsid w:val="00D1728E"/>
    <w:rsid w:val="00D22CF6"/>
    <w:rsid w:val="00D4639F"/>
    <w:rsid w:val="00D95C82"/>
    <w:rsid w:val="00DA2379"/>
    <w:rsid w:val="00DA5F9A"/>
    <w:rsid w:val="00DC1E4A"/>
    <w:rsid w:val="00DE3916"/>
    <w:rsid w:val="00E033F8"/>
    <w:rsid w:val="00E4364C"/>
    <w:rsid w:val="00E8535E"/>
    <w:rsid w:val="00EC5AE6"/>
    <w:rsid w:val="00EE0CC6"/>
    <w:rsid w:val="00EF608E"/>
    <w:rsid w:val="00F10CB2"/>
    <w:rsid w:val="00F17F46"/>
    <w:rsid w:val="00F31158"/>
    <w:rsid w:val="00F44FDC"/>
    <w:rsid w:val="00F543E7"/>
    <w:rsid w:val="00F658B6"/>
    <w:rsid w:val="00F86318"/>
    <w:rsid w:val="00F961CB"/>
    <w:rsid w:val="00F97A23"/>
    <w:rsid w:val="00FB45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4C5BF"/>
  <w14:defaultImageDpi w14:val="0"/>
  <w15:docId w15:val="{2C31A798-5CA0-4DAC-9707-DFD15749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B6EB1"/>
    <w:pPr>
      <w:widowControl w:val="0"/>
      <w:adjustRightInd w:val="0"/>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B6EB1"/>
    <w:rPr>
      <w:rFonts w:ascii="Times New Roman" w:hAnsi="Times New Roman" w:cs="Times New Roman"/>
      <w:color w:val="808080"/>
    </w:rPr>
  </w:style>
  <w:style w:type="character" w:styleId="Odkaznakomentr">
    <w:name w:val="annotation reference"/>
    <w:basedOn w:val="Predvolenpsmoodseku"/>
    <w:uiPriority w:val="99"/>
    <w:semiHidden/>
    <w:unhideWhenUsed/>
    <w:rsid w:val="00BB6EB1"/>
    <w:rPr>
      <w:rFonts w:cs="Times New Roman"/>
      <w:sz w:val="16"/>
      <w:szCs w:val="16"/>
    </w:rPr>
  </w:style>
  <w:style w:type="paragraph" w:styleId="Textkomentra">
    <w:name w:val="annotation text"/>
    <w:basedOn w:val="Normlny"/>
    <w:link w:val="TextkomentraChar"/>
    <w:uiPriority w:val="99"/>
    <w:semiHidden/>
    <w:unhideWhenUsed/>
    <w:rsid w:val="00BB6EB1"/>
    <w:rPr>
      <w:sz w:val="20"/>
      <w:szCs w:val="20"/>
    </w:rPr>
  </w:style>
  <w:style w:type="character" w:customStyle="1" w:styleId="TextkomentraChar">
    <w:name w:val="Text komentára Char"/>
    <w:basedOn w:val="Predvolenpsmoodseku"/>
    <w:link w:val="Textkomentra"/>
    <w:uiPriority w:val="99"/>
    <w:semiHidden/>
    <w:locked/>
    <w:rsid w:val="00BB6EB1"/>
    <w:rPr>
      <w:rFonts w:ascii="Times New Roman" w:hAnsi="Times New Roman" w:cs="Times New Roman"/>
      <w:sz w:val="20"/>
      <w:szCs w:val="20"/>
      <w:lang w:val="x-none" w:eastAsia="sk-SK"/>
    </w:rPr>
  </w:style>
  <w:style w:type="paragraph" w:styleId="Textbubliny">
    <w:name w:val="Balloon Text"/>
    <w:basedOn w:val="Normlny"/>
    <w:link w:val="TextbublinyChar"/>
    <w:uiPriority w:val="99"/>
    <w:semiHidden/>
    <w:unhideWhenUsed/>
    <w:rsid w:val="00BB6EB1"/>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B6EB1"/>
    <w:rPr>
      <w:rFonts w:ascii="Tahoma" w:hAnsi="Tahoma" w:cs="Tahoma"/>
      <w:sz w:val="16"/>
      <w:szCs w:val="16"/>
      <w:lang w:val="x-none" w:eastAsia="sk-SK"/>
    </w:rPr>
  </w:style>
  <w:style w:type="paragraph" w:styleId="Predmetkomentra">
    <w:name w:val="annotation subject"/>
    <w:basedOn w:val="Textkomentra"/>
    <w:next w:val="Textkomentra"/>
    <w:link w:val="PredmetkomentraChar"/>
    <w:uiPriority w:val="99"/>
    <w:semiHidden/>
    <w:unhideWhenUsed/>
    <w:rsid w:val="00DE3916"/>
    <w:rPr>
      <w:b/>
      <w:bCs/>
    </w:rPr>
  </w:style>
  <w:style w:type="character" w:customStyle="1" w:styleId="PredmetkomentraChar">
    <w:name w:val="Predmet komentára Char"/>
    <w:basedOn w:val="TextkomentraChar"/>
    <w:link w:val="Predmetkomentra"/>
    <w:uiPriority w:val="99"/>
    <w:semiHidden/>
    <w:locked/>
    <w:rsid w:val="00DE3916"/>
    <w:rPr>
      <w:rFonts w:ascii="Times New Roman" w:hAnsi="Times New Roman" w:cs="Times New Roman"/>
      <w:b/>
      <w:bCs/>
      <w:sz w:val="20"/>
      <w:szCs w:val="20"/>
      <w:lang w:val="x-none" w:eastAsia="sk-SK"/>
    </w:rPr>
  </w:style>
  <w:style w:type="paragraph" w:styleId="Revzia">
    <w:name w:val="Revision"/>
    <w:hidden/>
    <w:uiPriority w:val="99"/>
    <w:semiHidden/>
    <w:rsid w:val="00DE3916"/>
    <w:pPr>
      <w:spacing w:after="0" w:line="240" w:lineRule="auto"/>
    </w:pPr>
    <w:rPr>
      <w:rFonts w:ascii="Times New Roman" w:hAnsi="Times New Roman" w:cs="Times New Roman"/>
      <w:sz w:val="24"/>
      <w:szCs w:val="24"/>
      <w:lang w:eastAsia="sk-SK"/>
    </w:rPr>
  </w:style>
  <w:style w:type="paragraph" w:customStyle="1" w:styleId="Default">
    <w:name w:val="Default"/>
    <w:rsid w:val="00716E89"/>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rsid w:val="00587FD8"/>
    <w:pPr>
      <w:tabs>
        <w:tab w:val="center" w:pos="4536"/>
        <w:tab w:val="right" w:pos="9072"/>
      </w:tabs>
    </w:pPr>
  </w:style>
  <w:style w:type="character" w:customStyle="1" w:styleId="HlavikaChar">
    <w:name w:val="Hlavička Char"/>
    <w:basedOn w:val="Predvolenpsmoodseku"/>
    <w:link w:val="Hlavika"/>
    <w:uiPriority w:val="99"/>
    <w:locked/>
    <w:rsid w:val="00587FD8"/>
    <w:rPr>
      <w:rFonts w:ascii="Times New Roman" w:hAnsi="Times New Roman" w:cs="Times New Roman"/>
      <w:sz w:val="24"/>
      <w:szCs w:val="24"/>
      <w:lang w:val="x-none" w:eastAsia="sk-SK"/>
    </w:rPr>
  </w:style>
  <w:style w:type="paragraph" w:styleId="Pta">
    <w:name w:val="footer"/>
    <w:basedOn w:val="Normlny"/>
    <w:link w:val="PtaChar"/>
    <w:uiPriority w:val="99"/>
    <w:rsid w:val="00587FD8"/>
    <w:pPr>
      <w:tabs>
        <w:tab w:val="center" w:pos="4536"/>
        <w:tab w:val="right" w:pos="9072"/>
      </w:tabs>
    </w:pPr>
  </w:style>
  <w:style w:type="character" w:customStyle="1" w:styleId="PtaChar">
    <w:name w:val="Päta Char"/>
    <w:basedOn w:val="Predvolenpsmoodseku"/>
    <w:link w:val="Pta"/>
    <w:uiPriority w:val="99"/>
    <w:locked/>
    <w:rsid w:val="00587FD8"/>
    <w:rPr>
      <w:rFonts w:ascii="Times New Roman" w:hAnsi="Times New Roman" w:cs="Times New Roman"/>
      <w:sz w:val="24"/>
      <w:szCs w:val="24"/>
      <w:lang w:val="x-none" w:eastAsia="sk-SK"/>
    </w:rPr>
  </w:style>
  <w:style w:type="character" w:styleId="Hypertextovprepojenie">
    <w:name w:val="Hyperlink"/>
    <w:basedOn w:val="Predvolenpsmoodseku"/>
    <w:uiPriority w:val="99"/>
    <w:unhideWhenUsed/>
    <w:rsid w:val="00111E70"/>
    <w:rPr>
      <w:color w:val="0000FF"/>
      <w:u w:val="single"/>
    </w:rPr>
  </w:style>
  <w:style w:type="table" w:styleId="Mriekatabuky">
    <w:name w:val="Table Grid"/>
    <w:basedOn w:val="Normlnatabuka"/>
    <w:uiPriority w:val="99"/>
    <w:rsid w:val="00D22CF6"/>
    <w:pPr>
      <w:spacing w:after="0" w:line="240" w:lineRule="auto"/>
    </w:pPr>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99"/>
    <w:qFormat/>
    <w:rsid w:val="00D22CF6"/>
    <w:pPr>
      <w:widowControl/>
      <w:adjustRightInd/>
      <w:spacing w:after="200" w:line="276" w:lineRule="auto"/>
      <w:ind w:left="720"/>
      <w:contextualSpacing/>
    </w:pPr>
    <w:rPr>
      <w:rFonts w:asciiTheme="minorHAnsi" w:eastAsiaTheme="minorHAnsi" w:hAnsiTheme="minorHAnsi" w:cstheme="minorBidi"/>
      <w:sz w:val="22"/>
      <w:szCs w:val="22"/>
      <w:lang w:eastAsia="en-US"/>
    </w:rPr>
  </w:style>
  <w:style w:type="character" w:styleId="slostrany">
    <w:name w:val="page number"/>
    <w:basedOn w:val="Predvolenpsmoodseku"/>
    <w:uiPriority w:val="99"/>
    <w:rsid w:val="00D22CF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943312">
      <w:bodyDiv w:val="1"/>
      <w:marLeft w:val="0"/>
      <w:marRight w:val="0"/>
      <w:marTop w:val="0"/>
      <w:marBottom w:val="0"/>
      <w:divBdr>
        <w:top w:val="none" w:sz="0" w:space="0" w:color="auto"/>
        <w:left w:val="none" w:sz="0" w:space="0" w:color="auto"/>
        <w:bottom w:val="none" w:sz="0" w:space="0" w:color="auto"/>
        <w:right w:val="none" w:sz="0" w:space="0" w:color="auto"/>
      </w:divBdr>
    </w:div>
    <w:div w:id="783232016">
      <w:bodyDiv w:val="1"/>
      <w:marLeft w:val="0"/>
      <w:marRight w:val="0"/>
      <w:marTop w:val="0"/>
      <w:marBottom w:val="0"/>
      <w:divBdr>
        <w:top w:val="none" w:sz="0" w:space="0" w:color="auto"/>
        <w:left w:val="none" w:sz="0" w:space="0" w:color="auto"/>
        <w:bottom w:val="none" w:sz="0" w:space="0" w:color="auto"/>
        <w:right w:val="none" w:sz="0" w:space="0" w:color="auto"/>
      </w:divBdr>
    </w:div>
    <w:div w:id="2014916352">
      <w:marLeft w:val="0"/>
      <w:marRight w:val="0"/>
      <w:marTop w:val="0"/>
      <w:marBottom w:val="0"/>
      <w:divBdr>
        <w:top w:val="none" w:sz="0" w:space="0" w:color="auto"/>
        <w:left w:val="none" w:sz="0" w:space="0" w:color="auto"/>
        <w:bottom w:val="none" w:sz="0" w:space="0" w:color="auto"/>
        <w:right w:val="none" w:sz="0" w:space="0" w:color="auto"/>
      </w:divBdr>
    </w:div>
    <w:div w:id="2014916353">
      <w:marLeft w:val="0"/>
      <w:marRight w:val="0"/>
      <w:marTop w:val="0"/>
      <w:marBottom w:val="0"/>
      <w:divBdr>
        <w:top w:val="none" w:sz="0" w:space="0" w:color="auto"/>
        <w:left w:val="none" w:sz="0" w:space="0" w:color="auto"/>
        <w:bottom w:val="none" w:sz="0" w:space="0" w:color="auto"/>
        <w:right w:val="none" w:sz="0" w:space="0" w:color="auto"/>
      </w:divBdr>
    </w:div>
    <w:div w:id="20947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deta.kundratova@normoff.gov.sk" TargetMode="External"/><Relationship Id="rId13" Type="http://schemas.openxmlformats.org/officeDocument/2006/relationships/footer" Target="footer3.xml"/><Relationship Id="rId18" Type="http://schemas.openxmlformats.org/officeDocument/2006/relationships/hyperlink" Target="https://www.era.europa.eu/sites/default/files/activities/docs/technical_document_requirements_for_nobos_e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lov-lex.sk/pravne-predpisy/SK/ZZ/2013/346/" TargetMode="External"/><Relationship Id="rId2" Type="http://schemas.openxmlformats.org/officeDocument/2006/relationships/numbering" Target="numbering.xml"/><Relationship Id="rId16" Type="http://schemas.openxmlformats.org/officeDocument/2006/relationships/hyperlink" Target="https://www.slov-lex.sk/pravne-predpisy/SK/ZZ/2012/7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lov-lex.sk/pravne-predpisy/SK/ZZ/2010/529/"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0B930-79AA-4629-963D-94F73D80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14396</Words>
  <Characters>84608</Characters>
  <Application>Microsoft Office Word</Application>
  <DocSecurity>0</DocSecurity>
  <Lines>705</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Pankievičová Anežka</dc:creator>
  <cp:keywords/>
  <dc:description/>
  <cp:lastModifiedBy>Ňuňuk Pavol</cp:lastModifiedBy>
  <cp:revision>2</cp:revision>
  <cp:lastPrinted>2021-04-14T07:27:00Z</cp:lastPrinted>
  <dcterms:created xsi:type="dcterms:W3CDTF">2021-04-14T07:29:00Z</dcterms:created>
  <dcterms:modified xsi:type="dcterms:W3CDTF">2021-04-14T07:29:00Z</dcterms:modified>
</cp:coreProperties>
</file>