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380774" w:rsidRDefault="007242C6" w:rsidP="00C249F6">
      <w:pPr>
        <w:spacing w:line="276" w:lineRule="auto"/>
        <w:jc w:val="center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7242C6" w:rsidRPr="00430035" w:rsidRDefault="007242C6" w:rsidP="00C249F6">
      <w:pPr>
        <w:numPr>
          <w:ilvl w:val="0"/>
          <w:numId w:val="4"/>
        </w:numPr>
        <w:suppressAutoHyphens/>
        <w:spacing w:after="200" w:line="276" w:lineRule="auto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7242C6" w:rsidRPr="00AC7C7A" w:rsidRDefault="00E329BA" w:rsidP="00C249F6">
      <w:pPr>
        <w:spacing w:line="276" w:lineRule="auto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12700" b="0"/>
                <wp:wrapNone/>
                <wp:docPr id="3" name="Rovná spojovacia šíp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748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3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6ylPc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7242C6" w:rsidRPr="00AC7C7A" w:rsidRDefault="007242C6" w:rsidP="00C249F6">
      <w:pPr>
        <w:spacing w:line="276" w:lineRule="auto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Sku</w:t>
      </w:r>
      <w:r w:rsidR="00C249F6">
        <w:rPr>
          <w:rFonts w:ascii="Book Antiqua" w:hAnsi="Book Antiqua" w:cs="Arial"/>
        </w:rPr>
        <w:t>pina poslancov za stranu Kotlebovci</w:t>
      </w:r>
      <w:r>
        <w:rPr>
          <w:rFonts w:ascii="Book Antiqua" w:hAnsi="Book Antiqua" w:cs="Arial"/>
        </w:rPr>
        <w:t xml:space="preserve"> – Ľudová strana Naše Slovensko </w:t>
      </w:r>
      <w:r w:rsidR="00C249F6">
        <w:rPr>
          <w:rFonts w:ascii="Book Antiqua" w:hAnsi="Book Antiqua" w:cs="Arial"/>
        </w:rPr>
        <w:t>predkladá</w:t>
      </w:r>
      <w:r w:rsidRPr="00AC7C7A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br/>
      </w:r>
      <w:r w:rsidRPr="00AC7C7A">
        <w:rPr>
          <w:rFonts w:ascii="Book Antiqua" w:hAnsi="Book Antiqua" w:cs="Arial"/>
        </w:rPr>
        <w:t xml:space="preserve">do Národnej rady Slovenskej republiky návrh zákona, ktorým sa mení </w:t>
      </w:r>
      <w:r w:rsidRPr="007D474D">
        <w:rPr>
          <w:rFonts w:ascii="Book Antiqua" w:hAnsi="Book Antiqua" w:cs="Arial"/>
        </w:rPr>
        <w:t>a dopĺňa zákon</w:t>
      </w:r>
      <w:r w:rsidRPr="00AC7C7A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br/>
      </w:r>
      <w:r w:rsidR="007F6D41">
        <w:rPr>
          <w:rFonts w:ascii="Book Antiqua" w:hAnsi="Book Antiqua" w:cs="Arial"/>
        </w:rPr>
        <w:t>č</w:t>
      </w:r>
      <w:r w:rsidR="007F6D41" w:rsidRPr="007F6D41">
        <w:rPr>
          <w:rFonts w:ascii="Book Antiqua" w:hAnsi="Book Antiqua" w:cs="Arial"/>
        </w:rPr>
        <w:t>. 523/2004 Z. z.</w:t>
      </w:r>
      <w:r w:rsidR="007F6D41">
        <w:rPr>
          <w:rFonts w:ascii="Book Antiqua" w:hAnsi="Book Antiqua" w:cs="Arial"/>
        </w:rPr>
        <w:t xml:space="preserve"> </w:t>
      </w:r>
      <w:r w:rsidR="007F6D41" w:rsidRPr="007F6D41">
        <w:rPr>
          <w:rFonts w:ascii="Book Antiqua" w:hAnsi="Book Antiqua" w:cs="Arial"/>
        </w:rPr>
        <w:t>o rozpočtových pravidlách verejnej správy v znení neskorších predpisov</w:t>
      </w:r>
      <w:r w:rsidR="007F6D41">
        <w:rPr>
          <w:rFonts w:ascii="Book Antiqua" w:hAnsi="Book Antiqua" w:cs="Arial"/>
        </w:rPr>
        <w:t>.</w:t>
      </w:r>
    </w:p>
    <w:p w:rsidR="00505366" w:rsidRDefault="007242C6" w:rsidP="00C249F6">
      <w:pPr>
        <w:spacing w:line="276" w:lineRule="auto"/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 xml:space="preserve">Cieľom legislatívneho návrhu je </w:t>
      </w:r>
      <w:r w:rsidR="0011607D">
        <w:rPr>
          <w:rFonts w:ascii="Book Antiqua" w:hAnsi="Book Antiqua" w:cs="Arial"/>
        </w:rPr>
        <w:t>stanoviť limity na výdavky pre obstaranie</w:t>
      </w:r>
      <w:r w:rsidR="00631EF5">
        <w:rPr>
          <w:rFonts w:ascii="Book Antiqua" w:hAnsi="Book Antiqua" w:cs="Arial"/>
        </w:rPr>
        <w:t xml:space="preserve"> a prenájom</w:t>
      </w:r>
      <w:r w:rsidR="0011607D">
        <w:rPr>
          <w:rFonts w:ascii="Book Antiqua" w:hAnsi="Book Antiqua" w:cs="Arial"/>
        </w:rPr>
        <w:t xml:space="preserve"> osobných automobilov pre všetky subjekty verejnej správy </w:t>
      </w:r>
      <w:r w:rsidR="00505366">
        <w:rPr>
          <w:rFonts w:ascii="Book Antiqua" w:hAnsi="Book Antiqua" w:cs="Arial"/>
        </w:rPr>
        <w:t>a pre všetky organizácie zriadené alebo založené subjektmi verejnej správy.</w:t>
      </w:r>
    </w:p>
    <w:p w:rsidR="00F73685" w:rsidRDefault="00631EF5" w:rsidP="00C249F6">
      <w:pPr>
        <w:spacing w:line="276" w:lineRule="auto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V súčasnej </w:t>
      </w:r>
      <w:r w:rsidR="00F73685">
        <w:rPr>
          <w:rFonts w:ascii="Book Antiqua" w:hAnsi="Book Antiqua" w:cs="Arial"/>
        </w:rPr>
        <w:t xml:space="preserve">legislatíve je problematika obstarávania osobných automobilov upravená len pre štátne rozpočtové a štátne príspevkové organizácie, pričom výšku limitu výdavkov ustanovuje nariadenie vlády. </w:t>
      </w:r>
      <w:r>
        <w:rPr>
          <w:rFonts w:ascii="Book Antiqua" w:hAnsi="Book Antiqua" w:cs="Arial"/>
        </w:rPr>
        <w:t xml:space="preserve">Otázku prenájmu vozidiel súčasná legislatíva nerieši vôbec. </w:t>
      </w:r>
      <w:r w:rsidR="00F73685">
        <w:rPr>
          <w:rFonts w:ascii="Book Antiqua" w:hAnsi="Book Antiqua" w:cs="Arial"/>
        </w:rPr>
        <w:t xml:space="preserve">Predložený návrh zákona rozširuje okruh povinných subjektov na </w:t>
      </w:r>
      <w:r w:rsidR="00363691">
        <w:rPr>
          <w:rFonts w:ascii="Book Antiqua" w:hAnsi="Book Antiqua" w:cs="Arial"/>
        </w:rPr>
        <w:t>všetky subjekty verejnej správy a</w:t>
      </w:r>
      <w:r w:rsidR="00505366">
        <w:rPr>
          <w:rFonts w:ascii="Book Antiqua" w:hAnsi="Book Antiqua" w:cs="Arial"/>
        </w:rPr>
        <w:t> na všetky organizácie</w:t>
      </w:r>
      <w:r w:rsidRPr="00631EF5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subjektmi verejnej správy</w:t>
      </w:r>
      <w:r w:rsidR="007C64E0">
        <w:rPr>
          <w:rFonts w:ascii="Book Antiqua" w:hAnsi="Book Antiqua" w:cs="Arial"/>
        </w:rPr>
        <w:t xml:space="preserve"> zriadené alebo založené.</w:t>
      </w:r>
    </w:p>
    <w:p w:rsidR="002B5A8D" w:rsidRDefault="002B5A8D" w:rsidP="00C249F6">
      <w:pPr>
        <w:spacing w:line="276" w:lineRule="auto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Návrh reaguje na stúpajúcu tendenciu zneužívať verejné zdroje pri nákupe a prenájme osobných motorových vozidiel zo strany predstaviteľov subjektov verejnej správy. Pri</w:t>
      </w:r>
      <w:r w:rsidR="00631EF5">
        <w:rPr>
          <w:rFonts w:ascii="Book Antiqua" w:hAnsi="Book Antiqua" w:cs="Arial"/>
        </w:rPr>
        <w:t xml:space="preserve"> nákupe a prenájme áut príslušní</w:t>
      </w:r>
      <w:r>
        <w:rPr>
          <w:rFonts w:ascii="Book Antiqua" w:hAnsi="Book Antiqua" w:cs="Arial"/>
        </w:rPr>
        <w:t xml:space="preserve"> funkcionári často uprednostňujú vlastné subjektívne túžby </w:t>
      </w:r>
      <w:r w:rsidR="00D32D4F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pred objektívnymi potrebami. Výsledkom tejto praxe je neefektívne, neúčelné a nehospodárne využívanie verejných zdrojov vedúce k nadmernému zaťažovaniu verejného rozpočtu. Zavedením prísnejšej regulácie nákupu a prenájmu osobných motorových vozidiel, spolu s exaktným vymedzením </w:t>
      </w:r>
      <w:r w:rsidR="00631EF5">
        <w:rPr>
          <w:rFonts w:ascii="Book Antiqua" w:hAnsi="Book Antiqua" w:cs="Arial"/>
        </w:rPr>
        <w:t>limitov</w:t>
      </w:r>
      <w:r>
        <w:rPr>
          <w:rFonts w:ascii="Book Antiqua" w:hAnsi="Book Antiqua" w:cs="Arial"/>
        </w:rPr>
        <w:t xml:space="preserve"> pre jednotlivé skupiny predstaviteľov subjektov verejnej správy, zákonite povedie k nakupovaniu a prenájmu lacnejších, no pritom funkčne plne postačujúcich vozidiel. Tým sa okrem úspory verejných financií dosiahne aj priblíženie dotknutých verejných funkcionárov a ostatných zamestnancov verejnej správy k životom, potrebám a možnostiam daňových poplatníkov. Možno aj takáto zmena by mnohých, v súčasnosti od reality vzdialených verejných funkcionárov, dokázala vrátiť napäť na zem k požiadavkám a poslaniu verejnej služby.</w:t>
      </w:r>
    </w:p>
    <w:p w:rsidR="00C249F6" w:rsidRDefault="00C249F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Pr="00812D0E">
        <w:rPr>
          <w:rFonts w:ascii="Book Antiqua" w:hAnsi="Book Antiqua" w:cs="Arial"/>
        </w:rPr>
        <w:t>Výška</w:t>
      </w:r>
      <w:r>
        <w:rPr>
          <w:rFonts w:ascii="Book Antiqua" w:hAnsi="Book Antiqua" w:cs="Arial"/>
        </w:rPr>
        <w:t xml:space="preserve"> navrhnutých cenových stropov</w:t>
      </w:r>
      <w:r w:rsidRPr="00812D0E">
        <w:rPr>
          <w:rFonts w:ascii="Book Antiqua" w:hAnsi="Book Antiqua" w:cs="Arial"/>
        </w:rPr>
        <w:t xml:space="preserve"> zohľadňuje nielen skutočnosť, že osobné motorové vozidlo by malo zodpovedať spoločenskému statusu zastávanej funkcie, ale aj skutočnosť, že jeho cena by mala rešpektovať aj možnosti štátneho rozpočtu a životnú úroveň väčšiny obyvateľstva. Zavedenie cenového stropu pre nákup osobných motorových vozidiel považujú predkladatelia za prejav politickej slušnosti voči daňovníkom, z prostriedkov ktorých sa tieto nákupy realizujú.</w:t>
      </w:r>
      <w:r>
        <w:rPr>
          <w:rFonts w:ascii="Book Antiqua" w:hAnsi="Book Antiqua" w:cs="Arial"/>
        </w:rPr>
        <w:t xml:space="preserve"> </w:t>
      </w:r>
      <w:r w:rsidRPr="00812D0E">
        <w:rPr>
          <w:rFonts w:ascii="Book Antiqua" w:hAnsi="Book Antiqua" w:cs="Arial"/>
        </w:rPr>
        <w:t>Podľ</w:t>
      </w:r>
      <w:r>
        <w:rPr>
          <w:rFonts w:ascii="Book Antiqua" w:hAnsi="Book Antiqua" w:cs="Arial"/>
        </w:rPr>
        <w:t>a názoru predkladateľa stanovené</w:t>
      </w:r>
      <w:r w:rsidRPr="00812D0E">
        <w:rPr>
          <w:rFonts w:ascii="Book Antiqua" w:hAnsi="Book Antiqua" w:cs="Arial"/>
        </w:rPr>
        <w:t xml:space="preserve"> limit</w:t>
      </w:r>
      <w:r>
        <w:rPr>
          <w:rFonts w:ascii="Book Antiqua" w:hAnsi="Book Antiqua" w:cs="Arial"/>
        </w:rPr>
        <w:t>y</w:t>
      </w:r>
      <w:r w:rsidRPr="00812D0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sú kompromisné a  ústretové</w:t>
      </w:r>
      <w:r w:rsidRPr="00812D0E">
        <w:rPr>
          <w:rFonts w:ascii="Book Antiqua" w:hAnsi="Book Antiqua" w:cs="Arial"/>
        </w:rPr>
        <w:t xml:space="preserve"> s cieľom získať podporu väčšiny poslancov zákonodarného zboru a zabrániť tak nákupom neodôvodnene drahých osobných motorových vozidiel zo strany dosadených alebo zvolených funkcionárov subjektov štátnej správy a územnej samosprávy, resp. štátnych podnikov, pričom do budúcna predkladatelia vidia priesto</w:t>
      </w:r>
      <w:r>
        <w:rPr>
          <w:rFonts w:ascii="Book Antiqua" w:hAnsi="Book Antiqua" w:cs="Arial"/>
        </w:rPr>
        <w:t>r aj na ďalšie znižovanie týchto cenových stropov</w:t>
      </w:r>
      <w:r w:rsidRPr="00812D0E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 xml:space="preserve"> </w:t>
      </w:r>
    </w:p>
    <w:p w:rsidR="00C249F6" w:rsidRPr="00380774" w:rsidRDefault="00C249F6" w:rsidP="00C249F6">
      <w:pPr>
        <w:spacing w:line="276" w:lineRule="auto"/>
        <w:jc w:val="both"/>
        <w:rPr>
          <w:rFonts w:ascii="Book Antiqua" w:hAnsi="Book Antiqua" w:cs="Arial"/>
        </w:rPr>
      </w:pPr>
      <w:bookmarkStart w:id="0" w:name="_GoBack"/>
      <w:bookmarkEnd w:id="0"/>
    </w:p>
    <w:p w:rsidR="00812D0E" w:rsidRDefault="007242C6" w:rsidP="00C249F6">
      <w:pPr>
        <w:spacing w:line="276" w:lineRule="auto"/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 xml:space="preserve">Predložený návrh má </w:t>
      </w:r>
      <w:r>
        <w:rPr>
          <w:rFonts w:ascii="Book Antiqua" w:hAnsi="Book Antiqua" w:cs="Arial"/>
        </w:rPr>
        <w:t xml:space="preserve">jednoznačne </w:t>
      </w:r>
      <w:r w:rsidRPr="00380774">
        <w:rPr>
          <w:rFonts w:ascii="Book Antiqua" w:hAnsi="Book Antiqua" w:cs="Arial"/>
        </w:rPr>
        <w:t xml:space="preserve">pozitívny vplyv na štátny rozpočet. </w:t>
      </w:r>
    </w:p>
    <w:p w:rsidR="007242C6" w:rsidRPr="00430035" w:rsidRDefault="007242C6" w:rsidP="00C249F6">
      <w:pPr>
        <w:numPr>
          <w:ilvl w:val="0"/>
          <w:numId w:val="4"/>
        </w:numPr>
        <w:suppressAutoHyphens/>
        <w:spacing w:after="200" w:line="276" w:lineRule="auto"/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lastRenderedPageBreak/>
        <w:t>Osobitná časť</w:t>
      </w:r>
    </w:p>
    <w:p w:rsidR="007242C6" w:rsidRPr="00AC7C7A" w:rsidRDefault="00E329BA" w:rsidP="00C249F6">
      <w:pPr>
        <w:spacing w:line="276" w:lineRule="auto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12700" b="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0A3B1" id="Rovná spojovacia šípka 2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7242C6" w:rsidRPr="009E2AC6" w:rsidRDefault="007242C6" w:rsidP="00C249F6">
      <w:pPr>
        <w:spacing w:line="276" w:lineRule="auto"/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7242C6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1</w:t>
      </w:r>
    </w:p>
    <w:p w:rsidR="002C4B28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2C4B28">
        <w:rPr>
          <w:rFonts w:ascii="Book Antiqua" w:hAnsi="Book Antiqua" w:cs="Arial"/>
        </w:rPr>
        <w:t xml:space="preserve">Určuje sa maximálny limit pre obstaranie </w:t>
      </w:r>
      <w:r w:rsidR="002347C2">
        <w:rPr>
          <w:rFonts w:ascii="Book Antiqua" w:hAnsi="Book Antiqua" w:cs="Arial"/>
        </w:rPr>
        <w:t>alebo prenajatie si</w:t>
      </w:r>
      <w:r w:rsidR="0033567C">
        <w:rPr>
          <w:rFonts w:ascii="Book Antiqua" w:hAnsi="Book Antiqua" w:cs="Arial"/>
        </w:rPr>
        <w:t xml:space="preserve"> </w:t>
      </w:r>
      <w:r w:rsidR="002C4B28">
        <w:rPr>
          <w:rFonts w:ascii="Book Antiqua" w:hAnsi="Book Antiqua" w:cs="Arial"/>
        </w:rPr>
        <w:t xml:space="preserve">osobného automobilu určeného výlučne na prepravu osôb pre </w:t>
      </w:r>
      <w:r w:rsidR="00501FA6">
        <w:rPr>
          <w:rFonts w:ascii="Book Antiqua" w:hAnsi="Book Antiqua" w:cs="Arial"/>
        </w:rPr>
        <w:t>všetky subjekty verejnej správy a</w:t>
      </w:r>
      <w:r w:rsidR="005266AA">
        <w:rPr>
          <w:rFonts w:ascii="Book Antiqua" w:hAnsi="Book Antiqua" w:cs="Arial"/>
        </w:rPr>
        <w:t> organizácie zriadené alebo</w:t>
      </w:r>
      <w:r w:rsidR="00501FA6">
        <w:rPr>
          <w:rFonts w:ascii="Book Antiqua" w:hAnsi="Book Antiqua" w:cs="Arial"/>
        </w:rPr>
        <w:t xml:space="preserve"> založené subjektmi verejnej správy.</w:t>
      </w:r>
    </w:p>
    <w:p w:rsidR="007242C6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2</w:t>
      </w:r>
    </w:p>
    <w:p w:rsidR="002C4B28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8F0072">
        <w:rPr>
          <w:rFonts w:ascii="Book Antiqua" w:hAnsi="Book Antiqua" w:cs="Arial"/>
        </w:rPr>
        <w:t>V § 26 sa vypúšťa ods. 11, nakoľ</w:t>
      </w:r>
      <w:r w:rsidR="0033567C">
        <w:rPr>
          <w:rFonts w:ascii="Book Antiqua" w:hAnsi="Book Antiqua" w:cs="Arial"/>
        </w:rPr>
        <w:t>ko by bol v rozpore s </w:t>
      </w:r>
      <w:r w:rsidR="008F0072">
        <w:rPr>
          <w:rFonts w:ascii="Book Antiqua" w:hAnsi="Book Antiqua" w:cs="Arial"/>
        </w:rPr>
        <w:t>§ 19</w:t>
      </w:r>
      <w:r w:rsidR="0033567C">
        <w:rPr>
          <w:rFonts w:ascii="Book Antiqua" w:hAnsi="Book Antiqua" w:cs="Arial"/>
        </w:rPr>
        <w:t xml:space="preserve"> ods. 16</w:t>
      </w:r>
      <w:r w:rsidR="008F0072">
        <w:rPr>
          <w:rFonts w:ascii="Book Antiqua" w:hAnsi="Book Antiqua" w:cs="Arial"/>
        </w:rPr>
        <w:t xml:space="preserve">. </w:t>
      </w:r>
    </w:p>
    <w:p w:rsidR="007242C6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3</w:t>
      </w:r>
    </w:p>
    <w:p w:rsidR="008F0072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8F0072">
        <w:rPr>
          <w:rFonts w:ascii="Book Antiqua" w:hAnsi="Book Antiqua" w:cs="Arial"/>
        </w:rPr>
        <w:t>Poznámka pod čiarou sa prečísluje vzhľadom</w:t>
      </w:r>
      <w:r w:rsidR="0033567C">
        <w:rPr>
          <w:rFonts w:ascii="Book Antiqua" w:hAnsi="Book Antiqua" w:cs="Arial"/>
        </w:rPr>
        <w:t xml:space="preserve"> na vytvorenie nového </w:t>
      </w:r>
      <w:r w:rsidR="008F0072">
        <w:rPr>
          <w:rFonts w:ascii="Book Antiqua" w:hAnsi="Book Antiqua" w:cs="Arial"/>
        </w:rPr>
        <w:t>§ 19</w:t>
      </w:r>
      <w:r w:rsidR="0033567C">
        <w:rPr>
          <w:rFonts w:ascii="Book Antiqua" w:hAnsi="Book Antiqua" w:cs="Arial"/>
        </w:rPr>
        <w:t xml:space="preserve"> ods. 16</w:t>
      </w:r>
      <w:r w:rsidR="008F0072">
        <w:rPr>
          <w:rFonts w:ascii="Book Antiqua" w:hAnsi="Book Antiqua" w:cs="Arial"/>
        </w:rPr>
        <w:t xml:space="preserve">. </w:t>
      </w:r>
    </w:p>
    <w:p w:rsidR="007242C6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4</w:t>
      </w:r>
    </w:p>
    <w:p w:rsidR="008F0072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8F0072">
        <w:rPr>
          <w:rFonts w:ascii="Book Antiqua" w:hAnsi="Book Antiqua" w:cs="Arial"/>
        </w:rPr>
        <w:t xml:space="preserve">Zrušuje sa nariadenie vlády určujúce limit výdavkov na obstaranie osobných automobilov, nakoľko bude limit určený priamo zákonom. </w:t>
      </w:r>
    </w:p>
    <w:p w:rsidR="007242C6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5</w:t>
      </w:r>
    </w:p>
    <w:p w:rsidR="009C6E67" w:rsidRPr="00774BAF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8F0072">
        <w:rPr>
          <w:rFonts w:ascii="Book Antiqua" w:hAnsi="Book Antiqua" w:cs="Arial"/>
        </w:rPr>
        <w:t>Dopĺňa sa príloha, ktorá určuje výšku limitu pre všetky okruhy osôb</w:t>
      </w:r>
      <w:r w:rsidR="009C6E67">
        <w:rPr>
          <w:rFonts w:ascii="Book Antiqua" w:hAnsi="Book Antiqua" w:cs="Arial"/>
        </w:rPr>
        <w:t xml:space="preserve"> subjektov verejnej správy a</w:t>
      </w:r>
      <w:r w:rsidR="005266AA">
        <w:rPr>
          <w:rFonts w:ascii="Book Antiqua" w:hAnsi="Book Antiqua" w:cs="Arial"/>
        </w:rPr>
        <w:t> organizácií zriadených alebo</w:t>
      </w:r>
      <w:r w:rsidR="009C6E67">
        <w:rPr>
          <w:rFonts w:ascii="Book Antiqua" w:hAnsi="Book Antiqua" w:cs="Arial"/>
        </w:rPr>
        <w:t xml:space="preserve"> založených subjektmi verejnej správy.</w:t>
      </w:r>
    </w:p>
    <w:p w:rsidR="007242C6" w:rsidRDefault="007242C6" w:rsidP="00C249F6">
      <w:pPr>
        <w:spacing w:line="276" w:lineRule="auto"/>
        <w:jc w:val="both"/>
        <w:rPr>
          <w:rFonts w:ascii="Book Antiqua" w:hAnsi="Book Antiqua" w:cs="Arial"/>
        </w:rPr>
      </w:pPr>
    </w:p>
    <w:p w:rsidR="007242C6" w:rsidRPr="009E2AC6" w:rsidRDefault="007242C6" w:rsidP="00C249F6">
      <w:pPr>
        <w:spacing w:line="276" w:lineRule="auto"/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  <w:r>
        <w:rPr>
          <w:rFonts w:ascii="Book Antiqua" w:hAnsi="Book Antiqua" w:cs="Arial"/>
          <w:b/>
        </w:rPr>
        <w:t>I</w:t>
      </w:r>
    </w:p>
    <w:p w:rsidR="007242C6" w:rsidRPr="00A73B2A" w:rsidRDefault="007242C6" w:rsidP="00C249F6">
      <w:pPr>
        <w:spacing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Navrhuje sa úč</w:t>
      </w:r>
      <w:r w:rsidR="00C249F6">
        <w:rPr>
          <w:rFonts w:ascii="Book Antiqua" w:hAnsi="Book Antiqua" w:cs="Arial"/>
        </w:rPr>
        <w:t>innosť zákona od 1. januára 2022</w:t>
      </w:r>
      <w:r w:rsidRPr="008B3324">
        <w:rPr>
          <w:rFonts w:ascii="Book Antiqua" w:hAnsi="Book Antiqua" w:cs="Arial"/>
        </w:rPr>
        <w:t>.</w:t>
      </w:r>
    </w:p>
    <w:sectPr w:rsidR="007242C6" w:rsidRPr="00A73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3F" w:rsidRDefault="00345B3F" w:rsidP="00C768B9">
      <w:pPr>
        <w:spacing w:after="0" w:line="240" w:lineRule="auto"/>
      </w:pPr>
      <w:r>
        <w:separator/>
      </w:r>
    </w:p>
  </w:endnote>
  <w:endnote w:type="continuationSeparator" w:id="0">
    <w:p w:rsidR="00345B3F" w:rsidRDefault="00345B3F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3F" w:rsidRDefault="00345B3F" w:rsidP="00C768B9">
      <w:pPr>
        <w:spacing w:after="0" w:line="240" w:lineRule="auto"/>
      </w:pPr>
      <w:r>
        <w:separator/>
      </w:r>
    </w:p>
  </w:footnote>
  <w:footnote w:type="continuationSeparator" w:id="0">
    <w:p w:rsidR="00345B3F" w:rsidRDefault="00345B3F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A1136"/>
    <w:rsid w:val="000B4D55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303311"/>
    <w:rsid w:val="003077E3"/>
    <w:rsid w:val="0032647B"/>
    <w:rsid w:val="00330541"/>
    <w:rsid w:val="0033567C"/>
    <w:rsid w:val="0034464C"/>
    <w:rsid w:val="00345B3F"/>
    <w:rsid w:val="00363691"/>
    <w:rsid w:val="0037487F"/>
    <w:rsid w:val="00380774"/>
    <w:rsid w:val="00396ADB"/>
    <w:rsid w:val="003A1EB6"/>
    <w:rsid w:val="003B2CBE"/>
    <w:rsid w:val="004073D9"/>
    <w:rsid w:val="00424E55"/>
    <w:rsid w:val="00430035"/>
    <w:rsid w:val="004B66C1"/>
    <w:rsid w:val="004D4D6E"/>
    <w:rsid w:val="004F2536"/>
    <w:rsid w:val="00501FA6"/>
    <w:rsid w:val="00505366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74BAF"/>
    <w:rsid w:val="007823D4"/>
    <w:rsid w:val="00783715"/>
    <w:rsid w:val="007C64E0"/>
    <w:rsid w:val="007D474D"/>
    <w:rsid w:val="007F6D41"/>
    <w:rsid w:val="00800B91"/>
    <w:rsid w:val="00812D0E"/>
    <w:rsid w:val="00891035"/>
    <w:rsid w:val="008B3324"/>
    <w:rsid w:val="008E5F90"/>
    <w:rsid w:val="008F0072"/>
    <w:rsid w:val="00907C4F"/>
    <w:rsid w:val="00927396"/>
    <w:rsid w:val="00953759"/>
    <w:rsid w:val="009B0DB5"/>
    <w:rsid w:val="009C45CD"/>
    <w:rsid w:val="009C6E67"/>
    <w:rsid w:val="009D21A9"/>
    <w:rsid w:val="009E2AC6"/>
    <w:rsid w:val="00A12BA6"/>
    <w:rsid w:val="00A20681"/>
    <w:rsid w:val="00A206AB"/>
    <w:rsid w:val="00A34A17"/>
    <w:rsid w:val="00A413C1"/>
    <w:rsid w:val="00A73B2A"/>
    <w:rsid w:val="00AC1E92"/>
    <w:rsid w:val="00AC6BD0"/>
    <w:rsid w:val="00AC7C7A"/>
    <w:rsid w:val="00AE517B"/>
    <w:rsid w:val="00B32F99"/>
    <w:rsid w:val="00B43BE1"/>
    <w:rsid w:val="00B64471"/>
    <w:rsid w:val="00BB429A"/>
    <w:rsid w:val="00C009D2"/>
    <w:rsid w:val="00C249F6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E10877"/>
    <w:rsid w:val="00E10F2B"/>
    <w:rsid w:val="00E329BA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14ED9"/>
  <w14:defaultImageDpi w14:val="0"/>
  <w15:docId w15:val="{58EEC44C-51A6-449F-A8ED-1E0715C6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7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7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7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7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696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696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695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688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7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7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7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7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67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7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67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76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67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7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67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7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67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7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67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7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67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7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467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7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695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695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69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690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691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691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7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7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688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689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7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5</cp:revision>
  <cp:lastPrinted>2016-09-23T09:54:00Z</cp:lastPrinted>
  <dcterms:created xsi:type="dcterms:W3CDTF">2021-03-24T21:36:00Z</dcterms:created>
  <dcterms:modified xsi:type="dcterms:W3CDTF">2021-03-26T16:31:00Z</dcterms:modified>
</cp:coreProperties>
</file>