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7C" w:rsidRDefault="0026017C" w:rsidP="0026017C">
      <w:pPr>
        <w:autoSpaceDE w:val="0"/>
        <w:autoSpaceDN w:val="0"/>
        <w:adjustRightInd w:val="0"/>
        <w:spacing w:after="0" w:line="240" w:lineRule="auto"/>
        <w:jc w:val="center"/>
        <w:rPr>
          <w:rFonts w:ascii="Times New Roman" w:hAnsi="Times New Roman"/>
          <w:b/>
          <w:bCs/>
          <w:color w:val="000000"/>
          <w:sz w:val="24"/>
          <w:szCs w:val="24"/>
        </w:rPr>
      </w:pPr>
      <w:r w:rsidRPr="00492F6F">
        <w:rPr>
          <w:rFonts w:ascii="Times New Roman" w:hAnsi="Times New Roman"/>
          <w:b/>
          <w:bCs/>
          <w:color w:val="000000"/>
          <w:sz w:val="24"/>
          <w:szCs w:val="24"/>
        </w:rPr>
        <w:t>Dôvodová správa</w:t>
      </w:r>
    </w:p>
    <w:p w:rsidR="0026017C" w:rsidRPr="00492F6F" w:rsidRDefault="0026017C" w:rsidP="0026017C">
      <w:pPr>
        <w:autoSpaceDE w:val="0"/>
        <w:autoSpaceDN w:val="0"/>
        <w:adjustRightInd w:val="0"/>
        <w:spacing w:after="0" w:line="240" w:lineRule="auto"/>
        <w:jc w:val="center"/>
        <w:rPr>
          <w:rFonts w:ascii="Times New Roman" w:hAnsi="Times New Roman"/>
          <w:b/>
          <w:bCs/>
          <w:color w:val="000000"/>
          <w:sz w:val="24"/>
          <w:szCs w:val="24"/>
        </w:rPr>
      </w:pPr>
    </w:p>
    <w:p w:rsidR="0026017C" w:rsidRPr="00492F6F" w:rsidRDefault="0026017C" w:rsidP="0026017C">
      <w:pPr>
        <w:jc w:val="both"/>
        <w:rPr>
          <w:rFonts w:ascii="Times New Roman" w:hAnsi="Times New Roman"/>
          <w:b/>
          <w:color w:val="000000"/>
          <w:sz w:val="24"/>
          <w:szCs w:val="24"/>
        </w:rPr>
      </w:pPr>
      <w:r w:rsidRPr="00492F6F">
        <w:rPr>
          <w:rFonts w:ascii="Times New Roman" w:hAnsi="Times New Roman"/>
          <w:b/>
          <w:color w:val="000000"/>
          <w:sz w:val="24"/>
          <w:szCs w:val="24"/>
        </w:rPr>
        <w:t>A. Všeobecná časť</w:t>
      </w:r>
    </w:p>
    <w:p w:rsidR="0026017C" w:rsidRDefault="0026017C" w:rsidP="0026017C">
      <w:pPr>
        <w:spacing w:after="0" w:line="240" w:lineRule="auto"/>
        <w:ind w:firstLine="708"/>
        <w:jc w:val="both"/>
        <w:rPr>
          <w:rFonts w:ascii="Times New Roman" w:eastAsia="Calibri" w:hAnsi="Times New Roman"/>
          <w:bCs/>
          <w:color w:val="000000" w:themeColor="text1"/>
          <w:sz w:val="24"/>
          <w:szCs w:val="24"/>
        </w:rPr>
      </w:pPr>
      <w:r>
        <w:rPr>
          <w:rFonts w:ascii="Times New Roman" w:hAnsi="Times New Roman"/>
          <w:color w:val="000000"/>
          <w:sz w:val="24"/>
          <w:szCs w:val="24"/>
        </w:rPr>
        <w:t xml:space="preserve">Návrhom zákona sa z dôvodu pretrvávajúcej nepriaznivej </w:t>
      </w:r>
      <w:proofErr w:type="spellStart"/>
      <w:r>
        <w:rPr>
          <w:rFonts w:ascii="Times New Roman" w:hAnsi="Times New Roman"/>
          <w:color w:val="000000"/>
          <w:sz w:val="24"/>
          <w:szCs w:val="24"/>
        </w:rPr>
        <w:t>pandemickej</w:t>
      </w:r>
      <w:proofErr w:type="spellEnd"/>
      <w:r>
        <w:rPr>
          <w:rFonts w:ascii="Times New Roman" w:hAnsi="Times New Roman"/>
          <w:color w:val="000000"/>
          <w:sz w:val="24"/>
          <w:szCs w:val="24"/>
        </w:rPr>
        <w:t xml:space="preserve"> situácie navrhuje </w:t>
      </w:r>
      <w:r>
        <w:rPr>
          <w:rFonts w:ascii="Times New Roman" w:hAnsi="Times New Roman"/>
          <w:color w:val="000000" w:themeColor="text1"/>
          <w:sz w:val="24"/>
          <w:szCs w:val="24"/>
        </w:rPr>
        <w:t xml:space="preserve">zjednodušiť daňovým subjektom doručovanie </w:t>
      </w:r>
      <w:r>
        <w:rPr>
          <w:rFonts w:ascii="Times New Roman" w:eastAsia="Calibri" w:hAnsi="Times New Roman"/>
          <w:bCs/>
          <w:color w:val="000000" w:themeColor="text1"/>
          <w:sz w:val="24"/>
          <w:szCs w:val="24"/>
        </w:rPr>
        <w:t>oznámenia o</w:t>
      </w:r>
      <w:r>
        <w:rPr>
          <w:rFonts w:ascii="Times New Roman" w:hAnsi="Times New Roman"/>
          <w:color w:val="000000"/>
          <w:sz w:val="24"/>
          <w:szCs w:val="24"/>
        </w:rPr>
        <w:t xml:space="preserve"> predlžení lehoty na podanie daňového priznania. Navrhuje sa</w:t>
      </w:r>
      <w:r>
        <w:rPr>
          <w:rFonts w:ascii="Times New Roman" w:eastAsia="Calibri" w:hAnsi="Times New Roman"/>
          <w:bCs/>
          <w:color w:val="000000" w:themeColor="text1"/>
          <w:sz w:val="24"/>
          <w:szCs w:val="24"/>
        </w:rPr>
        <w:t xml:space="preserve"> umožniť takéto oznámenie podať aj  iným elektronickým spôsobom, a to e-mailom. </w:t>
      </w:r>
    </w:p>
    <w:p w:rsidR="0026017C" w:rsidRDefault="0026017C" w:rsidP="0026017C">
      <w:pPr>
        <w:spacing w:after="0" w:line="240" w:lineRule="auto"/>
        <w:ind w:firstLine="708"/>
        <w:jc w:val="both"/>
        <w:rPr>
          <w:rFonts w:ascii="Times New Roman" w:hAnsi="Times New Roman"/>
          <w:color w:val="000000"/>
          <w:sz w:val="24"/>
          <w:szCs w:val="24"/>
        </w:rPr>
      </w:pPr>
    </w:p>
    <w:p w:rsidR="0026017C" w:rsidRDefault="0026017C" w:rsidP="0026017C">
      <w:pPr>
        <w:ind w:firstLine="708"/>
        <w:jc w:val="both"/>
        <w:rPr>
          <w:rFonts w:ascii="Times New Roman" w:hAnsi="Times New Roman"/>
          <w:color w:val="000000"/>
          <w:sz w:val="24"/>
          <w:szCs w:val="24"/>
        </w:rPr>
      </w:pPr>
      <w:r>
        <w:rPr>
          <w:rFonts w:ascii="Times New Roman" w:hAnsi="Times New Roman"/>
          <w:color w:val="000000"/>
          <w:sz w:val="24"/>
          <w:szCs w:val="24"/>
        </w:rPr>
        <w:t xml:space="preserve">Zároveň s ohľadom na ustanovenie povinnosti všetkým osobám používať v určitých vnútorných priestoroch prekrytie horných dýchacích ciest osobným </w:t>
      </w:r>
      <w:proofErr w:type="spellStart"/>
      <w:r>
        <w:rPr>
          <w:rFonts w:ascii="Times New Roman" w:hAnsi="Times New Roman"/>
          <w:color w:val="000000"/>
          <w:sz w:val="24"/>
          <w:szCs w:val="24"/>
        </w:rPr>
        <w:t>osobným</w:t>
      </w:r>
      <w:proofErr w:type="spellEnd"/>
      <w:r>
        <w:rPr>
          <w:rFonts w:ascii="Times New Roman" w:hAnsi="Times New Roman"/>
          <w:color w:val="000000"/>
          <w:sz w:val="24"/>
          <w:szCs w:val="24"/>
        </w:rPr>
        <w:t xml:space="preserve"> ochranným prostriedkom, ktorým je respirátor naplňujúci minimálne všetky technické podmienky a požiadavky pre filtračnú </w:t>
      </w:r>
      <w:proofErr w:type="spellStart"/>
      <w:r>
        <w:rPr>
          <w:rFonts w:ascii="Times New Roman" w:hAnsi="Times New Roman"/>
          <w:color w:val="000000"/>
          <w:sz w:val="24"/>
          <w:szCs w:val="24"/>
        </w:rPr>
        <w:t>polmasku</w:t>
      </w:r>
      <w:proofErr w:type="spellEnd"/>
      <w:r>
        <w:rPr>
          <w:rFonts w:ascii="Times New Roman" w:hAnsi="Times New Roman"/>
          <w:color w:val="000000"/>
          <w:sz w:val="24"/>
          <w:szCs w:val="24"/>
        </w:rPr>
        <w:t xml:space="preserve"> s klasifikáciou najmenej FFP2 podľa normy STN EN 149+A1, sleduje predĺženie doby uplatňovania nulovej sadzby dane z pridanej hodnoty na </w:t>
      </w:r>
      <w:r>
        <w:rPr>
          <w:rFonts w:ascii="Times New Roman" w:hAnsi="Times New Roman"/>
          <w:sz w:val="24"/>
          <w:szCs w:val="24"/>
        </w:rPr>
        <w:t xml:space="preserve">osobné ochranné prostriedky, ktoré sú filtračnou tvárovou </w:t>
      </w:r>
      <w:proofErr w:type="spellStart"/>
      <w:r>
        <w:rPr>
          <w:rFonts w:ascii="Times New Roman" w:hAnsi="Times New Roman"/>
          <w:sz w:val="24"/>
          <w:szCs w:val="24"/>
        </w:rPr>
        <w:t>polmaskou</w:t>
      </w:r>
      <w:proofErr w:type="spellEnd"/>
      <w:r>
        <w:rPr>
          <w:rFonts w:ascii="Times New Roman" w:hAnsi="Times New Roman"/>
          <w:sz w:val="24"/>
          <w:szCs w:val="24"/>
        </w:rPr>
        <w:t xml:space="preserve"> kategórie FFP2 alebo filtračnou tvárovou </w:t>
      </w:r>
      <w:proofErr w:type="spellStart"/>
      <w:r>
        <w:rPr>
          <w:rFonts w:ascii="Times New Roman" w:hAnsi="Times New Roman"/>
          <w:sz w:val="24"/>
          <w:szCs w:val="24"/>
        </w:rPr>
        <w:t>polmaskou</w:t>
      </w:r>
      <w:proofErr w:type="spellEnd"/>
      <w:r>
        <w:rPr>
          <w:rFonts w:ascii="Times New Roman" w:hAnsi="Times New Roman"/>
          <w:sz w:val="24"/>
          <w:szCs w:val="24"/>
        </w:rPr>
        <w:t xml:space="preserve"> kategórie FFP3 do 30. júna 2021.</w:t>
      </w:r>
    </w:p>
    <w:p w:rsidR="0026017C" w:rsidRDefault="0026017C" w:rsidP="0026017C">
      <w:pPr>
        <w:ind w:firstLine="708"/>
        <w:jc w:val="both"/>
        <w:rPr>
          <w:rFonts w:ascii="Times New Roman" w:hAnsi="Times New Roman"/>
          <w:color w:val="000000"/>
          <w:sz w:val="24"/>
          <w:szCs w:val="24"/>
        </w:rPr>
      </w:pPr>
      <w:r>
        <w:rPr>
          <w:rFonts w:ascii="Times New Roman" w:hAnsi="Times New Roman"/>
          <w:color w:val="000000"/>
          <w:sz w:val="24"/>
          <w:szCs w:val="24"/>
        </w:rPr>
        <w:t>Ďalej návrh zákona nastavuje dopredaj cigariet, ktoré boli zdanené sadzbou spotrebnej dane platnou do 31. januára 2021, do vypredania zásob. Podľa účinnej právnej úpravy je možné tieto cigarety predávať, ponúkať na predaj alebo skladovať najneskôr do 31. marca 2021. Opatrenie je zamerané na odbúranie prípadných negatívnych finančných nákladov súvisiacich so zničením nepredaných zásob cigariet pre tie podnikateľské subjekty, ktoré zabezpečujú predaj týchto cigariet v daňovom voľnom obehu a nemohli prípadne nestihli predať svoje zásoby cigariet v dôsledku opatrení súvisiacich s prebiehajúcou epidemiologickou situáciou.</w:t>
      </w:r>
    </w:p>
    <w:p w:rsidR="0026017C" w:rsidRPr="000F5074" w:rsidRDefault="0026017C" w:rsidP="0026017C">
      <w:pPr>
        <w:ind w:firstLine="708"/>
        <w:jc w:val="both"/>
        <w:rPr>
          <w:rFonts w:ascii="Times New Roman" w:hAnsi="Times New Roman"/>
          <w:color w:val="000000"/>
          <w:sz w:val="24"/>
          <w:szCs w:val="24"/>
        </w:rPr>
      </w:pPr>
      <w:r w:rsidRPr="000F5074">
        <w:rPr>
          <w:rFonts w:ascii="Times New Roman" w:hAnsi="Times New Roman"/>
          <w:sz w:val="24"/>
          <w:szCs w:val="24"/>
        </w:rPr>
        <w:t>Z dôvodu zmiernenia negatívnych následkov pandémie na prevádzkovateľov hazardných hier sa n</w:t>
      </w:r>
      <w:r>
        <w:rPr>
          <w:rFonts w:ascii="Times New Roman" w:hAnsi="Times New Roman"/>
          <w:sz w:val="24"/>
          <w:szCs w:val="24"/>
        </w:rPr>
        <w:t xml:space="preserve">ávrhom zákona upravuje aj </w:t>
      </w:r>
      <w:r w:rsidRPr="000F5074">
        <w:rPr>
          <w:rFonts w:ascii="Times New Roman" w:hAnsi="Times New Roman"/>
          <w:sz w:val="24"/>
          <w:szCs w:val="24"/>
        </w:rPr>
        <w:t xml:space="preserve">odklad úhrady odvodov počas roku 2021 tak, že termíny úhrady odvodov, ktorých splatnosť nastane od účinnosti tohto zákona do konca augusta 2021, sa posúvajú na koniec decembra 2021. Týmto sa najmä pre prevádzkovateľov hazardných hier, ktorí platia paušálne odvody do štátneho rozpočtu, ktorých prvú polovicu musia zaplatiť do 30. apríla 2021 a druhú polovicu do 31. augusta 2021, dá možnosť ich uhradiť do konca decembra 2021. Odklad úhrady odvodov však bude umožnený všetkým prevádzkovateľom hazardných hier za komerčných podmienok, to znamená, že za obdobie odkladu budú povinní zaplatiť úrok podľa </w:t>
      </w:r>
      <w:r w:rsidRPr="000F5074">
        <w:rPr>
          <w:rFonts w:ascii="Times New Roman" w:hAnsi="Times New Roman"/>
          <w:kern w:val="22"/>
          <w:sz w:val="24"/>
          <w:szCs w:val="24"/>
        </w:rPr>
        <w:t xml:space="preserve">Oznámenia Komisie o revízii spôsobu stanovenia referenčných a diskontných sadzieb. Týmto postupom tak </w:t>
      </w:r>
      <w:r w:rsidRPr="000F5074">
        <w:rPr>
          <w:rFonts w:ascii="Times New Roman" w:hAnsi="Times New Roman"/>
          <w:sz w:val="24"/>
          <w:szCs w:val="24"/>
        </w:rPr>
        <w:t>nebude týmto opatrením poskytovaná štátna ani minimálna pomoc.</w:t>
      </w:r>
    </w:p>
    <w:p w:rsidR="0026017C" w:rsidRDefault="0026017C" w:rsidP="0026017C">
      <w:pPr>
        <w:ind w:firstLine="708"/>
        <w:jc w:val="both"/>
        <w:rPr>
          <w:rFonts w:ascii="Times New Roman" w:hAnsi="Times New Roman"/>
          <w:color w:val="000000"/>
          <w:sz w:val="24"/>
          <w:szCs w:val="24"/>
        </w:rPr>
      </w:pPr>
      <w:r>
        <w:rPr>
          <w:rFonts w:ascii="Times New Roman" w:hAnsi="Times New Roman"/>
          <w:color w:val="000000"/>
          <w:sz w:val="24"/>
          <w:szCs w:val="24"/>
        </w:rPr>
        <w:t xml:space="preserve">Návrh zákona tiež rieši posun termínov </w:t>
      </w:r>
      <w:r w:rsidRPr="000A415B">
        <w:rPr>
          <w:rFonts w:ascii="Times New Roman" w:hAnsi="Times New Roman"/>
          <w:color w:val="000000"/>
          <w:sz w:val="24"/>
          <w:szCs w:val="24"/>
        </w:rPr>
        <w:t>ročné</w:t>
      </w:r>
      <w:r>
        <w:rPr>
          <w:rFonts w:ascii="Times New Roman" w:hAnsi="Times New Roman"/>
          <w:color w:val="000000"/>
          <w:sz w:val="24"/>
          <w:szCs w:val="24"/>
        </w:rPr>
        <w:t>ho</w:t>
      </w:r>
      <w:r w:rsidRPr="000A415B">
        <w:rPr>
          <w:rFonts w:ascii="Times New Roman" w:hAnsi="Times New Roman"/>
          <w:color w:val="000000"/>
          <w:sz w:val="24"/>
          <w:szCs w:val="24"/>
        </w:rPr>
        <w:t xml:space="preserve"> vyúčtovani</w:t>
      </w:r>
      <w:r>
        <w:rPr>
          <w:rFonts w:ascii="Times New Roman" w:hAnsi="Times New Roman"/>
          <w:color w:val="000000"/>
          <w:sz w:val="24"/>
          <w:szCs w:val="24"/>
        </w:rPr>
        <w:t>a</w:t>
      </w:r>
      <w:r w:rsidRPr="000A415B">
        <w:rPr>
          <w:rFonts w:ascii="Times New Roman" w:hAnsi="Times New Roman"/>
          <w:color w:val="000000"/>
          <w:sz w:val="24"/>
          <w:szCs w:val="24"/>
        </w:rPr>
        <w:t xml:space="preserve"> a správ</w:t>
      </w:r>
      <w:r>
        <w:rPr>
          <w:rFonts w:ascii="Times New Roman" w:hAnsi="Times New Roman"/>
          <w:color w:val="000000"/>
          <w:sz w:val="24"/>
          <w:szCs w:val="24"/>
        </w:rPr>
        <w:t>y</w:t>
      </w:r>
      <w:r w:rsidRPr="000A415B">
        <w:rPr>
          <w:rFonts w:ascii="Times New Roman" w:hAnsi="Times New Roman"/>
          <w:color w:val="000000"/>
          <w:sz w:val="24"/>
          <w:szCs w:val="24"/>
        </w:rPr>
        <w:t xml:space="preserve"> o činnosti </w:t>
      </w:r>
      <w:r>
        <w:rPr>
          <w:rFonts w:ascii="Times New Roman" w:hAnsi="Times New Roman"/>
          <w:color w:val="000000"/>
          <w:sz w:val="24"/>
          <w:szCs w:val="24"/>
        </w:rPr>
        <w:t xml:space="preserve">spoločenstiev vlastníkov a správcov bytových domov a nebytových budov </w:t>
      </w:r>
      <w:r w:rsidRPr="000A415B">
        <w:rPr>
          <w:rFonts w:ascii="Times New Roman" w:hAnsi="Times New Roman"/>
          <w:color w:val="000000"/>
          <w:sz w:val="24"/>
          <w:szCs w:val="24"/>
        </w:rPr>
        <w:t>za rok 2020</w:t>
      </w:r>
      <w:r>
        <w:rPr>
          <w:rFonts w:ascii="Times New Roman" w:hAnsi="Times New Roman"/>
          <w:color w:val="000000"/>
          <w:sz w:val="24"/>
          <w:szCs w:val="24"/>
        </w:rPr>
        <w:t>, ako aj elektronické hlasovanie vlastníkov bytov a nebytových priestorov v dome  počas pandémie.</w:t>
      </w:r>
    </w:p>
    <w:p w:rsidR="0026017C" w:rsidRPr="009F09EA" w:rsidRDefault="0026017C" w:rsidP="0026017C">
      <w:pPr>
        <w:ind w:firstLine="708"/>
        <w:jc w:val="both"/>
        <w:rPr>
          <w:rFonts w:ascii="Times New Roman" w:hAnsi="Times New Roman"/>
          <w:color w:val="000000"/>
          <w:sz w:val="24"/>
          <w:szCs w:val="24"/>
        </w:rPr>
      </w:pPr>
      <w:r w:rsidRPr="009F09EA">
        <w:rPr>
          <w:rFonts w:ascii="Times New Roman" w:hAnsi="Times New Roman"/>
          <w:color w:val="000000"/>
          <w:sz w:val="24"/>
          <w:szCs w:val="24"/>
        </w:rPr>
        <w:t xml:space="preserve">Vplyvy návrhu zákona na rozpočet verejnej správy, na podnikateľské prostredie, sociálne vplyvy, vplyvy na životné prostredie, na informatizáciu spoločnosti a na </w:t>
      </w:r>
      <w:r w:rsidRPr="00B41442">
        <w:rPr>
          <w:rFonts w:ascii="Times New Roman" w:hAnsi="Times New Roman"/>
          <w:color w:val="000000"/>
          <w:sz w:val="24"/>
          <w:szCs w:val="24"/>
        </w:rPr>
        <w:t xml:space="preserve">služby verejnej správy pre občana sú uvedené v doložke vybraných vplyvov. </w:t>
      </w:r>
    </w:p>
    <w:p w:rsidR="0026017C" w:rsidRPr="009F09EA" w:rsidRDefault="0026017C" w:rsidP="0026017C">
      <w:pPr>
        <w:ind w:firstLine="708"/>
        <w:jc w:val="both"/>
        <w:rPr>
          <w:rFonts w:ascii="Times New Roman" w:hAnsi="Times New Roman"/>
          <w:color w:val="000000"/>
          <w:sz w:val="24"/>
          <w:szCs w:val="24"/>
        </w:rPr>
      </w:pPr>
      <w:r w:rsidRPr="004944F1">
        <w:rPr>
          <w:rFonts w:ascii="Times New Roman" w:hAnsi="Times New Roman"/>
          <w:color w:val="000000"/>
          <w:sz w:val="24"/>
          <w:szCs w:val="24"/>
        </w:rPr>
        <w:t xml:space="preserve">Návrh zákona bude mať </w:t>
      </w:r>
      <w:r>
        <w:rPr>
          <w:rFonts w:ascii="Times New Roman" w:hAnsi="Times New Roman"/>
          <w:color w:val="000000"/>
          <w:sz w:val="24"/>
          <w:szCs w:val="24"/>
        </w:rPr>
        <w:t>pozitívny</w:t>
      </w:r>
      <w:r w:rsidRPr="004944F1">
        <w:rPr>
          <w:rFonts w:ascii="Times New Roman" w:hAnsi="Times New Roman"/>
          <w:color w:val="000000"/>
          <w:sz w:val="24"/>
          <w:szCs w:val="24"/>
        </w:rPr>
        <w:t xml:space="preserve"> </w:t>
      </w:r>
      <w:r>
        <w:rPr>
          <w:rFonts w:ascii="Times New Roman" w:hAnsi="Times New Roman"/>
          <w:color w:val="000000"/>
          <w:sz w:val="24"/>
          <w:szCs w:val="24"/>
        </w:rPr>
        <w:t xml:space="preserve">a </w:t>
      </w:r>
      <w:r w:rsidRPr="004944F1">
        <w:rPr>
          <w:rFonts w:ascii="Times New Roman" w:hAnsi="Times New Roman"/>
          <w:color w:val="000000"/>
          <w:sz w:val="24"/>
          <w:szCs w:val="24"/>
        </w:rPr>
        <w:t>negatívny</w:t>
      </w:r>
      <w:r>
        <w:rPr>
          <w:rFonts w:ascii="Times New Roman" w:hAnsi="Times New Roman"/>
          <w:color w:val="000000"/>
          <w:sz w:val="24"/>
          <w:szCs w:val="24"/>
        </w:rPr>
        <w:t xml:space="preserve"> </w:t>
      </w:r>
      <w:r w:rsidRPr="004944F1">
        <w:rPr>
          <w:rFonts w:ascii="Times New Roman" w:hAnsi="Times New Roman"/>
          <w:color w:val="000000"/>
          <w:sz w:val="24"/>
          <w:szCs w:val="24"/>
        </w:rPr>
        <w:t>vplyv na rozpočet verejnej správy, pozitívny</w:t>
      </w:r>
      <w:r>
        <w:rPr>
          <w:rFonts w:ascii="Times New Roman" w:hAnsi="Times New Roman"/>
          <w:color w:val="000000"/>
          <w:sz w:val="24"/>
          <w:szCs w:val="24"/>
        </w:rPr>
        <w:t xml:space="preserve"> sociálny vplyv a vplyv na podnikateľské prostredie</w:t>
      </w:r>
      <w:r w:rsidRPr="004944F1">
        <w:rPr>
          <w:rFonts w:ascii="Times New Roman" w:hAnsi="Times New Roman"/>
          <w:color w:val="000000"/>
          <w:sz w:val="24"/>
          <w:szCs w:val="24"/>
        </w:rPr>
        <w:t xml:space="preserve"> a nebude mať </w:t>
      </w:r>
      <w:r>
        <w:rPr>
          <w:rFonts w:ascii="Times New Roman" w:hAnsi="Times New Roman"/>
          <w:color w:val="000000"/>
          <w:sz w:val="24"/>
          <w:szCs w:val="24"/>
        </w:rPr>
        <w:t xml:space="preserve">vplyvy </w:t>
      </w:r>
      <w:r w:rsidRPr="004944F1">
        <w:rPr>
          <w:rFonts w:ascii="Times New Roman" w:hAnsi="Times New Roman"/>
          <w:color w:val="000000"/>
          <w:sz w:val="24"/>
          <w:szCs w:val="24"/>
        </w:rPr>
        <w:t>na životné prostredie, na informatizáciu spoločnosti a ani na služby verejnej správy pre občana.</w:t>
      </w:r>
      <w:r>
        <w:rPr>
          <w:rFonts w:ascii="Times New Roman" w:hAnsi="Times New Roman"/>
          <w:color w:val="000000"/>
          <w:sz w:val="24"/>
          <w:szCs w:val="24"/>
        </w:rPr>
        <w:t xml:space="preserve"> </w:t>
      </w:r>
      <w:r w:rsidRPr="009F09EA">
        <w:rPr>
          <w:rFonts w:ascii="Times New Roman" w:hAnsi="Times New Roman"/>
          <w:color w:val="000000"/>
          <w:sz w:val="24"/>
          <w:szCs w:val="24"/>
        </w:rPr>
        <w:t xml:space="preserve">  </w:t>
      </w:r>
    </w:p>
    <w:p w:rsidR="0026017C" w:rsidRPr="009F09EA" w:rsidRDefault="0026017C" w:rsidP="0026017C">
      <w:pPr>
        <w:ind w:firstLine="708"/>
        <w:jc w:val="both"/>
        <w:rPr>
          <w:rFonts w:ascii="Times New Roman" w:hAnsi="Times New Roman"/>
          <w:color w:val="000000"/>
          <w:sz w:val="24"/>
          <w:szCs w:val="24"/>
        </w:rPr>
      </w:pPr>
      <w:r w:rsidRPr="009F09EA">
        <w:rPr>
          <w:rFonts w:ascii="Times New Roman" w:hAnsi="Times New Roman"/>
          <w:color w:val="000000"/>
          <w:sz w:val="24"/>
          <w:szCs w:val="24"/>
        </w:rPr>
        <w:lastRenderedPageBreak/>
        <w:t xml:space="preserve">Predkladaný návrh zákona </w:t>
      </w:r>
      <w:r w:rsidRPr="00BF1E99">
        <w:rPr>
          <w:rFonts w:ascii="Times New Roman" w:hAnsi="Times New Roman"/>
          <w:color w:val="000000"/>
          <w:sz w:val="24"/>
          <w:szCs w:val="24"/>
        </w:rPr>
        <w:t>nebude mať vplyv</w:t>
      </w:r>
      <w:r w:rsidRPr="009F09EA">
        <w:rPr>
          <w:rFonts w:ascii="Times New Roman" w:hAnsi="Times New Roman"/>
          <w:color w:val="000000"/>
          <w:sz w:val="24"/>
          <w:szCs w:val="24"/>
        </w:rPr>
        <w:t xml:space="preserve"> na rozpočty obcí a vyšších územných celkov.</w:t>
      </w:r>
    </w:p>
    <w:p w:rsidR="0026017C" w:rsidRDefault="0026017C" w:rsidP="0026017C">
      <w:pPr>
        <w:ind w:firstLine="708"/>
        <w:jc w:val="both"/>
        <w:rPr>
          <w:rFonts w:ascii="Times New Roman" w:hAnsi="Times New Roman"/>
          <w:color w:val="000000"/>
          <w:sz w:val="24"/>
          <w:szCs w:val="24"/>
        </w:rPr>
      </w:pPr>
      <w:r w:rsidRPr="009F09EA">
        <w:rPr>
          <w:rFonts w:ascii="Times New Roman" w:hAnsi="Times New Roman"/>
          <w:color w:val="000000"/>
          <w:sz w:val="24"/>
          <w:szCs w:val="24"/>
        </w:rPr>
        <w:t xml:space="preserve">Návrh zákona </w:t>
      </w:r>
      <w:r>
        <w:rPr>
          <w:rFonts w:ascii="Times New Roman" w:hAnsi="Times New Roman"/>
          <w:color w:val="000000"/>
          <w:sz w:val="24"/>
          <w:szCs w:val="24"/>
        </w:rPr>
        <w:t>nebol predmetom</w:t>
      </w:r>
      <w:r w:rsidRPr="009F09EA">
        <w:rPr>
          <w:rFonts w:ascii="Times New Roman" w:hAnsi="Times New Roman"/>
          <w:color w:val="000000"/>
          <w:sz w:val="24"/>
          <w:szCs w:val="24"/>
        </w:rPr>
        <w:t xml:space="preserve"> </w:t>
      </w:r>
      <w:proofErr w:type="spellStart"/>
      <w:r w:rsidRPr="009F09EA">
        <w:rPr>
          <w:rFonts w:ascii="Times New Roman" w:hAnsi="Times New Roman"/>
          <w:color w:val="000000"/>
          <w:sz w:val="24"/>
          <w:szCs w:val="24"/>
        </w:rPr>
        <w:t>vnútrokomunitárneho</w:t>
      </w:r>
      <w:proofErr w:type="spellEnd"/>
      <w:r w:rsidRPr="009F09EA">
        <w:rPr>
          <w:rFonts w:ascii="Times New Roman" w:hAnsi="Times New Roman"/>
          <w:color w:val="000000"/>
          <w:sz w:val="24"/>
          <w:szCs w:val="24"/>
        </w:rPr>
        <w:t xml:space="preserve"> pripomienkového konania.</w:t>
      </w:r>
    </w:p>
    <w:p w:rsidR="0026017C" w:rsidRPr="009F09EA" w:rsidRDefault="0026017C" w:rsidP="0026017C">
      <w:pPr>
        <w:ind w:firstLine="708"/>
        <w:jc w:val="both"/>
        <w:rPr>
          <w:rFonts w:ascii="Times New Roman" w:hAnsi="Times New Roman"/>
          <w:color w:val="000000"/>
          <w:sz w:val="24"/>
          <w:szCs w:val="24"/>
        </w:rPr>
      </w:pPr>
      <w:r>
        <w:rPr>
          <w:rFonts w:ascii="Times New Roman" w:hAnsi="Times New Roman"/>
          <w:color w:val="000000"/>
          <w:sz w:val="24"/>
          <w:szCs w:val="24"/>
        </w:rPr>
        <w:t>Návrh zákona  nebol predmetom medzirezortného pripomienkového konania.</w:t>
      </w:r>
    </w:p>
    <w:p w:rsidR="0026017C" w:rsidRPr="009F09EA" w:rsidRDefault="0026017C" w:rsidP="0026017C">
      <w:pPr>
        <w:ind w:firstLine="708"/>
        <w:jc w:val="both"/>
        <w:rPr>
          <w:rFonts w:ascii="Times New Roman" w:hAnsi="Times New Roman"/>
          <w:color w:val="000000"/>
          <w:sz w:val="24"/>
          <w:szCs w:val="24"/>
        </w:rPr>
      </w:pPr>
      <w:r w:rsidRPr="009F09EA">
        <w:rPr>
          <w:rFonts w:ascii="Times New Roman" w:hAnsi="Times New Roman"/>
          <w:color w:val="000000"/>
          <w:sz w:val="24"/>
          <w:szCs w:val="24"/>
        </w:rPr>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26017C" w:rsidRPr="009F09EA" w:rsidRDefault="0026017C" w:rsidP="0026017C">
      <w:pPr>
        <w:ind w:firstLine="708"/>
        <w:jc w:val="both"/>
        <w:rPr>
          <w:rFonts w:ascii="Times New Roman" w:hAnsi="Times New Roman"/>
          <w:color w:val="000000"/>
          <w:sz w:val="24"/>
          <w:szCs w:val="24"/>
        </w:rPr>
      </w:pPr>
      <w:r w:rsidRPr="009F09EA">
        <w:rPr>
          <w:rFonts w:ascii="Times New Roman" w:hAnsi="Times New Roman"/>
          <w:color w:val="000000"/>
          <w:sz w:val="24"/>
          <w:szCs w:val="24"/>
        </w:rPr>
        <w:t xml:space="preserve">Účinnosť zákona sa navrhuje </w:t>
      </w:r>
      <w:r>
        <w:rPr>
          <w:rFonts w:ascii="Times New Roman" w:hAnsi="Times New Roman"/>
          <w:color w:val="000000"/>
          <w:sz w:val="24"/>
          <w:szCs w:val="24"/>
        </w:rPr>
        <w:t>dňom vyhlásenia.</w:t>
      </w:r>
    </w:p>
    <w:p w:rsidR="0026017C" w:rsidRDefault="0026017C" w:rsidP="0026017C">
      <w:pPr>
        <w:spacing w:after="0" w:line="240" w:lineRule="auto"/>
        <w:ind w:firstLine="708"/>
        <w:jc w:val="both"/>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26017C" w:rsidRDefault="0026017C" w:rsidP="00AA73E5">
      <w:pPr>
        <w:spacing w:after="120" w:line="240" w:lineRule="auto"/>
        <w:jc w:val="center"/>
        <w:rPr>
          <w:rFonts w:ascii="Times New Roman" w:hAnsi="Times New Roman"/>
          <w:b/>
          <w:bCs/>
          <w:sz w:val="28"/>
          <w:szCs w:val="28"/>
          <w:lang w:eastAsia="sk-SK"/>
        </w:rPr>
      </w:pPr>
    </w:p>
    <w:p w:rsidR="00AA73E5" w:rsidRPr="00AA73E5" w:rsidRDefault="00AA73E5" w:rsidP="00AA73E5">
      <w:pPr>
        <w:spacing w:after="120" w:line="240" w:lineRule="auto"/>
        <w:jc w:val="center"/>
        <w:rPr>
          <w:rFonts w:ascii="Times New Roman" w:hAnsi="Times New Roman"/>
          <w:b/>
          <w:sz w:val="24"/>
          <w:szCs w:val="24"/>
          <w:lang w:eastAsia="sk-SK"/>
        </w:rPr>
      </w:pPr>
      <w:r w:rsidRPr="00AA73E5">
        <w:rPr>
          <w:rFonts w:ascii="Times New Roman" w:hAnsi="Times New Roman"/>
          <w:b/>
          <w:bCs/>
          <w:sz w:val="28"/>
          <w:szCs w:val="28"/>
          <w:lang w:eastAsia="sk-SK"/>
        </w:rPr>
        <w:lastRenderedPageBreak/>
        <w:t>Doložka vybraných vplyvov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Základné údaje</w:t>
            </w:r>
          </w:p>
        </w:tc>
      </w:tr>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Názov materiálu</w:t>
            </w:r>
          </w:p>
        </w:tc>
      </w:tr>
      <w:tr w:rsidR="00AA73E5" w:rsidRPr="00AA73E5" w:rsidTr="00BE41DD">
        <w:tc>
          <w:tcPr>
            <w:tcW w:w="9180" w:type="dxa"/>
            <w:gridSpan w:val="10"/>
            <w:tcBorders>
              <w:top w:val="single" w:sz="4" w:space="0" w:color="FFFFFF"/>
            </w:tcBorders>
            <w:shd w:val="clear" w:color="auto" w:fill="auto"/>
          </w:tcPr>
          <w:p w:rsidR="00AA73E5" w:rsidRPr="00AA73E5" w:rsidRDefault="00BE41DD" w:rsidP="00AA73E5">
            <w:pPr>
              <w:spacing w:after="0" w:line="240" w:lineRule="auto"/>
              <w:jc w:val="both"/>
              <w:rPr>
                <w:rFonts w:ascii="Times New Roman" w:hAnsi="Times New Roman"/>
                <w:sz w:val="24"/>
                <w:szCs w:val="24"/>
                <w:lang w:eastAsia="sk-SK"/>
              </w:rPr>
            </w:pPr>
            <w:r w:rsidRPr="00BE41DD">
              <w:rPr>
                <w:rFonts w:ascii="Times New Roman" w:hAnsi="Times New Roman"/>
                <w:bCs/>
                <w:sz w:val="24"/>
                <w:szCs w:val="24"/>
                <w:lang w:eastAsia="sk-SK"/>
              </w:rPr>
              <w:t xml:space="preserve">Návrh zákona, </w:t>
            </w:r>
            <w:r w:rsidRPr="00F67D71">
              <w:rPr>
                <w:rFonts w:ascii="Times New Roman" w:hAnsi="Times New Roman"/>
                <w:bCs/>
                <w:sz w:val="24"/>
                <w:szCs w:val="24"/>
                <w:lang w:eastAsia="sk-SK"/>
              </w:rPr>
              <w:t xml:space="preserve">ktorým sa </w:t>
            </w:r>
            <w:r w:rsidR="00707AEB" w:rsidRPr="00F67D71">
              <w:rPr>
                <w:rFonts w:ascii="Times New Roman" w:hAnsi="Times New Roman"/>
                <w:bCs/>
                <w:sz w:val="24"/>
                <w:szCs w:val="24"/>
                <w:lang w:eastAsia="sk-SK"/>
              </w:rPr>
              <w:t xml:space="preserve">mení a </w:t>
            </w:r>
            <w:r w:rsidRPr="00F67D71">
              <w:rPr>
                <w:rFonts w:ascii="Times New Roman" w:hAnsi="Times New Roman"/>
                <w:bCs/>
                <w:sz w:val="24"/>
                <w:szCs w:val="24"/>
                <w:lang w:eastAsia="sk-SK"/>
              </w:rPr>
              <w:t xml:space="preserve">dopĺňa </w:t>
            </w:r>
            <w:r w:rsidRPr="00BE41DD">
              <w:rPr>
                <w:rFonts w:ascii="Times New Roman" w:hAnsi="Times New Roman"/>
                <w:bCs/>
                <w:sz w:val="24"/>
                <w:szCs w:val="24"/>
                <w:lang w:eastAsia="sk-SK"/>
              </w:rPr>
              <w:t>zákon č. 67/2020 Z. z. o niektorých mimoriadnych opatreniach vo finančnej oblasti v súvislosti so šírením nebezpečnej nákazlivej ľudskej choroby COVID-19 v znení neskorších predpisov</w:t>
            </w:r>
          </w:p>
          <w:p w:rsidR="00AA73E5" w:rsidRPr="00AA73E5" w:rsidRDefault="00AA73E5" w:rsidP="00AA73E5">
            <w:pPr>
              <w:spacing w:after="0" w:line="240" w:lineRule="auto"/>
              <w:jc w:val="both"/>
              <w:rPr>
                <w:rFonts w:ascii="Times New Roman" w:hAnsi="Times New Roman"/>
                <w:sz w:val="8"/>
                <w:szCs w:val="8"/>
                <w:lang w:eastAsia="sk-SK"/>
              </w:rPr>
            </w:pPr>
          </w:p>
        </w:tc>
      </w:tr>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Predkladateľ (a spolupredkladateľ)</w:t>
            </w:r>
          </w:p>
        </w:tc>
      </w:tr>
      <w:tr w:rsidR="00AA73E5" w:rsidRPr="00AA73E5" w:rsidTr="00BE41DD">
        <w:tc>
          <w:tcPr>
            <w:tcW w:w="9180" w:type="dxa"/>
            <w:gridSpan w:val="10"/>
            <w:tcBorders>
              <w:top w:val="single" w:sz="4" w:space="0" w:color="FFFFFF"/>
            </w:tcBorders>
            <w:shd w:val="clear" w:color="auto" w:fill="FFFFFF"/>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Ministerstvo financií Slovenskej republiky</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c>
          <w:tcPr>
            <w:tcW w:w="4212" w:type="dxa"/>
            <w:gridSpan w:val="2"/>
            <w:vMerge w:val="restart"/>
            <w:tcBorders>
              <w:bottom w:val="single" w:sz="4" w:space="0" w:color="FFFFFF"/>
            </w:tcBorders>
            <w:shd w:val="clear" w:color="auto" w:fill="E2E2E2"/>
            <w:vAlign w:val="center"/>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Charakter predkladaného materiálu</w:t>
            </w:r>
          </w:p>
        </w:tc>
        <w:tc>
          <w:tcPr>
            <w:tcW w:w="705" w:type="dxa"/>
            <w:gridSpan w:val="2"/>
            <w:tcBorders>
              <w:right w:val="nil"/>
            </w:tcBorders>
            <w:shd w:val="clear" w:color="auto" w:fill="FFFFFF"/>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4263" w:type="dxa"/>
            <w:gridSpan w:val="6"/>
            <w:tcBorders>
              <w:left w:val="nil"/>
            </w:tcBorders>
            <w:shd w:val="clear" w:color="auto" w:fill="FFFFFF"/>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Materiál nelegislatívnej povahy</w:t>
            </w:r>
          </w:p>
        </w:tc>
      </w:tr>
      <w:tr w:rsidR="00AA73E5" w:rsidRPr="00AA73E5" w:rsidTr="00BE41DD">
        <w:tc>
          <w:tcPr>
            <w:tcW w:w="4212" w:type="dxa"/>
            <w:gridSpan w:val="2"/>
            <w:vMerge/>
            <w:tcBorders>
              <w:top w:val="nil"/>
              <w:bottom w:val="single" w:sz="4" w:space="0" w:color="FFFFFF"/>
            </w:tcBorders>
            <w:shd w:val="clear" w:color="auto" w:fill="E2E2E2"/>
          </w:tcPr>
          <w:p w:rsidR="00AA73E5" w:rsidRPr="00AA73E5" w:rsidRDefault="00AA73E5" w:rsidP="00AA73E5">
            <w:pPr>
              <w:spacing w:after="0" w:line="240" w:lineRule="auto"/>
              <w:rPr>
                <w:rFonts w:ascii="Times New Roman" w:hAnsi="Times New Roman"/>
                <w:sz w:val="24"/>
                <w:szCs w:val="24"/>
                <w:lang w:eastAsia="sk-SK"/>
              </w:rPr>
            </w:pPr>
          </w:p>
        </w:tc>
        <w:tc>
          <w:tcPr>
            <w:tcW w:w="705" w:type="dxa"/>
            <w:gridSpan w:val="2"/>
            <w:tcBorders>
              <w:right w:val="nil"/>
            </w:tcBorders>
            <w:shd w:val="clear" w:color="auto" w:fill="FFFFFF"/>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4263" w:type="dxa"/>
            <w:gridSpan w:val="6"/>
            <w:tcBorders>
              <w:left w:val="nil"/>
            </w:tcBorders>
            <w:shd w:val="clear" w:color="auto" w:fill="FFFFFF"/>
          </w:tcPr>
          <w:p w:rsidR="00AA73E5" w:rsidRPr="00AA73E5" w:rsidRDefault="00AA73E5" w:rsidP="00AA73E5">
            <w:pPr>
              <w:spacing w:after="0" w:line="240" w:lineRule="auto"/>
              <w:ind w:left="175" w:hanging="175"/>
              <w:rPr>
                <w:rFonts w:ascii="Times New Roman" w:hAnsi="Times New Roman"/>
                <w:sz w:val="24"/>
                <w:szCs w:val="24"/>
                <w:lang w:eastAsia="sk-SK"/>
              </w:rPr>
            </w:pPr>
            <w:r w:rsidRPr="00AA73E5">
              <w:rPr>
                <w:rFonts w:ascii="Times New Roman" w:hAnsi="Times New Roman"/>
                <w:sz w:val="24"/>
                <w:szCs w:val="24"/>
                <w:lang w:eastAsia="sk-SK"/>
              </w:rPr>
              <w:t>Materiál legislatívnej povahy</w:t>
            </w:r>
          </w:p>
        </w:tc>
      </w:tr>
      <w:tr w:rsidR="00AA73E5" w:rsidRPr="00AA73E5" w:rsidTr="00BE41DD">
        <w:tc>
          <w:tcPr>
            <w:tcW w:w="4212" w:type="dxa"/>
            <w:gridSpan w:val="2"/>
            <w:vMerge/>
            <w:tcBorders>
              <w:top w:val="nil"/>
            </w:tcBorders>
            <w:shd w:val="clear" w:color="auto" w:fill="E2E2E2"/>
          </w:tcPr>
          <w:p w:rsidR="00AA73E5" w:rsidRPr="00AA73E5" w:rsidRDefault="00AA73E5" w:rsidP="00AA73E5">
            <w:pPr>
              <w:spacing w:after="0" w:line="240" w:lineRule="auto"/>
              <w:rPr>
                <w:rFonts w:ascii="Times New Roman" w:hAnsi="Times New Roman"/>
                <w:sz w:val="24"/>
                <w:szCs w:val="24"/>
                <w:lang w:eastAsia="sk-SK"/>
              </w:rPr>
            </w:pPr>
          </w:p>
        </w:tc>
        <w:tc>
          <w:tcPr>
            <w:tcW w:w="705" w:type="dxa"/>
            <w:gridSpan w:val="2"/>
            <w:tcBorders>
              <w:right w:val="nil"/>
            </w:tcBorders>
            <w:shd w:val="clear" w:color="auto" w:fill="FFFFFF"/>
          </w:tcPr>
          <w:p w:rsidR="00AA73E5" w:rsidRPr="00AA73E5" w:rsidRDefault="00BE41DD"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4263" w:type="dxa"/>
            <w:gridSpan w:val="6"/>
            <w:tcBorders>
              <w:left w:val="nil"/>
            </w:tcBorders>
            <w:shd w:val="clear" w:color="auto" w:fill="FFFFFF"/>
          </w:tcPr>
          <w:p w:rsidR="00AA73E5" w:rsidRPr="00AA73E5" w:rsidRDefault="00AA73E5" w:rsidP="00AA73E5">
            <w:pPr>
              <w:spacing w:after="0" w:line="240" w:lineRule="auto"/>
              <w:rPr>
                <w:rFonts w:ascii="Times New Roman" w:hAnsi="Times New Roman"/>
                <w:sz w:val="24"/>
                <w:szCs w:val="24"/>
                <w:lang w:eastAsia="sk-SK"/>
              </w:rPr>
            </w:pPr>
            <w:r w:rsidRPr="00BE41DD">
              <w:rPr>
                <w:rFonts w:ascii="Times New Roman" w:hAnsi="Times New Roman"/>
                <w:sz w:val="24"/>
                <w:szCs w:val="24"/>
                <w:lang w:eastAsia="sk-SK"/>
              </w:rPr>
              <w:t>Transpozícia práva EÚ</w:t>
            </w:r>
          </w:p>
        </w:tc>
      </w:tr>
      <w:tr w:rsidR="00AA73E5" w:rsidRPr="00AA73E5" w:rsidTr="00BE41DD">
        <w:tc>
          <w:tcPr>
            <w:tcW w:w="9180" w:type="dxa"/>
            <w:gridSpan w:val="10"/>
            <w:tcBorders>
              <w:bottom w:val="single" w:sz="4" w:space="0" w:color="FFFFFF"/>
            </w:tcBorders>
            <w:shd w:val="clear" w:color="auto" w:fill="FFFFFF"/>
          </w:tcPr>
          <w:p w:rsidR="00AA73E5" w:rsidRDefault="00AA73E5" w:rsidP="00BE41DD">
            <w:pPr>
              <w:spacing w:after="0" w:line="240" w:lineRule="auto"/>
              <w:rPr>
                <w:rFonts w:ascii="Times New Roman" w:hAnsi="Times New Roman"/>
                <w:i/>
                <w:sz w:val="24"/>
                <w:szCs w:val="24"/>
                <w:lang w:eastAsia="sk-SK"/>
              </w:rPr>
            </w:pPr>
            <w:r w:rsidRPr="006950E0">
              <w:rPr>
                <w:rFonts w:ascii="Times New Roman" w:hAnsi="Times New Roman"/>
                <w:i/>
                <w:sz w:val="24"/>
                <w:szCs w:val="24"/>
                <w:lang w:eastAsia="sk-SK"/>
              </w:rPr>
              <w:t>V prípade transpozície uveďte zoznam transponovaných predpisov:</w:t>
            </w:r>
          </w:p>
          <w:p w:rsidR="00BE41DD" w:rsidRPr="00BE41DD" w:rsidRDefault="00BE41DD" w:rsidP="00BE41DD">
            <w:pPr>
              <w:spacing w:after="0" w:line="240" w:lineRule="auto"/>
              <w:rPr>
                <w:rFonts w:ascii="Times New Roman" w:hAnsi="Times New Roman"/>
                <w:i/>
                <w:sz w:val="24"/>
                <w:szCs w:val="24"/>
                <w:lang w:eastAsia="sk-SK"/>
              </w:rPr>
            </w:pPr>
          </w:p>
        </w:tc>
      </w:tr>
      <w:tr w:rsidR="00AA73E5" w:rsidRPr="00AA73E5" w:rsidTr="00BE41DD">
        <w:tc>
          <w:tcPr>
            <w:tcW w:w="5634" w:type="dxa"/>
            <w:gridSpan w:val="5"/>
            <w:tcBorders>
              <w:top w:val="single" w:sz="4" w:space="0" w:color="000000"/>
              <w:bottom w:val="single" w:sz="4" w:space="0" w:color="FFFFFF"/>
            </w:tcBorders>
            <w:shd w:val="clear" w:color="auto" w:fill="E2E2E2"/>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Termín začiatku a ukončenia PPK</w:t>
            </w:r>
          </w:p>
        </w:tc>
        <w:tc>
          <w:tcPr>
            <w:tcW w:w="3546" w:type="dxa"/>
            <w:gridSpan w:val="5"/>
            <w:tcBorders>
              <w:top w:val="single" w:sz="4" w:space="0" w:color="000000"/>
            </w:tcBorders>
            <w:shd w:val="clear" w:color="auto" w:fill="auto"/>
            <w:vAlign w:val="center"/>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c>
          <w:tcPr>
            <w:tcW w:w="5634" w:type="dxa"/>
            <w:gridSpan w:val="5"/>
            <w:tcBorders>
              <w:bottom w:val="single" w:sz="4" w:space="0" w:color="FFFFFF"/>
            </w:tcBorders>
            <w:shd w:val="clear" w:color="auto" w:fill="E2E2E2"/>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Predpokladaný termín predloženia na MPK*</w:t>
            </w:r>
          </w:p>
        </w:tc>
        <w:tc>
          <w:tcPr>
            <w:tcW w:w="3546" w:type="dxa"/>
            <w:gridSpan w:val="5"/>
            <w:shd w:val="clear" w:color="auto" w:fill="auto"/>
            <w:vAlign w:val="center"/>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c>
          <w:tcPr>
            <w:tcW w:w="5634" w:type="dxa"/>
            <w:gridSpan w:val="5"/>
            <w:tcBorders>
              <w:bottom w:val="single" w:sz="4" w:space="0" w:color="FFFFFF"/>
            </w:tcBorders>
            <w:shd w:val="clear" w:color="auto" w:fill="E2E2E2"/>
          </w:tcPr>
          <w:p w:rsidR="00AA73E5" w:rsidRPr="00AA73E5" w:rsidRDefault="00AA73E5" w:rsidP="00AA73E5">
            <w:pPr>
              <w:spacing w:after="0" w:line="240" w:lineRule="auto"/>
              <w:ind w:left="142"/>
              <w:contextualSpacing/>
              <w:rPr>
                <w:rFonts w:ascii="Times New Roman" w:hAnsi="Times New Roman"/>
                <w:b/>
              </w:rPr>
            </w:pPr>
            <w:r w:rsidRPr="00AA73E5">
              <w:rPr>
                <w:rFonts w:ascii="Times New Roman" w:hAnsi="Times New Roman"/>
                <w:b/>
              </w:rPr>
              <w:t>Predpokladaný termín predloženia na Rokovanie vlády SR*</w:t>
            </w:r>
          </w:p>
        </w:tc>
        <w:tc>
          <w:tcPr>
            <w:tcW w:w="3546" w:type="dxa"/>
            <w:gridSpan w:val="5"/>
            <w:shd w:val="clear" w:color="auto" w:fill="auto"/>
            <w:vAlign w:val="center"/>
          </w:tcPr>
          <w:p w:rsidR="00AA73E5" w:rsidRPr="00AA73E5" w:rsidRDefault="00BE41DD" w:rsidP="00AA73E5">
            <w:pPr>
              <w:spacing w:after="0" w:line="240" w:lineRule="auto"/>
              <w:rPr>
                <w:rFonts w:ascii="Times New Roman" w:hAnsi="Times New Roman"/>
                <w:sz w:val="24"/>
                <w:szCs w:val="24"/>
                <w:lang w:eastAsia="sk-SK"/>
              </w:rPr>
            </w:pPr>
            <w:r>
              <w:rPr>
                <w:rFonts w:ascii="Times New Roman" w:hAnsi="Times New Roman"/>
                <w:sz w:val="24"/>
                <w:szCs w:val="24"/>
                <w:lang w:eastAsia="sk-SK"/>
              </w:rPr>
              <w:t>marec 2021</w:t>
            </w:r>
          </w:p>
        </w:tc>
      </w:tr>
      <w:tr w:rsidR="00AA73E5" w:rsidRPr="00AA73E5" w:rsidTr="00BE41DD">
        <w:tc>
          <w:tcPr>
            <w:tcW w:w="9180" w:type="dxa"/>
            <w:gridSpan w:val="10"/>
            <w:tcBorders>
              <w:left w:val="nil"/>
              <w:right w:val="nil"/>
            </w:tcBorders>
            <w:shd w:val="clear" w:color="auto" w:fill="FFFFFF"/>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86"/>
        </w:trPr>
        <w:tc>
          <w:tcPr>
            <w:tcW w:w="9180" w:type="dxa"/>
            <w:gridSpan w:val="10"/>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Definovanie problému</w:t>
            </w:r>
          </w:p>
        </w:tc>
      </w:tr>
      <w:tr w:rsidR="00AA73E5" w:rsidRPr="00AA73E5" w:rsidTr="00BE41DD">
        <w:trPr>
          <w:trHeight w:val="850"/>
        </w:trPr>
        <w:tc>
          <w:tcPr>
            <w:tcW w:w="9180" w:type="dxa"/>
            <w:gridSpan w:val="10"/>
            <w:tcBorders>
              <w:top w:val="single" w:sz="4" w:space="0" w:color="FFFFFF"/>
            </w:tcBorders>
            <w:shd w:val="clear" w:color="auto" w:fill="FFFFFF"/>
            <w:vAlign w:val="center"/>
          </w:tcPr>
          <w:p w:rsidR="00C61DF6" w:rsidRDefault="00C61DF6" w:rsidP="00C61DF6">
            <w:pPr>
              <w:spacing w:after="0" w:line="240" w:lineRule="auto"/>
              <w:ind w:left="29"/>
              <w:contextualSpacing/>
              <w:jc w:val="both"/>
              <w:rPr>
                <w:rFonts w:ascii="Times New Roman" w:hAnsi="Times New Roman"/>
                <w:sz w:val="24"/>
                <w:szCs w:val="24"/>
                <w:lang w:eastAsia="sk-SK"/>
              </w:rPr>
            </w:pPr>
            <w:r w:rsidRPr="00C61DF6">
              <w:rPr>
                <w:rFonts w:ascii="Times New Roman" w:hAnsi="Times New Roman"/>
                <w:sz w:val="24"/>
                <w:szCs w:val="24"/>
                <w:lang w:eastAsia="sk-SK"/>
              </w:rPr>
              <w:t>Súčasná epidemiologická situácia na území Slovenskej republiky v dôsledku šírenia ochorenia COVID-19 je mimoriadne vážna, čo spôsobuje nevyhnutnosť prijímania opatrení s cieľom zamedzenia šírenia tohto nákazlivého ochorenia. Negatívne sprievodné javy väčšiny z týchto opatrení však značne vplývajú na takmer všetky segmenty slovenského hospodárstva, pričom v ich dôsledku dochádza nielen ku značným škodám na strane podnikateľských subjektov, ale sa vo významnej miere znižujú aj daňové príjmy štátu.</w:t>
            </w:r>
          </w:p>
          <w:p w:rsidR="003B3F32" w:rsidRDefault="006B0E48" w:rsidP="003B3F32">
            <w:pPr>
              <w:spacing w:after="0" w:line="240" w:lineRule="auto"/>
              <w:jc w:val="both"/>
              <w:rPr>
                <w:rFonts w:ascii="Times New Roman" w:hAnsi="Times New Roman"/>
                <w:sz w:val="24"/>
                <w:szCs w:val="24"/>
                <w:lang w:eastAsia="sk-SK"/>
              </w:rPr>
            </w:pPr>
            <w:r w:rsidRPr="00F67D71">
              <w:rPr>
                <w:rFonts w:ascii="Times New Roman" w:hAnsi="Times New Roman"/>
                <w:sz w:val="24"/>
                <w:szCs w:val="24"/>
              </w:rPr>
              <w:t xml:space="preserve">Z dôvodu pretrvávajúcej nepriaznivej </w:t>
            </w:r>
            <w:proofErr w:type="spellStart"/>
            <w:r w:rsidRPr="00F67D71">
              <w:rPr>
                <w:rFonts w:ascii="Times New Roman" w:hAnsi="Times New Roman"/>
                <w:sz w:val="24"/>
                <w:szCs w:val="24"/>
              </w:rPr>
              <w:t>pandemickej</w:t>
            </w:r>
            <w:proofErr w:type="spellEnd"/>
            <w:r w:rsidRPr="00F67D71">
              <w:rPr>
                <w:rFonts w:ascii="Times New Roman" w:hAnsi="Times New Roman"/>
                <w:sz w:val="24"/>
                <w:szCs w:val="24"/>
              </w:rPr>
              <w:t xml:space="preserve"> situácie</w:t>
            </w:r>
            <w:r w:rsidRPr="00F67D71">
              <w:rPr>
                <w:rFonts w:ascii="Times New Roman" w:hAnsi="Times New Roman"/>
                <w:sz w:val="24"/>
                <w:szCs w:val="24"/>
                <w:lang w:eastAsia="sk-SK"/>
              </w:rPr>
              <w:t xml:space="preserve"> sa návrhom zákona</w:t>
            </w:r>
            <w:r w:rsidR="003B3F32">
              <w:rPr>
                <w:rFonts w:ascii="Times New Roman" w:hAnsi="Times New Roman"/>
                <w:sz w:val="24"/>
                <w:szCs w:val="24"/>
                <w:lang w:eastAsia="sk-SK"/>
              </w:rPr>
              <w:t xml:space="preserve"> umožňuje </w:t>
            </w:r>
            <w:r w:rsidR="003B3F32">
              <w:rPr>
                <w:rFonts w:ascii="Times New Roman" w:hAnsi="Times New Roman"/>
                <w:color w:val="000000" w:themeColor="text1"/>
                <w:sz w:val="24"/>
                <w:szCs w:val="24"/>
              </w:rPr>
              <w:t xml:space="preserve">zjednodušiť daňovým subjektom doručovanie </w:t>
            </w:r>
            <w:r w:rsidR="003B3F32">
              <w:rPr>
                <w:rFonts w:ascii="Times New Roman" w:eastAsia="Calibri" w:hAnsi="Times New Roman"/>
                <w:bCs/>
                <w:color w:val="000000" w:themeColor="text1"/>
                <w:sz w:val="24"/>
                <w:szCs w:val="24"/>
              </w:rPr>
              <w:t xml:space="preserve">oznámenia o </w:t>
            </w:r>
            <w:r w:rsidR="003B3F32">
              <w:rPr>
                <w:rFonts w:ascii="Times New Roman" w:hAnsi="Times New Roman"/>
                <w:color w:val="000000"/>
                <w:sz w:val="24"/>
                <w:szCs w:val="24"/>
              </w:rPr>
              <w:t xml:space="preserve"> </w:t>
            </w:r>
            <w:r w:rsidR="003B3F32" w:rsidRPr="000E4136">
              <w:rPr>
                <w:rFonts w:ascii="Times New Roman" w:hAnsi="Times New Roman"/>
                <w:color w:val="000000"/>
                <w:sz w:val="24"/>
                <w:szCs w:val="24"/>
              </w:rPr>
              <w:t xml:space="preserve">predlžení lehoty </w:t>
            </w:r>
            <w:r w:rsidR="003B3F32">
              <w:rPr>
                <w:rFonts w:ascii="Times New Roman" w:hAnsi="Times New Roman"/>
                <w:color w:val="000000"/>
                <w:sz w:val="24"/>
                <w:szCs w:val="24"/>
              </w:rPr>
              <w:t xml:space="preserve">na podanie daňového priznania, </w:t>
            </w:r>
            <w:r w:rsidR="00373215">
              <w:rPr>
                <w:rFonts w:ascii="Times New Roman" w:hAnsi="Times New Roman"/>
                <w:color w:val="000000"/>
                <w:sz w:val="24"/>
                <w:szCs w:val="24"/>
              </w:rPr>
              <w:t xml:space="preserve">a to </w:t>
            </w:r>
            <w:r w:rsidR="003B3F32">
              <w:rPr>
                <w:rFonts w:ascii="Times New Roman" w:hAnsi="Times New Roman"/>
                <w:color w:val="000000"/>
                <w:sz w:val="24"/>
                <w:szCs w:val="24"/>
              </w:rPr>
              <w:t>e-mailom.</w:t>
            </w:r>
          </w:p>
          <w:p w:rsidR="006B0E48" w:rsidRPr="00F67D71" w:rsidRDefault="003B3F32" w:rsidP="00C61DF6">
            <w:pPr>
              <w:spacing w:after="0" w:line="240" w:lineRule="auto"/>
              <w:ind w:left="29"/>
              <w:contextualSpacing/>
              <w:jc w:val="both"/>
              <w:rPr>
                <w:rFonts w:ascii="Times New Roman" w:hAnsi="Times New Roman"/>
                <w:sz w:val="24"/>
                <w:szCs w:val="24"/>
                <w:lang w:eastAsia="sk-SK"/>
              </w:rPr>
            </w:pPr>
            <w:r>
              <w:rPr>
                <w:rFonts w:ascii="Times New Roman" w:hAnsi="Times New Roman"/>
                <w:sz w:val="24"/>
                <w:szCs w:val="24"/>
                <w:lang w:eastAsia="sk-SK"/>
              </w:rPr>
              <w:t xml:space="preserve">Zároveň sa </w:t>
            </w:r>
            <w:r w:rsidR="006B0E48" w:rsidRPr="00F67D71">
              <w:rPr>
                <w:rFonts w:ascii="Times New Roman" w:hAnsi="Times New Roman"/>
                <w:sz w:val="24"/>
                <w:szCs w:val="24"/>
                <w:lang w:eastAsia="sk-SK"/>
              </w:rPr>
              <w:t xml:space="preserve">predlžuje časovo ohraničené obdobie zavedenia nulovej sadzby dane z pridanej hodnoty na osobné ochranné prostriedky, ktoré slúžia na zabezpečenie vyššej ochrany dýchacích orgánov a ktoré sú filtračnou tvárovou </w:t>
            </w:r>
            <w:proofErr w:type="spellStart"/>
            <w:r w:rsidR="006B0E48" w:rsidRPr="00F67D71">
              <w:rPr>
                <w:rFonts w:ascii="Times New Roman" w:hAnsi="Times New Roman"/>
                <w:sz w:val="24"/>
                <w:szCs w:val="24"/>
                <w:lang w:eastAsia="sk-SK"/>
              </w:rPr>
              <w:t>polmaskou</w:t>
            </w:r>
            <w:proofErr w:type="spellEnd"/>
            <w:r w:rsidR="006B0E48" w:rsidRPr="00F67D71">
              <w:rPr>
                <w:rFonts w:ascii="Times New Roman" w:hAnsi="Times New Roman"/>
                <w:sz w:val="24"/>
                <w:szCs w:val="24"/>
                <w:lang w:eastAsia="sk-SK"/>
              </w:rPr>
              <w:t xml:space="preserve"> kategórie FFP2 alebo filtračnou tvárovou </w:t>
            </w:r>
            <w:proofErr w:type="spellStart"/>
            <w:r w:rsidR="006B0E48" w:rsidRPr="00F67D71">
              <w:rPr>
                <w:rFonts w:ascii="Times New Roman" w:hAnsi="Times New Roman"/>
                <w:sz w:val="24"/>
                <w:szCs w:val="24"/>
                <w:lang w:eastAsia="sk-SK"/>
              </w:rPr>
              <w:t>polmaskou</w:t>
            </w:r>
            <w:proofErr w:type="spellEnd"/>
            <w:r w:rsidR="006B0E48" w:rsidRPr="00F67D71">
              <w:rPr>
                <w:rFonts w:ascii="Times New Roman" w:hAnsi="Times New Roman"/>
                <w:sz w:val="24"/>
                <w:szCs w:val="24"/>
                <w:lang w:eastAsia="sk-SK"/>
              </w:rPr>
              <w:t xml:space="preserve"> kategórie FFP3.</w:t>
            </w:r>
          </w:p>
          <w:p w:rsidR="00E144C3" w:rsidRDefault="00C61DF6" w:rsidP="00E144C3">
            <w:pPr>
              <w:spacing w:after="0" w:line="240" w:lineRule="auto"/>
              <w:ind w:left="29"/>
              <w:contextualSpacing/>
              <w:jc w:val="both"/>
              <w:rPr>
                <w:rFonts w:ascii="Times New Roman" w:hAnsi="Times New Roman"/>
                <w:sz w:val="24"/>
                <w:szCs w:val="24"/>
                <w:lang w:eastAsia="sk-SK"/>
              </w:rPr>
            </w:pPr>
            <w:r w:rsidRPr="00C61DF6">
              <w:rPr>
                <w:rFonts w:ascii="Times New Roman" w:hAnsi="Times New Roman"/>
                <w:sz w:val="24"/>
                <w:szCs w:val="24"/>
                <w:lang w:eastAsia="sk-SK"/>
              </w:rPr>
              <w:t xml:space="preserve">Návrhom zákona sa </w:t>
            </w:r>
            <w:r w:rsidR="00496352">
              <w:rPr>
                <w:rFonts w:ascii="Times New Roman" w:hAnsi="Times New Roman"/>
                <w:sz w:val="24"/>
                <w:szCs w:val="24"/>
                <w:lang w:eastAsia="sk-SK"/>
              </w:rPr>
              <w:t xml:space="preserve">ďalej </w:t>
            </w:r>
            <w:r w:rsidRPr="00C61DF6">
              <w:rPr>
                <w:rFonts w:ascii="Times New Roman" w:hAnsi="Times New Roman"/>
                <w:sz w:val="24"/>
                <w:szCs w:val="24"/>
                <w:lang w:eastAsia="sk-SK"/>
              </w:rPr>
              <w:t>sleduje nastavenie dopredaja cigariet, ktoré boli zdanené sadzbou spotrebnej dane platnou do 31.</w:t>
            </w:r>
            <w:r w:rsidR="00373215">
              <w:rPr>
                <w:rFonts w:ascii="Times New Roman" w:hAnsi="Times New Roman"/>
                <w:sz w:val="24"/>
                <w:szCs w:val="24"/>
                <w:lang w:eastAsia="sk-SK"/>
              </w:rPr>
              <w:t xml:space="preserve"> januára </w:t>
            </w:r>
            <w:r w:rsidRPr="00C61DF6">
              <w:rPr>
                <w:rFonts w:ascii="Times New Roman" w:hAnsi="Times New Roman"/>
                <w:sz w:val="24"/>
                <w:szCs w:val="24"/>
                <w:lang w:eastAsia="sk-SK"/>
              </w:rPr>
              <w:t>2021, do vypredania zásob. Podľa účinnej právnej úpravy je možné tieto cigarety predávať, ponúkať na predaj alebo skladovať najneskôr do 31. marca 2021.</w:t>
            </w:r>
          </w:p>
          <w:p w:rsidR="00B11E2C" w:rsidRDefault="00E144C3" w:rsidP="00E144C3">
            <w:pPr>
              <w:spacing w:after="0" w:line="240" w:lineRule="auto"/>
              <w:ind w:left="29"/>
              <w:contextualSpacing/>
              <w:jc w:val="both"/>
            </w:pPr>
            <w:r>
              <w:rPr>
                <w:rFonts w:ascii="Times New Roman" w:hAnsi="Times New Roman"/>
                <w:sz w:val="24"/>
                <w:szCs w:val="24"/>
                <w:lang w:eastAsia="sk-SK"/>
              </w:rPr>
              <w:t>Ď</w:t>
            </w:r>
            <w:r>
              <w:rPr>
                <w:rFonts w:ascii="Times New Roman" w:hAnsi="Times New Roman"/>
                <w:sz w:val="24"/>
                <w:szCs w:val="24"/>
              </w:rPr>
              <w:t>alším problémom je, že p</w:t>
            </w:r>
            <w:r w:rsidRPr="00E144C3">
              <w:rPr>
                <w:rFonts w:ascii="Times New Roman" w:hAnsi="Times New Roman"/>
                <w:sz w:val="24"/>
                <w:szCs w:val="24"/>
              </w:rPr>
              <w:t>revádzkovatelia určitých druhov hazardných hier uhrádzajú paušálne odvody, ktoré sa platia bez ohľadu na výšku vkladov do hry a dosiahnutia výťažku (výťažkom sa rozumie rozdiel medzi prijatými vkladmi a vyplatenými výhrami), pričom ich prevádzky boli rozhodnutím ÚVZ SR zatvorené. Navrhovaným opatrením sa zabezpečí nezhoršovanie podmienok ekonomického postavenia subjektov pôsobiacich v sektore hazardných hier.</w:t>
            </w:r>
            <w:r w:rsidR="00B11E2C">
              <w:t xml:space="preserve"> </w:t>
            </w:r>
          </w:p>
          <w:p w:rsidR="00B11E2C" w:rsidRPr="00AA73E5" w:rsidRDefault="00B11E2C" w:rsidP="006B0E48">
            <w:pPr>
              <w:spacing w:after="0" w:line="240" w:lineRule="auto"/>
              <w:ind w:left="29"/>
              <w:contextualSpacing/>
              <w:jc w:val="both"/>
              <w:rPr>
                <w:rFonts w:ascii="Times New Roman" w:hAnsi="Times New Roman"/>
                <w:sz w:val="8"/>
                <w:szCs w:val="8"/>
                <w:lang w:eastAsia="sk-SK"/>
              </w:rPr>
            </w:pPr>
          </w:p>
        </w:tc>
      </w:tr>
      <w:tr w:rsidR="00AA73E5" w:rsidRPr="00AA73E5" w:rsidTr="00BE41DD">
        <w:tc>
          <w:tcPr>
            <w:tcW w:w="9180" w:type="dxa"/>
            <w:gridSpan w:val="10"/>
            <w:tcBorders>
              <w:bottom w:val="nil"/>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Ciele a výsledný stav</w:t>
            </w:r>
          </w:p>
        </w:tc>
      </w:tr>
      <w:tr w:rsidR="00AA73E5" w:rsidRPr="00AA73E5" w:rsidTr="00BE41DD">
        <w:trPr>
          <w:trHeight w:val="680"/>
        </w:trPr>
        <w:tc>
          <w:tcPr>
            <w:tcW w:w="9180" w:type="dxa"/>
            <w:gridSpan w:val="10"/>
            <w:tcBorders>
              <w:top w:val="nil"/>
            </w:tcBorders>
            <w:shd w:val="clear" w:color="auto" w:fill="FFFFFF"/>
            <w:vAlign w:val="center"/>
          </w:tcPr>
          <w:p w:rsidR="003B3F32" w:rsidRDefault="003B3F32" w:rsidP="00AA73E5">
            <w:pPr>
              <w:spacing w:after="0" w:line="240" w:lineRule="auto"/>
              <w:jc w:val="both"/>
              <w:rPr>
                <w:rFonts w:ascii="Times New Roman" w:hAnsi="Times New Roman"/>
                <w:sz w:val="24"/>
                <w:szCs w:val="24"/>
              </w:rPr>
            </w:pPr>
            <w:r w:rsidRPr="003B3F32">
              <w:rPr>
                <w:rFonts w:ascii="Times New Roman" w:hAnsi="Times New Roman"/>
                <w:sz w:val="24"/>
                <w:szCs w:val="24"/>
              </w:rPr>
              <w:t>Cieľom navrhovanej úpravy je efektívne riešenie doručovania oznámení o predlžení lehoty na podanie daňového priznania.</w:t>
            </w:r>
          </w:p>
          <w:p w:rsidR="006B0E48" w:rsidRPr="00F67D71" w:rsidRDefault="003B3F32" w:rsidP="00AA73E5">
            <w:pPr>
              <w:spacing w:after="0" w:line="240" w:lineRule="auto"/>
              <w:jc w:val="both"/>
              <w:rPr>
                <w:rFonts w:ascii="Times New Roman" w:hAnsi="Times New Roman"/>
                <w:sz w:val="24"/>
                <w:szCs w:val="24"/>
              </w:rPr>
            </w:pPr>
            <w:r>
              <w:rPr>
                <w:rFonts w:ascii="Times New Roman" w:hAnsi="Times New Roman"/>
                <w:sz w:val="24"/>
                <w:szCs w:val="24"/>
                <w:lang w:eastAsia="sk-SK"/>
              </w:rPr>
              <w:t xml:space="preserve">Ďalším cieľom </w:t>
            </w:r>
            <w:r w:rsidR="006B0E48" w:rsidRPr="00F67D71">
              <w:rPr>
                <w:rFonts w:ascii="Times New Roman" w:hAnsi="Times New Roman"/>
                <w:sz w:val="24"/>
                <w:szCs w:val="24"/>
                <w:lang w:eastAsia="sk-SK"/>
              </w:rPr>
              <w:t>je zmiernenie dopadov pandémie vírusu COVID-19 aj formou zabezpečenia cenovo dostupnejších ochranných prostriedkov pre širokú verejnosť, a tak prispieť k čo najrýchlejšiemu zamedzeniu šírenia pandémie.</w:t>
            </w:r>
          </w:p>
          <w:p w:rsidR="00B11E2C" w:rsidRDefault="006B0E48" w:rsidP="00373215">
            <w:pPr>
              <w:spacing w:after="0" w:line="240" w:lineRule="auto"/>
              <w:jc w:val="both"/>
              <w:rPr>
                <w:rFonts w:ascii="Times New Roman" w:hAnsi="Times New Roman"/>
                <w:sz w:val="24"/>
                <w:szCs w:val="24"/>
              </w:rPr>
            </w:pPr>
            <w:r w:rsidRPr="00F67D71">
              <w:rPr>
                <w:rFonts w:ascii="Times New Roman" w:hAnsi="Times New Roman"/>
                <w:sz w:val="24"/>
                <w:szCs w:val="24"/>
              </w:rPr>
              <w:t>Súčasťou návrhu zákona je aj opatrenie</w:t>
            </w:r>
            <w:r w:rsidR="00C61DF6" w:rsidRPr="00F67D71">
              <w:rPr>
                <w:rFonts w:ascii="Times New Roman" w:hAnsi="Times New Roman"/>
                <w:sz w:val="24"/>
                <w:szCs w:val="24"/>
              </w:rPr>
              <w:t xml:space="preserve"> zamerané na </w:t>
            </w:r>
            <w:r w:rsidR="00C61DF6" w:rsidRPr="00C61DF6">
              <w:rPr>
                <w:rFonts w:ascii="Times New Roman" w:hAnsi="Times New Roman"/>
                <w:sz w:val="24"/>
                <w:szCs w:val="24"/>
              </w:rPr>
              <w:t xml:space="preserve">odbúranie prípadných negatívnych finančných nákladov súvisiacich so zničením  nepredaných zásob cigariet pre tie </w:t>
            </w:r>
            <w:r w:rsidR="00C61DF6" w:rsidRPr="00C61DF6">
              <w:rPr>
                <w:rFonts w:ascii="Times New Roman" w:hAnsi="Times New Roman"/>
                <w:sz w:val="24"/>
                <w:szCs w:val="24"/>
              </w:rPr>
              <w:lastRenderedPageBreak/>
              <w:t xml:space="preserve">podnikateľské subjekty, ktoré zabezpečujú predaj týchto cigariet v daňovom voľnom obehu a nemohli </w:t>
            </w:r>
            <w:r w:rsidR="00373215">
              <w:rPr>
                <w:rFonts w:ascii="Times New Roman" w:hAnsi="Times New Roman"/>
                <w:sz w:val="24"/>
                <w:szCs w:val="24"/>
              </w:rPr>
              <w:t xml:space="preserve">prípadne </w:t>
            </w:r>
            <w:r w:rsidR="00C61DF6" w:rsidRPr="00C61DF6">
              <w:rPr>
                <w:rFonts w:ascii="Times New Roman" w:hAnsi="Times New Roman"/>
                <w:sz w:val="24"/>
                <w:szCs w:val="24"/>
              </w:rPr>
              <w:t>nestihli predať svoje zásoby cigariet v dôsledku opatrení súvisiacich s prebiehajúcou epidemiologickou situáciou.</w:t>
            </w:r>
          </w:p>
          <w:p w:rsidR="00E144C3" w:rsidRPr="006B0E48" w:rsidRDefault="00E144C3" w:rsidP="00E144C3">
            <w:pPr>
              <w:spacing w:after="0" w:line="240" w:lineRule="auto"/>
              <w:jc w:val="both"/>
              <w:rPr>
                <w:rFonts w:ascii="Times New Roman" w:hAnsi="Times New Roman"/>
                <w:sz w:val="24"/>
                <w:szCs w:val="24"/>
              </w:rPr>
            </w:pPr>
            <w:r>
              <w:rPr>
                <w:rFonts w:ascii="Times New Roman" w:hAnsi="Times New Roman"/>
                <w:sz w:val="24"/>
                <w:szCs w:val="24"/>
              </w:rPr>
              <w:t xml:space="preserve">Ďalším cieľom </w:t>
            </w:r>
            <w:r w:rsidRPr="00E144C3">
              <w:rPr>
                <w:rFonts w:ascii="Times New Roman" w:hAnsi="Times New Roman"/>
                <w:sz w:val="24"/>
                <w:szCs w:val="24"/>
              </w:rPr>
              <w:t xml:space="preserve">je </w:t>
            </w:r>
            <w:r>
              <w:rPr>
                <w:rFonts w:ascii="Times New Roman" w:hAnsi="Times New Roman"/>
                <w:sz w:val="24"/>
                <w:szCs w:val="24"/>
              </w:rPr>
              <w:t>z</w:t>
            </w:r>
            <w:r w:rsidRPr="00E144C3">
              <w:rPr>
                <w:rFonts w:ascii="Times New Roman" w:hAnsi="Times New Roman"/>
                <w:sz w:val="24"/>
                <w:szCs w:val="24"/>
              </w:rPr>
              <w:t xml:space="preserve">miernenie negatívnych následkov </w:t>
            </w:r>
            <w:r>
              <w:rPr>
                <w:rFonts w:ascii="Times New Roman" w:hAnsi="Times New Roman"/>
                <w:sz w:val="24"/>
                <w:szCs w:val="24"/>
              </w:rPr>
              <w:t xml:space="preserve">pandémie </w:t>
            </w:r>
            <w:r w:rsidRPr="00E144C3">
              <w:rPr>
                <w:rFonts w:ascii="Times New Roman" w:hAnsi="Times New Roman"/>
                <w:sz w:val="24"/>
                <w:szCs w:val="24"/>
              </w:rPr>
              <w:t>v segmente prevádzkovateľov hazardných hier odložením povinnej úhrady odvodov.</w:t>
            </w:r>
          </w:p>
        </w:tc>
      </w:tr>
      <w:tr w:rsidR="00AA73E5" w:rsidRPr="00AA73E5" w:rsidTr="00BE41DD">
        <w:tc>
          <w:tcPr>
            <w:tcW w:w="9180" w:type="dxa"/>
            <w:gridSpan w:val="10"/>
            <w:tcBorders>
              <w:bottom w:val="nil"/>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color w:val="000000"/>
              </w:rPr>
            </w:pPr>
            <w:r w:rsidRPr="00AA73E5">
              <w:rPr>
                <w:rFonts w:ascii="Times New Roman" w:hAnsi="Times New Roman"/>
                <w:b/>
              </w:rPr>
              <w:lastRenderedPageBreak/>
              <w:t>Dotknuté subjekty</w:t>
            </w:r>
          </w:p>
        </w:tc>
      </w:tr>
      <w:tr w:rsidR="00AA73E5" w:rsidRPr="00AA73E5" w:rsidTr="00BE41DD">
        <w:tc>
          <w:tcPr>
            <w:tcW w:w="9180" w:type="dxa"/>
            <w:gridSpan w:val="10"/>
            <w:tcBorders>
              <w:top w:val="nil"/>
            </w:tcBorders>
            <w:shd w:val="clear" w:color="auto" w:fill="FFFFFF"/>
          </w:tcPr>
          <w:p w:rsidR="00B11E2C" w:rsidRPr="00E144C3" w:rsidRDefault="00B11E2C" w:rsidP="00AA73E5">
            <w:pPr>
              <w:spacing w:after="0" w:line="240" w:lineRule="auto"/>
              <w:jc w:val="both"/>
              <w:rPr>
                <w:rFonts w:ascii="Times New Roman" w:hAnsi="Times New Roman"/>
                <w:sz w:val="24"/>
                <w:szCs w:val="24"/>
                <w:lang w:eastAsia="sk-SK"/>
              </w:rPr>
            </w:pPr>
            <w:r w:rsidRPr="00F67D71">
              <w:rPr>
                <w:rFonts w:ascii="Times New Roman" w:hAnsi="Times New Roman"/>
                <w:sz w:val="24"/>
                <w:szCs w:val="24"/>
                <w:lang w:eastAsia="sk-SK"/>
              </w:rPr>
              <w:t>Právnické a fyzické osoby</w:t>
            </w:r>
            <w:r w:rsidRPr="00F67D71">
              <w:rPr>
                <w:rFonts w:ascii="Times New Roman" w:hAnsi="Times New Roman"/>
                <w:i/>
                <w:sz w:val="24"/>
                <w:szCs w:val="24"/>
                <w:lang w:eastAsia="sk-SK"/>
              </w:rPr>
              <w:t>.</w:t>
            </w:r>
            <w:r w:rsidR="00E144C3">
              <w:rPr>
                <w:rFonts w:ascii="Times New Roman" w:hAnsi="Times New Roman"/>
                <w:sz w:val="24"/>
                <w:szCs w:val="24"/>
                <w:lang w:eastAsia="sk-SK"/>
              </w:rPr>
              <w:t xml:space="preserve"> Prevádzkovatelia hazardných hier.</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c>
          <w:tcPr>
            <w:tcW w:w="9180" w:type="dxa"/>
            <w:gridSpan w:val="10"/>
            <w:tcBorders>
              <w:bottom w:val="nil"/>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Alternatívne riešenia</w:t>
            </w:r>
          </w:p>
        </w:tc>
      </w:tr>
      <w:tr w:rsidR="00AA73E5" w:rsidRPr="00AA73E5" w:rsidTr="00BE41DD">
        <w:trPr>
          <w:trHeight w:val="454"/>
        </w:trPr>
        <w:tc>
          <w:tcPr>
            <w:tcW w:w="9180" w:type="dxa"/>
            <w:gridSpan w:val="10"/>
            <w:tcBorders>
              <w:top w:val="nil"/>
            </w:tcBorders>
            <w:shd w:val="clear" w:color="auto" w:fill="FFFFFF"/>
            <w:vAlign w:val="center"/>
          </w:tcPr>
          <w:p w:rsidR="00AA73E5" w:rsidRPr="00AA73E5" w:rsidRDefault="00AA73E5" w:rsidP="00C61DF6">
            <w:pPr>
              <w:spacing w:after="0" w:line="240" w:lineRule="auto"/>
              <w:jc w:val="both"/>
              <w:rPr>
                <w:rFonts w:ascii="Times New Roman" w:hAnsi="Times New Roman"/>
                <w:sz w:val="24"/>
                <w:szCs w:val="24"/>
                <w:lang w:eastAsia="sk-SK"/>
              </w:rPr>
            </w:pPr>
            <w:r w:rsidRPr="00AA73E5">
              <w:rPr>
                <w:rFonts w:ascii="Times New Roman" w:hAnsi="Times New Roman"/>
                <w:sz w:val="24"/>
                <w:szCs w:val="24"/>
                <w:lang w:eastAsia="sk-SK"/>
              </w:rPr>
              <w:t xml:space="preserve">Nie je alternatívne riešenie. </w:t>
            </w:r>
          </w:p>
        </w:tc>
      </w:tr>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Vykonávacie predpisy</w:t>
            </w:r>
          </w:p>
        </w:tc>
      </w:tr>
      <w:tr w:rsidR="00AA73E5" w:rsidRPr="00AA73E5" w:rsidTr="00BE41DD">
        <w:trPr>
          <w:trHeight w:val="340"/>
        </w:trPr>
        <w:tc>
          <w:tcPr>
            <w:tcW w:w="6203" w:type="dxa"/>
            <w:gridSpan w:val="6"/>
            <w:tcBorders>
              <w:top w:val="single" w:sz="4" w:space="0" w:color="FFFFFF"/>
              <w:bottom w:val="nil"/>
              <w:right w:val="nil"/>
            </w:tcBorders>
            <w:shd w:val="clear" w:color="auto" w:fill="FFFFFF"/>
          </w:tcPr>
          <w:p w:rsidR="00AA73E5" w:rsidRPr="00AA73E5" w:rsidRDefault="00AA73E5" w:rsidP="00AA73E5">
            <w:pPr>
              <w:spacing w:after="0" w:line="240" w:lineRule="auto"/>
              <w:rPr>
                <w:rFonts w:ascii="Times New Roman" w:hAnsi="Times New Roman"/>
                <w:i/>
                <w:sz w:val="24"/>
                <w:szCs w:val="24"/>
                <w:lang w:eastAsia="sk-SK"/>
              </w:rPr>
            </w:pPr>
            <w:r w:rsidRPr="00AA73E5">
              <w:rPr>
                <w:rFonts w:ascii="Times New Roman" w:hAnsi="Times New Roman"/>
                <w:i/>
                <w:sz w:val="24"/>
                <w:szCs w:val="24"/>
                <w:lang w:eastAsia="sk-SK"/>
              </w:rPr>
              <w:t>Predpokladá sa prijatie/zmena vykonávacích predpisov?</w:t>
            </w:r>
          </w:p>
          <w:p w:rsidR="00AA73E5" w:rsidRPr="00AA73E5" w:rsidRDefault="00AA73E5" w:rsidP="00386842">
            <w:pPr>
              <w:spacing w:after="0" w:line="240" w:lineRule="auto"/>
              <w:jc w:val="both"/>
              <w:rPr>
                <w:rFonts w:ascii="Times New Roman" w:hAnsi="Times New Roman"/>
                <w:sz w:val="8"/>
                <w:szCs w:val="8"/>
                <w:lang w:eastAsia="sk-SK"/>
              </w:rPr>
            </w:pPr>
          </w:p>
        </w:tc>
        <w:tc>
          <w:tcPr>
            <w:tcW w:w="1417" w:type="dxa"/>
            <w:gridSpan w:val="2"/>
            <w:tcBorders>
              <w:top w:val="single" w:sz="4" w:space="0" w:color="FFFFFF"/>
              <w:left w:val="nil"/>
              <w:bottom w:val="nil"/>
              <w:right w:val="nil"/>
            </w:tcBorders>
            <w:shd w:val="clear" w:color="auto" w:fill="FFFFFF"/>
          </w:tcPr>
          <w:p w:rsidR="00AA73E5" w:rsidRPr="00AA73E5" w:rsidRDefault="00C61DF6"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r w:rsidR="00AA73E5" w:rsidRPr="00AA73E5">
              <w:rPr>
                <w:rFonts w:ascii="Times New Roman" w:hAnsi="Times New Roman"/>
                <w:sz w:val="24"/>
                <w:szCs w:val="24"/>
                <w:lang w:eastAsia="sk-SK"/>
              </w:rPr>
              <w:t xml:space="preserve"> Áno</w:t>
            </w:r>
          </w:p>
        </w:tc>
        <w:tc>
          <w:tcPr>
            <w:tcW w:w="1560" w:type="dxa"/>
            <w:gridSpan w:val="2"/>
            <w:tcBorders>
              <w:top w:val="single" w:sz="4" w:space="0" w:color="FFFFFF"/>
              <w:left w:val="nil"/>
              <w:bottom w:val="nil"/>
            </w:tcBorders>
            <w:shd w:val="clear" w:color="auto" w:fill="FFFFFF"/>
          </w:tcPr>
          <w:p w:rsidR="00AA73E5" w:rsidRPr="00AA73E5" w:rsidRDefault="00C61DF6" w:rsidP="00AA73E5">
            <w:pPr>
              <w:spacing w:after="0" w:line="240" w:lineRule="auto"/>
              <w:jc w:val="center"/>
              <w:rPr>
                <w:rFonts w:ascii="Times New Roman" w:hAnsi="Times New Roman"/>
                <w:sz w:val="24"/>
                <w:szCs w:val="24"/>
                <w:lang w:eastAsia="sk-SK"/>
              </w:rPr>
            </w:pPr>
            <w:r w:rsidRPr="00AA73E5">
              <w:rPr>
                <w:rFonts w:ascii="Segoe UI Symbol" w:eastAsia="MS Gothic" w:hAnsi="Segoe UI Symbol" w:cs="Segoe UI Symbol"/>
                <w:sz w:val="24"/>
                <w:szCs w:val="24"/>
                <w:lang w:eastAsia="sk-SK"/>
              </w:rPr>
              <w:t>☒</w:t>
            </w:r>
            <w:r w:rsidR="00AA73E5" w:rsidRPr="00AA73E5">
              <w:rPr>
                <w:rFonts w:ascii="Times New Roman" w:hAnsi="Times New Roman"/>
                <w:sz w:val="24"/>
                <w:szCs w:val="24"/>
                <w:lang w:eastAsia="sk-SK"/>
              </w:rPr>
              <w:t xml:space="preserve">  Nie</w:t>
            </w:r>
          </w:p>
          <w:p w:rsidR="00AA73E5" w:rsidRPr="00AA73E5" w:rsidRDefault="00AA73E5" w:rsidP="00AA73E5">
            <w:pPr>
              <w:spacing w:after="0" w:line="240" w:lineRule="auto"/>
              <w:ind w:left="-7620"/>
              <w:jc w:val="center"/>
              <w:rPr>
                <w:rFonts w:ascii="Times New Roman" w:hAnsi="Times New Roman"/>
                <w:sz w:val="24"/>
                <w:szCs w:val="24"/>
                <w:lang w:eastAsia="sk-SK"/>
              </w:rPr>
            </w:pPr>
          </w:p>
        </w:tc>
      </w:tr>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 xml:space="preserve">Transpozícia práva EÚ </w:t>
            </w:r>
          </w:p>
        </w:tc>
      </w:tr>
      <w:tr w:rsidR="00AA73E5" w:rsidRPr="00AA73E5" w:rsidTr="00BE41DD">
        <w:trPr>
          <w:trHeight w:val="340"/>
        </w:trPr>
        <w:tc>
          <w:tcPr>
            <w:tcW w:w="9180" w:type="dxa"/>
            <w:gridSpan w:val="10"/>
            <w:tcBorders>
              <w:top w:val="nil"/>
              <w:left w:val="single" w:sz="4" w:space="0" w:color="000000"/>
              <w:bottom w:val="nil"/>
            </w:tcBorders>
            <w:shd w:val="clear" w:color="auto" w:fill="FFFFFF"/>
            <w:vAlign w:val="center"/>
          </w:tcPr>
          <w:p w:rsidR="00AA73E5" w:rsidRPr="00AA73E5" w:rsidRDefault="00AA73E5" w:rsidP="00386842">
            <w:pPr>
              <w:spacing w:after="0" w:line="240" w:lineRule="auto"/>
              <w:jc w:val="both"/>
              <w:rPr>
                <w:rFonts w:ascii="Times New Roman" w:hAnsi="Times New Roman"/>
                <w:sz w:val="8"/>
                <w:szCs w:val="8"/>
                <w:lang w:eastAsia="sk-SK"/>
              </w:rPr>
            </w:pPr>
          </w:p>
        </w:tc>
      </w:tr>
      <w:tr w:rsidR="00AA73E5" w:rsidRPr="00AA73E5" w:rsidTr="00BE41DD">
        <w:tc>
          <w:tcPr>
            <w:tcW w:w="9180" w:type="dxa"/>
            <w:gridSpan w:val="10"/>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Preskúmanie účelnosti**</w:t>
            </w:r>
          </w:p>
        </w:tc>
      </w:tr>
      <w:tr w:rsidR="00AA73E5" w:rsidRPr="00AA73E5" w:rsidTr="00BE41DD">
        <w:tc>
          <w:tcPr>
            <w:tcW w:w="9180" w:type="dxa"/>
            <w:gridSpan w:val="10"/>
            <w:tcBorders>
              <w:top w:val="single" w:sz="4" w:space="0" w:color="FFFFFF"/>
            </w:tcBorders>
            <w:shd w:val="clear" w:color="auto" w:fill="FFFFFF"/>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Bezpredmetné.</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rPr>
          <w:trHeight w:val="715"/>
        </w:trPr>
        <w:tc>
          <w:tcPr>
            <w:tcW w:w="9180" w:type="dxa"/>
            <w:gridSpan w:val="10"/>
            <w:tcBorders>
              <w:left w:val="nil"/>
              <w:bottom w:val="nil"/>
              <w:right w:val="nil"/>
            </w:tcBorders>
            <w:shd w:val="clear" w:color="auto" w:fill="FFFFFF"/>
          </w:tcPr>
          <w:p w:rsidR="00AA73E5" w:rsidRPr="00AA73E5" w:rsidRDefault="00AA73E5" w:rsidP="00AA73E5">
            <w:pPr>
              <w:spacing w:after="0" w:line="240" w:lineRule="auto"/>
              <w:ind w:left="142" w:hanging="142"/>
              <w:rPr>
                <w:rFonts w:ascii="Times New Roman" w:hAnsi="Times New Roman"/>
                <w:sz w:val="24"/>
                <w:szCs w:val="24"/>
                <w:lang w:eastAsia="sk-SK"/>
              </w:rPr>
            </w:pPr>
            <w:r w:rsidRPr="00AA73E5">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nepovinné</w:t>
            </w:r>
          </w:p>
        </w:tc>
      </w:tr>
      <w:tr w:rsidR="00AA73E5" w:rsidRPr="00AA73E5" w:rsidTr="00BE41DD">
        <w:tc>
          <w:tcPr>
            <w:tcW w:w="9180" w:type="dxa"/>
            <w:gridSpan w:val="10"/>
            <w:tcBorders>
              <w:top w:val="nil"/>
              <w:left w:val="nil"/>
              <w:right w:val="nil"/>
            </w:tcBorders>
            <w:shd w:val="clear" w:color="auto" w:fill="FFFFFF"/>
          </w:tcPr>
          <w:p w:rsidR="00AA73E5" w:rsidRPr="00AA73E5" w:rsidRDefault="00AA73E5" w:rsidP="00AA73E5">
            <w:pPr>
              <w:spacing w:after="0" w:line="240" w:lineRule="auto"/>
              <w:rPr>
                <w:rFonts w:ascii="Times New Roman" w:hAnsi="Times New Roman"/>
                <w:b/>
                <w:sz w:val="24"/>
                <w:szCs w:val="24"/>
                <w:lang w:eastAsia="sk-SK"/>
              </w:rPr>
            </w:pPr>
          </w:p>
        </w:tc>
      </w:tr>
      <w:tr w:rsidR="00AA73E5" w:rsidRPr="00AA73E5" w:rsidTr="00BE41DD">
        <w:trPr>
          <w:trHeight w:val="577"/>
        </w:trPr>
        <w:tc>
          <w:tcPr>
            <w:tcW w:w="9180" w:type="dxa"/>
            <w:gridSpan w:val="10"/>
            <w:tcBorders>
              <w:bottom w:val="single" w:sz="4" w:space="0" w:color="FFFFFF"/>
            </w:tcBorders>
            <w:shd w:val="clear" w:color="auto" w:fill="E2E2E2"/>
            <w:vAlign w:val="center"/>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Vplyvy navrhovaného materiálu</w:t>
            </w:r>
          </w:p>
        </w:tc>
      </w:tr>
      <w:tr w:rsidR="00AA73E5" w:rsidRPr="00AA73E5" w:rsidTr="00BE41DD">
        <w:tc>
          <w:tcPr>
            <w:tcW w:w="3812" w:type="dxa"/>
            <w:tcBorders>
              <w:bottom w:val="nil"/>
            </w:tcBorders>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rozpočet verejnej správy</w:t>
            </w:r>
          </w:p>
        </w:tc>
        <w:tc>
          <w:tcPr>
            <w:tcW w:w="541" w:type="dxa"/>
            <w:gridSpan w:val="2"/>
            <w:tcBorders>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hAnsi="Segoe UI Symbol" w:cs="Segoe UI Symbol"/>
                <w:b/>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left w:val="nil"/>
              <w:right w:val="nil"/>
            </w:tcBorders>
            <w:shd w:val="clear" w:color="auto" w:fill="auto"/>
          </w:tcPr>
          <w:p w:rsidR="00AA73E5" w:rsidRPr="00AA73E5" w:rsidRDefault="003A3CAB"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gridSpan w:val="2"/>
            <w:tcBorders>
              <w:left w:val="nil"/>
              <w:right w:val="nil"/>
            </w:tcBorders>
            <w:shd w:val="clear" w:color="auto" w:fill="auto"/>
          </w:tcPr>
          <w:p w:rsidR="00AA73E5" w:rsidRPr="00AA73E5" w:rsidRDefault="00AA73E5" w:rsidP="00AA73E5">
            <w:pPr>
              <w:spacing w:after="0" w:line="240" w:lineRule="auto"/>
              <w:ind w:left="-107" w:right="-108"/>
              <w:jc w:val="center"/>
              <w:rPr>
                <w:rFonts w:ascii="Times New Roman" w:hAnsi="Times New Roman"/>
                <w:b/>
                <w:sz w:val="24"/>
                <w:szCs w:val="24"/>
                <w:lang w:eastAsia="sk-SK"/>
              </w:rPr>
            </w:pPr>
            <w:r w:rsidRPr="00AA73E5">
              <w:rPr>
                <w:rFonts w:ascii="Segoe UI Symbol"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3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tcBorders>
              <w:top w:val="nil"/>
              <w:bottom w:val="single" w:sz="4" w:space="0" w:color="000000"/>
            </w:tcBorders>
            <w:shd w:val="clear" w:color="auto" w:fill="E2E2E2"/>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xml:space="preserve">    z toho rozpočtovo zabezpečené vplyvy</w:t>
            </w:r>
          </w:p>
        </w:tc>
        <w:tc>
          <w:tcPr>
            <w:tcW w:w="541" w:type="dxa"/>
            <w:gridSpan w:val="2"/>
            <w:tcBorders>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6950E0">
              <w:rPr>
                <w:rFonts w:ascii="Segoe UI Symbol" w:eastAsia="MS Gothic" w:hAnsi="Segoe UI Symbol" w:cs="Segoe UI Symbol"/>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Áno</w:t>
            </w:r>
          </w:p>
        </w:tc>
        <w:tc>
          <w:tcPr>
            <w:tcW w:w="569" w:type="dxa"/>
            <w:tcBorders>
              <w:left w:val="nil"/>
              <w:right w:val="nil"/>
            </w:tcBorders>
            <w:shd w:val="clear" w:color="auto" w:fill="auto"/>
          </w:tcPr>
          <w:p w:rsidR="00AA73E5" w:rsidRPr="00AA73E5" w:rsidRDefault="00854499"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Nie</w:t>
            </w:r>
          </w:p>
        </w:tc>
        <w:tc>
          <w:tcPr>
            <w:tcW w:w="547" w:type="dxa"/>
            <w:gridSpan w:val="2"/>
            <w:tcBorders>
              <w:left w:val="nil"/>
              <w:right w:val="nil"/>
            </w:tcBorders>
            <w:shd w:val="clear" w:color="auto" w:fill="auto"/>
          </w:tcPr>
          <w:p w:rsidR="00AA73E5" w:rsidRPr="00AA73E5" w:rsidRDefault="00AA73E5" w:rsidP="00AA73E5">
            <w:pPr>
              <w:spacing w:after="0" w:line="240" w:lineRule="auto"/>
              <w:ind w:left="-107" w:right="-108"/>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34"/>
              <w:rPr>
                <w:rFonts w:ascii="Times New Roman" w:hAnsi="Times New Roman"/>
                <w:sz w:val="24"/>
                <w:szCs w:val="24"/>
                <w:lang w:eastAsia="sk-SK"/>
              </w:rPr>
            </w:pPr>
            <w:r w:rsidRPr="00AA73E5">
              <w:rPr>
                <w:rFonts w:ascii="Times New Roman" w:hAnsi="Times New Roman"/>
                <w:sz w:val="24"/>
                <w:szCs w:val="24"/>
                <w:lang w:eastAsia="sk-SK"/>
              </w:rPr>
              <w:t>Čiastočne</w:t>
            </w:r>
          </w:p>
        </w:tc>
      </w:tr>
      <w:tr w:rsidR="00AA73E5" w:rsidRPr="00AA73E5" w:rsidTr="00BE41DD">
        <w:tc>
          <w:tcPr>
            <w:tcW w:w="3812" w:type="dxa"/>
            <w:tcBorders>
              <w:top w:val="single" w:sz="4" w:space="0" w:color="000000"/>
              <w:bottom w:val="nil"/>
            </w:tcBorders>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podnikateľské prostredie</w:t>
            </w:r>
          </w:p>
        </w:tc>
        <w:tc>
          <w:tcPr>
            <w:tcW w:w="541" w:type="dxa"/>
            <w:gridSpan w:val="2"/>
            <w:tcBorders>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ind w:right="-108"/>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gridSpan w:val="2"/>
            <w:tcBorders>
              <w:left w:val="nil"/>
              <w:right w:val="nil"/>
            </w:tcBorders>
            <w:shd w:val="clear" w:color="auto" w:fill="auto"/>
          </w:tcPr>
          <w:p w:rsidR="00AA73E5" w:rsidRPr="00AA73E5" w:rsidRDefault="00386842"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tcBorders>
              <w:top w:val="nil"/>
              <w:left w:val="single" w:sz="4" w:space="0" w:color="000000"/>
              <w:bottom w:val="single" w:sz="4" w:space="0" w:color="000000"/>
              <w:right w:val="single" w:sz="4" w:space="0" w:color="000000"/>
            </w:tcBorders>
            <w:shd w:val="clear" w:color="auto" w:fill="E2E2E2"/>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xml:space="preserve">    z toho vplyvy na MSP</w:t>
            </w:r>
          </w:p>
        </w:tc>
        <w:tc>
          <w:tcPr>
            <w:tcW w:w="541" w:type="dxa"/>
            <w:gridSpan w:val="2"/>
            <w:tcBorders>
              <w:left w:val="single" w:sz="4" w:space="0" w:color="000000"/>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b/>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ind w:right="-108"/>
              <w:rPr>
                <w:rFonts w:ascii="Times New Roman" w:hAnsi="Times New Roman"/>
                <w:sz w:val="24"/>
                <w:szCs w:val="24"/>
                <w:lang w:eastAsia="sk-SK"/>
              </w:rPr>
            </w:pPr>
            <w:r w:rsidRPr="00AA73E5">
              <w:rPr>
                <w:rFonts w:ascii="Times New Roman" w:hAnsi="Times New Roman"/>
                <w:sz w:val="24"/>
                <w:szCs w:val="24"/>
                <w:lang w:eastAsia="sk-SK"/>
              </w:rPr>
              <w:t>Pozitívne</w:t>
            </w:r>
          </w:p>
        </w:tc>
        <w:tc>
          <w:tcPr>
            <w:tcW w:w="569" w:type="dxa"/>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b/>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Žiadne</w:t>
            </w:r>
          </w:p>
        </w:tc>
        <w:tc>
          <w:tcPr>
            <w:tcW w:w="547" w:type="dxa"/>
            <w:gridSpan w:val="2"/>
            <w:tcBorders>
              <w:left w:val="nil"/>
              <w:right w:val="nil"/>
            </w:tcBorders>
            <w:shd w:val="clear" w:color="auto" w:fill="auto"/>
          </w:tcPr>
          <w:p w:rsidR="00AA73E5" w:rsidRPr="00AA73E5" w:rsidRDefault="00386842"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54"/>
              <w:rPr>
                <w:rFonts w:ascii="Times New Roman" w:hAnsi="Times New Roman"/>
                <w:sz w:val="24"/>
                <w:szCs w:val="24"/>
                <w:lang w:eastAsia="sk-SK"/>
              </w:rPr>
            </w:pPr>
            <w:r w:rsidRPr="00AA73E5">
              <w:rPr>
                <w:rFonts w:ascii="Times New Roman" w:hAnsi="Times New Roman"/>
                <w:sz w:val="24"/>
                <w:szCs w:val="24"/>
                <w:lang w:eastAsia="sk-SK"/>
              </w:rPr>
              <w:t>Negatívne</w:t>
            </w:r>
          </w:p>
        </w:tc>
      </w:tr>
      <w:tr w:rsidR="00AA73E5" w:rsidRPr="00AA73E5" w:rsidTr="00BE41DD">
        <w:tc>
          <w:tcPr>
            <w:tcW w:w="3812" w:type="dxa"/>
            <w:tcBorders>
              <w:top w:val="single" w:sz="4" w:space="0" w:color="000000"/>
            </w:tcBorders>
            <w:shd w:val="clear" w:color="auto" w:fill="E2E2E2"/>
          </w:tcPr>
          <w:p w:rsidR="00AA73E5" w:rsidRPr="00F67D71" w:rsidRDefault="00AA73E5" w:rsidP="00AA73E5">
            <w:pPr>
              <w:spacing w:after="0" w:line="240" w:lineRule="auto"/>
              <w:rPr>
                <w:rFonts w:ascii="Times New Roman" w:hAnsi="Times New Roman"/>
                <w:b/>
                <w:sz w:val="24"/>
                <w:szCs w:val="24"/>
                <w:lang w:eastAsia="sk-SK"/>
              </w:rPr>
            </w:pPr>
            <w:r w:rsidRPr="00F67D71">
              <w:rPr>
                <w:rFonts w:ascii="Times New Roman" w:hAnsi="Times New Roman"/>
                <w:b/>
                <w:sz w:val="24"/>
                <w:szCs w:val="24"/>
                <w:lang w:eastAsia="sk-SK"/>
              </w:rPr>
              <w:t>Sociálne vplyvy</w:t>
            </w:r>
          </w:p>
        </w:tc>
        <w:tc>
          <w:tcPr>
            <w:tcW w:w="541" w:type="dxa"/>
            <w:gridSpan w:val="2"/>
            <w:tcBorders>
              <w:right w:val="nil"/>
            </w:tcBorders>
            <w:shd w:val="clear" w:color="auto" w:fill="auto"/>
          </w:tcPr>
          <w:p w:rsidR="00AA73E5" w:rsidRPr="00F67D71" w:rsidRDefault="00B11E2C" w:rsidP="00AA73E5">
            <w:pPr>
              <w:spacing w:after="0" w:line="240" w:lineRule="auto"/>
              <w:jc w:val="center"/>
              <w:rPr>
                <w:rFonts w:ascii="Times New Roman" w:hAnsi="Times New Roman"/>
                <w:b/>
                <w:sz w:val="24"/>
                <w:szCs w:val="24"/>
                <w:lang w:eastAsia="sk-SK"/>
              </w:rPr>
            </w:pPr>
            <w:r w:rsidRPr="00F67D71">
              <w:rPr>
                <w:rFonts w:ascii="Segoe UI Symbol" w:eastAsia="MS Mincho" w:hAnsi="Segoe UI Symbol" w:cs="Segoe UI Symbol"/>
                <w:b/>
                <w:sz w:val="24"/>
                <w:szCs w:val="24"/>
                <w:lang w:eastAsia="sk-SK"/>
              </w:rPr>
              <w:t>☒</w:t>
            </w:r>
          </w:p>
        </w:tc>
        <w:tc>
          <w:tcPr>
            <w:tcW w:w="1281" w:type="dxa"/>
            <w:gridSpan w:val="2"/>
            <w:tcBorders>
              <w:left w:val="nil"/>
              <w:right w:val="nil"/>
            </w:tcBorders>
            <w:shd w:val="clear" w:color="auto" w:fill="auto"/>
          </w:tcPr>
          <w:p w:rsidR="00AA73E5" w:rsidRPr="00F67D71" w:rsidRDefault="00AA73E5" w:rsidP="00AA73E5">
            <w:pPr>
              <w:spacing w:after="0" w:line="240" w:lineRule="auto"/>
              <w:ind w:right="-108"/>
              <w:rPr>
                <w:rFonts w:ascii="Times New Roman" w:hAnsi="Times New Roman"/>
                <w:b/>
                <w:sz w:val="24"/>
                <w:szCs w:val="24"/>
                <w:lang w:eastAsia="sk-SK"/>
              </w:rPr>
            </w:pPr>
            <w:r w:rsidRPr="00F67D71">
              <w:rPr>
                <w:rFonts w:ascii="Times New Roman" w:hAnsi="Times New Roman"/>
                <w:b/>
                <w:sz w:val="24"/>
                <w:szCs w:val="24"/>
                <w:lang w:eastAsia="sk-SK"/>
              </w:rPr>
              <w:t>Pozitívne</w:t>
            </w:r>
          </w:p>
        </w:tc>
        <w:tc>
          <w:tcPr>
            <w:tcW w:w="569" w:type="dxa"/>
            <w:tcBorders>
              <w:left w:val="nil"/>
              <w:right w:val="nil"/>
            </w:tcBorders>
            <w:shd w:val="clear" w:color="auto" w:fill="auto"/>
          </w:tcPr>
          <w:p w:rsidR="00AA73E5" w:rsidRPr="00F67D71" w:rsidRDefault="00B11E2C" w:rsidP="00AA73E5">
            <w:pPr>
              <w:spacing w:after="0" w:line="240" w:lineRule="auto"/>
              <w:jc w:val="center"/>
              <w:rPr>
                <w:rFonts w:ascii="Times New Roman" w:hAnsi="Times New Roman"/>
                <w:b/>
                <w:sz w:val="24"/>
                <w:szCs w:val="24"/>
                <w:lang w:eastAsia="sk-SK"/>
              </w:rPr>
            </w:pPr>
            <w:r w:rsidRPr="00F67D71">
              <w:rPr>
                <w:rFonts w:ascii="Segoe UI Symbol" w:eastAsia="MS Gothic" w:hAnsi="Segoe UI Symbol" w:cs="Segoe UI Symbol"/>
                <w:sz w:val="24"/>
                <w:szCs w:val="24"/>
                <w:lang w:eastAsia="sk-SK"/>
              </w:rPr>
              <w:t>☐</w:t>
            </w:r>
          </w:p>
        </w:tc>
        <w:tc>
          <w:tcPr>
            <w:tcW w:w="1133" w:type="dxa"/>
            <w:tcBorders>
              <w:left w:val="nil"/>
              <w:right w:val="nil"/>
            </w:tcBorders>
            <w:shd w:val="clear" w:color="auto" w:fill="auto"/>
          </w:tcPr>
          <w:p w:rsidR="00AA73E5" w:rsidRPr="00F67D71" w:rsidRDefault="00AA73E5" w:rsidP="00AA73E5">
            <w:pPr>
              <w:spacing w:after="0" w:line="240" w:lineRule="auto"/>
              <w:rPr>
                <w:rFonts w:ascii="Times New Roman" w:hAnsi="Times New Roman"/>
                <w:b/>
                <w:sz w:val="24"/>
                <w:szCs w:val="24"/>
                <w:lang w:eastAsia="sk-SK"/>
              </w:rPr>
            </w:pPr>
            <w:r w:rsidRPr="00F67D71">
              <w:rPr>
                <w:rFonts w:ascii="Times New Roman" w:hAnsi="Times New Roman"/>
                <w:b/>
                <w:sz w:val="24"/>
                <w:szCs w:val="24"/>
                <w:lang w:eastAsia="sk-SK"/>
              </w:rPr>
              <w:t>Žiadne</w:t>
            </w:r>
          </w:p>
        </w:tc>
        <w:tc>
          <w:tcPr>
            <w:tcW w:w="547" w:type="dxa"/>
            <w:gridSpan w:val="2"/>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životné prostredie</w:t>
            </w:r>
          </w:p>
        </w:tc>
        <w:tc>
          <w:tcPr>
            <w:tcW w:w="541" w:type="dxa"/>
            <w:gridSpan w:val="2"/>
            <w:tcBorders>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ind w:right="-108"/>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Gothic" w:hAnsi="Segoe UI Symbol" w:cs="Segoe UI Symbol"/>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gridSpan w:val="2"/>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informatizáciu</w:t>
            </w:r>
          </w:p>
        </w:tc>
        <w:tc>
          <w:tcPr>
            <w:tcW w:w="541" w:type="dxa"/>
            <w:gridSpan w:val="2"/>
            <w:tcBorders>
              <w:right w:val="nil"/>
            </w:tcBorders>
            <w:shd w:val="clear" w:color="auto" w:fill="auto"/>
          </w:tcPr>
          <w:p w:rsidR="00AA73E5" w:rsidRPr="00AA73E5" w:rsidRDefault="00386842"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81" w:type="dxa"/>
            <w:gridSpan w:val="2"/>
            <w:tcBorders>
              <w:left w:val="nil"/>
              <w:right w:val="nil"/>
            </w:tcBorders>
            <w:shd w:val="clear" w:color="auto" w:fill="auto"/>
          </w:tcPr>
          <w:p w:rsidR="00AA73E5" w:rsidRPr="00AA73E5" w:rsidRDefault="00AA73E5" w:rsidP="00AA73E5">
            <w:pPr>
              <w:spacing w:after="0" w:line="240" w:lineRule="auto"/>
              <w:ind w:right="-108"/>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left w:val="nil"/>
              <w:right w:val="nil"/>
            </w:tcBorders>
            <w:shd w:val="clear" w:color="auto" w:fill="auto"/>
          </w:tcPr>
          <w:p w:rsidR="00AA73E5" w:rsidRPr="00AA73E5" w:rsidRDefault="00386842" w:rsidP="00AA73E5">
            <w:pPr>
              <w:spacing w:after="0" w:line="240" w:lineRule="auto"/>
              <w:jc w:val="center"/>
              <w:rPr>
                <w:rFonts w:ascii="Times New Roman" w:hAnsi="Times New Roman"/>
                <w:b/>
                <w:sz w:val="24"/>
                <w:szCs w:val="24"/>
                <w:lang w:eastAsia="sk-SK"/>
              </w:rPr>
            </w:pPr>
            <w:r w:rsidRPr="00AA73E5">
              <w:rPr>
                <w:rFonts w:ascii="Segoe UI Symbol" w:eastAsia="MS Gothic" w:hAnsi="Segoe UI Symbol" w:cs="Segoe UI Symbol"/>
                <w:sz w:val="24"/>
                <w:szCs w:val="24"/>
                <w:lang w:eastAsia="sk-SK"/>
              </w:rPr>
              <w:t>☒</w:t>
            </w:r>
          </w:p>
        </w:tc>
        <w:tc>
          <w:tcPr>
            <w:tcW w:w="1133" w:type="dxa"/>
            <w:tcBorders>
              <w:left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gridSpan w:val="2"/>
            <w:tcBorders>
              <w:left w:val="nil"/>
              <w:right w:val="nil"/>
            </w:tcBorders>
            <w:shd w:val="clear" w:color="auto" w:fill="auto"/>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left w:val="nil"/>
            </w:tcBorders>
            <w:shd w:val="clear" w:color="auto" w:fill="auto"/>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bl>
    <w:p w:rsidR="00AA73E5" w:rsidRPr="00AA73E5" w:rsidRDefault="00AA73E5" w:rsidP="00AA73E5">
      <w:pPr>
        <w:spacing w:after="0" w:line="240" w:lineRule="auto"/>
        <w:rPr>
          <w:rFonts w:ascii="Times New Roman" w:hAnsi="Times New Roman"/>
          <w:vanish/>
          <w:sz w:val="24"/>
          <w:szCs w:val="24"/>
          <w:lang w:eastAsia="sk-SK"/>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9"/>
        <w:gridCol w:w="1281"/>
        <w:gridCol w:w="569"/>
        <w:gridCol w:w="1133"/>
        <w:gridCol w:w="547"/>
        <w:gridCol w:w="1297"/>
      </w:tblGrid>
      <w:tr w:rsidR="00AA73E5" w:rsidRPr="00AA73E5" w:rsidTr="00BE41DD">
        <w:tc>
          <w:tcPr>
            <w:tcW w:w="3812" w:type="dxa"/>
            <w:tcBorders>
              <w:bottom w:val="nil"/>
            </w:tcBorders>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služby verejnej správy pre občana, z toho</w:t>
            </w:r>
          </w:p>
        </w:tc>
        <w:tc>
          <w:tcPr>
            <w:tcW w:w="549" w:type="dxa"/>
            <w:tcBorders>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p>
        </w:tc>
        <w:tc>
          <w:tcPr>
            <w:tcW w:w="1281" w:type="dxa"/>
            <w:tcBorders>
              <w:left w:val="nil"/>
              <w:bottom w:val="nil"/>
              <w:right w:val="nil"/>
            </w:tcBorders>
          </w:tcPr>
          <w:p w:rsidR="00AA73E5" w:rsidRPr="00AA73E5" w:rsidRDefault="00AA73E5" w:rsidP="00AA73E5">
            <w:pPr>
              <w:spacing w:after="0" w:line="240" w:lineRule="auto"/>
              <w:ind w:right="-108"/>
              <w:rPr>
                <w:rFonts w:ascii="Times New Roman" w:hAnsi="Times New Roman"/>
                <w:b/>
                <w:sz w:val="24"/>
                <w:szCs w:val="24"/>
                <w:lang w:eastAsia="sk-SK"/>
              </w:rPr>
            </w:pPr>
          </w:p>
        </w:tc>
        <w:tc>
          <w:tcPr>
            <w:tcW w:w="569" w:type="dxa"/>
            <w:tcBorders>
              <w:left w:val="nil"/>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p>
        </w:tc>
        <w:tc>
          <w:tcPr>
            <w:tcW w:w="1133" w:type="dxa"/>
            <w:tcBorders>
              <w:left w:val="nil"/>
              <w:bottom w:val="nil"/>
              <w:right w:val="nil"/>
            </w:tcBorders>
          </w:tcPr>
          <w:p w:rsidR="00AA73E5" w:rsidRPr="00AA73E5" w:rsidRDefault="00AA73E5" w:rsidP="00AA73E5">
            <w:pPr>
              <w:spacing w:after="0" w:line="240" w:lineRule="auto"/>
              <w:rPr>
                <w:rFonts w:ascii="Times New Roman" w:hAnsi="Times New Roman"/>
                <w:b/>
                <w:sz w:val="24"/>
                <w:szCs w:val="24"/>
                <w:lang w:eastAsia="sk-SK"/>
              </w:rPr>
            </w:pPr>
          </w:p>
        </w:tc>
        <w:tc>
          <w:tcPr>
            <w:tcW w:w="547" w:type="dxa"/>
            <w:tcBorders>
              <w:left w:val="nil"/>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p>
        </w:tc>
        <w:tc>
          <w:tcPr>
            <w:tcW w:w="1297" w:type="dxa"/>
            <w:tcBorders>
              <w:left w:val="nil"/>
              <w:bottom w:val="nil"/>
            </w:tcBorders>
          </w:tcPr>
          <w:p w:rsidR="00AA73E5" w:rsidRPr="00AA73E5" w:rsidRDefault="00AA73E5" w:rsidP="00AA73E5">
            <w:pPr>
              <w:spacing w:after="0" w:line="240" w:lineRule="auto"/>
              <w:ind w:left="54"/>
              <w:rPr>
                <w:rFonts w:ascii="Times New Roman" w:hAnsi="Times New Roman"/>
                <w:b/>
                <w:sz w:val="24"/>
                <w:szCs w:val="24"/>
                <w:lang w:eastAsia="sk-SK"/>
              </w:rPr>
            </w:pPr>
          </w:p>
        </w:tc>
      </w:tr>
      <w:tr w:rsidR="00AA73E5" w:rsidRPr="00AA73E5" w:rsidTr="00BE41DD">
        <w:tc>
          <w:tcPr>
            <w:tcW w:w="3812" w:type="dxa"/>
            <w:tcBorders>
              <w:top w:val="nil"/>
              <w:bottom w:val="nil"/>
            </w:tcBorders>
            <w:shd w:val="clear" w:color="auto" w:fill="E2E2E2"/>
          </w:tcPr>
          <w:p w:rsidR="00AA73E5" w:rsidRPr="00AA73E5" w:rsidRDefault="00AA73E5" w:rsidP="00AA73E5">
            <w:pPr>
              <w:spacing w:after="0" w:line="240" w:lineRule="auto"/>
              <w:ind w:left="196" w:hanging="196"/>
              <w:rPr>
                <w:rFonts w:ascii="Times New Roman" w:hAnsi="Times New Roman"/>
                <w:b/>
                <w:sz w:val="24"/>
                <w:szCs w:val="24"/>
                <w:lang w:eastAsia="sk-SK"/>
              </w:rPr>
            </w:pPr>
            <w:r w:rsidRPr="00AA73E5">
              <w:rPr>
                <w:rFonts w:ascii="Times New Roman" w:hAnsi="Times New Roman"/>
                <w:b/>
                <w:sz w:val="24"/>
                <w:szCs w:val="24"/>
                <w:lang w:eastAsia="sk-SK"/>
              </w:rPr>
              <w:t xml:space="preserve">    vplyvy služieb verejnej správy na občana</w:t>
            </w:r>
          </w:p>
        </w:tc>
        <w:tc>
          <w:tcPr>
            <w:tcW w:w="549" w:type="dxa"/>
            <w:tcBorders>
              <w:top w:val="nil"/>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81" w:type="dxa"/>
            <w:tcBorders>
              <w:top w:val="nil"/>
              <w:left w:val="nil"/>
              <w:bottom w:val="nil"/>
              <w:right w:val="nil"/>
            </w:tcBorders>
          </w:tcPr>
          <w:p w:rsidR="00AA73E5" w:rsidRPr="00AA73E5" w:rsidRDefault="00AA73E5" w:rsidP="00AA73E5">
            <w:pPr>
              <w:spacing w:after="0" w:line="240" w:lineRule="auto"/>
              <w:ind w:right="-108"/>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top w:val="nil"/>
              <w:left w:val="nil"/>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Gothic" w:hAnsi="Segoe UI Symbol" w:cs="Segoe UI Symbol"/>
                <w:sz w:val="24"/>
                <w:szCs w:val="24"/>
                <w:lang w:eastAsia="sk-SK"/>
              </w:rPr>
              <w:t>☒</w:t>
            </w:r>
          </w:p>
        </w:tc>
        <w:tc>
          <w:tcPr>
            <w:tcW w:w="1133" w:type="dxa"/>
            <w:tcBorders>
              <w:top w:val="nil"/>
              <w:left w:val="nil"/>
              <w:bottom w:val="nil"/>
              <w:right w:val="nil"/>
            </w:tcBorders>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tcBorders>
              <w:top w:val="nil"/>
              <w:left w:val="nil"/>
              <w:bottom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top w:val="nil"/>
              <w:left w:val="nil"/>
              <w:bottom w:val="nil"/>
            </w:tcBorders>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tcBorders>
              <w:top w:val="nil"/>
            </w:tcBorders>
            <w:shd w:val="clear" w:color="auto" w:fill="E2E2E2"/>
          </w:tcPr>
          <w:p w:rsidR="00AA73E5" w:rsidRPr="00AA73E5" w:rsidRDefault="00AA73E5" w:rsidP="00AA73E5">
            <w:pPr>
              <w:spacing w:after="0" w:line="240" w:lineRule="auto"/>
              <w:ind w:left="168" w:hanging="168"/>
              <w:rPr>
                <w:rFonts w:ascii="Times New Roman" w:hAnsi="Times New Roman"/>
                <w:b/>
                <w:sz w:val="24"/>
                <w:szCs w:val="24"/>
                <w:lang w:eastAsia="sk-SK"/>
              </w:rPr>
            </w:pPr>
            <w:r w:rsidRPr="00AA73E5">
              <w:rPr>
                <w:rFonts w:ascii="Times New Roman" w:hAnsi="Times New Roman"/>
                <w:b/>
                <w:sz w:val="24"/>
                <w:szCs w:val="24"/>
                <w:lang w:eastAsia="sk-SK"/>
              </w:rPr>
              <w:t xml:space="preserve">    vplyvy na procesy služieb vo verejnej správe</w:t>
            </w:r>
          </w:p>
        </w:tc>
        <w:tc>
          <w:tcPr>
            <w:tcW w:w="549" w:type="dxa"/>
            <w:tcBorders>
              <w:top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81" w:type="dxa"/>
            <w:tcBorders>
              <w:top w:val="nil"/>
              <w:left w:val="nil"/>
              <w:right w:val="nil"/>
            </w:tcBorders>
          </w:tcPr>
          <w:p w:rsidR="00AA73E5" w:rsidRPr="00AA73E5" w:rsidRDefault="00AA73E5" w:rsidP="00AA73E5">
            <w:pPr>
              <w:spacing w:after="0" w:line="240" w:lineRule="auto"/>
              <w:ind w:right="-108"/>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top w:val="nil"/>
              <w:left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Gothic" w:hAnsi="Segoe UI Symbol" w:cs="Segoe UI Symbol"/>
                <w:sz w:val="24"/>
                <w:szCs w:val="24"/>
                <w:lang w:eastAsia="sk-SK"/>
              </w:rPr>
              <w:t>☒</w:t>
            </w:r>
          </w:p>
        </w:tc>
        <w:tc>
          <w:tcPr>
            <w:tcW w:w="1133" w:type="dxa"/>
            <w:tcBorders>
              <w:top w:val="nil"/>
              <w:left w:val="nil"/>
              <w:right w:val="nil"/>
            </w:tcBorders>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tcBorders>
              <w:top w:val="nil"/>
              <w:left w:val="nil"/>
              <w:right w:val="nil"/>
            </w:tcBorders>
          </w:tcPr>
          <w:p w:rsidR="00AA73E5" w:rsidRPr="00AA73E5" w:rsidRDefault="00AA73E5" w:rsidP="00AA73E5">
            <w:pPr>
              <w:spacing w:after="0" w:line="240" w:lineRule="auto"/>
              <w:jc w:val="center"/>
              <w:rPr>
                <w:rFonts w:ascii="Times New Roman" w:eastAsia="MS Mincho" w:hAnsi="Times New Roman"/>
                <w:b/>
                <w:sz w:val="24"/>
                <w:szCs w:val="24"/>
                <w:lang w:eastAsia="sk-SK"/>
              </w:rPr>
            </w:pPr>
            <w:r w:rsidRPr="00AA73E5">
              <w:rPr>
                <w:rFonts w:ascii="Segoe UI Symbol" w:eastAsia="MS Mincho" w:hAnsi="Segoe UI Symbol" w:cs="Segoe UI Symbol"/>
                <w:b/>
                <w:sz w:val="24"/>
                <w:szCs w:val="24"/>
                <w:lang w:eastAsia="sk-SK"/>
              </w:rPr>
              <w:t>☐</w:t>
            </w:r>
          </w:p>
        </w:tc>
        <w:tc>
          <w:tcPr>
            <w:tcW w:w="1297" w:type="dxa"/>
            <w:tcBorders>
              <w:top w:val="nil"/>
              <w:left w:val="nil"/>
            </w:tcBorders>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r w:rsidR="00AA73E5" w:rsidRPr="00AA73E5" w:rsidTr="00BE41DD">
        <w:tc>
          <w:tcPr>
            <w:tcW w:w="3812" w:type="dxa"/>
            <w:tcBorders>
              <w:top w:val="nil"/>
            </w:tcBorders>
            <w:shd w:val="clear" w:color="auto" w:fill="E2E2E2"/>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Vplyvy na manželstvo, rodičovstvo a rodinu</w:t>
            </w:r>
          </w:p>
        </w:tc>
        <w:tc>
          <w:tcPr>
            <w:tcW w:w="549" w:type="dxa"/>
            <w:tcBorders>
              <w:top w:val="nil"/>
              <w:right w:val="nil"/>
            </w:tcBorders>
          </w:tcPr>
          <w:p w:rsidR="00AA73E5" w:rsidRPr="00AA73E5" w:rsidRDefault="00AA73E5" w:rsidP="00AA73E5">
            <w:pPr>
              <w:spacing w:after="0" w:line="240" w:lineRule="auto"/>
              <w:jc w:val="center"/>
              <w:rPr>
                <w:rFonts w:ascii="Segoe UI Symbol" w:eastAsia="MS Mincho" w:hAnsi="Segoe UI Symbol" w:cs="Segoe UI Symbol"/>
                <w:b/>
                <w:sz w:val="24"/>
                <w:szCs w:val="24"/>
                <w:lang w:eastAsia="sk-SK"/>
              </w:rPr>
            </w:pPr>
            <w:r w:rsidRPr="00AA73E5">
              <w:rPr>
                <w:rFonts w:ascii="Segoe UI Symbol" w:hAnsi="Segoe UI Symbol" w:cs="Segoe UI Symbol"/>
                <w:b/>
                <w:sz w:val="24"/>
                <w:szCs w:val="24"/>
                <w:lang w:eastAsia="sk-SK"/>
              </w:rPr>
              <w:t>☐</w:t>
            </w:r>
          </w:p>
        </w:tc>
        <w:tc>
          <w:tcPr>
            <w:tcW w:w="1281" w:type="dxa"/>
            <w:tcBorders>
              <w:top w:val="nil"/>
              <w:left w:val="nil"/>
              <w:right w:val="nil"/>
            </w:tcBorders>
          </w:tcPr>
          <w:p w:rsidR="00AA73E5" w:rsidRPr="00AA73E5" w:rsidRDefault="00AA73E5" w:rsidP="00AA73E5">
            <w:pPr>
              <w:spacing w:after="0" w:line="240" w:lineRule="auto"/>
              <w:ind w:left="-675" w:right="-108" w:firstLine="675"/>
              <w:rPr>
                <w:rFonts w:ascii="Times New Roman" w:hAnsi="Times New Roman"/>
                <w:b/>
                <w:sz w:val="24"/>
                <w:szCs w:val="24"/>
                <w:lang w:eastAsia="sk-SK"/>
              </w:rPr>
            </w:pPr>
            <w:r w:rsidRPr="00AA73E5">
              <w:rPr>
                <w:rFonts w:ascii="Times New Roman" w:hAnsi="Times New Roman"/>
                <w:b/>
                <w:sz w:val="24"/>
                <w:szCs w:val="24"/>
                <w:lang w:eastAsia="sk-SK"/>
              </w:rPr>
              <w:t>Pozitívne</w:t>
            </w:r>
          </w:p>
        </w:tc>
        <w:tc>
          <w:tcPr>
            <w:tcW w:w="569" w:type="dxa"/>
            <w:tcBorders>
              <w:top w:val="nil"/>
              <w:left w:val="nil"/>
              <w:right w:val="nil"/>
            </w:tcBorders>
          </w:tcPr>
          <w:p w:rsidR="00AA73E5" w:rsidRPr="00AA73E5" w:rsidRDefault="00AA73E5" w:rsidP="00AA73E5">
            <w:pPr>
              <w:spacing w:after="0" w:line="240" w:lineRule="auto"/>
              <w:jc w:val="center"/>
              <w:rPr>
                <w:rFonts w:ascii="Segoe UI Symbol" w:eastAsia="MS Gothic" w:hAnsi="Segoe UI Symbol" w:cs="Segoe UI Symbol"/>
                <w:sz w:val="24"/>
                <w:szCs w:val="24"/>
                <w:lang w:eastAsia="sk-SK"/>
              </w:rPr>
            </w:pPr>
            <w:r w:rsidRPr="00AA73E5">
              <w:rPr>
                <w:rFonts w:ascii="Segoe UI Symbol" w:eastAsia="MS Gothic" w:hAnsi="Segoe UI Symbol" w:cs="Segoe UI Symbol"/>
                <w:sz w:val="24"/>
                <w:szCs w:val="24"/>
                <w:lang w:eastAsia="sk-SK"/>
              </w:rPr>
              <w:t>☒</w:t>
            </w:r>
          </w:p>
        </w:tc>
        <w:tc>
          <w:tcPr>
            <w:tcW w:w="1133" w:type="dxa"/>
            <w:tcBorders>
              <w:top w:val="nil"/>
              <w:left w:val="nil"/>
              <w:right w:val="nil"/>
            </w:tcBorders>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Žiadne</w:t>
            </w:r>
          </w:p>
        </w:tc>
        <w:tc>
          <w:tcPr>
            <w:tcW w:w="547" w:type="dxa"/>
            <w:tcBorders>
              <w:top w:val="nil"/>
              <w:left w:val="nil"/>
              <w:right w:val="nil"/>
            </w:tcBorders>
          </w:tcPr>
          <w:p w:rsidR="00AA73E5" w:rsidRPr="00AA73E5" w:rsidRDefault="00AA73E5" w:rsidP="00AA73E5">
            <w:pPr>
              <w:spacing w:after="0" w:line="240" w:lineRule="auto"/>
              <w:jc w:val="center"/>
              <w:rPr>
                <w:rFonts w:ascii="Segoe UI Symbol" w:eastAsia="MS Mincho" w:hAnsi="Segoe UI Symbol" w:cs="Segoe UI Symbol"/>
                <w:b/>
                <w:sz w:val="24"/>
                <w:szCs w:val="24"/>
                <w:lang w:eastAsia="sk-SK"/>
              </w:rPr>
            </w:pPr>
            <w:r w:rsidRPr="00AA73E5">
              <w:rPr>
                <w:rFonts w:ascii="Segoe UI Symbol" w:hAnsi="Segoe UI Symbol" w:cs="Segoe UI Symbol"/>
                <w:b/>
                <w:sz w:val="24"/>
                <w:szCs w:val="24"/>
                <w:lang w:eastAsia="sk-SK"/>
              </w:rPr>
              <w:t>☐</w:t>
            </w:r>
          </w:p>
        </w:tc>
        <w:tc>
          <w:tcPr>
            <w:tcW w:w="1297" w:type="dxa"/>
            <w:tcBorders>
              <w:top w:val="nil"/>
              <w:left w:val="nil"/>
            </w:tcBorders>
          </w:tcPr>
          <w:p w:rsidR="00AA73E5" w:rsidRPr="00AA73E5" w:rsidRDefault="00AA73E5" w:rsidP="00AA73E5">
            <w:pPr>
              <w:spacing w:after="0" w:line="240" w:lineRule="auto"/>
              <w:ind w:left="54"/>
              <w:rPr>
                <w:rFonts w:ascii="Times New Roman" w:hAnsi="Times New Roman"/>
                <w:b/>
                <w:sz w:val="24"/>
                <w:szCs w:val="24"/>
                <w:lang w:eastAsia="sk-SK"/>
              </w:rPr>
            </w:pPr>
            <w:r w:rsidRPr="00AA73E5">
              <w:rPr>
                <w:rFonts w:ascii="Times New Roman" w:hAnsi="Times New Roman"/>
                <w:b/>
                <w:sz w:val="24"/>
                <w:szCs w:val="24"/>
                <w:lang w:eastAsia="sk-SK"/>
              </w:rPr>
              <w:t>Negatívne</w:t>
            </w:r>
          </w:p>
        </w:tc>
      </w:tr>
    </w:tbl>
    <w:p w:rsidR="00AA73E5" w:rsidRPr="00AA73E5" w:rsidRDefault="00AA73E5" w:rsidP="00AA73E5">
      <w:pPr>
        <w:spacing w:after="0" w:line="240" w:lineRule="auto"/>
        <w:rPr>
          <w:rFonts w:ascii="Times New Roman" w:hAnsi="Times New Roman"/>
          <w:vanish/>
          <w:sz w:val="24"/>
          <w:szCs w:val="24"/>
          <w:lang w:eastAsia="sk-SK"/>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AA73E5" w:rsidRPr="00AA73E5" w:rsidTr="00BE41DD">
        <w:trPr>
          <w:trHeight w:val="272"/>
        </w:trPr>
        <w:tc>
          <w:tcPr>
            <w:tcW w:w="9176" w:type="dxa"/>
            <w:tcBorders>
              <w:bottom w:val="nil"/>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Poznámky</w:t>
            </w:r>
          </w:p>
        </w:tc>
      </w:tr>
      <w:tr w:rsidR="00AA73E5" w:rsidRPr="00AA73E5" w:rsidTr="00854499">
        <w:trPr>
          <w:trHeight w:val="255"/>
        </w:trPr>
        <w:tc>
          <w:tcPr>
            <w:tcW w:w="9176" w:type="dxa"/>
            <w:tcBorders>
              <w:top w:val="nil"/>
              <w:bottom w:val="single" w:sz="4" w:space="0" w:color="FFFFFF"/>
            </w:tcBorders>
            <w:shd w:val="clear" w:color="auto" w:fill="auto"/>
          </w:tcPr>
          <w:p w:rsidR="00AA73E5" w:rsidRPr="00E144C3" w:rsidRDefault="00E144C3" w:rsidP="00E144C3">
            <w:pPr>
              <w:spacing w:after="0" w:line="240" w:lineRule="auto"/>
              <w:jc w:val="both"/>
              <w:rPr>
                <w:rFonts w:ascii="Times New Roman" w:hAnsi="Times New Roman"/>
                <w:b/>
                <w:sz w:val="24"/>
                <w:szCs w:val="24"/>
                <w:lang w:eastAsia="sk-SK"/>
              </w:rPr>
            </w:pPr>
            <w:r w:rsidRPr="00E144C3">
              <w:rPr>
                <w:rFonts w:ascii="Times New Roman" w:hAnsi="Times New Roman"/>
                <w:sz w:val="24"/>
                <w:szCs w:val="24"/>
              </w:rPr>
              <w:t xml:space="preserve">Odklad odvodov </w:t>
            </w:r>
            <w:r>
              <w:rPr>
                <w:rFonts w:ascii="Times New Roman" w:hAnsi="Times New Roman"/>
                <w:sz w:val="24"/>
                <w:szCs w:val="24"/>
              </w:rPr>
              <w:t xml:space="preserve">z hazardných hier </w:t>
            </w:r>
            <w:r w:rsidRPr="00E144C3">
              <w:rPr>
                <w:rFonts w:ascii="Times New Roman" w:hAnsi="Times New Roman"/>
                <w:sz w:val="24"/>
                <w:szCs w:val="24"/>
              </w:rPr>
              <w:t xml:space="preserve">nebude mať vplyv na rozpočet verejnej správy ani len z pohľadu cash </w:t>
            </w:r>
            <w:proofErr w:type="spellStart"/>
            <w:r w:rsidRPr="00E144C3">
              <w:rPr>
                <w:rFonts w:ascii="Times New Roman" w:hAnsi="Times New Roman"/>
                <w:sz w:val="24"/>
                <w:szCs w:val="24"/>
              </w:rPr>
              <w:t>flow</w:t>
            </w:r>
            <w:proofErr w:type="spellEnd"/>
            <w:r w:rsidRPr="00E144C3">
              <w:rPr>
                <w:rFonts w:ascii="Times New Roman" w:hAnsi="Times New Roman"/>
                <w:sz w:val="24"/>
                <w:szCs w:val="24"/>
              </w:rPr>
              <w:t xml:space="preserve"> na ročnej báze, pretože hraničný termín na úhradu odvodov je koniec roka 202</w:t>
            </w:r>
            <w:r>
              <w:rPr>
                <w:rFonts w:ascii="Times New Roman" w:hAnsi="Times New Roman"/>
                <w:sz w:val="24"/>
                <w:szCs w:val="24"/>
              </w:rPr>
              <w:t>1</w:t>
            </w:r>
            <w:r w:rsidRPr="00E144C3">
              <w:rPr>
                <w:rFonts w:ascii="Times New Roman" w:hAnsi="Times New Roman"/>
                <w:sz w:val="24"/>
                <w:szCs w:val="24"/>
              </w:rPr>
              <w:t>, samozrejme výpadok príjmov z odvodov nebude žiadny za predpokladu, že všetci prevádzkovatelia hazardných hier budú schopní uhradiť odvod v plnej výške a žiaden prevádzkovateľ nepodá návrh na vyhlásenie konkurzu. Opatrenie bude mať pozitívny vplyv na podnikateľské prostredie, pretože umožní prevádzkovateľom hazardných hier prekonať časový výpadok tržieb odložením záväzkov. </w:t>
            </w:r>
          </w:p>
        </w:tc>
      </w:tr>
      <w:tr w:rsidR="00AA73E5" w:rsidRPr="00AA73E5" w:rsidTr="00BE41DD">
        <w:tc>
          <w:tcPr>
            <w:tcW w:w="9176" w:type="dxa"/>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Kontakt na spracovateľa</w:t>
            </w:r>
          </w:p>
        </w:tc>
      </w:tr>
      <w:tr w:rsidR="00AA73E5" w:rsidRPr="00AA73E5" w:rsidTr="00BE41DD">
        <w:trPr>
          <w:trHeight w:val="586"/>
        </w:trPr>
        <w:tc>
          <w:tcPr>
            <w:tcW w:w="9176" w:type="dxa"/>
            <w:tcBorders>
              <w:top w:val="single" w:sz="4" w:space="0" w:color="FFFFFF"/>
            </w:tcBorders>
            <w:shd w:val="clear" w:color="auto" w:fill="FFFFFF"/>
            <w:vAlign w:val="center"/>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lastRenderedPageBreak/>
              <w:t xml:space="preserve">Mgr. Michal </w:t>
            </w:r>
            <w:proofErr w:type="spellStart"/>
            <w:r w:rsidRPr="00AA73E5">
              <w:rPr>
                <w:rFonts w:ascii="Times New Roman" w:hAnsi="Times New Roman"/>
                <w:sz w:val="24"/>
                <w:szCs w:val="24"/>
                <w:lang w:eastAsia="sk-SK"/>
              </w:rPr>
              <w:t>Pavlovčík</w:t>
            </w:r>
            <w:proofErr w:type="spellEnd"/>
            <w:r w:rsidRPr="00AA73E5">
              <w:rPr>
                <w:rFonts w:ascii="Times New Roman" w:hAnsi="Times New Roman"/>
                <w:sz w:val="24"/>
                <w:szCs w:val="24"/>
                <w:lang w:eastAsia="sk-SK"/>
              </w:rPr>
              <w:t xml:space="preserve">, MF SR, sekcia daňová a colná, odbor nepriamych daní, oddelenie spotrebných daní, </w:t>
            </w:r>
            <w:r w:rsidRPr="00AA73E5">
              <w:rPr>
                <w:rFonts w:ascii="Times New Roman" w:hAnsi="Times New Roman"/>
                <w:sz w:val="24"/>
                <w:szCs w:val="24"/>
                <w:u w:val="single"/>
                <w:lang w:eastAsia="sk-SK"/>
              </w:rPr>
              <w:t>michal.pavlovcik@mfsr.sk</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c>
          <w:tcPr>
            <w:tcW w:w="9176" w:type="dxa"/>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Zdroje</w:t>
            </w:r>
          </w:p>
        </w:tc>
      </w:tr>
      <w:tr w:rsidR="00AA73E5" w:rsidRPr="00AA73E5" w:rsidTr="00BE41DD">
        <w:trPr>
          <w:trHeight w:val="401"/>
        </w:trPr>
        <w:tc>
          <w:tcPr>
            <w:tcW w:w="9176" w:type="dxa"/>
            <w:tcBorders>
              <w:top w:val="single" w:sz="4" w:space="0" w:color="FFFFFF"/>
            </w:tcBorders>
            <w:shd w:val="clear" w:color="auto" w:fill="FFFFFF"/>
          </w:tcPr>
          <w:p w:rsidR="00854499" w:rsidRPr="00854499" w:rsidRDefault="00854499" w:rsidP="00F67D71">
            <w:pPr>
              <w:spacing w:after="0" w:line="240" w:lineRule="auto"/>
              <w:jc w:val="both"/>
              <w:rPr>
                <w:rFonts w:ascii="Times New Roman" w:hAnsi="Times New Roman"/>
                <w:sz w:val="24"/>
                <w:szCs w:val="24"/>
                <w:lang w:eastAsia="sk-SK"/>
              </w:rPr>
            </w:pPr>
            <w:r w:rsidRPr="00854499">
              <w:rPr>
                <w:rFonts w:ascii="Times New Roman" w:hAnsi="Times New Roman"/>
                <w:sz w:val="24"/>
                <w:szCs w:val="24"/>
                <w:lang w:eastAsia="sk-SK"/>
              </w:rPr>
              <w:t xml:space="preserve">Legislatívna úprava týkajúca sa doručovania oznámení o predĺžení lehoty na podanie daňového priznania nemá vplyv na rozpočet, má pozitívny vplyv na podnikateľské prostredie, ktorý sa nevyčísluje, predstavuje zjednodušenie administratívnych úkonov. </w:t>
            </w:r>
          </w:p>
          <w:p w:rsidR="00F67D71" w:rsidRPr="00F67D71" w:rsidRDefault="00F67D71" w:rsidP="00F67D71">
            <w:pPr>
              <w:spacing w:after="0" w:line="240" w:lineRule="auto"/>
              <w:jc w:val="both"/>
              <w:rPr>
                <w:rFonts w:ascii="Times New Roman" w:hAnsi="Times New Roman"/>
                <w:sz w:val="24"/>
                <w:szCs w:val="24"/>
                <w:lang w:eastAsia="sk-SK"/>
              </w:rPr>
            </w:pPr>
            <w:r w:rsidRPr="00F67D71">
              <w:rPr>
                <w:rFonts w:ascii="Times New Roman" w:hAnsi="Times New Roman"/>
                <w:sz w:val="24"/>
                <w:szCs w:val="24"/>
                <w:lang w:eastAsia="sk-SK"/>
              </w:rPr>
              <w:t xml:space="preserve">Odhadovaný výpočet negatívnych dopadov zavedenia nulovej sadzby DPH na respirátory na základe dát Finančného riaditeľstva SR o počte predaných respirátorov </w:t>
            </w:r>
            <w:r w:rsidR="00672981">
              <w:rPr>
                <w:rFonts w:ascii="Times New Roman" w:hAnsi="Times New Roman"/>
                <w:sz w:val="24"/>
                <w:szCs w:val="24"/>
                <w:lang w:eastAsia="sk-SK"/>
              </w:rPr>
              <w:t>prostredníctvom</w:t>
            </w:r>
            <w:r w:rsidRPr="00F67D71">
              <w:rPr>
                <w:rFonts w:ascii="Times New Roman" w:hAnsi="Times New Roman"/>
                <w:sz w:val="24"/>
                <w:szCs w:val="24"/>
                <w:lang w:eastAsia="sk-SK"/>
              </w:rPr>
              <w:t xml:space="preserve"> e-kas</w:t>
            </w:r>
            <w:r w:rsidR="00672981">
              <w:rPr>
                <w:rFonts w:ascii="Times New Roman" w:hAnsi="Times New Roman"/>
                <w:sz w:val="24"/>
                <w:szCs w:val="24"/>
                <w:lang w:eastAsia="sk-SK"/>
              </w:rPr>
              <w:t>a klient</w:t>
            </w:r>
            <w:r w:rsidRPr="00F67D71">
              <w:rPr>
                <w:rFonts w:ascii="Times New Roman" w:hAnsi="Times New Roman"/>
                <w:sz w:val="24"/>
                <w:szCs w:val="24"/>
                <w:lang w:eastAsia="sk-SK"/>
              </w:rPr>
              <w:t>.</w:t>
            </w:r>
          </w:p>
          <w:p w:rsidR="00B11E2C" w:rsidRPr="006E1AD8" w:rsidRDefault="006E1AD8" w:rsidP="00373215">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Kvantifikácia Inštitútu finančnej politiky Ministerstva financií SR nastavenia dopredaja cigariet, </w:t>
            </w:r>
            <w:r w:rsidRPr="00C61DF6">
              <w:rPr>
                <w:rFonts w:ascii="Times New Roman" w:hAnsi="Times New Roman"/>
                <w:sz w:val="24"/>
                <w:szCs w:val="24"/>
                <w:lang w:eastAsia="sk-SK"/>
              </w:rPr>
              <w:t>ktoré boli zdanené sadzbou spotrebnej dane platnou do 31.</w:t>
            </w:r>
            <w:r w:rsidR="00373215">
              <w:rPr>
                <w:rFonts w:ascii="Times New Roman" w:hAnsi="Times New Roman"/>
                <w:sz w:val="24"/>
                <w:szCs w:val="24"/>
                <w:lang w:eastAsia="sk-SK"/>
              </w:rPr>
              <w:t xml:space="preserve"> januára </w:t>
            </w:r>
            <w:r w:rsidRPr="00C61DF6">
              <w:rPr>
                <w:rFonts w:ascii="Times New Roman" w:hAnsi="Times New Roman"/>
                <w:sz w:val="24"/>
                <w:szCs w:val="24"/>
                <w:lang w:eastAsia="sk-SK"/>
              </w:rPr>
              <w:t>2021, do vypredania zásob.</w:t>
            </w:r>
          </w:p>
        </w:tc>
      </w:tr>
      <w:tr w:rsidR="00AA73E5" w:rsidRPr="00AA73E5" w:rsidTr="00BE41DD">
        <w:tc>
          <w:tcPr>
            <w:tcW w:w="9176" w:type="dxa"/>
            <w:tcBorders>
              <w:bottom w:val="single" w:sz="4" w:space="0" w:color="FFFFFF"/>
            </w:tcBorders>
            <w:shd w:val="clear" w:color="auto" w:fill="E2E2E2"/>
          </w:tcPr>
          <w:p w:rsidR="00AA73E5" w:rsidRPr="00AA73E5" w:rsidRDefault="00AA73E5" w:rsidP="00AA73E5">
            <w:pPr>
              <w:numPr>
                <w:ilvl w:val="0"/>
                <w:numId w:val="5"/>
              </w:numPr>
              <w:spacing w:after="0" w:line="240" w:lineRule="auto"/>
              <w:ind w:left="426"/>
              <w:contextualSpacing/>
              <w:rPr>
                <w:rFonts w:ascii="Times New Roman" w:hAnsi="Times New Roman"/>
                <w:b/>
              </w:rPr>
            </w:pPr>
            <w:r w:rsidRPr="00AA73E5">
              <w:rPr>
                <w:rFonts w:ascii="Times New Roman" w:hAnsi="Times New Roman"/>
                <w:b/>
              </w:rPr>
              <w:t>Stanovisko Komisie pre posudzovanie vybraných vplyvov z PPK</w:t>
            </w:r>
          </w:p>
        </w:tc>
      </w:tr>
      <w:tr w:rsidR="00AA73E5" w:rsidRPr="00AA73E5" w:rsidTr="00854499">
        <w:trPr>
          <w:trHeight w:val="70"/>
        </w:trPr>
        <w:tc>
          <w:tcPr>
            <w:tcW w:w="9176" w:type="dxa"/>
            <w:tcBorders>
              <w:top w:val="single" w:sz="4" w:space="0" w:color="FFFFFF"/>
            </w:tcBorders>
            <w:shd w:val="clear" w:color="auto" w:fill="FFFFFF"/>
          </w:tcPr>
          <w:p w:rsidR="00AA73E5" w:rsidRPr="00AA73E5" w:rsidRDefault="00AA73E5" w:rsidP="006E1AD8">
            <w:pPr>
              <w:spacing w:after="0" w:line="240" w:lineRule="auto"/>
              <w:jc w:val="both"/>
              <w:rPr>
                <w:rFonts w:ascii="Times New Roman" w:hAnsi="Times New Roman"/>
                <w:sz w:val="24"/>
                <w:szCs w:val="24"/>
                <w:lang w:eastAsia="sk-SK"/>
              </w:rPr>
            </w:pPr>
          </w:p>
        </w:tc>
      </w:tr>
    </w:tbl>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E144C3" w:rsidRDefault="00E144C3" w:rsidP="00AA73E5">
      <w:pPr>
        <w:spacing w:after="0" w:line="240" w:lineRule="auto"/>
        <w:jc w:val="center"/>
        <w:rPr>
          <w:rFonts w:ascii="Times New Roman" w:hAnsi="Times New Roman"/>
          <w:b/>
          <w:bCs/>
          <w:sz w:val="28"/>
          <w:szCs w:val="28"/>
          <w:lang w:eastAsia="sk-SK"/>
        </w:rPr>
      </w:pPr>
    </w:p>
    <w:p w:rsidR="00AA73E5" w:rsidRPr="00AA73E5" w:rsidRDefault="00AA73E5" w:rsidP="00AA73E5">
      <w:pPr>
        <w:spacing w:after="0" w:line="240" w:lineRule="auto"/>
        <w:jc w:val="center"/>
        <w:rPr>
          <w:rFonts w:ascii="Times New Roman" w:hAnsi="Times New Roman"/>
          <w:b/>
          <w:bCs/>
          <w:sz w:val="28"/>
          <w:szCs w:val="28"/>
          <w:lang w:eastAsia="sk-SK"/>
        </w:rPr>
      </w:pPr>
      <w:r w:rsidRPr="00AA73E5">
        <w:rPr>
          <w:rFonts w:ascii="Times New Roman" w:hAnsi="Times New Roman"/>
          <w:b/>
          <w:bCs/>
          <w:sz w:val="28"/>
          <w:szCs w:val="28"/>
          <w:lang w:eastAsia="sk-SK"/>
        </w:rPr>
        <w:lastRenderedPageBreak/>
        <w:t>Analýza vplyvov na rozpočet verejnej správy,</w:t>
      </w:r>
    </w:p>
    <w:p w:rsidR="00AA73E5" w:rsidRPr="00AA73E5" w:rsidRDefault="00AA73E5" w:rsidP="00AA73E5">
      <w:pPr>
        <w:spacing w:after="0" w:line="240" w:lineRule="auto"/>
        <w:jc w:val="center"/>
        <w:rPr>
          <w:rFonts w:ascii="Times New Roman" w:hAnsi="Times New Roman"/>
          <w:b/>
          <w:bCs/>
          <w:sz w:val="28"/>
          <w:szCs w:val="28"/>
          <w:lang w:eastAsia="sk-SK"/>
        </w:rPr>
      </w:pPr>
      <w:r w:rsidRPr="00AA73E5">
        <w:rPr>
          <w:rFonts w:ascii="Times New Roman" w:hAnsi="Times New Roman"/>
          <w:b/>
          <w:bCs/>
          <w:sz w:val="28"/>
          <w:szCs w:val="28"/>
          <w:lang w:eastAsia="sk-SK"/>
        </w:rPr>
        <w:t>na zamestnanosť vo verejnej správe a financovanie návrhu</w:t>
      </w:r>
    </w:p>
    <w:p w:rsidR="00AA73E5" w:rsidRPr="00AA73E5" w:rsidRDefault="00AA73E5" w:rsidP="00AA73E5">
      <w:pPr>
        <w:spacing w:after="0" w:line="240" w:lineRule="auto"/>
        <w:rPr>
          <w:rFonts w:ascii="Times New Roman" w:hAnsi="Times New Roman"/>
          <w:b/>
          <w:bCs/>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2.1 Zhrnutie vplyvov na rozpočet verejnej správy v návrhu</w:t>
      </w:r>
    </w:p>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sz w:val="20"/>
          <w:szCs w:val="20"/>
          <w:lang w:eastAsia="sk-SK"/>
        </w:rPr>
        <w:t>Tabuľka č. 1</w:t>
      </w:r>
    </w:p>
    <w:tbl>
      <w:tblPr>
        <w:tblW w:w="97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1417"/>
        <w:gridCol w:w="1276"/>
        <w:gridCol w:w="1418"/>
        <w:gridCol w:w="1416"/>
      </w:tblGrid>
      <w:tr w:rsidR="00C241E4" w:rsidRPr="00C241E4" w:rsidTr="00707AEB">
        <w:trPr>
          <w:cantSplit/>
          <w:trHeight w:val="194"/>
          <w:jc w:val="right"/>
        </w:trPr>
        <w:tc>
          <w:tcPr>
            <w:tcW w:w="4248" w:type="dxa"/>
            <w:vMerge w:val="restart"/>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bookmarkStart w:id="0" w:name="OLE_LINK1"/>
            <w:r w:rsidRPr="00C241E4">
              <w:rPr>
                <w:rFonts w:ascii="Times New Roman" w:hAnsi="Times New Roman"/>
                <w:b/>
                <w:bCs/>
                <w:sz w:val="24"/>
                <w:szCs w:val="24"/>
                <w:lang w:eastAsia="sk-SK"/>
              </w:rPr>
              <w:t>Vplyvy na rozpočet verejnej správy</w:t>
            </w:r>
          </w:p>
        </w:tc>
        <w:tc>
          <w:tcPr>
            <w:tcW w:w="5527" w:type="dxa"/>
            <w:gridSpan w:val="4"/>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r w:rsidRPr="00C241E4">
              <w:rPr>
                <w:rFonts w:ascii="Times New Roman" w:hAnsi="Times New Roman"/>
                <w:b/>
                <w:bCs/>
                <w:sz w:val="24"/>
                <w:szCs w:val="24"/>
                <w:lang w:eastAsia="sk-SK"/>
              </w:rPr>
              <w:t>Vplyv na rozpočet verejnej správy (v eurách)</w:t>
            </w:r>
          </w:p>
        </w:tc>
      </w:tr>
      <w:tr w:rsidR="00C241E4" w:rsidRPr="00C241E4" w:rsidTr="00707AEB">
        <w:trPr>
          <w:cantSplit/>
          <w:trHeight w:val="70"/>
          <w:jc w:val="right"/>
        </w:trPr>
        <w:tc>
          <w:tcPr>
            <w:tcW w:w="4248" w:type="dxa"/>
            <w:vMerge/>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p>
        </w:tc>
        <w:tc>
          <w:tcPr>
            <w:tcW w:w="1417" w:type="dxa"/>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r w:rsidRPr="00C241E4">
              <w:rPr>
                <w:rFonts w:ascii="Times New Roman" w:hAnsi="Times New Roman"/>
                <w:b/>
                <w:bCs/>
                <w:sz w:val="24"/>
                <w:szCs w:val="24"/>
                <w:lang w:eastAsia="sk-SK"/>
              </w:rPr>
              <w:t>2021</w:t>
            </w:r>
          </w:p>
        </w:tc>
        <w:tc>
          <w:tcPr>
            <w:tcW w:w="1276" w:type="dxa"/>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r w:rsidRPr="00C241E4">
              <w:rPr>
                <w:rFonts w:ascii="Times New Roman" w:hAnsi="Times New Roman"/>
                <w:b/>
                <w:bCs/>
                <w:sz w:val="24"/>
                <w:szCs w:val="24"/>
                <w:lang w:eastAsia="sk-SK"/>
              </w:rPr>
              <w:t>2022</w:t>
            </w:r>
          </w:p>
        </w:tc>
        <w:tc>
          <w:tcPr>
            <w:tcW w:w="1418" w:type="dxa"/>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r w:rsidRPr="00C241E4">
              <w:rPr>
                <w:rFonts w:ascii="Times New Roman" w:hAnsi="Times New Roman"/>
                <w:b/>
                <w:bCs/>
                <w:sz w:val="24"/>
                <w:szCs w:val="24"/>
                <w:lang w:eastAsia="sk-SK"/>
              </w:rPr>
              <w:t>2023</w:t>
            </w:r>
          </w:p>
        </w:tc>
        <w:tc>
          <w:tcPr>
            <w:tcW w:w="1416" w:type="dxa"/>
            <w:shd w:val="clear" w:color="auto" w:fill="BFBFBF" w:themeFill="background1" w:themeFillShade="BF"/>
            <w:vAlign w:val="center"/>
          </w:tcPr>
          <w:p w:rsidR="00C241E4" w:rsidRPr="00C241E4" w:rsidRDefault="00C241E4" w:rsidP="00C241E4">
            <w:pPr>
              <w:spacing w:after="0" w:line="240" w:lineRule="auto"/>
              <w:jc w:val="center"/>
              <w:rPr>
                <w:rFonts w:ascii="Times New Roman" w:hAnsi="Times New Roman"/>
                <w:b/>
                <w:bCs/>
                <w:sz w:val="24"/>
                <w:szCs w:val="24"/>
                <w:lang w:eastAsia="sk-SK"/>
              </w:rPr>
            </w:pPr>
            <w:r w:rsidRPr="00C241E4">
              <w:rPr>
                <w:rFonts w:ascii="Times New Roman" w:hAnsi="Times New Roman"/>
                <w:b/>
                <w:bCs/>
                <w:sz w:val="24"/>
                <w:szCs w:val="24"/>
                <w:lang w:eastAsia="sk-SK"/>
              </w:rPr>
              <w:t>2024</w:t>
            </w:r>
          </w:p>
        </w:tc>
      </w:tr>
      <w:tr w:rsidR="00C241E4" w:rsidRPr="00C241E4" w:rsidTr="00707AEB">
        <w:trPr>
          <w:trHeight w:val="70"/>
          <w:jc w:val="right"/>
        </w:trPr>
        <w:tc>
          <w:tcPr>
            <w:tcW w:w="4248" w:type="dxa"/>
            <w:shd w:val="clear" w:color="auto" w:fill="C0C0C0"/>
            <w:noWrap/>
            <w:vAlign w:val="center"/>
          </w:tcPr>
          <w:p w:rsidR="00C241E4" w:rsidRPr="00C241E4" w:rsidRDefault="00C241E4" w:rsidP="00C241E4">
            <w:pPr>
              <w:spacing w:after="0" w:line="240" w:lineRule="auto"/>
              <w:rPr>
                <w:rFonts w:ascii="Times New Roman" w:hAnsi="Times New Roman"/>
                <w:sz w:val="24"/>
                <w:szCs w:val="24"/>
                <w:lang w:eastAsia="sk-SK"/>
              </w:rPr>
            </w:pPr>
            <w:r w:rsidRPr="00C241E4">
              <w:rPr>
                <w:rFonts w:ascii="Times New Roman" w:hAnsi="Times New Roman"/>
                <w:b/>
                <w:bCs/>
                <w:sz w:val="24"/>
                <w:szCs w:val="24"/>
                <w:lang w:eastAsia="sk-SK"/>
              </w:rPr>
              <w:t>Príjmy verejnej správy celkom</w:t>
            </w:r>
          </w:p>
        </w:tc>
        <w:tc>
          <w:tcPr>
            <w:tcW w:w="1417" w:type="dxa"/>
            <w:shd w:val="clear" w:color="auto" w:fill="C0C0C0"/>
            <w:vAlign w:val="center"/>
          </w:tcPr>
          <w:p w:rsidR="00C241E4" w:rsidRPr="00F67D71" w:rsidRDefault="00AB52A4" w:rsidP="00C241E4">
            <w:pPr>
              <w:spacing w:after="0" w:line="240" w:lineRule="auto"/>
              <w:jc w:val="right"/>
              <w:rPr>
                <w:rFonts w:ascii="Times New Roman" w:hAnsi="Times New Roman"/>
                <w:b/>
                <w:bCs/>
                <w:sz w:val="24"/>
                <w:szCs w:val="24"/>
                <w:lang w:eastAsia="sk-SK"/>
              </w:rPr>
            </w:pPr>
            <w:r w:rsidRPr="00F67D71">
              <w:rPr>
                <w:rFonts w:ascii="Times New Roman" w:hAnsi="Times New Roman"/>
                <w:b/>
                <w:bCs/>
                <w:sz w:val="24"/>
                <w:szCs w:val="24"/>
                <w:lang w:eastAsia="sk-SK"/>
              </w:rPr>
              <w:t>-4 400 000</w:t>
            </w:r>
          </w:p>
        </w:tc>
        <w:tc>
          <w:tcPr>
            <w:tcW w:w="1276" w:type="dxa"/>
            <w:shd w:val="clear" w:color="auto" w:fill="C0C0C0"/>
            <w:vAlign w:val="center"/>
          </w:tcPr>
          <w:p w:rsidR="00C241E4" w:rsidRPr="00F67D71" w:rsidRDefault="00C241E4" w:rsidP="00C241E4">
            <w:pPr>
              <w:spacing w:after="0" w:line="240" w:lineRule="auto"/>
              <w:jc w:val="right"/>
              <w:rPr>
                <w:rFonts w:ascii="Times New Roman" w:hAnsi="Times New Roman"/>
                <w:b/>
                <w:bCs/>
                <w:sz w:val="24"/>
                <w:szCs w:val="24"/>
                <w:lang w:eastAsia="sk-SK"/>
              </w:rPr>
            </w:pPr>
            <w:r w:rsidRPr="00F67D71">
              <w:rPr>
                <w:rFonts w:ascii="Times New Roman" w:hAnsi="Times New Roman"/>
                <w:b/>
                <w:bCs/>
                <w:sz w:val="24"/>
                <w:szCs w:val="24"/>
                <w:lang w:eastAsia="sk-SK"/>
              </w:rPr>
              <w:t>0</w:t>
            </w:r>
          </w:p>
        </w:tc>
        <w:tc>
          <w:tcPr>
            <w:tcW w:w="1418" w:type="dxa"/>
            <w:shd w:val="clear" w:color="auto" w:fill="C0C0C0"/>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color w:val="000000" w:themeColor="text1"/>
                <w:sz w:val="24"/>
                <w:szCs w:val="24"/>
                <w:lang w:eastAsia="sk-SK"/>
              </w:rPr>
              <w:t>0</w:t>
            </w:r>
          </w:p>
        </w:tc>
        <w:tc>
          <w:tcPr>
            <w:tcW w:w="1416" w:type="dxa"/>
            <w:shd w:val="clear" w:color="auto" w:fill="C0C0C0"/>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color w:val="000000" w:themeColor="text1"/>
                <w:sz w:val="24"/>
                <w:szCs w:val="24"/>
                <w:lang w:eastAsia="sk-SK"/>
              </w:rPr>
              <w:t>0</w:t>
            </w:r>
          </w:p>
        </w:tc>
      </w:tr>
      <w:tr w:rsidR="00C241E4" w:rsidRPr="00C241E4" w:rsidTr="00707AEB">
        <w:trPr>
          <w:trHeight w:val="132"/>
          <w:jc w:val="right"/>
        </w:trPr>
        <w:tc>
          <w:tcPr>
            <w:tcW w:w="4248" w:type="dxa"/>
            <w:noWrap/>
            <w:vAlign w:val="center"/>
          </w:tcPr>
          <w:p w:rsidR="00C241E4" w:rsidRPr="00C241E4" w:rsidRDefault="00C241E4" w:rsidP="00C241E4">
            <w:pPr>
              <w:spacing w:after="0" w:line="240" w:lineRule="auto"/>
              <w:rPr>
                <w:rFonts w:ascii="Times New Roman" w:hAnsi="Times New Roman"/>
                <w:sz w:val="24"/>
                <w:szCs w:val="24"/>
                <w:lang w:eastAsia="sk-SK"/>
              </w:rPr>
            </w:pPr>
            <w:r w:rsidRPr="00C241E4">
              <w:rPr>
                <w:rFonts w:ascii="Times New Roman" w:hAnsi="Times New Roman"/>
                <w:sz w:val="24"/>
                <w:szCs w:val="24"/>
                <w:lang w:eastAsia="sk-SK"/>
              </w:rPr>
              <w:t xml:space="preserve">v tom:  VPS </w:t>
            </w:r>
          </w:p>
        </w:tc>
        <w:tc>
          <w:tcPr>
            <w:tcW w:w="1417" w:type="dxa"/>
            <w:noWrap/>
            <w:vAlign w:val="center"/>
          </w:tcPr>
          <w:p w:rsidR="00C241E4" w:rsidRPr="00F67D71" w:rsidRDefault="00C241E4" w:rsidP="00C241E4">
            <w:pPr>
              <w:spacing w:after="0" w:line="240" w:lineRule="auto"/>
              <w:jc w:val="right"/>
              <w:rPr>
                <w:rFonts w:ascii="Times New Roman" w:hAnsi="Times New Roman"/>
                <w:sz w:val="24"/>
                <w:szCs w:val="24"/>
                <w:lang w:eastAsia="sk-SK"/>
              </w:rPr>
            </w:pPr>
            <w:r w:rsidRPr="00F67D71">
              <w:rPr>
                <w:rFonts w:ascii="Times New Roman" w:hAnsi="Times New Roman"/>
                <w:sz w:val="24"/>
                <w:szCs w:val="24"/>
                <w:lang w:eastAsia="sk-SK"/>
              </w:rPr>
              <w:t>0</w:t>
            </w:r>
          </w:p>
        </w:tc>
        <w:tc>
          <w:tcPr>
            <w:tcW w:w="1276" w:type="dxa"/>
            <w:noWrap/>
            <w:vAlign w:val="center"/>
          </w:tcPr>
          <w:p w:rsidR="00C241E4" w:rsidRPr="00F67D71" w:rsidRDefault="00C241E4" w:rsidP="00C241E4">
            <w:pPr>
              <w:spacing w:after="0" w:line="240" w:lineRule="auto"/>
              <w:jc w:val="right"/>
              <w:rPr>
                <w:rFonts w:ascii="Times New Roman" w:hAnsi="Times New Roman"/>
                <w:sz w:val="24"/>
                <w:szCs w:val="24"/>
                <w:lang w:eastAsia="sk-SK"/>
              </w:rPr>
            </w:pPr>
            <w:r w:rsidRPr="00F67D71">
              <w:rPr>
                <w:rFonts w:ascii="Times New Roman" w:hAnsi="Times New Roman"/>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xml:space="preserve">z toho:  </w:t>
            </w:r>
          </w:p>
        </w:tc>
        <w:tc>
          <w:tcPr>
            <w:tcW w:w="1417" w:type="dxa"/>
            <w:noWrap/>
            <w:vAlign w:val="center"/>
          </w:tcPr>
          <w:p w:rsidR="00C241E4" w:rsidRPr="00F67D71" w:rsidRDefault="00C241E4" w:rsidP="00C241E4">
            <w:pPr>
              <w:spacing w:after="0" w:line="240" w:lineRule="auto"/>
              <w:jc w:val="right"/>
              <w:rPr>
                <w:rFonts w:ascii="Times New Roman" w:hAnsi="Times New Roman"/>
                <w:b/>
                <w:bCs/>
                <w:iCs/>
                <w:sz w:val="24"/>
                <w:szCs w:val="24"/>
                <w:lang w:eastAsia="sk-SK"/>
              </w:rPr>
            </w:pPr>
          </w:p>
        </w:tc>
        <w:tc>
          <w:tcPr>
            <w:tcW w:w="1276" w:type="dxa"/>
            <w:noWrap/>
            <w:vAlign w:val="center"/>
          </w:tcPr>
          <w:p w:rsidR="00C241E4" w:rsidRPr="00F67D71" w:rsidRDefault="00C241E4" w:rsidP="00C241E4">
            <w:pPr>
              <w:spacing w:after="0" w:line="240" w:lineRule="auto"/>
              <w:jc w:val="right"/>
              <w:rPr>
                <w:rFonts w:ascii="Times New Roman" w:hAnsi="Times New Roman"/>
                <w:b/>
                <w:bCs/>
                <w:iCs/>
                <w:sz w:val="24"/>
                <w:szCs w:val="24"/>
                <w:lang w:eastAsia="sk-SK"/>
              </w:rPr>
            </w:pP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ŠR</w:t>
            </w:r>
          </w:p>
        </w:tc>
        <w:tc>
          <w:tcPr>
            <w:tcW w:w="1417" w:type="dxa"/>
            <w:noWrap/>
            <w:vAlign w:val="center"/>
          </w:tcPr>
          <w:p w:rsidR="00C241E4" w:rsidRPr="00F67D71" w:rsidRDefault="00AB52A4" w:rsidP="00C241E4">
            <w:pPr>
              <w:spacing w:after="0" w:line="240" w:lineRule="auto"/>
              <w:jc w:val="right"/>
              <w:rPr>
                <w:rFonts w:ascii="Times New Roman" w:hAnsi="Times New Roman"/>
                <w:b/>
                <w:bCs/>
                <w:iCs/>
                <w:sz w:val="24"/>
                <w:szCs w:val="24"/>
                <w:lang w:eastAsia="sk-SK"/>
              </w:rPr>
            </w:pPr>
            <w:r w:rsidRPr="00F67D71">
              <w:rPr>
                <w:rFonts w:ascii="Times New Roman" w:hAnsi="Times New Roman"/>
                <w:b/>
                <w:bCs/>
                <w:iCs/>
                <w:sz w:val="24"/>
                <w:szCs w:val="24"/>
                <w:lang w:eastAsia="sk-SK"/>
              </w:rPr>
              <w:t>-4 400 000</w:t>
            </w:r>
          </w:p>
        </w:tc>
        <w:tc>
          <w:tcPr>
            <w:tcW w:w="1276" w:type="dxa"/>
            <w:noWrap/>
            <w:vAlign w:val="center"/>
          </w:tcPr>
          <w:p w:rsidR="00C241E4" w:rsidRPr="00F67D71" w:rsidRDefault="00C241E4" w:rsidP="00C241E4">
            <w:pPr>
              <w:spacing w:after="0" w:line="240" w:lineRule="auto"/>
              <w:jc w:val="right"/>
              <w:rPr>
                <w:rFonts w:ascii="Times New Roman" w:hAnsi="Times New Roman"/>
                <w:b/>
                <w:bCs/>
                <w:iCs/>
                <w:sz w:val="24"/>
                <w:szCs w:val="24"/>
                <w:lang w:eastAsia="sk-SK"/>
              </w:rPr>
            </w:pPr>
            <w:r w:rsidRPr="00F67D71">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ind w:left="259"/>
              <w:rPr>
                <w:rFonts w:ascii="Times New Roman" w:hAnsi="Times New Roman"/>
                <w:b/>
                <w:bCs/>
                <w:i/>
                <w:iCs/>
                <w:sz w:val="24"/>
                <w:szCs w:val="24"/>
                <w:lang w:eastAsia="sk-SK"/>
              </w:rPr>
            </w:pPr>
            <w:r w:rsidRPr="00C241E4">
              <w:rPr>
                <w:rFonts w:ascii="Times New Roman" w:hAnsi="Times New Roman"/>
                <w:bCs/>
                <w:i/>
                <w:iCs/>
                <w:sz w:val="24"/>
                <w:szCs w:val="24"/>
                <w:lang w:eastAsia="sk-SK"/>
              </w:rPr>
              <w:t>Rozpočtové prostriedky</w:t>
            </w:r>
          </w:p>
        </w:tc>
        <w:tc>
          <w:tcPr>
            <w:tcW w:w="1417" w:type="dxa"/>
            <w:noWrap/>
            <w:vAlign w:val="center"/>
          </w:tcPr>
          <w:p w:rsidR="00C241E4" w:rsidRPr="00F67D71" w:rsidRDefault="00C241E4" w:rsidP="00C241E4">
            <w:pPr>
              <w:spacing w:after="0" w:line="240" w:lineRule="auto"/>
              <w:jc w:val="right"/>
              <w:rPr>
                <w:rFonts w:ascii="Times New Roman" w:hAnsi="Times New Roman"/>
                <w:bCs/>
                <w:iCs/>
                <w:sz w:val="24"/>
                <w:szCs w:val="24"/>
                <w:lang w:eastAsia="sk-SK"/>
              </w:rPr>
            </w:pPr>
            <w:r w:rsidRPr="00F67D71">
              <w:rPr>
                <w:rFonts w:ascii="Times New Roman" w:hAnsi="Times New Roman"/>
                <w:bCs/>
                <w:iCs/>
                <w:sz w:val="24"/>
                <w:szCs w:val="24"/>
                <w:lang w:eastAsia="sk-SK"/>
              </w:rPr>
              <w:t>0</w:t>
            </w:r>
          </w:p>
        </w:tc>
        <w:tc>
          <w:tcPr>
            <w:tcW w:w="1276" w:type="dxa"/>
            <w:noWrap/>
            <w:vAlign w:val="center"/>
          </w:tcPr>
          <w:p w:rsidR="00C241E4" w:rsidRPr="00F67D71" w:rsidRDefault="00C241E4" w:rsidP="00C241E4">
            <w:pPr>
              <w:spacing w:after="0" w:line="240" w:lineRule="auto"/>
              <w:jc w:val="right"/>
              <w:rPr>
                <w:rFonts w:ascii="Times New Roman" w:hAnsi="Times New Roman"/>
                <w:bCs/>
                <w:iCs/>
                <w:sz w:val="24"/>
                <w:szCs w:val="24"/>
                <w:lang w:eastAsia="sk-SK"/>
              </w:rPr>
            </w:pPr>
            <w:r w:rsidRPr="00F67D71">
              <w:rPr>
                <w:rFonts w:ascii="Times New Roman" w:hAnsi="Times New Roman"/>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Cs/>
                <w:iCs/>
                <w:sz w:val="24"/>
                <w:szCs w:val="24"/>
                <w:lang w:eastAsia="sk-SK"/>
              </w:rPr>
            </w:pPr>
            <w:r w:rsidRPr="00C241E4">
              <w:rPr>
                <w:rFonts w:ascii="Times New Roman" w:hAnsi="Times New Roman"/>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Cs/>
                <w:iCs/>
                <w:sz w:val="24"/>
                <w:szCs w:val="24"/>
                <w:lang w:eastAsia="sk-SK"/>
              </w:rPr>
            </w:pPr>
            <w:r w:rsidRPr="00C241E4">
              <w:rPr>
                <w:rFonts w:ascii="Times New Roman" w:hAnsi="Times New Roman"/>
                <w:bCs/>
                <w:iCs/>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ind w:left="259"/>
              <w:rPr>
                <w:rFonts w:ascii="Times New Roman" w:hAnsi="Times New Roman"/>
                <w:bCs/>
                <w:i/>
                <w:iCs/>
                <w:sz w:val="24"/>
                <w:szCs w:val="24"/>
                <w:lang w:eastAsia="sk-SK"/>
              </w:rPr>
            </w:pPr>
            <w:r w:rsidRPr="00C241E4">
              <w:rPr>
                <w:rFonts w:ascii="Times New Roman" w:hAnsi="Times New Roman"/>
                <w:bCs/>
                <w:i/>
                <w:iCs/>
                <w:sz w:val="24"/>
                <w:szCs w:val="24"/>
                <w:lang w:eastAsia="sk-SK"/>
              </w:rPr>
              <w:t>EÚ zdroje</w:t>
            </w:r>
          </w:p>
        </w:tc>
        <w:tc>
          <w:tcPr>
            <w:tcW w:w="1417"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obce</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vyššie územné celky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ostatné subjekty ver. správy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125"/>
          <w:jc w:val="right"/>
        </w:trPr>
        <w:tc>
          <w:tcPr>
            <w:tcW w:w="4248" w:type="dxa"/>
            <w:shd w:val="clear" w:color="auto" w:fill="C0C0C0"/>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sz w:val="24"/>
                <w:szCs w:val="24"/>
                <w:lang w:eastAsia="sk-SK"/>
              </w:rPr>
              <w:t>Výdavky verejnej správy celkom</w:t>
            </w:r>
          </w:p>
        </w:tc>
        <w:tc>
          <w:tcPr>
            <w:tcW w:w="1417" w:type="dxa"/>
            <w:shd w:val="clear" w:color="auto" w:fill="C0C0C0"/>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0</w:t>
            </w:r>
          </w:p>
        </w:tc>
        <w:tc>
          <w:tcPr>
            <w:tcW w:w="1276" w:type="dxa"/>
            <w:shd w:val="clear" w:color="auto" w:fill="C0C0C0"/>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0</w:t>
            </w:r>
          </w:p>
        </w:tc>
        <w:tc>
          <w:tcPr>
            <w:tcW w:w="1418" w:type="dxa"/>
            <w:shd w:val="clear" w:color="auto" w:fill="C0C0C0"/>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0</w:t>
            </w:r>
          </w:p>
        </w:tc>
        <w:tc>
          <w:tcPr>
            <w:tcW w:w="1416" w:type="dxa"/>
            <w:shd w:val="clear" w:color="auto" w:fill="C0C0C0"/>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0</w:t>
            </w:r>
          </w:p>
        </w:tc>
      </w:tr>
      <w:tr w:rsidR="00C241E4" w:rsidRPr="00C241E4" w:rsidTr="00707AEB">
        <w:trPr>
          <w:trHeight w:val="70"/>
          <w:jc w:val="right"/>
        </w:trPr>
        <w:tc>
          <w:tcPr>
            <w:tcW w:w="4248" w:type="dxa"/>
            <w:noWrap/>
            <w:vAlign w:val="center"/>
          </w:tcPr>
          <w:p w:rsidR="00C241E4" w:rsidRPr="00C241E4" w:rsidRDefault="00C241E4" w:rsidP="00C241E4">
            <w:pPr>
              <w:autoSpaceDE w:val="0"/>
              <w:autoSpaceDN w:val="0"/>
              <w:adjustRightInd w:val="0"/>
              <w:spacing w:after="0" w:line="240" w:lineRule="auto"/>
              <w:rPr>
                <w:rFonts w:ascii="Times New Roman" w:eastAsiaTheme="minorHAnsi" w:hAnsi="Times New Roman"/>
                <w:color w:val="000000"/>
                <w:sz w:val="16"/>
                <w:szCs w:val="16"/>
              </w:rPr>
            </w:pPr>
            <w:r w:rsidRPr="00C241E4">
              <w:rPr>
                <w:rFonts w:ascii="Times New Roman" w:eastAsiaTheme="minorHAnsi" w:hAnsi="Times New Roman"/>
                <w:color w:val="000000"/>
                <w:sz w:val="24"/>
                <w:szCs w:val="24"/>
              </w:rPr>
              <w:t>v tom: za každý subjekt verejnej správy / program zvlášť</w:t>
            </w:r>
            <w:r w:rsidRPr="00C241E4">
              <w:rPr>
                <w:rFonts w:ascii="Times New Roman" w:eastAsiaTheme="minorHAnsi" w:hAnsi="Times New Roman"/>
                <w:color w:val="000000"/>
                <w:sz w:val="16"/>
                <w:szCs w:val="16"/>
              </w:rPr>
              <w:t xml:space="preserve"> </w:t>
            </w:r>
          </w:p>
        </w:tc>
        <w:tc>
          <w:tcPr>
            <w:tcW w:w="1417" w:type="dxa"/>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 xml:space="preserve">0 </w:t>
            </w:r>
          </w:p>
        </w:tc>
        <w:tc>
          <w:tcPr>
            <w:tcW w:w="1276" w:type="dxa"/>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 xml:space="preserve">0 </w:t>
            </w:r>
          </w:p>
        </w:tc>
        <w:tc>
          <w:tcPr>
            <w:tcW w:w="1418" w:type="dxa"/>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 xml:space="preserve">0 </w:t>
            </w:r>
          </w:p>
        </w:tc>
        <w:tc>
          <w:tcPr>
            <w:tcW w:w="1416" w:type="dxa"/>
            <w:noWrap/>
            <w:vAlign w:val="center"/>
          </w:tcPr>
          <w:p w:rsidR="00C241E4" w:rsidRPr="00C241E4" w:rsidRDefault="00C241E4" w:rsidP="00C241E4">
            <w:pPr>
              <w:autoSpaceDE w:val="0"/>
              <w:autoSpaceDN w:val="0"/>
              <w:adjustRightInd w:val="0"/>
              <w:spacing w:after="0" w:line="240" w:lineRule="auto"/>
              <w:jc w:val="right"/>
              <w:rPr>
                <w:rFonts w:ascii="Times New Roman" w:eastAsiaTheme="minorHAnsi" w:hAnsi="Times New Roman"/>
                <w:color w:val="000000"/>
                <w:sz w:val="24"/>
                <w:szCs w:val="24"/>
              </w:rPr>
            </w:pPr>
            <w:r w:rsidRPr="00C241E4">
              <w:rPr>
                <w:rFonts w:ascii="Times New Roman" w:eastAsiaTheme="minorHAnsi" w:hAnsi="Times New Roman"/>
                <w:color w:val="000000"/>
                <w:sz w:val="24"/>
                <w:szCs w:val="24"/>
              </w:rPr>
              <w:t xml:space="preserve">0 </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xml:space="preserve">z toho: </w:t>
            </w:r>
          </w:p>
        </w:tc>
        <w:tc>
          <w:tcPr>
            <w:tcW w:w="1417" w:type="dxa"/>
            <w:noWrap/>
          </w:tcPr>
          <w:p w:rsidR="00C241E4" w:rsidRPr="00C241E4" w:rsidRDefault="00C241E4" w:rsidP="00C241E4">
            <w:pPr>
              <w:spacing w:after="0" w:line="240" w:lineRule="auto"/>
              <w:jc w:val="right"/>
              <w:rPr>
                <w:rFonts w:ascii="Times New Roman" w:hAnsi="Times New Roman"/>
                <w:sz w:val="24"/>
                <w:szCs w:val="24"/>
                <w:lang w:eastAsia="sk-SK"/>
              </w:rPr>
            </w:pPr>
          </w:p>
        </w:tc>
        <w:tc>
          <w:tcPr>
            <w:tcW w:w="1276" w:type="dxa"/>
            <w:noWrap/>
          </w:tcPr>
          <w:p w:rsidR="00C241E4" w:rsidRPr="00C241E4" w:rsidRDefault="00C241E4" w:rsidP="00C241E4">
            <w:pPr>
              <w:spacing w:after="0" w:line="240" w:lineRule="auto"/>
              <w:jc w:val="right"/>
              <w:rPr>
                <w:rFonts w:ascii="Times New Roman" w:hAnsi="Times New Roman"/>
                <w:sz w:val="24"/>
                <w:szCs w:val="24"/>
                <w:lang w:eastAsia="sk-SK"/>
              </w:rPr>
            </w:pPr>
          </w:p>
        </w:tc>
        <w:tc>
          <w:tcPr>
            <w:tcW w:w="1418" w:type="dxa"/>
            <w:noWrap/>
          </w:tcPr>
          <w:p w:rsidR="00C241E4" w:rsidRPr="00C241E4" w:rsidRDefault="00C241E4" w:rsidP="00C241E4">
            <w:pPr>
              <w:spacing w:after="0" w:line="240" w:lineRule="auto"/>
              <w:jc w:val="right"/>
              <w:rPr>
                <w:rFonts w:ascii="Times New Roman" w:hAnsi="Times New Roman"/>
                <w:sz w:val="24"/>
                <w:szCs w:val="24"/>
                <w:lang w:eastAsia="sk-SK"/>
              </w:rPr>
            </w:pPr>
          </w:p>
        </w:tc>
        <w:tc>
          <w:tcPr>
            <w:tcW w:w="1416" w:type="dxa"/>
            <w:noWrap/>
          </w:tcPr>
          <w:p w:rsidR="00C241E4" w:rsidRPr="00C241E4" w:rsidRDefault="00C241E4" w:rsidP="00C241E4">
            <w:pPr>
              <w:spacing w:after="0" w:line="240" w:lineRule="auto"/>
              <w:jc w:val="right"/>
              <w:rPr>
                <w:rFonts w:ascii="Times New Roman" w:hAnsi="Times New Roman"/>
                <w:sz w:val="24"/>
                <w:szCs w:val="24"/>
                <w:lang w:eastAsia="sk-SK"/>
              </w:rPr>
            </w:pP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ŠR</w:t>
            </w:r>
          </w:p>
        </w:tc>
        <w:tc>
          <w:tcPr>
            <w:tcW w:w="1417"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276"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8"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ind w:left="259"/>
              <w:rPr>
                <w:rFonts w:ascii="Times New Roman" w:hAnsi="Times New Roman"/>
                <w:b/>
                <w:bCs/>
                <w:i/>
                <w:iCs/>
                <w:sz w:val="24"/>
                <w:szCs w:val="24"/>
                <w:lang w:eastAsia="sk-SK"/>
              </w:rPr>
            </w:pPr>
            <w:r w:rsidRPr="00C241E4">
              <w:rPr>
                <w:rFonts w:ascii="Times New Roman" w:hAnsi="Times New Roman"/>
                <w:bCs/>
                <w:i/>
                <w:iCs/>
                <w:sz w:val="24"/>
                <w:szCs w:val="24"/>
                <w:lang w:eastAsia="sk-SK"/>
              </w:rPr>
              <w:t>Rozpočtové prostriedky</w:t>
            </w:r>
          </w:p>
        </w:tc>
        <w:tc>
          <w:tcPr>
            <w:tcW w:w="1417"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 xml:space="preserve">0              </w:t>
            </w:r>
          </w:p>
        </w:tc>
        <w:tc>
          <w:tcPr>
            <w:tcW w:w="1276"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 xml:space="preserve">0              </w:t>
            </w:r>
          </w:p>
        </w:tc>
        <w:tc>
          <w:tcPr>
            <w:tcW w:w="1418"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 xml:space="preserve">0              </w:t>
            </w:r>
          </w:p>
        </w:tc>
        <w:tc>
          <w:tcPr>
            <w:tcW w:w="1416" w:type="dxa"/>
            <w:noWrap/>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 xml:space="preserve">0              </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Cs/>
                <w:i/>
                <w:iCs/>
                <w:sz w:val="24"/>
                <w:szCs w:val="24"/>
                <w:lang w:eastAsia="sk-SK"/>
              </w:rPr>
            </w:pPr>
            <w:r w:rsidRPr="00C241E4">
              <w:rPr>
                <w:rFonts w:ascii="Times New Roman" w:hAnsi="Times New Roman"/>
                <w:bCs/>
                <w:i/>
                <w:iCs/>
                <w:sz w:val="24"/>
                <w:szCs w:val="24"/>
                <w:lang w:eastAsia="sk-SK"/>
              </w:rPr>
              <w:t xml:space="preserve">    EÚ zdroje</w:t>
            </w:r>
          </w:p>
        </w:tc>
        <w:tc>
          <w:tcPr>
            <w:tcW w:w="1417"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Cs/>
                <w:i/>
                <w:iCs/>
                <w:sz w:val="24"/>
                <w:szCs w:val="24"/>
                <w:lang w:eastAsia="sk-SK"/>
              </w:rPr>
            </w:pPr>
            <w:r w:rsidRPr="00C241E4">
              <w:rPr>
                <w:rFonts w:ascii="Times New Roman" w:hAnsi="Times New Roman"/>
                <w:bCs/>
                <w:i/>
                <w:iCs/>
                <w:sz w:val="24"/>
                <w:szCs w:val="24"/>
                <w:lang w:eastAsia="sk-SK"/>
              </w:rPr>
              <w:t>Spolufinancovanie</w:t>
            </w:r>
          </w:p>
        </w:tc>
        <w:tc>
          <w:tcPr>
            <w:tcW w:w="1417"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obce</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125"/>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vyššie územné celky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i/>
                <w:iCs/>
                <w:sz w:val="24"/>
                <w:szCs w:val="24"/>
                <w:lang w:eastAsia="sk-SK"/>
              </w:rPr>
              <w:t>- vplyv na ostatné subjekty ver. správy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shd w:val="clear" w:color="auto" w:fill="BFBFBF" w:themeFill="background1" w:themeFillShade="BF"/>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sz w:val="24"/>
                <w:szCs w:val="24"/>
                <w:lang w:eastAsia="sk-SK"/>
              </w:rPr>
              <w:t xml:space="preserve">Vplyv na počet zamestnancov </w:t>
            </w:r>
          </w:p>
        </w:tc>
        <w:tc>
          <w:tcPr>
            <w:tcW w:w="1417"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27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8"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ŠR</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obce</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vyššie územné celky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ostatné subjekty ver. správy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shd w:val="clear" w:color="auto" w:fill="BFBFBF" w:themeFill="background1" w:themeFillShade="BF"/>
            <w:noWrap/>
            <w:vAlign w:val="center"/>
          </w:tcPr>
          <w:p w:rsidR="00C241E4" w:rsidRPr="00C241E4" w:rsidRDefault="00C241E4" w:rsidP="00C241E4">
            <w:pPr>
              <w:spacing w:after="0" w:line="240" w:lineRule="auto"/>
              <w:rPr>
                <w:rFonts w:ascii="Times New Roman" w:hAnsi="Times New Roman"/>
                <w:b/>
                <w:sz w:val="24"/>
                <w:szCs w:val="24"/>
                <w:lang w:eastAsia="sk-SK"/>
              </w:rPr>
            </w:pPr>
            <w:r w:rsidRPr="00C241E4">
              <w:rPr>
                <w:rFonts w:ascii="Times New Roman" w:hAnsi="Times New Roman"/>
                <w:b/>
                <w:sz w:val="24"/>
                <w:szCs w:val="24"/>
                <w:lang w:eastAsia="sk-SK"/>
              </w:rPr>
              <w:t>Vplyv na mzdové výdavky</w:t>
            </w:r>
          </w:p>
        </w:tc>
        <w:tc>
          <w:tcPr>
            <w:tcW w:w="1417"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sz w:val="24"/>
                <w:szCs w:val="24"/>
                <w:lang w:eastAsia="sk-SK"/>
              </w:rPr>
            </w:pPr>
            <w:r w:rsidRPr="00C241E4">
              <w:rPr>
                <w:rFonts w:ascii="Times New Roman" w:hAnsi="Times New Roman"/>
                <w:b/>
                <w:sz w:val="24"/>
                <w:szCs w:val="24"/>
                <w:lang w:eastAsia="sk-SK"/>
              </w:rPr>
              <w:t>0</w:t>
            </w:r>
          </w:p>
        </w:tc>
        <w:tc>
          <w:tcPr>
            <w:tcW w:w="127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sz w:val="24"/>
                <w:szCs w:val="24"/>
                <w:lang w:eastAsia="sk-SK"/>
              </w:rPr>
            </w:pPr>
            <w:r w:rsidRPr="00C241E4">
              <w:rPr>
                <w:rFonts w:ascii="Times New Roman" w:hAnsi="Times New Roman"/>
                <w:b/>
                <w:sz w:val="24"/>
                <w:szCs w:val="24"/>
                <w:lang w:eastAsia="sk-SK"/>
              </w:rPr>
              <w:t>0</w:t>
            </w:r>
          </w:p>
        </w:tc>
        <w:tc>
          <w:tcPr>
            <w:tcW w:w="1418"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sz w:val="24"/>
                <w:szCs w:val="24"/>
                <w:lang w:eastAsia="sk-SK"/>
              </w:rPr>
            </w:pPr>
            <w:r w:rsidRPr="00C241E4">
              <w:rPr>
                <w:rFonts w:ascii="Times New Roman" w:hAnsi="Times New Roman"/>
                <w:b/>
                <w:sz w:val="24"/>
                <w:szCs w:val="24"/>
                <w:lang w:eastAsia="sk-SK"/>
              </w:rPr>
              <w:t>0</w:t>
            </w:r>
          </w:p>
        </w:tc>
        <w:tc>
          <w:tcPr>
            <w:tcW w:w="141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sz w:val="24"/>
                <w:szCs w:val="24"/>
                <w:lang w:eastAsia="sk-SK"/>
              </w:rPr>
            </w:pPr>
            <w:r w:rsidRPr="00C241E4">
              <w:rPr>
                <w:rFonts w:ascii="Times New Roman" w:hAnsi="Times New Roman"/>
                <w:b/>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ŠR</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obce</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i/>
                <w:iCs/>
                <w:sz w:val="24"/>
                <w:szCs w:val="24"/>
                <w:lang w:eastAsia="sk-SK"/>
              </w:rPr>
            </w:pPr>
            <w:r w:rsidRPr="00C241E4">
              <w:rPr>
                <w:rFonts w:ascii="Times New Roman" w:hAnsi="Times New Roman"/>
                <w:b/>
                <w:bCs/>
                <w:i/>
                <w:iCs/>
                <w:sz w:val="24"/>
                <w:szCs w:val="24"/>
                <w:lang w:eastAsia="sk-SK"/>
              </w:rPr>
              <w:t>- vplyv na vyššie územné celky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i/>
                <w:iCs/>
                <w:sz w:val="24"/>
                <w:szCs w:val="24"/>
                <w:lang w:eastAsia="sk-SK"/>
              </w:rPr>
              <w:t>- vplyv na ostatné subjekty ver. správy</w:t>
            </w:r>
          </w:p>
        </w:tc>
        <w:tc>
          <w:tcPr>
            <w:tcW w:w="1417"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b/>
                <w:bCs/>
                <w:iCs/>
                <w:sz w:val="24"/>
                <w:szCs w:val="24"/>
                <w:lang w:eastAsia="sk-SK"/>
              </w:rPr>
            </w:pPr>
            <w:r w:rsidRPr="00C241E4">
              <w:rPr>
                <w:rFonts w:ascii="Times New Roman" w:hAnsi="Times New Roman"/>
                <w:b/>
                <w:bCs/>
                <w:iCs/>
                <w:sz w:val="24"/>
                <w:szCs w:val="24"/>
                <w:lang w:eastAsia="sk-SK"/>
              </w:rPr>
              <w:t>0</w:t>
            </w:r>
          </w:p>
        </w:tc>
      </w:tr>
      <w:tr w:rsidR="00C241E4" w:rsidRPr="00C241E4" w:rsidTr="00707AEB">
        <w:trPr>
          <w:trHeight w:val="70"/>
          <w:jc w:val="right"/>
        </w:trPr>
        <w:tc>
          <w:tcPr>
            <w:tcW w:w="4248" w:type="dxa"/>
            <w:shd w:val="clear" w:color="auto" w:fill="C0C0C0"/>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sz w:val="24"/>
                <w:szCs w:val="24"/>
                <w:lang w:eastAsia="sk-SK"/>
              </w:rPr>
              <w:t>Financovanie zabezpečené v rozpočte</w:t>
            </w:r>
          </w:p>
        </w:tc>
        <w:tc>
          <w:tcPr>
            <w:tcW w:w="1417" w:type="dxa"/>
            <w:shd w:val="clear" w:color="auto" w:fill="C0C0C0"/>
            <w:noWrap/>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sz w:val="24"/>
                <w:szCs w:val="24"/>
                <w:lang w:eastAsia="sk-SK"/>
              </w:rPr>
              <w:t>0</w:t>
            </w:r>
          </w:p>
        </w:tc>
        <w:tc>
          <w:tcPr>
            <w:tcW w:w="1276" w:type="dxa"/>
            <w:shd w:val="clear" w:color="auto" w:fill="C0C0C0"/>
            <w:noWrap/>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sz w:val="24"/>
                <w:szCs w:val="24"/>
                <w:lang w:eastAsia="sk-SK"/>
              </w:rPr>
              <w:t>0</w:t>
            </w:r>
          </w:p>
        </w:tc>
        <w:tc>
          <w:tcPr>
            <w:tcW w:w="1418" w:type="dxa"/>
            <w:shd w:val="clear" w:color="auto" w:fill="C0C0C0"/>
            <w:noWrap/>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sz w:val="24"/>
                <w:szCs w:val="24"/>
                <w:lang w:eastAsia="sk-SK"/>
              </w:rPr>
              <w:t>0</w:t>
            </w:r>
          </w:p>
        </w:tc>
        <w:tc>
          <w:tcPr>
            <w:tcW w:w="1416" w:type="dxa"/>
            <w:shd w:val="clear" w:color="auto" w:fill="C0C0C0"/>
            <w:noWrap/>
            <w:vAlign w:val="center"/>
          </w:tcPr>
          <w:p w:rsidR="00C241E4" w:rsidRPr="00C241E4" w:rsidRDefault="00C241E4" w:rsidP="00C241E4">
            <w:pPr>
              <w:spacing w:after="0" w:line="240" w:lineRule="auto"/>
              <w:jc w:val="right"/>
              <w:rPr>
                <w:rFonts w:ascii="Times New Roman" w:hAnsi="Times New Roman"/>
                <w:b/>
                <w:bCs/>
                <w:color w:val="000000" w:themeColor="text1"/>
                <w:sz w:val="24"/>
                <w:szCs w:val="24"/>
                <w:lang w:eastAsia="sk-SK"/>
              </w:rPr>
            </w:pPr>
            <w:r w:rsidRPr="00C241E4">
              <w:rPr>
                <w:rFonts w:ascii="Times New Roman" w:hAnsi="Times New Roman"/>
                <w:b/>
                <w:bCs/>
                <w:sz w:val="24"/>
                <w:szCs w:val="24"/>
                <w:lang w:eastAsia="sk-SK"/>
              </w:rPr>
              <w:t>0</w:t>
            </w:r>
          </w:p>
        </w:tc>
      </w:tr>
      <w:tr w:rsidR="00C241E4" w:rsidRPr="00C241E4" w:rsidTr="00707AEB">
        <w:trPr>
          <w:trHeight w:val="70"/>
          <w:jc w:val="right"/>
        </w:trPr>
        <w:tc>
          <w:tcPr>
            <w:tcW w:w="4248" w:type="dxa"/>
            <w:noWrap/>
            <w:vAlign w:val="center"/>
          </w:tcPr>
          <w:p w:rsidR="00C241E4" w:rsidRPr="00C241E4" w:rsidRDefault="00C241E4" w:rsidP="00C241E4">
            <w:pPr>
              <w:spacing w:after="0" w:line="240" w:lineRule="auto"/>
              <w:rPr>
                <w:rFonts w:ascii="Times New Roman" w:hAnsi="Times New Roman"/>
                <w:sz w:val="24"/>
                <w:szCs w:val="24"/>
                <w:lang w:eastAsia="sk-SK"/>
              </w:rPr>
            </w:pPr>
            <w:r w:rsidRPr="00C241E4">
              <w:rPr>
                <w:rFonts w:ascii="Times New Roman" w:hAnsi="Times New Roman"/>
                <w:sz w:val="24"/>
                <w:szCs w:val="24"/>
                <w:lang w:eastAsia="sk-SK"/>
              </w:rPr>
              <w:t>v tom: za každý subjekt verejnej správy / program zvlášť</w:t>
            </w:r>
          </w:p>
        </w:tc>
        <w:tc>
          <w:tcPr>
            <w:tcW w:w="1417"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27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8"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c>
          <w:tcPr>
            <w:tcW w:w="1416" w:type="dxa"/>
            <w:noWrap/>
            <w:vAlign w:val="center"/>
          </w:tcPr>
          <w:p w:rsidR="00C241E4" w:rsidRPr="00C241E4" w:rsidRDefault="00C241E4" w:rsidP="00C241E4">
            <w:pPr>
              <w:spacing w:after="0" w:line="240" w:lineRule="auto"/>
              <w:jc w:val="right"/>
              <w:rPr>
                <w:rFonts w:ascii="Times New Roman" w:hAnsi="Times New Roman"/>
                <w:sz w:val="24"/>
                <w:szCs w:val="24"/>
                <w:lang w:eastAsia="sk-SK"/>
              </w:rPr>
            </w:pPr>
            <w:r w:rsidRPr="00C241E4">
              <w:rPr>
                <w:rFonts w:ascii="Times New Roman" w:hAnsi="Times New Roman"/>
                <w:sz w:val="24"/>
                <w:szCs w:val="24"/>
                <w:lang w:eastAsia="sk-SK"/>
              </w:rPr>
              <w:t>0</w:t>
            </w:r>
          </w:p>
        </w:tc>
      </w:tr>
      <w:tr w:rsidR="00C241E4" w:rsidRPr="00C241E4" w:rsidTr="00707AEB">
        <w:trPr>
          <w:trHeight w:val="70"/>
          <w:jc w:val="right"/>
        </w:trPr>
        <w:tc>
          <w:tcPr>
            <w:tcW w:w="4248" w:type="dxa"/>
            <w:shd w:val="clear" w:color="auto" w:fill="BFBFBF" w:themeFill="background1" w:themeFillShade="BF"/>
            <w:noWrap/>
            <w:vAlign w:val="center"/>
          </w:tcPr>
          <w:p w:rsidR="00C241E4" w:rsidRPr="00C241E4" w:rsidRDefault="00C241E4" w:rsidP="00C241E4">
            <w:pPr>
              <w:spacing w:after="0" w:line="240" w:lineRule="auto"/>
              <w:rPr>
                <w:rFonts w:ascii="Times New Roman" w:hAnsi="Times New Roman"/>
                <w:b/>
                <w:sz w:val="24"/>
                <w:szCs w:val="24"/>
                <w:lang w:eastAsia="sk-SK"/>
              </w:rPr>
            </w:pPr>
            <w:r w:rsidRPr="00C241E4">
              <w:rPr>
                <w:rFonts w:ascii="Times New Roman" w:hAnsi="Times New Roman"/>
                <w:b/>
                <w:sz w:val="24"/>
                <w:szCs w:val="24"/>
                <w:lang w:eastAsia="sk-SK"/>
              </w:rPr>
              <w:t>Iné ako rozpočtové zdroje</w:t>
            </w:r>
          </w:p>
        </w:tc>
        <w:tc>
          <w:tcPr>
            <w:tcW w:w="1417"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27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8"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6" w:type="dxa"/>
            <w:shd w:val="clear" w:color="auto" w:fill="BFBFBF" w:themeFill="background1" w:themeFillShade="BF"/>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r>
      <w:tr w:rsidR="00C241E4" w:rsidRPr="00C241E4" w:rsidTr="00707AEB">
        <w:trPr>
          <w:trHeight w:val="70"/>
          <w:jc w:val="right"/>
        </w:trPr>
        <w:tc>
          <w:tcPr>
            <w:tcW w:w="4248" w:type="dxa"/>
            <w:shd w:val="clear" w:color="auto" w:fill="A6A6A6" w:themeFill="background1" w:themeFillShade="A6"/>
            <w:noWrap/>
            <w:vAlign w:val="center"/>
          </w:tcPr>
          <w:p w:rsidR="00C241E4" w:rsidRPr="00C241E4" w:rsidRDefault="00C241E4" w:rsidP="00C241E4">
            <w:pPr>
              <w:spacing w:after="0" w:line="240" w:lineRule="auto"/>
              <w:rPr>
                <w:rFonts w:ascii="Times New Roman" w:hAnsi="Times New Roman"/>
                <w:b/>
                <w:bCs/>
                <w:sz w:val="24"/>
                <w:szCs w:val="24"/>
                <w:lang w:eastAsia="sk-SK"/>
              </w:rPr>
            </w:pPr>
            <w:r w:rsidRPr="00C241E4">
              <w:rPr>
                <w:rFonts w:ascii="Times New Roman" w:hAnsi="Times New Roman"/>
                <w:b/>
                <w:bCs/>
                <w:sz w:val="24"/>
                <w:szCs w:val="24"/>
                <w:lang w:eastAsia="sk-SK"/>
              </w:rPr>
              <w:t>Rozpočtovo nekrytý vplyv / úspora</w:t>
            </w:r>
          </w:p>
        </w:tc>
        <w:tc>
          <w:tcPr>
            <w:tcW w:w="1417" w:type="dxa"/>
            <w:shd w:val="clear" w:color="auto" w:fill="A6A6A6" w:themeFill="background1" w:themeFillShade="A6"/>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276" w:type="dxa"/>
            <w:shd w:val="clear" w:color="auto" w:fill="A6A6A6" w:themeFill="background1" w:themeFillShade="A6"/>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8" w:type="dxa"/>
            <w:shd w:val="clear" w:color="auto" w:fill="A6A6A6" w:themeFill="background1" w:themeFillShade="A6"/>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c>
          <w:tcPr>
            <w:tcW w:w="1416" w:type="dxa"/>
            <w:shd w:val="clear" w:color="auto" w:fill="A6A6A6" w:themeFill="background1" w:themeFillShade="A6"/>
            <w:noWrap/>
            <w:vAlign w:val="center"/>
          </w:tcPr>
          <w:p w:rsidR="00C241E4" w:rsidRPr="00C241E4" w:rsidRDefault="00C241E4" w:rsidP="00C241E4">
            <w:pPr>
              <w:spacing w:after="0" w:line="240" w:lineRule="auto"/>
              <w:jc w:val="right"/>
              <w:rPr>
                <w:rFonts w:ascii="Times New Roman" w:hAnsi="Times New Roman"/>
                <w:b/>
                <w:bCs/>
                <w:sz w:val="24"/>
                <w:szCs w:val="24"/>
                <w:lang w:eastAsia="sk-SK"/>
              </w:rPr>
            </w:pPr>
            <w:r w:rsidRPr="00C241E4">
              <w:rPr>
                <w:rFonts w:ascii="Times New Roman" w:hAnsi="Times New Roman"/>
                <w:b/>
                <w:bCs/>
                <w:sz w:val="24"/>
                <w:szCs w:val="24"/>
                <w:lang w:eastAsia="sk-SK"/>
              </w:rPr>
              <w:t>0</w:t>
            </w:r>
          </w:p>
        </w:tc>
      </w:tr>
      <w:bookmarkEnd w:id="0"/>
    </w:tbl>
    <w:p w:rsidR="00C241E4" w:rsidRPr="00C241E4" w:rsidRDefault="00C241E4" w:rsidP="00C241E4">
      <w:pPr>
        <w:spacing w:after="0" w:line="240" w:lineRule="auto"/>
        <w:jc w:val="both"/>
        <w:rPr>
          <w:rFonts w:ascii="Times New Roman" w:hAnsi="Times New Roman"/>
          <w:b/>
          <w:bCs/>
          <w:sz w:val="24"/>
          <w:szCs w:val="24"/>
          <w:lang w:eastAsia="sk-SK"/>
        </w:rPr>
      </w:pPr>
    </w:p>
    <w:p w:rsidR="00C241E4" w:rsidRPr="00C241E4" w:rsidRDefault="00C241E4" w:rsidP="00C241E4">
      <w:pPr>
        <w:spacing w:after="0" w:line="240" w:lineRule="auto"/>
        <w:jc w:val="both"/>
        <w:rPr>
          <w:rFonts w:ascii="Times New Roman" w:hAnsi="Times New Roman"/>
          <w:b/>
          <w:bCs/>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p>
    <w:p w:rsidR="00AA73E5" w:rsidRPr="00AA73E5" w:rsidRDefault="00C241E4" w:rsidP="00AA73E5">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br w:type="page"/>
      </w:r>
    </w:p>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AA73E5" w:rsidRPr="00AA73E5" w:rsidRDefault="00AA73E5" w:rsidP="00AA73E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olor w:val="000000"/>
          <w:sz w:val="24"/>
          <w:szCs w:val="24"/>
          <w:lang w:eastAsia="sk-SK"/>
        </w:rPr>
      </w:pPr>
    </w:p>
    <w:p w:rsidR="00AA73E5" w:rsidRPr="00AA73E5" w:rsidRDefault="00AA73E5" w:rsidP="00AA73E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olor w:val="000000"/>
          <w:sz w:val="24"/>
          <w:szCs w:val="24"/>
          <w:lang w:eastAsia="sk-SK"/>
        </w:rPr>
      </w:pPr>
      <w:r w:rsidRPr="006950E0">
        <w:rPr>
          <w:rFonts w:ascii="Times New Roman" w:hAnsi="Times New Roman"/>
          <w:sz w:val="24"/>
          <w:szCs w:val="24"/>
          <w:lang w:eastAsia="sk-SK"/>
        </w:rPr>
        <w:t>Financovanie predmetných výdavkov bude zabezpečené v rámci limitov rozpočtu verejnej správy na príslušné rozpočtové roky.</w:t>
      </w:r>
    </w:p>
    <w:p w:rsidR="00AA73E5" w:rsidRPr="00AA73E5" w:rsidRDefault="00AA73E5" w:rsidP="00AA73E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olor w:val="000000"/>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2.2. Popis a charakteristika návrhu</w:t>
      </w:r>
    </w:p>
    <w:p w:rsidR="00AA73E5" w:rsidRPr="00AA73E5" w:rsidRDefault="00AA73E5" w:rsidP="00AA73E5">
      <w:pPr>
        <w:spacing w:after="0" w:line="240" w:lineRule="auto"/>
        <w:rPr>
          <w:rFonts w:ascii="Times New Roman" w:hAnsi="Times New Roman"/>
          <w:sz w:val="24"/>
          <w:szCs w:val="24"/>
          <w:lang w:eastAsia="sk-SK"/>
        </w:rPr>
      </w:pPr>
    </w:p>
    <w:p w:rsidR="00AA73E5" w:rsidRDefault="00AA73E5" w:rsidP="00AA73E5">
      <w:pPr>
        <w:spacing w:after="0" w:line="240" w:lineRule="auto"/>
        <w:jc w:val="both"/>
        <w:rPr>
          <w:rFonts w:ascii="Times New Roman" w:hAnsi="Times New Roman"/>
          <w:b/>
          <w:bCs/>
          <w:sz w:val="24"/>
          <w:szCs w:val="24"/>
          <w:lang w:eastAsia="sk-SK"/>
        </w:rPr>
      </w:pPr>
      <w:r w:rsidRPr="00AA73E5">
        <w:rPr>
          <w:rFonts w:ascii="Times New Roman" w:hAnsi="Times New Roman"/>
          <w:b/>
          <w:bCs/>
          <w:sz w:val="24"/>
          <w:szCs w:val="24"/>
          <w:lang w:eastAsia="sk-SK"/>
        </w:rPr>
        <w:t>2.2.1. Popis návrhu:</w:t>
      </w:r>
    </w:p>
    <w:p w:rsidR="00C241E4" w:rsidRPr="00AA73E5" w:rsidRDefault="00C241E4" w:rsidP="00AA73E5">
      <w:pPr>
        <w:spacing w:after="0" w:line="240" w:lineRule="auto"/>
        <w:jc w:val="both"/>
        <w:rPr>
          <w:rFonts w:ascii="Times New Roman" w:hAnsi="Times New Roman"/>
          <w:b/>
          <w:bCs/>
          <w:sz w:val="24"/>
          <w:szCs w:val="24"/>
          <w:lang w:eastAsia="sk-SK"/>
        </w:rPr>
      </w:pPr>
    </w:p>
    <w:p w:rsidR="00373215" w:rsidRDefault="00373215" w:rsidP="00373215">
      <w:pPr>
        <w:spacing w:after="0" w:line="240" w:lineRule="auto"/>
        <w:ind w:firstLine="708"/>
        <w:jc w:val="both"/>
        <w:rPr>
          <w:rFonts w:ascii="Times New Roman" w:eastAsia="Calibri" w:hAnsi="Times New Roman"/>
          <w:bCs/>
          <w:color w:val="000000" w:themeColor="text1"/>
          <w:sz w:val="24"/>
          <w:szCs w:val="24"/>
        </w:rPr>
      </w:pPr>
      <w:r w:rsidRPr="00DA3873">
        <w:rPr>
          <w:rFonts w:ascii="Times New Roman" w:hAnsi="Times New Roman"/>
          <w:color w:val="000000"/>
          <w:sz w:val="24"/>
          <w:szCs w:val="24"/>
        </w:rPr>
        <w:t>Návrhom zákona sa</w:t>
      </w:r>
      <w:r>
        <w:rPr>
          <w:rFonts w:ascii="Times New Roman" w:hAnsi="Times New Roman"/>
          <w:color w:val="000000"/>
          <w:sz w:val="24"/>
          <w:szCs w:val="24"/>
        </w:rPr>
        <w:t xml:space="preserve"> z dôvodu pretrvávajúcej nepriaznivej </w:t>
      </w:r>
      <w:proofErr w:type="spellStart"/>
      <w:r>
        <w:rPr>
          <w:rFonts w:ascii="Times New Roman" w:hAnsi="Times New Roman"/>
          <w:color w:val="000000"/>
          <w:sz w:val="24"/>
          <w:szCs w:val="24"/>
        </w:rPr>
        <w:t>pandemickej</w:t>
      </w:r>
      <w:proofErr w:type="spellEnd"/>
      <w:r>
        <w:rPr>
          <w:rFonts w:ascii="Times New Roman" w:hAnsi="Times New Roman"/>
          <w:color w:val="000000"/>
          <w:sz w:val="24"/>
          <w:szCs w:val="24"/>
        </w:rPr>
        <w:t xml:space="preserve"> situácie navrhuje </w:t>
      </w:r>
      <w:r>
        <w:rPr>
          <w:rFonts w:ascii="Times New Roman" w:hAnsi="Times New Roman"/>
          <w:color w:val="000000" w:themeColor="text1"/>
          <w:sz w:val="24"/>
          <w:szCs w:val="24"/>
        </w:rPr>
        <w:t xml:space="preserve">zjednodušiť daňovým subjektom doručovanie </w:t>
      </w:r>
      <w:r>
        <w:rPr>
          <w:rFonts w:ascii="Times New Roman" w:eastAsia="Calibri" w:hAnsi="Times New Roman"/>
          <w:bCs/>
          <w:color w:val="000000" w:themeColor="text1"/>
          <w:sz w:val="24"/>
          <w:szCs w:val="24"/>
        </w:rPr>
        <w:t xml:space="preserve">oznámenia o </w:t>
      </w:r>
      <w:r>
        <w:rPr>
          <w:rFonts w:ascii="Times New Roman" w:hAnsi="Times New Roman"/>
          <w:color w:val="000000"/>
          <w:sz w:val="24"/>
          <w:szCs w:val="24"/>
        </w:rPr>
        <w:t xml:space="preserve"> </w:t>
      </w:r>
      <w:r w:rsidRPr="000E4136">
        <w:rPr>
          <w:rFonts w:ascii="Times New Roman" w:hAnsi="Times New Roman"/>
          <w:color w:val="000000"/>
          <w:sz w:val="24"/>
          <w:szCs w:val="24"/>
        </w:rPr>
        <w:t xml:space="preserve">predlžení lehoty </w:t>
      </w:r>
      <w:r>
        <w:rPr>
          <w:rFonts w:ascii="Times New Roman" w:hAnsi="Times New Roman"/>
          <w:color w:val="000000"/>
          <w:sz w:val="24"/>
          <w:szCs w:val="24"/>
        </w:rPr>
        <w:t>na podanie daňového priznania. Navrhuje sa</w:t>
      </w:r>
      <w:r w:rsidRPr="00837297">
        <w:rPr>
          <w:rFonts w:ascii="Times New Roman" w:eastAsia="Calibri" w:hAnsi="Times New Roman"/>
          <w:bCs/>
          <w:color w:val="000000" w:themeColor="text1"/>
          <w:sz w:val="24"/>
          <w:szCs w:val="24"/>
        </w:rPr>
        <w:t xml:space="preserve"> </w:t>
      </w:r>
      <w:r>
        <w:rPr>
          <w:rFonts w:ascii="Times New Roman" w:eastAsia="Calibri" w:hAnsi="Times New Roman"/>
          <w:bCs/>
          <w:color w:val="000000" w:themeColor="text1"/>
          <w:sz w:val="24"/>
          <w:szCs w:val="24"/>
        </w:rPr>
        <w:t xml:space="preserve">umožniť takéto oznámenie podať aj </w:t>
      </w:r>
      <w:r w:rsidRPr="00837297">
        <w:rPr>
          <w:rFonts w:ascii="Times New Roman" w:eastAsia="Calibri" w:hAnsi="Times New Roman"/>
          <w:bCs/>
          <w:color w:val="000000" w:themeColor="text1"/>
          <w:sz w:val="24"/>
          <w:szCs w:val="24"/>
        </w:rPr>
        <w:t xml:space="preserve"> iným elektronickým spôsobom</w:t>
      </w:r>
      <w:r>
        <w:rPr>
          <w:rFonts w:ascii="Times New Roman" w:eastAsia="Calibri" w:hAnsi="Times New Roman"/>
          <w:bCs/>
          <w:color w:val="000000" w:themeColor="text1"/>
          <w:sz w:val="24"/>
          <w:szCs w:val="24"/>
        </w:rPr>
        <w:t>, a to</w:t>
      </w:r>
      <w:r w:rsidRPr="00837297">
        <w:rPr>
          <w:rFonts w:ascii="Times New Roman" w:eastAsia="Calibri" w:hAnsi="Times New Roman"/>
          <w:bCs/>
          <w:color w:val="000000" w:themeColor="text1"/>
          <w:sz w:val="24"/>
          <w:szCs w:val="24"/>
        </w:rPr>
        <w:t xml:space="preserve"> e-mail</w:t>
      </w:r>
      <w:r>
        <w:rPr>
          <w:rFonts w:ascii="Times New Roman" w:eastAsia="Calibri" w:hAnsi="Times New Roman"/>
          <w:bCs/>
          <w:color w:val="000000" w:themeColor="text1"/>
          <w:sz w:val="24"/>
          <w:szCs w:val="24"/>
        </w:rPr>
        <w:t xml:space="preserve">om. </w:t>
      </w:r>
    </w:p>
    <w:p w:rsidR="00373215" w:rsidRDefault="00373215" w:rsidP="00AA73E5">
      <w:pPr>
        <w:spacing w:after="0" w:line="240" w:lineRule="auto"/>
        <w:jc w:val="both"/>
        <w:rPr>
          <w:rFonts w:ascii="Times New Roman" w:hAnsi="Times New Roman"/>
          <w:sz w:val="24"/>
          <w:szCs w:val="24"/>
          <w:lang w:eastAsia="sk-SK"/>
        </w:rPr>
      </w:pPr>
    </w:p>
    <w:p w:rsidR="00496352" w:rsidRPr="00F67D71" w:rsidRDefault="00373215" w:rsidP="00373215">
      <w:pPr>
        <w:spacing w:after="0" w:line="240" w:lineRule="auto"/>
        <w:ind w:firstLine="708"/>
        <w:jc w:val="both"/>
        <w:rPr>
          <w:rFonts w:ascii="Times New Roman" w:hAnsi="Times New Roman"/>
          <w:sz w:val="24"/>
          <w:szCs w:val="24"/>
          <w:lang w:eastAsia="sk-SK"/>
        </w:rPr>
      </w:pPr>
      <w:r>
        <w:rPr>
          <w:rFonts w:ascii="Times New Roman" w:hAnsi="Times New Roman"/>
          <w:bCs/>
          <w:sz w:val="24"/>
          <w:szCs w:val="24"/>
          <w:lang w:eastAsia="sk-SK"/>
        </w:rPr>
        <w:t>Zároveň sa n</w:t>
      </w:r>
      <w:r w:rsidR="00496352" w:rsidRPr="00F67D71">
        <w:rPr>
          <w:rFonts w:ascii="Times New Roman" w:hAnsi="Times New Roman"/>
          <w:bCs/>
          <w:sz w:val="24"/>
          <w:szCs w:val="24"/>
          <w:lang w:eastAsia="sk-SK"/>
        </w:rPr>
        <w:t xml:space="preserve">ávrhom zákona zavádza predĺženie nulovej sadzby dane z pridanej hodnoty na osobné ochranné prostriedky, ktoré patria do skupiny osobných ochranných prostriedkov rizikovej kategórie III podľa osobitného predpisu, ktoré slúžia na zabezpečenie vyššej ochrany dýchacích orgánov a ktoré sú filtračnou tvárovou </w:t>
      </w:r>
      <w:proofErr w:type="spellStart"/>
      <w:r w:rsidR="00496352" w:rsidRPr="00F67D71">
        <w:rPr>
          <w:rFonts w:ascii="Times New Roman" w:hAnsi="Times New Roman"/>
          <w:bCs/>
          <w:sz w:val="24"/>
          <w:szCs w:val="24"/>
          <w:lang w:eastAsia="sk-SK"/>
        </w:rPr>
        <w:t>polmaskou</w:t>
      </w:r>
      <w:proofErr w:type="spellEnd"/>
      <w:r w:rsidR="00496352" w:rsidRPr="00F67D71">
        <w:rPr>
          <w:rFonts w:ascii="Times New Roman" w:hAnsi="Times New Roman"/>
          <w:bCs/>
          <w:sz w:val="24"/>
          <w:szCs w:val="24"/>
          <w:lang w:eastAsia="sk-SK"/>
        </w:rPr>
        <w:t xml:space="preserve"> kategórie FFP2 alebo filtračnou tvárovou </w:t>
      </w:r>
      <w:proofErr w:type="spellStart"/>
      <w:r w:rsidR="00496352" w:rsidRPr="00F67D71">
        <w:rPr>
          <w:rFonts w:ascii="Times New Roman" w:hAnsi="Times New Roman"/>
          <w:bCs/>
          <w:sz w:val="24"/>
          <w:szCs w:val="24"/>
          <w:lang w:eastAsia="sk-SK"/>
        </w:rPr>
        <w:t>polmaskou</w:t>
      </w:r>
      <w:proofErr w:type="spellEnd"/>
      <w:r w:rsidR="00496352" w:rsidRPr="00F67D71">
        <w:rPr>
          <w:rFonts w:ascii="Times New Roman" w:hAnsi="Times New Roman"/>
          <w:bCs/>
          <w:sz w:val="24"/>
          <w:szCs w:val="24"/>
          <w:lang w:eastAsia="sk-SK"/>
        </w:rPr>
        <w:t xml:space="preserve"> kategórie FFP3. Zámerom tohto opatrenia je zmiernenie negatívnych dopadov pandémie spôsobenej šírením vírusu SARS-CoV-2, a to formou zabezpečenia cenovo dostupnejších ochranných prostriedkov pre širokú verejnosť.</w:t>
      </w:r>
    </w:p>
    <w:p w:rsidR="00496352" w:rsidRPr="00F67D71" w:rsidRDefault="00496352" w:rsidP="00AA73E5">
      <w:pPr>
        <w:spacing w:after="0" w:line="240" w:lineRule="auto"/>
        <w:jc w:val="both"/>
        <w:rPr>
          <w:rFonts w:ascii="Times New Roman" w:hAnsi="Times New Roman"/>
          <w:sz w:val="24"/>
          <w:szCs w:val="24"/>
          <w:lang w:eastAsia="sk-SK"/>
        </w:rPr>
      </w:pPr>
    </w:p>
    <w:p w:rsidR="00C241E4" w:rsidRDefault="00496352" w:rsidP="00AA73E5">
      <w:pPr>
        <w:spacing w:after="0" w:line="240" w:lineRule="auto"/>
        <w:jc w:val="both"/>
        <w:rPr>
          <w:rFonts w:ascii="Times New Roman" w:hAnsi="Times New Roman"/>
          <w:sz w:val="24"/>
          <w:szCs w:val="24"/>
          <w:lang w:eastAsia="sk-SK"/>
        </w:rPr>
      </w:pPr>
      <w:r w:rsidRPr="00F67D71">
        <w:rPr>
          <w:rFonts w:ascii="Times New Roman" w:hAnsi="Times New Roman"/>
          <w:sz w:val="24"/>
          <w:szCs w:val="24"/>
          <w:lang w:eastAsia="sk-SK"/>
        </w:rPr>
        <w:tab/>
        <w:t>Návrhom zákona sa ďalej sleduje</w:t>
      </w:r>
      <w:r w:rsidR="00C241E4" w:rsidRPr="00F67D71">
        <w:rPr>
          <w:rFonts w:ascii="Times New Roman" w:hAnsi="Times New Roman"/>
          <w:sz w:val="24"/>
          <w:szCs w:val="24"/>
          <w:lang w:eastAsia="sk-SK"/>
        </w:rPr>
        <w:t xml:space="preserve"> nastavenie dopredaja </w:t>
      </w:r>
      <w:r w:rsidR="00C241E4" w:rsidRPr="00C61DF6">
        <w:rPr>
          <w:rFonts w:ascii="Times New Roman" w:hAnsi="Times New Roman"/>
          <w:sz w:val="24"/>
          <w:szCs w:val="24"/>
          <w:lang w:eastAsia="sk-SK"/>
        </w:rPr>
        <w:t>cigariet, ktoré boli zdanené sadzbou spotrebnej dane platnou do 31.</w:t>
      </w:r>
      <w:r w:rsidR="00373215">
        <w:rPr>
          <w:rFonts w:ascii="Times New Roman" w:hAnsi="Times New Roman"/>
          <w:sz w:val="24"/>
          <w:szCs w:val="24"/>
          <w:lang w:eastAsia="sk-SK"/>
        </w:rPr>
        <w:t xml:space="preserve"> januára </w:t>
      </w:r>
      <w:r w:rsidR="00C241E4" w:rsidRPr="00C61DF6">
        <w:rPr>
          <w:rFonts w:ascii="Times New Roman" w:hAnsi="Times New Roman"/>
          <w:sz w:val="24"/>
          <w:szCs w:val="24"/>
          <w:lang w:eastAsia="sk-SK"/>
        </w:rPr>
        <w:t>2021, do vypredania zásob. Podľa účinnej právnej úpravy je možné tieto cigarety predávať, ponúkať na predaj alebo skladovať najneskôr do 31. marca 2021.</w:t>
      </w:r>
      <w:r>
        <w:rPr>
          <w:rFonts w:ascii="Times New Roman" w:hAnsi="Times New Roman"/>
          <w:sz w:val="24"/>
          <w:szCs w:val="24"/>
          <w:lang w:eastAsia="sk-SK"/>
        </w:rPr>
        <w:t xml:space="preserve"> </w:t>
      </w:r>
      <w:r w:rsidR="00C241E4" w:rsidRPr="00C61DF6">
        <w:rPr>
          <w:rFonts w:ascii="Times New Roman" w:hAnsi="Times New Roman"/>
          <w:sz w:val="24"/>
          <w:szCs w:val="24"/>
        </w:rPr>
        <w:t xml:space="preserve">Opatrenie je zamerané na odbúranie prípadných negatívnych finančných nákladov súvisiacich so zničením  nepredaných zásob cigariet pre tie podnikateľské subjekty, ktoré zabezpečujú predaj týchto cigariet v daňovom voľnom obehu a nemohli </w:t>
      </w:r>
      <w:r w:rsidR="00373215">
        <w:rPr>
          <w:rFonts w:ascii="Times New Roman" w:hAnsi="Times New Roman"/>
          <w:sz w:val="24"/>
          <w:szCs w:val="24"/>
        </w:rPr>
        <w:t>prípadne</w:t>
      </w:r>
      <w:r w:rsidR="00C241E4" w:rsidRPr="00C61DF6">
        <w:rPr>
          <w:rFonts w:ascii="Times New Roman" w:hAnsi="Times New Roman"/>
          <w:sz w:val="24"/>
          <w:szCs w:val="24"/>
        </w:rPr>
        <w:t xml:space="preserve"> nestihli predať svoje zásoby cigariet v dôsledku opatrení súvisiacich s prebiehajúcou epidemiologickou situáciou.</w:t>
      </w:r>
    </w:p>
    <w:p w:rsidR="00AA73E5" w:rsidRPr="00AA73E5" w:rsidRDefault="00AA73E5" w:rsidP="00AA73E5">
      <w:pPr>
        <w:spacing w:after="0" w:line="240" w:lineRule="auto"/>
        <w:jc w:val="both"/>
        <w:rPr>
          <w:rFonts w:ascii="Times New Roman" w:hAnsi="Times New Roman"/>
          <w:sz w:val="24"/>
          <w:szCs w:val="24"/>
          <w:lang w:eastAsia="sk-SK"/>
        </w:rPr>
      </w:pP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bCs/>
          <w:sz w:val="24"/>
          <w:szCs w:val="24"/>
          <w:lang w:eastAsia="sk-SK"/>
        </w:rPr>
        <w:t>2.2.2. Charakteristika návrhu:</w:t>
      </w:r>
    </w:p>
    <w:p w:rsidR="00AA73E5" w:rsidRPr="00F67D71" w:rsidRDefault="00AF55B2" w:rsidP="00AA73E5">
      <w:pPr>
        <w:spacing w:after="0" w:line="240" w:lineRule="auto"/>
        <w:rPr>
          <w:rFonts w:ascii="Times New Roman" w:hAnsi="Times New Roman"/>
          <w:sz w:val="24"/>
          <w:szCs w:val="24"/>
          <w:lang w:eastAsia="sk-SK"/>
        </w:rPr>
      </w:pPr>
      <w:r w:rsidRPr="00F67D71">
        <w:rPr>
          <w:rFonts w:ascii="Times New Roman" w:hAnsi="Times New Roman"/>
          <w:sz w:val="24"/>
          <w:szCs w:val="24"/>
          <w:bdr w:val="single" w:sz="4" w:space="0" w:color="auto"/>
          <w:lang w:eastAsia="sk-SK"/>
        </w:rPr>
        <w:t xml:space="preserve"> </w:t>
      </w:r>
      <w:r w:rsidR="00AB52A4" w:rsidRPr="00F67D71">
        <w:rPr>
          <w:rFonts w:ascii="Times New Roman" w:hAnsi="Times New Roman"/>
          <w:sz w:val="24"/>
          <w:szCs w:val="24"/>
          <w:bdr w:val="single" w:sz="4" w:space="0" w:color="auto"/>
          <w:lang w:eastAsia="sk-SK"/>
        </w:rPr>
        <w:t>X</w:t>
      </w:r>
      <w:r w:rsidRPr="00F67D71">
        <w:rPr>
          <w:rFonts w:ascii="Times New Roman" w:hAnsi="Times New Roman"/>
          <w:sz w:val="24"/>
          <w:szCs w:val="24"/>
          <w:bdr w:val="single" w:sz="4" w:space="0" w:color="auto"/>
          <w:lang w:eastAsia="sk-SK"/>
        </w:rPr>
        <w:t xml:space="preserve"> </w:t>
      </w:r>
      <w:r w:rsidRPr="00F67D71">
        <w:rPr>
          <w:rFonts w:ascii="Times New Roman" w:hAnsi="Times New Roman"/>
          <w:sz w:val="24"/>
          <w:szCs w:val="24"/>
          <w:lang w:eastAsia="sk-SK"/>
        </w:rPr>
        <w:t xml:space="preserve">  zmena sadzby</w:t>
      </w:r>
      <w:r w:rsidR="00C241E4" w:rsidRPr="00F67D71">
        <w:rPr>
          <w:rFonts w:ascii="Times New Roman" w:hAnsi="Times New Roman"/>
          <w:b/>
          <w:sz w:val="24"/>
          <w:szCs w:val="24"/>
          <w:bdr w:val="single" w:sz="4" w:space="0" w:color="auto"/>
          <w:lang w:eastAsia="sk-SK"/>
        </w:rPr>
        <w:t xml:space="preserve">    </w:t>
      </w:r>
      <w:r w:rsidR="00AA73E5" w:rsidRPr="00F67D71">
        <w:rPr>
          <w:rFonts w:ascii="Times New Roman" w:hAnsi="Times New Roman"/>
          <w:b/>
          <w:sz w:val="24"/>
          <w:szCs w:val="24"/>
          <w:bdr w:val="single" w:sz="4" w:space="0" w:color="auto"/>
          <w:lang w:eastAsia="sk-SK"/>
        </w:rPr>
        <w:t xml:space="preserve"> </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bdr w:val="single" w:sz="4" w:space="0" w:color="auto"/>
          <w:lang w:eastAsia="sk-SK"/>
        </w:rPr>
        <w:t xml:space="preserve">     </w:t>
      </w:r>
      <w:r w:rsidRPr="00AA73E5">
        <w:rPr>
          <w:rFonts w:ascii="Times New Roman" w:hAnsi="Times New Roman"/>
          <w:sz w:val="24"/>
          <w:szCs w:val="24"/>
          <w:lang w:eastAsia="sk-SK"/>
        </w:rPr>
        <w:t xml:space="preserve"> </w:t>
      </w:r>
      <w:r w:rsidR="00C241E4">
        <w:rPr>
          <w:rFonts w:ascii="Times New Roman" w:hAnsi="Times New Roman"/>
          <w:sz w:val="24"/>
          <w:szCs w:val="24"/>
          <w:lang w:eastAsia="sk-SK"/>
        </w:rPr>
        <w:t xml:space="preserve"> </w:t>
      </w:r>
      <w:r w:rsidRPr="00AA73E5">
        <w:rPr>
          <w:rFonts w:ascii="Times New Roman" w:hAnsi="Times New Roman"/>
          <w:sz w:val="24"/>
          <w:szCs w:val="24"/>
          <w:lang w:eastAsia="sk-SK"/>
        </w:rPr>
        <w:t>zmena v nároku</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bdr w:val="single" w:sz="4" w:space="0" w:color="auto"/>
          <w:lang w:eastAsia="sk-SK"/>
        </w:rPr>
        <w:t xml:space="preserve">     </w:t>
      </w:r>
      <w:r w:rsidRPr="00AA73E5">
        <w:rPr>
          <w:rFonts w:ascii="Times New Roman" w:hAnsi="Times New Roman"/>
          <w:sz w:val="24"/>
          <w:szCs w:val="24"/>
          <w:lang w:eastAsia="sk-SK"/>
        </w:rPr>
        <w:t xml:space="preserve">  nová služba alebo nariadenie (alebo ich zrušenie)</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bdr w:val="single" w:sz="4" w:space="0" w:color="auto"/>
          <w:lang w:eastAsia="sk-SK"/>
        </w:rPr>
        <w:t xml:space="preserve">     </w:t>
      </w:r>
      <w:r w:rsidRPr="00AA73E5">
        <w:rPr>
          <w:rFonts w:ascii="Times New Roman" w:hAnsi="Times New Roman"/>
          <w:sz w:val="24"/>
          <w:szCs w:val="24"/>
          <w:lang w:eastAsia="sk-SK"/>
        </w:rPr>
        <w:t xml:space="preserve">  kombinovaný návrh</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bdr w:val="single" w:sz="4" w:space="0" w:color="auto"/>
          <w:lang w:eastAsia="sk-SK"/>
        </w:rPr>
        <w:t xml:space="preserve"> </w:t>
      </w:r>
      <w:r w:rsidRPr="00AA73E5">
        <w:rPr>
          <w:rFonts w:ascii="Times New Roman" w:hAnsi="Times New Roman"/>
          <w:b/>
          <w:sz w:val="24"/>
          <w:szCs w:val="24"/>
          <w:bdr w:val="single" w:sz="4" w:space="0" w:color="auto"/>
          <w:lang w:eastAsia="sk-SK"/>
        </w:rPr>
        <w:t>X</w:t>
      </w:r>
      <w:r w:rsidRPr="00AA73E5">
        <w:rPr>
          <w:rFonts w:ascii="Times New Roman" w:hAnsi="Times New Roman"/>
          <w:sz w:val="24"/>
          <w:szCs w:val="24"/>
          <w:bdr w:val="single" w:sz="4" w:space="0" w:color="auto"/>
          <w:lang w:eastAsia="sk-SK"/>
        </w:rPr>
        <w:t xml:space="preserve"> </w:t>
      </w:r>
      <w:r w:rsidRPr="00AA73E5">
        <w:rPr>
          <w:rFonts w:ascii="Times New Roman" w:hAnsi="Times New Roman"/>
          <w:sz w:val="24"/>
          <w:szCs w:val="24"/>
          <w:lang w:eastAsia="sk-SK"/>
        </w:rPr>
        <w:t xml:space="preserve">  iné </w:t>
      </w:r>
    </w:p>
    <w:p w:rsidR="00AA73E5" w:rsidRPr="00AA73E5" w:rsidRDefault="00AA73E5" w:rsidP="00AA73E5">
      <w:pPr>
        <w:spacing w:after="0" w:line="240" w:lineRule="auto"/>
        <w:rPr>
          <w:rFonts w:ascii="Times New Roman" w:hAnsi="Times New Roman"/>
          <w:sz w:val="24"/>
          <w:szCs w:val="24"/>
          <w:lang w:eastAsia="sk-SK"/>
        </w:rPr>
      </w:pP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bCs/>
          <w:sz w:val="24"/>
          <w:szCs w:val="24"/>
          <w:lang w:eastAsia="sk-SK"/>
        </w:rPr>
        <w:t>2.2.3. Predpoklady vývoja objemu aktivít:</w:t>
      </w:r>
    </w:p>
    <w:p w:rsidR="00AA73E5" w:rsidRPr="00AA73E5" w:rsidRDefault="00AA73E5" w:rsidP="00AA73E5">
      <w:pPr>
        <w:spacing w:after="0" w:line="240" w:lineRule="auto"/>
        <w:rPr>
          <w:rFonts w:ascii="Times New Roman" w:hAnsi="Times New Roman"/>
          <w:sz w:val="24"/>
          <w:szCs w:val="24"/>
          <w:lang w:eastAsia="sk-SK"/>
        </w:rPr>
      </w:pPr>
    </w:p>
    <w:p w:rsidR="00AA73E5" w:rsidRPr="00AA73E5" w:rsidRDefault="00AA73E5" w:rsidP="00AA73E5">
      <w:pPr>
        <w:spacing w:after="0" w:line="240" w:lineRule="auto"/>
        <w:ind w:firstLine="708"/>
        <w:jc w:val="both"/>
        <w:rPr>
          <w:rFonts w:ascii="Times New Roman" w:hAnsi="Times New Roman"/>
          <w:sz w:val="24"/>
          <w:szCs w:val="24"/>
          <w:lang w:eastAsia="sk-SK"/>
        </w:rPr>
      </w:pPr>
      <w:r w:rsidRPr="00AA73E5">
        <w:rPr>
          <w:rFonts w:ascii="Times New Roman" w:hAnsi="Times New Roman"/>
          <w:sz w:val="24"/>
          <w:szCs w:val="24"/>
          <w:lang w:eastAsia="sk-SK"/>
        </w:rPr>
        <w:t>Jasne popíšte, v prípade potreby použite nižšie uvedenú tabuľku. Uveďte aj odhady základov daní a/alebo poplatkov, ak sa ich táto zmena týka.</w:t>
      </w:r>
    </w:p>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A73E5" w:rsidRPr="00AA73E5" w:rsidTr="00BE41DD">
        <w:trPr>
          <w:cantSplit/>
          <w:trHeight w:val="70"/>
        </w:trPr>
        <w:tc>
          <w:tcPr>
            <w:tcW w:w="4530" w:type="dxa"/>
            <w:vMerge w:val="restart"/>
            <w:shd w:val="clear" w:color="auto" w:fill="BFBFBF"/>
            <w:vAlign w:val="center"/>
          </w:tcPr>
          <w:p w:rsidR="00AA73E5" w:rsidRPr="00AA73E5" w:rsidRDefault="00AA73E5" w:rsidP="00AA73E5">
            <w:pPr>
              <w:autoSpaceDE w:val="0"/>
              <w:autoSpaceDN w:val="0"/>
              <w:adjustRightInd w:val="0"/>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Objem aktivít</w:t>
            </w:r>
          </w:p>
        </w:tc>
        <w:tc>
          <w:tcPr>
            <w:tcW w:w="4536" w:type="dxa"/>
            <w:gridSpan w:val="4"/>
            <w:shd w:val="clear" w:color="auto" w:fill="BFBFBF"/>
            <w:vAlign w:val="center"/>
          </w:tcPr>
          <w:p w:rsidR="00AA73E5" w:rsidRPr="00AA73E5" w:rsidRDefault="00AA73E5" w:rsidP="00AA73E5">
            <w:pPr>
              <w:autoSpaceDE w:val="0"/>
              <w:autoSpaceDN w:val="0"/>
              <w:adjustRightInd w:val="0"/>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Odhadované objemy</w:t>
            </w:r>
          </w:p>
        </w:tc>
      </w:tr>
      <w:tr w:rsidR="00AA73E5" w:rsidRPr="00AA73E5" w:rsidTr="00BE41DD">
        <w:trPr>
          <w:cantSplit/>
          <w:trHeight w:val="70"/>
        </w:trPr>
        <w:tc>
          <w:tcPr>
            <w:tcW w:w="4530" w:type="dxa"/>
            <w:vMerge/>
            <w:shd w:val="clear" w:color="auto" w:fill="BFBFBF"/>
          </w:tcPr>
          <w:p w:rsidR="00AA73E5" w:rsidRPr="00AA73E5" w:rsidRDefault="00AA73E5" w:rsidP="00AA73E5">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cPr>
          <w:p w:rsidR="00AA73E5" w:rsidRPr="00AA73E5" w:rsidRDefault="00AA73E5" w:rsidP="00D27628">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202</w:t>
            </w:r>
            <w:r w:rsidR="00D27628">
              <w:rPr>
                <w:rFonts w:ascii="Times New Roman" w:hAnsi="Times New Roman"/>
                <w:b/>
                <w:bCs/>
                <w:sz w:val="24"/>
                <w:szCs w:val="24"/>
                <w:lang w:eastAsia="sk-SK"/>
              </w:rPr>
              <w:t>1</w:t>
            </w:r>
          </w:p>
        </w:tc>
        <w:tc>
          <w:tcPr>
            <w:tcW w:w="1134" w:type="dxa"/>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2</w:t>
            </w:r>
            <w:r w:rsidR="00D27628">
              <w:rPr>
                <w:rFonts w:ascii="Times New Roman" w:hAnsi="Times New Roman"/>
                <w:b/>
                <w:bCs/>
                <w:sz w:val="24"/>
                <w:szCs w:val="24"/>
                <w:lang w:eastAsia="sk-SK"/>
              </w:rPr>
              <w:t>022</w:t>
            </w:r>
          </w:p>
        </w:tc>
        <w:tc>
          <w:tcPr>
            <w:tcW w:w="1134" w:type="dxa"/>
            <w:shd w:val="clear" w:color="auto" w:fill="BFBFBF"/>
          </w:tcPr>
          <w:p w:rsidR="00AA73E5" w:rsidRPr="00AA73E5" w:rsidRDefault="00D27628"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134" w:type="dxa"/>
            <w:shd w:val="clear" w:color="auto" w:fill="BFBFBF"/>
          </w:tcPr>
          <w:p w:rsidR="00AA73E5" w:rsidRPr="00AA73E5" w:rsidRDefault="00D27628"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r>
      <w:tr w:rsidR="00AA73E5" w:rsidRPr="00AA73E5" w:rsidTr="00BE41DD">
        <w:trPr>
          <w:trHeight w:val="70"/>
        </w:trPr>
        <w:tc>
          <w:tcPr>
            <w:tcW w:w="4530" w:type="dxa"/>
          </w:tcPr>
          <w:p w:rsidR="00AA73E5" w:rsidRPr="00AA73E5" w:rsidRDefault="00AA73E5" w:rsidP="00AA73E5">
            <w:pPr>
              <w:autoSpaceDE w:val="0"/>
              <w:autoSpaceDN w:val="0"/>
              <w:adjustRightInd w:val="0"/>
              <w:spacing w:after="0" w:line="240" w:lineRule="auto"/>
              <w:rPr>
                <w:rFonts w:ascii="Times New Roman" w:hAnsi="Times New Roman"/>
                <w:color w:val="000000"/>
                <w:sz w:val="24"/>
                <w:szCs w:val="24"/>
                <w:lang w:eastAsia="sk-SK"/>
              </w:rPr>
            </w:pPr>
            <w:r w:rsidRPr="00AA73E5">
              <w:rPr>
                <w:rFonts w:ascii="Times New Roman" w:hAnsi="Times New Roman"/>
                <w:color w:val="000000"/>
                <w:sz w:val="24"/>
                <w:szCs w:val="24"/>
                <w:lang w:eastAsia="sk-SK"/>
              </w:rPr>
              <w:t>Indikátor ABC</w:t>
            </w: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r>
      <w:tr w:rsidR="00AA73E5" w:rsidRPr="00AA73E5" w:rsidTr="00BE41DD">
        <w:trPr>
          <w:trHeight w:val="70"/>
        </w:trPr>
        <w:tc>
          <w:tcPr>
            <w:tcW w:w="4530" w:type="dxa"/>
          </w:tcPr>
          <w:p w:rsidR="00AA73E5" w:rsidRPr="00AA73E5" w:rsidRDefault="00AA73E5" w:rsidP="00AA73E5">
            <w:pPr>
              <w:autoSpaceDE w:val="0"/>
              <w:autoSpaceDN w:val="0"/>
              <w:adjustRightInd w:val="0"/>
              <w:spacing w:after="0" w:line="240" w:lineRule="auto"/>
              <w:rPr>
                <w:rFonts w:ascii="Times New Roman" w:hAnsi="Times New Roman"/>
                <w:color w:val="000000"/>
                <w:sz w:val="24"/>
                <w:szCs w:val="24"/>
                <w:lang w:eastAsia="sk-SK"/>
              </w:rPr>
            </w:pPr>
            <w:r w:rsidRPr="00AA73E5">
              <w:rPr>
                <w:rFonts w:ascii="Times New Roman" w:hAnsi="Times New Roman"/>
                <w:color w:val="000000"/>
                <w:sz w:val="24"/>
                <w:szCs w:val="24"/>
                <w:lang w:eastAsia="sk-SK"/>
              </w:rPr>
              <w:t>Indikátor KLM</w:t>
            </w: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r>
      <w:tr w:rsidR="00AA73E5" w:rsidRPr="00AA73E5" w:rsidTr="00BE41DD">
        <w:trPr>
          <w:trHeight w:val="70"/>
        </w:trPr>
        <w:tc>
          <w:tcPr>
            <w:tcW w:w="4530" w:type="dxa"/>
          </w:tcPr>
          <w:p w:rsidR="00AA73E5" w:rsidRPr="00AA73E5" w:rsidRDefault="00AA73E5" w:rsidP="00AA73E5">
            <w:pPr>
              <w:autoSpaceDE w:val="0"/>
              <w:autoSpaceDN w:val="0"/>
              <w:adjustRightInd w:val="0"/>
              <w:spacing w:after="0" w:line="240" w:lineRule="auto"/>
              <w:rPr>
                <w:rFonts w:ascii="Times New Roman" w:hAnsi="Times New Roman"/>
                <w:color w:val="000000"/>
                <w:sz w:val="24"/>
                <w:szCs w:val="24"/>
                <w:lang w:eastAsia="sk-SK"/>
              </w:rPr>
            </w:pPr>
            <w:r w:rsidRPr="00AA73E5">
              <w:rPr>
                <w:rFonts w:ascii="Times New Roman" w:hAnsi="Times New Roman"/>
                <w:color w:val="000000"/>
                <w:sz w:val="24"/>
                <w:szCs w:val="24"/>
                <w:lang w:eastAsia="sk-SK"/>
              </w:rPr>
              <w:t>Indikátor XYZ</w:t>
            </w: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AA73E5" w:rsidRPr="00AA73E5" w:rsidRDefault="00AA73E5" w:rsidP="00AA73E5">
            <w:pPr>
              <w:autoSpaceDE w:val="0"/>
              <w:autoSpaceDN w:val="0"/>
              <w:adjustRightInd w:val="0"/>
              <w:spacing w:after="0" w:line="240" w:lineRule="auto"/>
              <w:jc w:val="right"/>
              <w:rPr>
                <w:rFonts w:ascii="Times New Roman" w:hAnsi="Times New Roman"/>
                <w:color w:val="000000"/>
                <w:sz w:val="24"/>
                <w:szCs w:val="24"/>
                <w:lang w:eastAsia="sk-SK"/>
              </w:rPr>
            </w:pPr>
          </w:p>
        </w:tc>
      </w:tr>
    </w:tbl>
    <w:p w:rsidR="00AA73E5" w:rsidRPr="00AA73E5" w:rsidRDefault="00AA73E5" w:rsidP="00AA73E5">
      <w:pPr>
        <w:spacing w:after="0" w:line="240" w:lineRule="auto"/>
        <w:rPr>
          <w:rFonts w:ascii="Times New Roman" w:hAnsi="Times New Roman"/>
          <w:sz w:val="24"/>
          <w:szCs w:val="24"/>
          <w:lang w:eastAsia="sk-SK"/>
        </w:rPr>
      </w:pPr>
    </w:p>
    <w:p w:rsidR="00AA73E5" w:rsidRPr="00AA73E5" w:rsidRDefault="00AA73E5" w:rsidP="00AA73E5">
      <w:pPr>
        <w:spacing w:after="0" w:line="240" w:lineRule="auto"/>
        <w:rPr>
          <w:rFonts w:ascii="Times New Roman" w:hAnsi="Times New Roman"/>
          <w:sz w:val="24"/>
          <w:szCs w:val="24"/>
          <w:lang w:eastAsia="sk-SK"/>
        </w:rPr>
      </w:pPr>
    </w:p>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2.2.4. Výpočty vplyvov na verejné financie</w:t>
      </w:r>
    </w:p>
    <w:p w:rsidR="00AA73E5" w:rsidRPr="00AA73E5" w:rsidRDefault="00AA73E5" w:rsidP="00AA73E5">
      <w:pPr>
        <w:spacing w:after="0" w:line="240" w:lineRule="auto"/>
        <w:rPr>
          <w:rFonts w:ascii="Times New Roman" w:hAnsi="Times New Roman"/>
          <w:sz w:val="24"/>
          <w:szCs w:val="24"/>
          <w:lang w:eastAsia="sk-SK"/>
        </w:rPr>
      </w:pPr>
    </w:p>
    <w:p w:rsidR="00AA73E5" w:rsidRDefault="00AA73E5" w:rsidP="00AA73E5">
      <w:pPr>
        <w:spacing w:after="0" w:line="240" w:lineRule="auto"/>
        <w:ind w:firstLine="708"/>
        <w:jc w:val="both"/>
        <w:rPr>
          <w:rFonts w:ascii="Times New Roman" w:hAnsi="Times New Roman"/>
          <w:sz w:val="24"/>
          <w:szCs w:val="24"/>
          <w:lang w:eastAsia="sk-SK"/>
        </w:rPr>
      </w:pPr>
      <w:r w:rsidRPr="00AA73E5">
        <w:rPr>
          <w:rFonts w:ascii="Times New Roman" w:hAnsi="Times New Roman"/>
          <w:sz w:val="24"/>
          <w:szCs w:val="24"/>
          <w:lang w:eastAsia="sk-SK"/>
        </w:rPr>
        <w:t xml:space="preserve">Uveďte najdôležitejšie výpočty, ktoré boli použité na stanovenie vplyvov na príjmy a výdavky, ako aj predpoklady, z ktorých ste vychádzali. Predkladateľ by mal jasne odlíšiť podklady od kapitol a organizácií, aby bolo jasne vidieť základ použitý na výpočty. </w:t>
      </w:r>
    </w:p>
    <w:p w:rsidR="00E14610" w:rsidRDefault="00E14610" w:rsidP="00AA73E5">
      <w:pPr>
        <w:spacing w:after="0" w:line="240" w:lineRule="auto"/>
        <w:ind w:firstLine="708"/>
        <w:jc w:val="both"/>
        <w:rPr>
          <w:rFonts w:ascii="Times New Roman" w:hAnsi="Times New Roman"/>
          <w:sz w:val="24"/>
          <w:szCs w:val="24"/>
          <w:lang w:eastAsia="sk-SK"/>
        </w:rPr>
      </w:pPr>
    </w:p>
    <w:p w:rsidR="0081431B" w:rsidRPr="00FA46B5" w:rsidRDefault="0081431B" w:rsidP="0081431B">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FA46B5">
        <w:rPr>
          <w:rFonts w:ascii="Times New Roman" w:hAnsi="Times New Roman"/>
          <w:sz w:val="24"/>
          <w:szCs w:val="24"/>
        </w:rPr>
        <w:t xml:space="preserve">Odhadovaný výpadok príjmov štátneho rozpočtu spôsobený predlžením nulovej sadzby DPH na respirátory bol na základe dát Finančnej správy SR vypočítaný nasledovne. Ako základná informácia bol použitý objem predaných respirátorov s nulovou sadzbou DPH prostredníctvom pokladnice e-kasa klient od obdobia, počas ktorého sa dočasne uplatňuje na určité respirátory nulová sadzba DPH. Odhadovaný výpadok bol vypočítaný ako súčin sumy predaných respirátorov pripadajúcej na jeden deň, počtu dní, na ktoré sa predlžuje zavedenie nulovej sadzby, koeficientu 1.1 a 20 % sadzby dane (327870 x 61x 1.1 x 0,2) a bol zaokrúhlený na celé státisíce nahor. Koeficient 1,1 – predstavuje zohľadnenie internetových predajov, ktoré spravidla nie sú evidované prostredníctvom  pokladnice e-kasa klient.      </w:t>
      </w:r>
    </w:p>
    <w:p w:rsidR="00E14610" w:rsidRDefault="009565C7" w:rsidP="00AF55B2">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E14610">
        <w:rPr>
          <w:rFonts w:ascii="Times New Roman" w:hAnsi="Times New Roman"/>
          <w:sz w:val="24"/>
          <w:szCs w:val="24"/>
        </w:rPr>
        <w:t>Vzhľadom na nedostatok údajov, v súčasno</w:t>
      </w:r>
      <w:r w:rsidR="00E14610" w:rsidRPr="00E14610">
        <w:rPr>
          <w:rFonts w:ascii="Times New Roman" w:hAnsi="Times New Roman"/>
          <w:sz w:val="24"/>
          <w:szCs w:val="24"/>
        </w:rPr>
        <w:t>s</w:t>
      </w:r>
      <w:r w:rsidRPr="00E14610">
        <w:rPr>
          <w:rFonts w:ascii="Times New Roman" w:hAnsi="Times New Roman"/>
          <w:sz w:val="24"/>
          <w:szCs w:val="24"/>
        </w:rPr>
        <w:t>ti nie je možné odhadnúť výpadok príjmov do štátneho rozpočtu spôsobených predĺžením dopredaja cigariet do vypredania zásob</w:t>
      </w:r>
      <w:r w:rsidR="00D27628">
        <w:rPr>
          <w:rFonts w:ascii="Times New Roman" w:hAnsi="Times New Roman"/>
          <w:sz w:val="24"/>
          <w:szCs w:val="24"/>
        </w:rPr>
        <w:t xml:space="preserve"> pre rok 2021</w:t>
      </w:r>
      <w:r w:rsidRPr="00E14610">
        <w:rPr>
          <w:rFonts w:ascii="Times New Roman" w:hAnsi="Times New Roman"/>
          <w:sz w:val="24"/>
          <w:szCs w:val="24"/>
        </w:rPr>
        <w:t>.</w:t>
      </w:r>
      <w:r w:rsidR="00E14610" w:rsidRPr="00E14610">
        <w:rPr>
          <w:rFonts w:ascii="Times New Roman" w:hAnsi="Times New Roman"/>
          <w:sz w:val="24"/>
          <w:szCs w:val="24"/>
        </w:rPr>
        <w:t xml:space="preserve"> V prípade predĺženia dopredaja predmetných cigariet do vypredania zásob, výpadok príjmov štátneho rozpočtu bude predstavovať 37 centov na každom spotrebiteľskom balení cigariet predanom po 31. marci 2021 so starou sadzbou spotrebnej dane (t. j. </w:t>
      </w:r>
      <w:r w:rsidR="00504404">
        <w:rPr>
          <w:rFonts w:ascii="Times New Roman" w:hAnsi="Times New Roman"/>
          <w:sz w:val="24"/>
          <w:szCs w:val="24"/>
        </w:rPr>
        <w:t xml:space="preserve">sadzbou, </w:t>
      </w:r>
      <w:r w:rsidR="00E14610" w:rsidRPr="00E14610">
        <w:rPr>
          <w:rFonts w:ascii="Times New Roman" w:hAnsi="Times New Roman"/>
          <w:sz w:val="24"/>
          <w:szCs w:val="24"/>
        </w:rPr>
        <w:t>ktorá bola platná do 31. januára 2021).</w:t>
      </w:r>
    </w:p>
    <w:p w:rsidR="00AF55B2" w:rsidRPr="00AA73E5" w:rsidRDefault="00AF55B2" w:rsidP="00AA73E5">
      <w:pPr>
        <w:spacing w:after="0" w:line="240" w:lineRule="auto"/>
        <w:ind w:firstLine="708"/>
        <w:jc w:val="both"/>
        <w:rPr>
          <w:rFonts w:ascii="Times New Roman" w:hAnsi="Times New Roman"/>
          <w:sz w:val="24"/>
          <w:szCs w:val="24"/>
          <w:lang w:eastAsia="sk-SK"/>
        </w:rPr>
      </w:pPr>
    </w:p>
    <w:p w:rsidR="00AA73E5" w:rsidRPr="00AA73E5" w:rsidRDefault="00AA73E5" w:rsidP="00AA73E5">
      <w:pPr>
        <w:tabs>
          <w:tab w:val="num" w:pos="1080"/>
        </w:tabs>
        <w:spacing w:after="0" w:line="240" w:lineRule="auto"/>
        <w:jc w:val="both"/>
        <w:rPr>
          <w:rFonts w:ascii="Times New Roman" w:hAnsi="Times New Roman"/>
          <w:bCs/>
          <w:sz w:val="24"/>
          <w:szCs w:val="20"/>
          <w:lang w:eastAsia="sk-SK"/>
        </w:rPr>
      </w:pPr>
    </w:p>
    <w:p w:rsidR="00AA73E5" w:rsidRPr="00AA73E5" w:rsidRDefault="00AA73E5" w:rsidP="00AA73E5">
      <w:pPr>
        <w:tabs>
          <w:tab w:val="num" w:pos="1080"/>
        </w:tabs>
        <w:spacing w:after="0" w:line="240" w:lineRule="auto"/>
        <w:jc w:val="both"/>
        <w:rPr>
          <w:rFonts w:ascii="Times New Roman" w:hAnsi="Times New Roman"/>
          <w:bCs/>
          <w:sz w:val="24"/>
          <w:szCs w:val="20"/>
          <w:lang w:eastAsia="sk-SK"/>
        </w:rPr>
      </w:pPr>
    </w:p>
    <w:p w:rsidR="00AA73E5" w:rsidRPr="00AA73E5" w:rsidRDefault="00AA73E5" w:rsidP="00AA73E5">
      <w:pPr>
        <w:tabs>
          <w:tab w:val="num" w:pos="1080"/>
        </w:tabs>
        <w:spacing w:after="0" w:line="240" w:lineRule="auto"/>
        <w:jc w:val="both"/>
        <w:rPr>
          <w:rFonts w:ascii="Times New Roman" w:hAnsi="Times New Roman"/>
          <w:bCs/>
          <w:sz w:val="24"/>
          <w:szCs w:val="20"/>
          <w:lang w:eastAsia="sk-SK"/>
        </w:rPr>
        <w:sectPr w:rsidR="00AA73E5" w:rsidRPr="00AA73E5" w:rsidSect="00BE41DD">
          <w:headerReference w:type="even" r:id="rId11"/>
          <w:footerReference w:type="even" r:id="rId12"/>
          <w:footerReference w:type="default" r:id="rId13"/>
          <w:headerReference w:type="first" r:id="rId14"/>
          <w:footerReference w:type="first" r:id="rId15"/>
          <w:pgSz w:w="11906" w:h="16838"/>
          <w:pgMar w:top="1134" w:right="1418" w:bottom="1134" w:left="1418" w:header="709" w:footer="709" w:gutter="0"/>
          <w:pgNumType w:start="1"/>
          <w:cols w:space="708"/>
          <w:docGrid w:linePitch="360"/>
        </w:sectPr>
      </w:pPr>
    </w:p>
    <w:p w:rsidR="00AA73E5" w:rsidRPr="00AA73E5" w:rsidRDefault="00AA73E5" w:rsidP="00AA73E5">
      <w:pPr>
        <w:tabs>
          <w:tab w:val="num" w:pos="1080"/>
        </w:tabs>
        <w:spacing w:after="0" w:line="240" w:lineRule="auto"/>
        <w:jc w:val="right"/>
        <w:rPr>
          <w:rFonts w:ascii="Times New Roman" w:hAnsi="Times New Roman"/>
          <w:bCs/>
          <w:sz w:val="24"/>
          <w:szCs w:val="24"/>
          <w:lang w:eastAsia="sk-SK"/>
        </w:rPr>
      </w:pPr>
      <w:r w:rsidRPr="00AA73E5">
        <w:rPr>
          <w:rFonts w:ascii="Times New Roman" w:hAnsi="Times New Roman"/>
          <w:bCs/>
          <w:sz w:val="24"/>
          <w:szCs w:val="24"/>
          <w:lang w:eastAsia="sk-SK"/>
        </w:rPr>
        <w:lastRenderedPageBreak/>
        <w:t xml:space="preserve">Tabuľka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A73E5" w:rsidRPr="00AA73E5" w:rsidTr="00BE41D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poznámka</w:t>
            </w:r>
          </w:p>
        </w:tc>
      </w:tr>
      <w:tr w:rsidR="00AA73E5" w:rsidRPr="00AA73E5" w:rsidTr="00BE41D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A73E5" w:rsidRPr="00AA73E5" w:rsidRDefault="00AA73E5" w:rsidP="00AA73E5">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rsidR="00AA73E5" w:rsidRPr="00AA73E5" w:rsidRDefault="00AA73E5" w:rsidP="00AA73E5">
            <w:pPr>
              <w:spacing w:after="0" w:line="240" w:lineRule="auto"/>
              <w:rPr>
                <w:rFonts w:ascii="Times New Roman" w:hAnsi="Times New Roman"/>
                <w:b/>
                <w:bCs/>
                <w:color w:val="FFFFFF"/>
                <w:sz w:val="24"/>
                <w:szCs w:val="24"/>
                <w:lang w:eastAsia="sk-SK"/>
              </w:rPr>
            </w:pP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vertAlign w:val="superscript"/>
                <w:lang w:eastAsia="sk-SK"/>
              </w:rPr>
            </w:pPr>
            <w:r w:rsidRPr="00AA73E5">
              <w:rPr>
                <w:rFonts w:ascii="Times New Roman" w:hAnsi="Times New Roman"/>
                <w:b/>
                <w:bCs/>
                <w:sz w:val="24"/>
                <w:szCs w:val="24"/>
                <w:lang w:eastAsia="sk-SK"/>
              </w:rPr>
              <w:t>Daňové príjmy (100)</w:t>
            </w:r>
            <w:r w:rsidRPr="00AA73E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FFFFFF"/>
            <w:vAlign w:val="center"/>
          </w:tcPr>
          <w:p w:rsidR="00AA73E5" w:rsidRPr="00F67D71" w:rsidRDefault="001E7734" w:rsidP="00AA73E5">
            <w:pPr>
              <w:spacing w:after="0" w:line="240" w:lineRule="auto"/>
              <w:jc w:val="center"/>
              <w:rPr>
                <w:rFonts w:ascii="Times New Roman" w:hAnsi="Times New Roman"/>
                <w:b/>
                <w:bCs/>
                <w:iCs/>
                <w:sz w:val="24"/>
                <w:szCs w:val="24"/>
                <w:lang w:eastAsia="sk-SK"/>
              </w:rPr>
            </w:pPr>
            <w:r w:rsidRPr="00F67D71">
              <w:rPr>
                <w:rFonts w:ascii="Times New Roman" w:hAnsi="Times New Roman"/>
                <w:b/>
                <w:bCs/>
                <w:sz w:val="24"/>
                <w:szCs w:val="24"/>
                <w:lang w:eastAsia="sk-SK"/>
              </w:rPr>
              <w:t>-4 400 000</w:t>
            </w:r>
          </w:p>
        </w:tc>
        <w:tc>
          <w:tcPr>
            <w:tcW w:w="1500" w:type="dxa"/>
            <w:tcBorders>
              <w:top w:val="nil"/>
              <w:left w:val="nil"/>
              <w:bottom w:val="single" w:sz="4" w:space="0" w:color="auto"/>
              <w:right w:val="single" w:sz="4" w:space="0" w:color="auto"/>
            </w:tcBorders>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Nedaňové príjmy (200)</w:t>
            </w:r>
            <w:r w:rsidRPr="00AA73E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A73E5" w:rsidRPr="00F67D71"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Granty a transfery (300)</w:t>
            </w:r>
            <w:r w:rsidRPr="00AA73E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A73E5" w:rsidRPr="00F67D71"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FF"/>
          </w:tcPr>
          <w:p w:rsidR="00AA73E5" w:rsidRPr="00F67D71" w:rsidRDefault="00AA73E5" w:rsidP="00AA73E5">
            <w:pPr>
              <w:spacing w:after="0" w:line="240" w:lineRule="auto"/>
              <w:jc w:val="center"/>
              <w:rPr>
                <w:rFonts w:ascii="Times New Roman" w:hAnsi="Times New Roman"/>
                <w:b/>
                <w:bCs/>
                <w:sz w:val="24"/>
                <w:szCs w:val="24"/>
                <w:lang w:eastAsia="sk-SK"/>
              </w:rPr>
            </w:pPr>
            <w:r w:rsidRPr="00F67D71">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FF"/>
          </w:tcPr>
          <w:p w:rsidR="00AA73E5" w:rsidRPr="00F67D71" w:rsidRDefault="00AA73E5" w:rsidP="00AA73E5">
            <w:pPr>
              <w:spacing w:after="0" w:line="240" w:lineRule="auto"/>
              <w:jc w:val="center"/>
              <w:rPr>
                <w:rFonts w:ascii="Times New Roman" w:hAnsi="Times New Roman"/>
                <w:b/>
                <w:bCs/>
                <w:sz w:val="24"/>
                <w:szCs w:val="24"/>
                <w:lang w:eastAsia="sk-SK"/>
              </w:rPr>
            </w:pPr>
            <w:r w:rsidRPr="00F67D71">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4950" w:type="dxa"/>
            <w:tcBorders>
              <w:top w:val="nil"/>
              <w:left w:val="single" w:sz="4" w:space="0" w:color="auto"/>
              <w:bottom w:val="single" w:sz="4" w:space="0" w:color="auto"/>
              <w:right w:val="single" w:sz="4" w:space="0" w:color="auto"/>
            </w:tcBorders>
            <w:shd w:val="clear" w:color="auto" w:fill="BFBFBF"/>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vAlign w:val="center"/>
          </w:tcPr>
          <w:p w:rsidR="00AA73E5" w:rsidRPr="00F67D71" w:rsidRDefault="001E7734" w:rsidP="00AA73E5">
            <w:pPr>
              <w:spacing w:after="0" w:line="240" w:lineRule="auto"/>
              <w:jc w:val="center"/>
              <w:rPr>
                <w:rFonts w:ascii="Times New Roman" w:hAnsi="Times New Roman"/>
                <w:b/>
                <w:bCs/>
                <w:iCs/>
                <w:sz w:val="24"/>
                <w:szCs w:val="24"/>
                <w:lang w:eastAsia="sk-SK"/>
              </w:rPr>
            </w:pPr>
            <w:r w:rsidRPr="00F67D71">
              <w:rPr>
                <w:rFonts w:ascii="Times New Roman" w:hAnsi="Times New Roman"/>
                <w:b/>
                <w:bCs/>
                <w:sz w:val="24"/>
                <w:szCs w:val="24"/>
                <w:lang w:eastAsia="sk-SK"/>
              </w:rPr>
              <w:t>-4 400 000</w:t>
            </w:r>
          </w:p>
        </w:tc>
        <w:tc>
          <w:tcPr>
            <w:tcW w:w="1500" w:type="dxa"/>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iCs/>
                <w:sz w:val="20"/>
                <w:szCs w:val="20"/>
                <w:lang w:eastAsia="sk-SK"/>
              </w:rPr>
            </w:pPr>
            <w:r w:rsidRPr="00AA73E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bl>
    <w:p w:rsidR="00AA73E5" w:rsidRPr="00AA73E5" w:rsidRDefault="00AA73E5" w:rsidP="00AA73E5">
      <w:pPr>
        <w:tabs>
          <w:tab w:val="num" w:pos="1080"/>
        </w:tabs>
        <w:spacing w:after="0" w:line="240" w:lineRule="auto"/>
        <w:jc w:val="both"/>
        <w:rPr>
          <w:rFonts w:ascii="Times New Roman" w:hAnsi="Times New Roman"/>
          <w:bCs/>
          <w:sz w:val="20"/>
          <w:szCs w:val="20"/>
          <w:lang w:eastAsia="sk-SK"/>
        </w:rPr>
      </w:pPr>
      <w:r w:rsidRPr="00AA73E5">
        <w:rPr>
          <w:rFonts w:ascii="Times New Roman" w:hAnsi="Times New Roman"/>
          <w:bCs/>
          <w:sz w:val="20"/>
          <w:szCs w:val="20"/>
          <w:lang w:eastAsia="sk-SK"/>
        </w:rPr>
        <w:t>1 –  príjmy rozpísať až do položiek platnej ekonomickej klasifikácie</w:t>
      </w:r>
    </w:p>
    <w:p w:rsidR="00AA73E5" w:rsidRPr="00AA73E5" w:rsidRDefault="00AA73E5" w:rsidP="00AA73E5">
      <w:pPr>
        <w:tabs>
          <w:tab w:val="num" w:pos="1080"/>
        </w:tabs>
        <w:spacing w:after="0" w:line="240" w:lineRule="auto"/>
        <w:jc w:val="both"/>
        <w:rPr>
          <w:rFonts w:ascii="Times New Roman" w:hAnsi="Times New Roman"/>
          <w:b/>
          <w:bCs/>
          <w:sz w:val="24"/>
          <w:szCs w:val="20"/>
          <w:lang w:eastAsia="sk-SK"/>
        </w:rPr>
      </w:pPr>
      <w:r w:rsidRPr="00AA73E5">
        <w:rPr>
          <w:rFonts w:ascii="Times New Roman" w:hAnsi="Times New Roman"/>
          <w:b/>
          <w:bCs/>
          <w:sz w:val="24"/>
          <w:szCs w:val="20"/>
          <w:lang w:eastAsia="sk-SK"/>
        </w:rPr>
        <w:t>Poznámka:</w:t>
      </w:r>
    </w:p>
    <w:p w:rsidR="00AA73E5" w:rsidRPr="00AA73E5" w:rsidRDefault="00AA73E5" w:rsidP="00AA73E5">
      <w:pPr>
        <w:tabs>
          <w:tab w:val="num" w:pos="1080"/>
        </w:tabs>
        <w:spacing w:after="0" w:line="240" w:lineRule="auto"/>
        <w:jc w:val="both"/>
        <w:rPr>
          <w:rFonts w:ascii="Times New Roman" w:hAnsi="Times New Roman"/>
          <w:bCs/>
          <w:sz w:val="24"/>
          <w:szCs w:val="20"/>
          <w:lang w:eastAsia="sk-SK"/>
        </w:rPr>
      </w:pPr>
      <w:r w:rsidRPr="00AA73E5">
        <w:rPr>
          <w:rFonts w:ascii="Times New Roman" w:hAnsi="Times New Roman"/>
          <w:bCs/>
          <w:sz w:val="24"/>
          <w:szCs w:val="20"/>
          <w:lang w:eastAsia="sk-SK"/>
        </w:rPr>
        <w:t>Ak sa vplyv týka viacerých subjektov verejnej správy, vypĺňa sa samostatná tabuľka za každý subjekt.</w:t>
      </w:r>
    </w:p>
    <w:p w:rsidR="00AA73E5" w:rsidRPr="00AA73E5" w:rsidRDefault="00AA73E5" w:rsidP="00AA73E5">
      <w:pPr>
        <w:tabs>
          <w:tab w:val="num" w:pos="1080"/>
        </w:tabs>
        <w:spacing w:after="0" w:line="240" w:lineRule="auto"/>
        <w:ind w:right="-32"/>
        <w:jc w:val="right"/>
        <w:rPr>
          <w:rFonts w:ascii="Times New Roman" w:hAnsi="Times New Roman"/>
          <w:bCs/>
          <w:sz w:val="24"/>
          <w:szCs w:val="24"/>
          <w:lang w:eastAsia="sk-SK"/>
        </w:rPr>
      </w:pPr>
      <w:r w:rsidRPr="00AA73E5">
        <w:rPr>
          <w:rFonts w:ascii="Times New Roman" w:hAnsi="Times New Roman"/>
          <w:bCs/>
          <w:sz w:val="24"/>
          <w:szCs w:val="24"/>
          <w:lang w:eastAsia="sk-SK"/>
        </w:rPr>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AA73E5" w:rsidRPr="00AA73E5" w:rsidTr="00BE41D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AA73E5" w:rsidRPr="00AA73E5" w:rsidRDefault="00AA73E5" w:rsidP="00AA73E5">
            <w:pPr>
              <w:spacing w:after="0" w:line="240" w:lineRule="auto"/>
              <w:jc w:val="center"/>
              <w:rPr>
                <w:rFonts w:ascii="Times New Roman" w:hAnsi="Times New Roman"/>
                <w:b/>
                <w:bCs/>
                <w:sz w:val="20"/>
                <w:szCs w:val="20"/>
                <w:lang w:eastAsia="sk-SK"/>
              </w:rPr>
            </w:pPr>
            <w:r w:rsidRPr="00AA73E5">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0"/>
                <w:szCs w:val="20"/>
                <w:lang w:eastAsia="sk-SK"/>
              </w:rPr>
            </w:pPr>
            <w:r w:rsidRPr="00AA73E5">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poznámka</w:t>
            </w:r>
          </w:p>
        </w:tc>
      </w:tr>
      <w:tr w:rsidR="00AA73E5" w:rsidRPr="00AA73E5" w:rsidTr="00BE41D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A73E5" w:rsidRPr="00AA73E5" w:rsidRDefault="00AA73E5" w:rsidP="00AA73E5">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AA73E5" w:rsidRPr="00AA73E5" w:rsidRDefault="00AA73E5" w:rsidP="00AA73E5">
            <w:pPr>
              <w:spacing w:after="0" w:line="240" w:lineRule="auto"/>
              <w:rPr>
                <w:rFonts w:ascii="Times New Roman" w:hAnsi="Times New Roman"/>
                <w:b/>
                <w:bCs/>
                <w:color w:val="FFFFFF"/>
                <w:sz w:val="24"/>
                <w:szCs w:val="24"/>
                <w:lang w:eastAsia="sk-SK"/>
              </w:rPr>
            </w:pP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0"/>
                <w:szCs w:val="20"/>
                <w:lang w:eastAsia="sk-SK"/>
              </w:rPr>
            </w:pPr>
            <w:r w:rsidRPr="00AA73E5">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4"/>
                <w:szCs w:val="24"/>
                <w:lang w:eastAsia="sk-SK"/>
              </w:rPr>
            </w:pPr>
            <w:r w:rsidRPr="00AA73E5">
              <w:rPr>
                <w:rFonts w:ascii="Times New Roman" w:hAnsi="Times New Roman"/>
                <w:b/>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vertAlign w:val="superscript"/>
                <w:lang w:eastAsia="sk-SK"/>
              </w:rPr>
            </w:pPr>
            <w:r w:rsidRPr="00AA73E5">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vertAlign w:val="superscript"/>
                <w:lang w:eastAsia="sk-SK"/>
              </w:rPr>
            </w:pPr>
            <w:r w:rsidRPr="00AA73E5">
              <w:rPr>
                <w:rFonts w:ascii="Times New Roman" w:hAnsi="Times New Roman"/>
                <w:sz w:val="20"/>
                <w:szCs w:val="20"/>
                <w:lang w:eastAsia="sk-SK"/>
              </w:rPr>
              <w:t xml:space="preserve">  Tovary a služby (630)</w:t>
            </w:r>
            <w:r w:rsidRPr="00AA73E5">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 xml:space="preserve">  Bežné transfery (640)</w:t>
            </w:r>
            <w:r w:rsidRPr="00AA73E5">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vAlign w:val="center"/>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 xml:space="preserve">  Splácanie úrokov a ostatné platby súvisiace s </w:t>
            </w:r>
            <w:r w:rsidRPr="00AA73E5">
              <w:rPr>
                <w:rFonts w:ascii="Times New Roman" w:hAnsi="Times New Roman"/>
                <w:sz w:val="24"/>
                <w:szCs w:val="24"/>
                <w:lang w:eastAsia="sk-SK"/>
              </w:rPr>
              <w:t xml:space="preserve"> </w:t>
            </w:r>
            <w:r w:rsidRPr="00AA73E5">
              <w:rPr>
                <w:rFonts w:ascii="Times New Roman" w:hAnsi="Times New Roman"/>
                <w:sz w:val="20"/>
                <w:szCs w:val="20"/>
                <w:lang w:eastAsia="sk-SK"/>
              </w:rPr>
              <w:t>úverom, pôžičkou, návratnou finančnou výpomocou a finančným prenájmom (650)</w:t>
            </w:r>
            <w:r w:rsidRPr="00AA73E5">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0"/>
                <w:szCs w:val="20"/>
                <w:lang w:eastAsia="sk-SK"/>
              </w:rPr>
            </w:pPr>
            <w:r w:rsidRPr="00AA73E5">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b/>
                <w:bCs/>
                <w:sz w:val="24"/>
                <w:szCs w:val="24"/>
                <w:lang w:eastAsia="sk-SK"/>
              </w:rPr>
            </w:pPr>
            <w:r w:rsidRPr="00AA73E5">
              <w:rPr>
                <w:rFonts w:ascii="Times New Roman" w:hAnsi="Times New Roman"/>
                <w:b/>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 xml:space="preserve">  Obstarávanie kapitálových aktív (710)</w:t>
            </w:r>
            <w:r w:rsidRPr="00AA73E5">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ind w:left="426" w:hanging="426"/>
              <w:rPr>
                <w:rFonts w:ascii="Times New Roman" w:hAnsi="Times New Roman"/>
                <w:sz w:val="20"/>
                <w:szCs w:val="20"/>
                <w:lang w:eastAsia="sk-SK"/>
              </w:rPr>
            </w:pPr>
            <w:r w:rsidRPr="00AA73E5">
              <w:rPr>
                <w:rFonts w:ascii="Times New Roman" w:hAnsi="Times New Roman"/>
                <w:sz w:val="20"/>
                <w:szCs w:val="20"/>
                <w:lang w:eastAsia="sk-SK"/>
              </w:rPr>
              <w:t>RP EKRK 718 Rekonštrukcia a modernizácia</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F55B2"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 xml:space="preserve">  Kapitálové transfery (720)</w:t>
            </w:r>
            <w:r w:rsidRPr="00AA73E5">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0"/>
                <w:szCs w:val="20"/>
                <w:lang w:eastAsia="sk-SK"/>
              </w:rPr>
            </w:pPr>
            <w:r w:rsidRPr="00AA73E5">
              <w:rPr>
                <w:rFonts w:ascii="Times New Roman" w:hAnsi="Times New Roman"/>
                <w:bCs/>
                <w:sz w:val="20"/>
                <w:szCs w:val="20"/>
                <w:lang w:eastAsia="sk-SK"/>
              </w:rPr>
              <w:t>0,00</w:t>
            </w:r>
          </w:p>
        </w:tc>
        <w:tc>
          <w:tcPr>
            <w:tcW w:w="1540" w:type="dxa"/>
            <w:tcBorders>
              <w:top w:val="nil"/>
              <w:left w:val="nil"/>
              <w:bottom w:val="single" w:sz="4" w:space="0" w:color="auto"/>
              <w:right w:val="single" w:sz="4" w:space="0" w:color="auto"/>
            </w:tcBorders>
          </w:tcPr>
          <w:p w:rsidR="00AA73E5" w:rsidRPr="00AA73E5" w:rsidRDefault="00AA73E5" w:rsidP="00AA73E5">
            <w:pPr>
              <w:spacing w:after="0" w:line="240" w:lineRule="auto"/>
              <w:jc w:val="right"/>
              <w:rPr>
                <w:rFonts w:ascii="Times New Roman" w:hAnsi="Times New Roman"/>
                <w:sz w:val="24"/>
                <w:szCs w:val="24"/>
                <w:lang w:eastAsia="sk-SK"/>
              </w:rPr>
            </w:pPr>
            <w:r w:rsidRPr="00AA73E5">
              <w:rPr>
                <w:rFonts w:ascii="Times New Roman" w:hAnsi="Times New Roman"/>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0"/>
                <w:szCs w:val="20"/>
                <w:lang w:eastAsia="sk-SK"/>
              </w:rPr>
            </w:pPr>
            <w:r w:rsidRPr="00AA73E5">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 0,00</w:t>
            </w:r>
          </w:p>
        </w:tc>
        <w:tc>
          <w:tcPr>
            <w:tcW w:w="1540" w:type="dxa"/>
            <w:tcBorders>
              <w:top w:val="nil"/>
              <w:left w:val="nil"/>
              <w:bottom w:val="single" w:sz="4" w:space="0" w:color="auto"/>
              <w:right w:val="single" w:sz="4" w:space="0" w:color="auto"/>
            </w:tcBorders>
            <w:shd w:val="clear" w:color="auto" w:fill="FFFFFF"/>
          </w:tcPr>
          <w:p w:rsidR="00AA73E5" w:rsidRPr="00AA73E5" w:rsidRDefault="00AA73E5" w:rsidP="00AA73E5">
            <w:pPr>
              <w:spacing w:after="0" w:line="240" w:lineRule="auto"/>
              <w:jc w:val="right"/>
              <w:rPr>
                <w:rFonts w:ascii="Times New Roman" w:hAnsi="Times New Roman"/>
                <w:b/>
                <w:bCs/>
                <w:sz w:val="24"/>
                <w:szCs w:val="24"/>
                <w:lang w:eastAsia="sk-SK"/>
              </w:rPr>
            </w:pPr>
            <w:r w:rsidRPr="00AA73E5">
              <w:rPr>
                <w:rFonts w:ascii="Times New Roman" w:hAnsi="Times New Roman"/>
                <w:b/>
                <w:bCs/>
                <w:sz w:val="20"/>
                <w:szCs w:val="20"/>
                <w:lang w:eastAsia="sk-SK"/>
              </w:rPr>
              <w:t>0,00</w:t>
            </w:r>
          </w:p>
        </w:tc>
        <w:tc>
          <w:tcPr>
            <w:tcW w:w="2220" w:type="dxa"/>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AA73E5" w:rsidRPr="00AA73E5" w:rsidRDefault="00AA73E5" w:rsidP="00AA73E5">
            <w:pPr>
              <w:spacing w:after="0" w:line="240" w:lineRule="auto"/>
              <w:rPr>
                <w:rFonts w:ascii="Times New Roman" w:hAnsi="Times New Roman"/>
                <w:b/>
                <w:bCs/>
                <w:sz w:val="20"/>
                <w:szCs w:val="20"/>
                <w:lang w:eastAsia="sk-SK"/>
              </w:rPr>
            </w:pPr>
            <w:r w:rsidRPr="00AA73E5">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single" w:sz="4" w:space="0" w:color="auto"/>
              <w:left w:val="nil"/>
              <w:bottom w:val="single" w:sz="4" w:space="0" w:color="auto"/>
              <w:right w:val="single" w:sz="4" w:space="0" w:color="auto"/>
            </w:tcBorders>
            <w:shd w:val="clear" w:color="auto" w:fill="BFBFBF"/>
          </w:tcPr>
          <w:p w:rsidR="00AA73E5" w:rsidRPr="00AA73E5" w:rsidRDefault="00AF55B2"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single" w:sz="4" w:space="0" w:color="auto"/>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right"/>
              <w:rPr>
                <w:rFonts w:ascii="Times New Roman" w:hAnsi="Times New Roman"/>
                <w:b/>
                <w:bCs/>
                <w:sz w:val="20"/>
                <w:szCs w:val="20"/>
                <w:lang w:eastAsia="sk-SK"/>
              </w:rPr>
            </w:pPr>
            <w:r w:rsidRPr="00AA73E5">
              <w:rPr>
                <w:rFonts w:ascii="Times New Roman" w:hAnsi="Times New Roman"/>
                <w:b/>
                <w:bCs/>
                <w:sz w:val="20"/>
                <w:szCs w:val="20"/>
                <w:lang w:eastAsia="sk-SK"/>
              </w:rPr>
              <w:t>0,00</w:t>
            </w:r>
          </w:p>
        </w:tc>
        <w:tc>
          <w:tcPr>
            <w:tcW w:w="1540" w:type="dxa"/>
            <w:tcBorders>
              <w:top w:val="single" w:sz="4" w:space="0" w:color="auto"/>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right"/>
              <w:rPr>
                <w:rFonts w:ascii="Times New Roman" w:hAnsi="Times New Roman"/>
                <w:b/>
                <w:bCs/>
                <w:sz w:val="24"/>
                <w:szCs w:val="24"/>
                <w:lang w:eastAsia="sk-SK"/>
              </w:rPr>
            </w:pPr>
            <w:r w:rsidRPr="00AA73E5">
              <w:rPr>
                <w:rFonts w:ascii="Times New Roman" w:hAnsi="Times New Roman"/>
                <w:b/>
                <w:bCs/>
                <w:sz w:val="20"/>
                <w:szCs w:val="20"/>
                <w:lang w:eastAsia="sk-SK"/>
              </w:rPr>
              <w:t>0,00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bl>
    <w:p w:rsidR="00AA73E5" w:rsidRPr="00AA73E5" w:rsidRDefault="00AA73E5" w:rsidP="00AA73E5">
      <w:pPr>
        <w:spacing w:after="0" w:line="240" w:lineRule="auto"/>
        <w:rPr>
          <w:rFonts w:ascii="Times New Roman" w:hAnsi="Times New Roman"/>
          <w:bCs/>
          <w:sz w:val="24"/>
          <w:szCs w:val="20"/>
          <w:lang w:eastAsia="sk-SK"/>
        </w:rPr>
      </w:pPr>
      <w:r w:rsidRPr="00AA73E5">
        <w:rPr>
          <w:rFonts w:ascii="Times New Roman" w:hAnsi="Times New Roman"/>
          <w:bCs/>
          <w:sz w:val="24"/>
          <w:szCs w:val="20"/>
          <w:lang w:eastAsia="sk-SK"/>
        </w:rPr>
        <w:br w:type="page"/>
      </w:r>
    </w:p>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pPr>
    </w:p>
    <w:p w:rsidR="00AA73E5" w:rsidRPr="00AA73E5" w:rsidRDefault="00AA73E5" w:rsidP="00AA73E5">
      <w:pPr>
        <w:tabs>
          <w:tab w:val="num" w:pos="1080"/>
        </w:tabs>
        <w:spacing w:after="0" w:line="240" w:lineRule="auto"/>
        <w:jc w:val="right"/>
        <w:rPr>
          <w:rFonts w:ascii="Times New Roman" w:hAnsi="Times New Roman"/>
          <w:bCs/>
          <w:sz w:val="24"/>
          <w:szCs w:val="24"/>
          <w:lang w:eastAsia="sk-SK"/>
        </w:rPr>
      </w:pPr>
      <w:r w:rsidRPr="00AA73E5">
        <w:rPr>
          <w:rFonts w:ascii="Times New Roman" w:hAnsi="Times New Roman"/>
          <w:bCs/>
          <w:sz w:val="24"/>
          <w:szCs w:val="24"/>
          <w:lang w:eastAsia="sk-SK"/>
        </w:rPr>
        <w:t xml:space="preserve">                 Tabuľka č. 5</w:t>
      </w:r>
    </w:p>
    <w:p w:rsidR="00AA73E5" w:rsidRPr="00AA73E5" w:rsidRDefault="00AA73E5" w:rsidP="00AA73E5">
      <w:pPr>
        <w:tabs>
          <w:tab w:val="num" w:pos="1080"/>
        </w:tabs>
        <w:spacing w:after="0" w:line="240" w:lineRule="auto"/>
        <w:jc w:val="both"/>
        <w:rPr>
          <w:rFonts w:ascii="Times New Roman" w:hAnsi="Times New Roman"/>
          <w:bCs/>
          <w:sz w:val="24"/>
          <w:szCs w:val="24"/>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AA73E5" w:rsidRPr="00AA73E5" w:rsidTr="00BE41D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poznámka</w:t>
            </w:r>
          </w:p>
        </w:tc>
      </w:tr>
      <w:tr w:rsidR="00AA73E5" w:rsidRPr="00AA73E5" w:rsidTr="00BE41D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A73E5" w:rsidRPr="00AA73E5" w:rsidRDefault="00AA73E5" w:rsidP="00AA73E5">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788" w:type="dxa"/>
            <w:tcBorders>
              <w:top w:val="nil"/>
              <w:left w:val="nil"/>
              <w:bottom w:val="single" w:sz="4" w:space="0" w:color="auto"/>
              <w:right w:val="single" w:sz="4" w:space="0" w:color="auto"/>
            </w:tcBorders>
            <w:shd w:val="clear" w:color="auto" w:fill="BFBFBF"/>
            <w:vAlign w:val="center"/>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202</w:t>
            </w:r>
            <w:r w:rsidR="00AF55B2">
              <w:rPr>
                <w:rFonts w:ascii="Times New Roman" w:hAnsi="Times New Roman"/>
                <w:b/>
                <w:bCs/>
                <w:sz w:val="24"/>
                <w:szCs w:val="24"/>
                <w:lang w:eastAsia="sk-SK"/>
              </w:rPr>
              <w:t>2</w:t>
            </w:r>
          </w:p>
        </w:tc>
        <w:tc>
          <w:tcPr>
            <w:tcW w:w="2418" w:type="dxa"/>
            <w:gridSpan w:val="2"/>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722" w:type="dxa"/>
            <w:tcBorders>
              <w:top w:val="nil"/>
              <w:left w:val="nil"/>
              <w:bottom w:val="single" w:sz="4" w:space="0" w:color="auto"/>
              <w:right w:val="single" w:sz="4" w:space="0" w:color="auto"/>
            </w:tcBorders>
            <w:shd w:val="clear" w:color="auto" w:fill="BFBFBF"/>
            <w:vAlign w:val="center"/>
          </w:tcPr>
          <w:p w:rsidR="00AA73E5" w:rsidRPr="00AA73E5" w:rsidRDefault="00AF55B2" w:rsidP="00AA73E5">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AA73E5" w:rsidRPr="00AA73E5" w:rsidRDefault="00AA73E5" w:rsidP="00AA73E5">
            <w:pPr>
              <w:spacing w:after="0" w:line="240" w:lineRule="auto"/>
              <w:rPr>
                <w:rFonts w:ascii="Times New Roman" w:hAnsi="Times New Roman"/>
                <w:b/>
                <w:bCs/>
                <w:color w:val="FFFFFF"/>
                <w:sz w:val="24"/>
                <w:szCs w:val="24"/>
                <w:lang w:eastAsia="sk-SK"/>
              </w:rPr>
            </w:pP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shd w:val="clear" w:color="auto" w:fill="BFBFBF"/>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rsidR="00AA73E5" w:rsidRPr="00AA73E5" w:rsidRDefault="00AA73E5" w:rsidP="00AA73E5">
            <w:pPr>
              <w:spacing w:after="0" w:line="240" w:lineRule="auto"/>
              <w:jc w:val="center"/>
              <w:rPr>
                <w:rFonts w:ascii="Times New Roman" w:hAnsi="Times New Roman"/>
                <w:b/>
                <w:bCs/>
                <w:sz w:val="24"/>
                <w:szCs w:val="24"/>
                <w:lang w:eastAsia="sk-SK"/>
              </w:rPr>
            </w:pPr>
            <w:r w:rsidRPr="00AA73E5">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b/>
                <w:bCs/>
                <w:sz w:val="24"/>
                <w:szCs w:val="24"/>
                <w:lang w:eastAsia="sk-SK"/>
              </w:rPr>
            </w:pPr>
            <w:r w:rsidRPr="00AA73E5">
              <w:rPr>
                <w:rFonts w:ascii="Times New Roman" w:hAnsi="Times New Roman"/>
                <w:b/>
                <w:bCs/>
                <w:sz w:val="24"/>
                <w:szCs w:val="24"/>
                <w:lang w:eastAsia="sk-SK"/>
              </w:rPr>
              <w:t> </w:t>
            </w:r>
          </w:p>
        </w:tc>
      </w:tr>
      <w:tr w:rsidR="00AA73E5" w:rsidRPr="00AA73E5" w:rsidTr="00BE41DD">
        <w:trPr>
          <w:trHeight w:val="255"/>
        </w:trPr>
        <w:tc>
          <w:tcPr>
            <w:tcW w:w="6188" w:type="dxa"/>
            <w:tcBorders>
              <w:top w:val="nil"/>
              <w:left w:val="single" w:sz="4" w:space="0" w:color="auto"/>
              <w:bottom w:val="single" w:sz="4" w:space="0" w:color="auto"/>
              <w:right w:val="single" w:sz="4" w:space="0" w:color="auto"/>
            </w:tcBorders>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AA73E5" w:rsidRPr="00AA73E5" w:rsidRDefault="00AA73E5" w:rsidP="00AA73E5">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 </w:t>
            </w:r>
          </w:p>
        </w:tc>
      </w:tr>
      <w:tr w:rsidR="00AA73E5" w:rsidRPr="00AA73E5" w:rsidTr="00BE41DD">
        <w:trPr>
          <w:trHeight w:val="255"/>
        </w:trPr>
        <w:tc>
          <w:tcPr>
            <w:tcW w:w="618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6188" w:type="dxa"/>
            <w:tcBorders>
              <w:top w:val="nil"/>
              <w:left w:val="nil"/>
              <w:bottom w:val="nil"/>
              <w:right w:val="nil"/>
            </w:tcBorders>
          </w:tcPr>
          <w:p w:rsidR="00AA73E5" w:rsidRPr="00AA73E5" w:rsidRDefault="00AA73E5" w:rsidP="00AA73E5">
            <w:pPr>
              <w:spacing w:after="0" w:line="240" w:lineRule="auto"/>
              <w:rPr>
                <w:rFonts w:ascii="Times New Roman" w:hAnsi="Times New Roman"/>
                <w:b/>
                <w:bCs/>
                <w:sz w:val="20"/>
                <w:szCs w:val="20"/>
                <w:lang w:eastAsia="sk-SK"/>
              </w:rPr>
            </w:pPr>
            <w:r w:rsidRPr="00AA73E5">
              <w:rPr>
                <w:rFonts w:ascii="Times New Roman" w:hAnsi="Times New Roman"/>
                <w:b/>
                <w:bCs/>
                <w:sz w:val="20"/>
                <w:szCs w:val="20"/>
                <w:lang w:eastAsia="sk-SK"/>
              </w:rPr>
              <w:t>Poznámky:</w:t>
            </w:r>
          </w:p>
        </w:tc>
        <w:tc>
          <w:tcPr>
            <w:tcW w:w="169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0"/>
                <w:szCs w:val="20"/>
                <w:lang w:eastAsia="sk-SK"/>
              </w:rPr>
            </w:pPr>
          </w:p>
        </w:tc>
        <w:tc>
          <w:tcPr>
            <w:tcW w:w="178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0"/>
                <w:szCs w:val="20"/>
                <w:lang w:eastAsia="sk-SK"/>
              </w:rPr>
            </w:pPr>
          </w:p>
        </w:tc>
        <w:tc>
          <w:tcPr>
            <w:tcW w:w="2418"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0"/>
                <w:szCs w:val="20"/>
                <w:lang w:eastAsia="sk-SK"/>
              </w:rPr>
            </w:pPr>
          </w:p>
        </w:tc>
        <w:tc>
          <w:tcPr>
            <w:tcW w:w="1722"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13814" w:type="dxa"/>
            <w:gridSpan w:val="6"/>
            <w:tcBorders>
              <w:top w:val="nil"/>
              <w:left w:val="nil"/>
              <w:bottom w:val="nil"/>
              <w:right w:val="nil"/>
            </w:tcBorders>
            <w:noWrap/>
          </w:tcPr>
          <w:p w:rsidR="00AA73E5" w:rsidRPr="00AA73E5" w:rsidRDefault="00AA73E5" w:rsidP="00AA73E5">
            <w:pPr>
              <w:tabs>
                <w:tab w:val="num" w:pos="1080"/>
              </w:tabs>
              <w:spacing w:after="0" w:line="240" w:lineRule="auto"/>
              <w:jc w:val="both"/>
              <w:rPr>
                <w:rFonts w:ascii="Times New Roman" w:hAnsi="Times New Roman"/>
                <w:bCs/>
                <w:sz w:val="20"/>
                <w:szCs w:val="20"/>
                <w:lang w:eastAsia="sk-SK"/>
              </w:rPr>
            </w:pPr>
            <w:r w:rsidRPr="00AA73E5">
              <w:rPr>
                <w:rFonts w:ascii="Times New Roman" w:hAnsi="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r w:rsidR="00AA73E5" w:rsidRPr="00AA73E5" w:rsidTr="00BE41DD">
        <w:trPr>
          <w:trHeight w:val="255"/>
        </w:trPr>
        <w:tc>
          <w:tcPr>
            <w:tcW w:w="10394" w:type="dxa"/>
            <w:gridSpan w:val="4"/>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0"/>
                <w:szCs w:val="20"/>
                <w:lang w:eastAsia="sk-SK"/>
              </w:rPr>
            </w:pPr>
            <w:r w:rsidRPr="00AA73E5">
              <w:rPr>
                <w:rFonts w:ascii="Times New Roman" w:hAnsi="Times New Roman"/>
                <w:sz w:val="20"/>
                <w:szCs w:val="20"/>
                <w:lang w:eastAsia="sk-SK"/>
              </w:rPr>
              <w:t>Kategórie 610 a 620 sú z tejto prílohy prenášané do príslušných kategórií prílohy „výdavky“.</w:t>
            </w:r>
          </w:p>
          <w:p w:rsidR="00AA73E5" w:rsidRPr="00AA73E5" w:rsidRDefault="00AA73E5" w:rsidP="00AA73E5">
            <w:pPr>
              <w:spacing w:after="0" w:line="240" w:lineRule="auto"/>
              <w:rPr>
                <w:rFonts w:ascii="Times New Roman" w:hAnsi="Times New Roman"/>
                <w:sz w:val="20"/>
                <w:szCs w:val="20"/>
                <w:lang w:eastAsia="sk-SK"/>
              </w:rPr>
            </w:pPr>
          </w:p>
          <w:p w:rsidR="00AA73E5" w:rsidRPr="00AA73E5" w:rsidRDefault="00AA73E5" w:rsidP="00AA73E5">
            <w:pPr>
              <w:spacing w:after="0" w:line="240" w:lineRule="auto"/>
              <w:rPr>
                <w:rFonts w:ascii="Times New Roman" w:hAnsi="Times New Roman"/>
                <w:sz w:val="20"/>
                <w:szCs w:val="20"/>
                <w:lang w:eastAsia="sk-SK"/>
              </w:rPr>
            </w:pPr>
          </w:p>
          <w:p w:rsidR="00AA73E5" w:rsidRPr="00AA73E5" w:rsidRDefault="00AA73E5" w:rsidP="00AA73E5">
            <w:pPr>
              <w:spacing w:after="0" w:line="240" w:lineRule="auto"/>
              <w:rPr>
                <w:rFonts w:ascii="Times New Roman" w:hAnsi="Times New Roman"/>
                <w:sz w:val="20"/>
                <w:szCs w:val="20"/>
                <w:lang w:eastAsia="sk-SK"/>
              </w:rPr>
            </w:pPr>
          </w:p>
          <w:p w:rsidR="00AA73E5" w:rsidRPr="00AA73E5" w:rsidRDefault="00AA73E5" w:rsidP="00AA73E5">
            <w:pPr>
              <w:spacing w:after="0" w:line="240" w:lineRule="auto"/>
              <w:rPr>
                <w:rFonts w:ascii="Times New Roman" w:hAnsi="Times New Roman"/>
                <w:sz w:val="20"/>
                <w:szCs w:val="20"/>
                <w:lang w:eastAsia="sk-SK"/>
              </w:rPr>
            </w:pPr>
          </w:p>
        </w:tc>
        <w:tc>
          <w:tcPr>
            <w:tcW w:w="1698"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AA73E5" w:rsidRPr="00AA73E5" w:rsidRDefault="00AA73E5" w:rsidP="00AA73E5">
            <w:pPr>
              <w:spacing w:after="0" w:line="240" w:lineRule="auto"/>
              <w:rPr>
                <w:rFonts w:ascii="Times New Roman" w:hAnsi="Times New Roman"/>
                <w:sz w:val="24"/>
                <w:szCs w:val="24"/>
                <w:lang w:eastAsia="sk-SK"/>
              </w:rPr>
            </w:pPr>
          </w:p>
        </w:tc>
      </w:tr>
    </w:tbl>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sectPr w:rsidR="00AA73E5" w:rsidRPr="00AA73E5" w:rsidSect="00BE41DD">
          <w:pgSz w:w="16838" w:h="11906" w:orient="landscape"/>
          <w:pgMar w:top="1418" w:right="1418" w:bottom="1418"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73E5" w:rsidRPr="00AA73E5" w:rsidTr="00BE41DD">
        <w:trPr>
          <w:trHeight w:val="567"/>
        </w:trPr>
        <w:tc>
          <w:tcPr>
            <w:tcW w:w="9212" w:type="dxa"/>
            <w:shd w:val="clear" w:color="auto" w:fill="D9D9D9"/>
          </w:tcPr>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Times New Roman" w:hAnsi="Times New Roman"/>
                <w:b/>
                <w:sz w:val="28"/>
                <w:szCs w:val="24"/>
                <w:lang w:eastAsia="sk-SK"/>
              </w:rPr>
              <w:lastRenderedPageBreak/>
              <w:t xml:space="preserve">Analýza vplyvov na podnikateľské prostredie </w:t>
            </w:r>
          </w:p>
          <w:p w:rsidR="00AA73E5" w:rsidRPr="00AA73E5" w:rsidRDefault="00AA73E5" w:rsidP="00AA73E5">
            <w:pPr>
              <w:spacing w:after="0" w:line="240" w:lineRule="auto"/>
              <w:jc w:val="center"/>
              <w:rPr>
                <w:rFonts w:ascii="Times New Roman" w:hAnsi="Times New Roman"/>
                <w:b/>
                <w:sz w:val="24"/>
                <w:szCs w:val="24"/>
                <w:lang w:eastAsia="sk-SK"/>
              </w:rPr>
            </w:pPr>
            <w:r w:rsidRPr="00AA73E5">
              <w:rPr>
                <w:rFonts w:ascii="Times New Roman" w:hAnsi="Times New Roman"/>
                <w:b/>
                <w:sz w:val="24"/>
                <w:szCs w:val="24"/>
                <w:lang w:eastAsia="sk-SK"/>
              </w:rPr>
              <w:t>(vrátane testu MSP)</w:t>
            </w:r>
          </w:p>
        </w:tc>
      </w:tr>
      <w:tr w:rsidR="00AA73E5" w:rsidRPr="00AA73E5" w:rsidTr="00BE41DD">
        <w:trPr>
          <w:trHeight w:val="567"/>
        </w:trPr>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Materiál bude mať vplyv s ohľadom na veľkostnú kategóriu podnikov:</w:t>
            </w:r>
          </w:p>
        </w:tc>
      </w:tr>
      <w:tr w:rsidR="00AA73E5" w:rsidRPr="00AA73E5" w:rsidTr="00BE41DD">
        <w:trPr>
          <w:trHeight w:val="567"/>
        </w:trPr>
        <w:tc>
          <w:tcPr>
            <w:tcW w:w="9212" w:type="dxa"/>
            <w:shd w:val="clear" w:color="auto" w:fill="auto"/>
          </w:tcPr>
          <w:tbl>
            <w:tblPr>
              <w:tblW w:w="0" w:type="auto"/>
              <w:tblLook w:val="04A0" w:firstRow="1" w:lastRow="0" w:firstColumn="1" w:lastColumn="0" w:noHBand="0" w:noVBand="1"/>
            </w:tblPr>
            <w:tblGrid>
              <w:gridCol w:w="436"/>
              <w:gridCol w:w="8408"/>
            </w:tblGrid>
            <w:tr w:rsidR="00AA73E5" w:rsidRPr="00AA73E5" w:rsidTr="00BE41DD">
              <w:tc>
                <w:tcPr>
                  <w:tcW w:w="436" w:type="dxa"/>
                  <w:tcBorders>
                    <w:top w:val="nil"/>
                    <w:left w:val="nil"/>
                    <w:bottom w:val="nil"/>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8545" w:type="dxa"/>
                  <w:tcBorders>
                    <w:top w:val="nil"/>
                    <w:left w:val="nil"/>
                    <w:bottom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 xml:space="preserve">iba na MSP (0 - 249 zamestnancov) </w:t>
                  </w:r>
                </w:p>
              </w:tc>
            </w:tr>
            <w:tr w:rsidR="00AA73E5" w:rsidRPr="00AA73E5" w:rsidTr="00BE41DD">
              <w:tc>
                <w:tcPr>
                  <w:tcW w:w="436" w:type="dxa"/>
                  <w:tcBorders>
                    <w:top w:val="nil"/>
                    <w:left w:val="nil"/>
                    <w:bottom w:val="nil"/>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Mincho" w:hAnsi="Segoe UI Symbol" w:cs="Segoe UI Symbol"/>
                      <w:sz w:val="24"/>
                      <w:szCs w:val="24"/>
                      <w:lang w:eastAsia="sk-SK"/>
                    </w:rPr>
                    <w:t>☐</w:t>
                  </w:r>
                </w:p>
              </w:tc>
              <w:tc>
                <w:tcPr>
                  <w:tcW w:w="8545" w:type="dxa"/>
                  <w:tcBorders>
                    <w:top w:val="nil"/>
                    <w:left w:val="nil"/>
                    <w:bottom w:val="nil"/>
                    <w:right w:val="nil"/>
                  </w:tcBorders>
                  <w:shd w:val="clear" w:color="auto" w:fill="auto"/>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iba na veľké podniky (250 a viac zamestnancov)</w:t>
                  </w:r>
                </w:p>
              </w:tc>
            </w:tr>
            <w:tr w:rsidR="00AA73E5" w:rsidRPr="00AA73E5" w:rsidTr="00BE41DD">
              <w:tc>
                <w:tcPr>
                  <w:tcW w:w="436" w:type="dxa"/>
                  <w:tcBorders>
                    <w:top w:val="nil"/>
                    <w:left w:val="nil"/>
                    <w:bottom w:val="nil"/>
                    <w:right w:val="nil"/>
                  </w:tcBorders>
                  <w:shd w:val="clear" w:color="auto" w:fill="auto"/>
                </w:tcPr>
                <w:p w:rsidR="00AA73E5" w:rsidRPr="00AA73E5" w:rsidRDefault="00AA73E5" w:rsidP="00AA73E5">
                  <w:pPr>
                    <w:spacing w:after="0" w:line="240" w:lineRule="auto"/>
                    <w:jc w:val="center"/>
                    <w:rPr>
                      <w:rFonts w:ascii="Times New Roman" w:hAnsi="Times New Roman"/>
                      <w:sz w:val="24"/>
                      <w:szCs w:val="24"/>
                      <w:lang w:eastAsia="sk-SK"/>
                    </w:rPr>
                  </w:pPr>
                  <w:r w:rsidRPr="00AA73E5">
                    <w:rPr>
                      <w:rFonts w:ascii="Segoe UI Symbol" w:eastAsia="MS Gothic" w:hAnsi="Segoe UI Symbol" w:cs="Segoe UI Symbol"/>
                      <w:sz w:val="24"/>
                      <w:szCs w:val="24"/>
                      <w:lang w:eastAsia="sk-SK"/>
                    </w:rPr>
                    <w:t>☒</w:t>
                  </w:r>
                </w:p>
              </w:tc>
              <w:tc>
                <w:tcPr>
                  <w:tcW w:w="8545" w:type="dxa"/>
                  <w:tcBorders>
                    <w:top w:val="nil"/>
                    <w:left w:val="nil"/>
                    <w:bottom w:val="nil"/>
                    <w:right w:val="nil"/>
                  </w:tcBorders>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sz w:val="24"/>
                      <w:szCs w:val="24"/>
                      <w:lang w:eastAsia="sk-SK"/>
                    </w:rPr>
                    <w:t>na všetky kategórie podnikov</w:t>
                  </w:r>
                </w:p>
              </w:tc>
            </w:tr>
          </w:tbl>
          <w:p w:rsidR="00AA73E5" w:rsidRPr="00AA73E5" w:rsidRDefault="00AA73E5" w:rsidP="00AA73E5">
            <w:pPr>
              <w:spacing w:after="0" w:line="240" w:lineRule="auto"/>
              <w:rPr>
                <w:rFonts w:ascii="Times New Roman" w:hAnsi="Times New Roman"/>
                <w:b/>
                <w:sz w:val="24"/>
                <w:szCs w:val="24"/>
                <w:lang w:eastAsia="sk-SK"/>
              </w:rPr>
            </w:pPr>
          </w:p>
        </w:tc>
      </w:tr>
      <w:tr w:rsidR="00AA73E5" w:rsidRPr="00AA73E5" w:rsidTr="00BE41DD">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3.1 Dotknuté podnikateľské subjekty</w:t>
            </w:r>
          </w:p>
          <w:p w:rsidR="00AA73E5" w:rsidRPr="00AA73E5" w:rsidRDefault="00AA73E5" w:rsidP="00AA73E5">
            <w:pPr>
              <w:spacing w:after="0" w:line="240" w:lineRule="auto"/>
              <w:ind w:left="284"/>
              <w:rPr>
                <w:rFonts w:ascii="Times New Roman" w:hAnsi="Times New Roman"/>
                <w:b/>
                <w:sz w:val="24"/>
                <w:szCs w:val="24"/>
                <w:lang w:eastAsia="sk-SK"/>
              </w:rPr>
            </w:pPr>
            <w:r w:rsidRPr="00AA73E5">
              <w:rPr>
                <w:rFonts w:ascii="Times New Roman" w:hAnsi="Times New Roman"/>
                <w:sz w:val="24"/>
                <w:szCs w:val="24"/>
                <w:lang w:eastAsia="sk-SK"/>
              </w:rPr>
              <w:t xml:space="preserve"> - </w:t>
            </w:r>
            <w:r w:rsidRPr="00AA73E5">
              <w:rPr>
                <w:rFonts w:ascii="Times New Roman" w:hAnsi="Times New Roman"/>
                <w:b/>
                <w:sz w:val="24"/>
                <w:szCs w:val="24"/>
                <w:lang w:eastAsia="sk-SK"/>
              </w:rPr>
              <w:t>z toho MSP</w:t>
            </w:r>
          </w:p>
        </w:tc>
      </w:tr>
      <w:tr w:rsidR="00AA73E5" w:rsidRPr="00AA73E5" w:rsidTr="00BE41DD">
        <w:tc>
          <w:tcPr>
            <w:tcW w:w="9212" w:type="dxa"/>
            <w:shd w:val="clear" w:color="auto" w:fill="auto"/>
          </w:tcPr>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Uveďte, aké podnikateľské subjekty budú predkladaným návrhom ovplyvnené.</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Aký je ich počet?</w:t>
            </w:r>
          </w:p>
        </w:tc>
      </w:tr>
      <w:tr w:rsidR="00AA73E5" w:rsidRPr="00AA73E5" w:rsidTr="00BE41DD">
        <w:trPr>
          <w:trHeight w:val="637"/>
        </w:trPr>
        <w:tc>
          <w:tcPr>
            <w:tcW w:w="9212" w:type="dxa"/>
            <w:shd w:val="clear" w:color="auto" w:fill="auto"/>
          </w:tcPr>
          <w:p w:rsidR="00AA73E5" w:rsidRDefault="00504404" w:rsidP="00AA73E5">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N</w:t>
            </w:r>
            <w:r w:rsidR="00AA73E5" w:rsidRPr="00AA73E5">
              <w:rPr>
                <w:rFonts w:ascii="Times New Roman" w:hAnsi="Times New Roman"/>
                <w:sz w:val="24"/>
                <w:szCs w:val="24"/>
                <w:lang w:eastAsia="sk-SK"/>
              </w:rPr>
              <w:t xml:space="preserve">ávrh zákona </w:t>
            </w:r>
            <w:r w:rsidR="00F67D71">
              <w:rPr>
                <w:rFonts w:ascii="Times New Roman" w:hAnsi="Times New Roman"/>
                <w:sz w:val="24"/>
                <w:szCs w:val="24"/>
                <w:lang w:eastAsia="sk-SK"/>
              </w:rPr>
              <w:t xml:space="preserve">v prípade úpravy lehoty dopredaja cigariet </w:t>
            </w:r>
            <w:r w:rsidR="00AA73E5" w:rsidRPr="00AA73E5">
              <w:rPr>
                <w:rFonts w:ascii="Times New Roman" w:hAnsi="Times New Roman"/>
                <w:sz w:val="24"/>
                <w:szCs w:val="24"/>
                <w:lang w:eastAsia="sk-SK"/>
              </w:rPr>
              <w:t xml:space="preserve">ovplyvní tie podnikateľské subjekty, ktoré </w:t>
            </w:r>
            <w:r>
              <w:rPr>
                <w:rFonts w:ascii="Times New Roman" w:hAnsi="Times New Roman"/>
                <w:sz w:val="24"/>
                <w:szCs w:val="24"/>
                <w:lang w:eastAsia="sk-SK"/>
              </w:rPr>
              <w:t>zabezpečujú predaj cigariet v daňovom voľnom obehu. Ide predovšetkým o bary, kasína, herne a pohostinstvá.</w:t>
            </w:r>
          </w:p>
          <w:p w:rsidR="00E144C3" w:rsidRPr="00E144C3" w:rsidRDefault="00E144C3" w:rsidP="00E144C3">
            <w:pPr>
              <w:spacing w:after="0" w:line="240" w:lineRule="auto"/>
              <w:jc w:val="both"/>
              <w:rPr>
                <w:rFonts w:ascii="Times New Roman" w:hAnsi="Times New Roman"/>
                <w:sz w:val="24"/>
                <w:szCs w:val="24"/>
                <w:lang w:eastAsia="sk-SK"/>
              </w:rPr>
            </w:pPr>
            <w:r w:rsidRPr="00E144C3">
              <w:rPr>
                <w:rFonts w:ascii="Times New Roman" w:hAnsi="Times New Roman"/>
                <w:sz w:val="24"/>
                <w:szCs w:val="24"/>
              </w:rPr>
              <w:t xml:space="preserve">Navrhované opatrenie </w:t>
            </w:r>
            <w:r>
              <w:rPr>
                <w:rFonts w:ascii="Times New Roman" w:hAnsi="Times New Roman"/>
                <w:sz w:val="24"/>
                <w:szCs w:val="24"/>
              </w:rPr>
              <w:t xml:space="preserve">odkladu odvodov z hazardných hier </w:t>
            </w:r>
            <w:r w:rsidRPr="00E144C3">
              <w:rPr>
                <w:rFonts w:ascii="Times New Roman" w:hAnsi="Times New Roman"/>
                <w:sz w:val="24"/>
                <w:szCs w:val="24"/>
              </w:rPr>
              <w:t xml:space="preserve">sa týka všetkých prevádzkovateľov hazardných hier, pričom sa predpokladá, že ho využijú prevádzkovatelia výherných prístrojov, terminálov videohier, technických zariadení obsluhovaných priamo hráčmi a iných technických zariadení, ktorí prevádzkujú hazardné hry v herniach a v kasínach, ktoré </w:t>
            </w:r>
            <w:r>
              <w:rPr>
                <w:rFonts w:ascii="Times New Roman" w:hAnsi="Times New Roman"/>
                <w:sz w:val="24"/>
                <w:szCs w:val="24"/>
              </w:rPr>
              <w:t xml:space="preserve">sú ešte stále </w:t>
            </w:r>
            <w:r w:rsidRPr="00E144C3">
              <w:rPr>
                <w:rFonts w:ascii="Times New Roman" w:hAnsi="Times New Roman"/>
                <w:sz w:val="24"/>
                <w:szCs w:val="24"/>
              </w:rPr>
              <w:t xml:space="preserve">zatvorené, a ktorí </w:t>
            </w:r>
            <w:r>
              <w:rPr>
                <w:rFonts w:ascii="Times New Roman" w:hAnsi="Times New Roman"/>
                <w:sz w:val="24"/>
                <w:szCs w:val="24"/>
              </w:rPr>
              <w:t xml:space="preserve">uhrádzajú </w:t>
            </w:r>
            <w:r w:rsidRPr="00E144C3">
              <w:rPr>
                <w:rFonts w:ascii="Times New Roman" w:hAnsi="Times New Roman"/>
                <w:sz w:val="24"/>
                <w:szCs w:val="24"/>
              </w:rPr>
              <w:t>paušáln</w:t>
            </w:r>
            <w:r>
              <w:rPr>
                <w:rFonts w:ascii="Times New Roman" w:hAnsi="Times New Roman"/>
                <w:sz w:val="24"/>
                <w:szCs w:val="24"/>
              </w:rPr>
              <w:t>e</w:t>
            </w:r>
            <w:r w:rsidRPr="00E144C3">
              <w:rPr>
                <w:rFonts w:ascii="Times New Roman" w:hAnsi="Times New Roman"/>
                <w:sz w:val="24"/>
                <w:szCs w:val="24"/>
              </w:rPr>
              <w:t xml:space="preserve"> odvod</w:t>
            </w:r>
            <w:r>
              <w:rPr>
                <w:rFonts w:ascii="Times New Roman" w:hAnsi="Times New Roman"/>
                <w:sz w:val="24"/>
                <w:szCs w:val="24"/>
              </w:rPr>
              <w:t>y</w:t>
            </w:r>
            <w:r w:rsidRPr="00E144C3">
              <w:rPr>
                <w:rFonts w:ascii="Times New Roman" w:hAnsi="Times New Roman"/>
                <w:sz w:val="24"/>
                <w:szCs w:val="24"/>
              </w:rPr>
              <w:t xml:space="preserve">. Počet takýchto prevádzkovateľov je </w:t>
            </w:r>
            <w:r>
              <w:rPr>
                <w:rFonts w:ascii="Times New Roman" w:hAnsi="Times New Roman"/>
                <w:sz w:val="24"/>
                <w:szCs w:val="24"/>
              </w:rPr>
              <w:t xml:space="preserve">cca </w:t>
            </w:r>
            <w:r w:rsidRPr="00E144C3">
              <w:rPr>
                <w:rFonts w:ascii="Times New Roman" w:hAnsi="Times New Roman"/>
                <w:sz w:val="24"/>
                <w:szCs w:val="24"/>
              </w:rPr>
              <w:t>2</w:t>
            </w:r>
            <w:r>
              <w:rPr>
                <w:rFonts w:ascii="Times New Roman" w:hAnsi="Times New Roman"/>
                <w:sz w:val="24"/>
                <w:szCs w:val="24"/>
              </w:rPr>
              <w:t>0</w:t>
            </w:r>
            <w:r w:rsidRPr="00E144C3">
              <w:rPr>
                <w:rFonts w:ascii="Times New Roman" w:hAnsi="Times New Roman"/>
                <w:sz w:val="24"/>
                <w:szCs w:val="24"/>
              </w:rPr>
              <w:t>.</w:t>
            </w:r>
            <w:r>
              <w:rPr>
                <w:rFonts w:ascii="Times New Roman" w:hAnsi="Times New Roman"/>
                <w:sz w:val="24"/>
                <w:szCs w:val="24"/>
              </w:rPr>
              <w:t xml:space="preserve"> Ide všetko o MSP.</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rPr>
          <w:trHeight w:val="339"/>
        </w:trPr>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3.2 Vyhodnotenie konzultácií</w:t>
            </w:r>
          </w:p>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sz w:val="24"/>
                <w:szCs w:val="24"/>
                <w:lang w:eastAsia="sk-SK"/>
              </w:rPr>
              <w:t xml:space="preserve">       - </w:t>
            </w:r>
            <w:r w:rsidRPr="00AA73E5">
              <w:rPr>
                <w:rFonts w:ascii="Times New Roman" w:hAnsi="Times New Roman"/>
                <w:b/>
                <w:sz w:val="24"/>
                <w:szCs w:val="24"/>
                <w:lang w:eastAsia="sk-SK"/>
              </w:rPr>
              <w:t>z toho MSP</w:t>
            </w:r>
          </w:p>
        </w:tc>
      </w:tr>
      <w:tr w:rsidR="00AA73E5" w:rsidRPr="00AA73E5" w:rsidTr="00BE41DD">
        <w:trPr>
          <w:trHeight w:val="557"/>
        </w:trPr>
        <w:tc>
          <w:tcPr>
            <w:tcW w:w="9212" w:type="dxa"/>
            <w:shd w:val="clear" w:color="auto" w:fill="auto"/>
          </w:tcPr>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Uveďte, akou formou (verejné alebo cielené konzultácie a prečo) a s kým bol návrh konzultovaný.</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Ako dlho trvali konzultácie?</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 xml:space="preserve">Uveďte hlavné body konzultácií a výsledky konzultácií. </w:t>
            </w:r>
          </w:p>
        </w:tc>
      </w:tr>
      <w:tr w:rsidR="00AA73E5" w:rsidRPr="00AA73E5" w:rsidTr="00BE41DD">
        <w:trPr>
          <w:trHeight w:val="272"/>
        </w:trPr>
        <w:tc>
          <w:tcPr>
            <w:tcW w:w="9212" w:type="dxa"/>
            <w:shd w:val="clear" w:color="auto" w:fill="auto"/>
          </w:tcPr>
          <w:p w:rsidR="00AA73E5" w:rsidRPr="00AA73E5" w:rsidRDefault="00AA73E5" w:rsidP="00AA73E5">
            <w:pPr>
              <w:spacing w:after="0" w:line="240" w:lineRule="auto"/>
              <w:jc w:val="both"/>
              <w:rPr>
                <w:rFonts w:ascii="Times New Roman" w:hAnsi="Times New Roman"/>
                <w:b/>
                <w:sz w:val="8"/>
                <w:szCs w:val="8"/>
                <w:lang w:eastAsia="sk-SK"/>
              </w:rPr>
            </w:pPr>
          </w:p>
          <w:p w:rsidR="00AA73E5" w:rsidRPr="00AA73E5" w:rsidRDefault="00AA73E5" w:rsidP="00504404">
            <w:pPr>
              <w:spacing w:after="0" w:line="240" w:lineRule="auto"/>
              <w:jc w:val="both"/>
              <w:rPr>
                <w:rFonts w:ascii="Times New Roman" w:hAnsi="Times New Roman"/>
                <w:sz w:val="8"/>
                <w:szCs w:val="8"/>
              </w:rPr>
            </w:pPr>
          </w:p>
        </w:tc>
      </w:tr>
      <w:tr w:rsidR="00AA73E5" w:rsidRPr="00AA73E5" w:rsidTr="00BE41DD">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3.3 Náklady regulácie</w:t>
            </w:r>
          </w:p>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sz w:val="24"/>
                <w:szCs w:val="24"/>
                <w:lang w:eastAsia="sk-SK"/>
              </w:rPr>
              <w:t xml:space="preserve">      - </w:t>
            </w:r>
            <w:r w:rsidRPr="00AA73E5">
              <w:rPr>
                <w:rFonts w:ascii="Times New Roman" w:hAnsi="Times New Roman"/>
                <w:b/>
                <w:sz w:val="24"/>
                <w:szCs w:val="24"/>
                <w:lang w:eastAsia="sk-SK"/>
              </w:rPr>
              <w:t>z toho MSP</w:t>
            </w:r>
          </w:p>
        </w:tc>
      </w:tr>
      <w:tr w:rsidR="00AA73E5" w:rsidRPr="00AA73E5" w:rsidTr="00BE41DD">
        <w:tc>
          <w:tcPr>
            <w:tcW w:w="9212" w:type="dxa"/>
            <w:shd w:val="clear" w:color="auto" w:fill="auto"/>
          </w:tcPr>
          <w:p w:rsidR="00AA73E5" w:rsidRPr="00AA73E5" w:rsidRDefault="00AA73E5" w:rsidP="00AA73E5">
            <w:pPr>
              <w:spacing w:after="0" w:line="240" w:lineRule="auto"/>
              <w:rPr>
                <w:rFonts w:ascii="Times New Roman" w:hAnsi="Times New Roman"/>
                <w:b/>
                <w:i/>
                <w:sz w:val="24"/>
                <w:szCs w:val="24"/>
                <w:lang w:eastAsia="sk-SK"/>
              </w:rPr>
            </w:pPr>
            <w:r w:rsidRPr="00AA73E5">
              <w:rPr>
                <w:rFonts w:ascii="Times New Roman" w:hAnsi="Times New Roman"/>
                <w:b/>
                <w:i/>
                <w:sz w:val="24"/>
                <w:szCs w:val="24"/>
                <w:lang w:eastAsia="sk-SK"/>
              </w:rPr>
              <w:t>3.3.1 Priame finančné náklady</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 xml:space="preserve">Dochádza k zvýšeniu/zníženiu priamych finančných nákladov (poplatky, odvody, dane clá...)? Ak áno, popíšte a vyčíslite ich. Uveďte tiež spôsob ich výpočtu. </w:t>
            </w:r>
          </w:p>
        </w:tc>
      </w:tr>
      <w:tr w:rsidR="00AA73E5" w:rsidRPr="00AA73E5" w:rsidTr="00BE41DD">
        <w:trPr>
          <w:trHeight w:val="434"/>
        </w:trPr>
        <w:tc>
          <w:tcPr>
            <w:tcW w:w="9212" w:type="dxa"/>
            <w:shd w:val="clear" w:color="auto" w:fill="auto"/>
          </w:tcPr>
          <w:p w:rsidR="00AA73E5" w:rsidRPr="00AA73E5" w:rsidRDefault="005E45AF" w:rsidP="00F67D7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Predpokladá sa zníženie priamych finančných nákladov subjektov</w:t>
            </w:r>
            <w:r w:rsidR="00F67D71">
              <w:rPr>
                <w:rFonts w:ascii="Times New Roman" w:hAnsi="Times New Roman"/>
                <w:sz w:val="24"/>
                <w:szCs w:val="24"/>
                <w:lang w:eastAsia="sk-SK"/>
              </w:rPr>
              <w:t xml:space="preserve"> podnikajúcich s tabakovými výrobkami</w:t>
            </w:r>
            <w:r>
              <w:rPr>
                <w:rFonts w:ascii="Times New Roman" w:hAnsi="Times New Roman"/>
                <w:sz w:val="24"/>
                <w:szCs w:val="24"/>
                <w:lang w:eastAsia="sk-SK"/>
              </w:rPr>
              <w:t>, ktoré spočíva</w:t>
            </w:r>
            <w:r w:rsidR="00D27628">
              <w:rPr>
                <w:rFonts w:ascii="Times New Roman" w:hAnsi="Times New Roman"/>
                <w:sz w:val="24"/>
                <w:szCs w:val="24"/>
                <w:lang w:eastAsia="sk-SK"/>
              </w:rPr>
              <w:t xml:space="preserve"> v</w:t>
            </w:r>
            <w:r>
              <w:rPr>
                <w:rFonts w:ascii="Times New Roman" w:hAnsi="Times New Roman"/>
                <w:sz w:val="24"/>
                <w:szCs w:val="24"/>
                <w:lang w:eastAsia="sk-SK"/>
              </w:rPr>
              <w:t xml:space="preserve"> ušetrení nákladov spojených s likvidáciou </w:t>
            </w:r>
            <w:r w:rsidR="00D27628">
              <w:rPr>
                <w:rFonts w:ascii="Times New Roman" w:hAnsi="Times New Roman"/>
                <w:sz w:val="24"/>
                <w:szCs w:val="24"/>
                <w:lang w:eastAsia="sk-SK"/>
              </w:rPr>
              <w:t>nepredaných spotrebiteľských balení cigariet.</w:t>
            </w:r>
          </w:p>
        </w:tc>
      </w:tr>
      <w:tr w:rsidR="00AA73E5" w:rsidRPr="00AA73E5" w:rsidTr="00BE41DD">
        <w:tc>
          <w:tcPr>
            <w:tcW w:w="9212" w:type="dxa"/>
            <w:shd w:val="clear" w:color="auto" w:fill="auto"/>
          </w:tcPr>
          <w:p w:rsidR="00AA73E5" w:rsidRPr="00AA73E5" w:rsidRDefault="00AA73E5" w:rsidP="00AA73E5">
            <w:pPr>
              <w:spacing w:after="0" w:line="240" w:lineRule="auto"/>
              <w:rPr>
                <w:rFonts w:ascii="Times New Roman" w:hAnsi="Times New Roman"/>
                <w:b/>
                <w:i/>
                <w:sz w:val="24"/>
                <w:szCs w:val="24"/>
                <w:lang w:eastAsia="sk-SK"/>
              </w:rPr>
            </w:pPr>
            <w:r w:rsidRPr="00AA73E5">
              <w:rPr>
                <w:rFonts w:ascii="Times New Roman" w:hAnsi="Times New Roman"/>
                <w:b/>
                <w:i/>
                <w:sz w:val="24"/>
                <w:szCs w:val="24"/>
                <w:lang w:eastAsia="sk-SK"/>
              </w:rPr>
              <w:t>3.3.2 Nepriame finančné náklady</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AA73E5" w:rsidRPr="00AA73E5" w:rsidTr="00BE41DD">
        <w:tc>
          <w:tcPr>
            <w:tcW w:w="9212" w:type="dxa"/>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Nepredpokladajú sa nepriame finančné náklady.</w:t>
            </w:r>
          </w:p>
          <w:p w:rsidR="00AA73E5" w:rsidRPr="00AA73E5" w:rsidRDefault="00AA73E5" w:rsidP="00AA73E5">
            <w:pPr>
              <w:spacing w:after="0" w:line="240" w:lineRule="auto"/>
              <w:rPr>
                <w:rFonts w:ascii="Times New Roman" w:hAnsi="Times New Roman"/>
                <w:sz w:val="8"/>
                <w:szCs w:val="8"/>
                <w:lang w:eastAsia="sk-SK"/>
              </w:rPr>
            </w:pPr>
          </w:p>
        </w:tc>
      </w:tr>
      <w:tr w:rsidR="00AA73E5" w:rsidRPr="00AA73E5" w:rsidTr="00BE41DD">
        <w:tc>
          <w:tcPr>
            <w:tcW w:w="9212" w:type="dxa"/>
            <w:shd w:val="clear" w:color="auto" w:fill="auto"/>
          </w:tcPr>
          <w:p w:rsidR="00AA73E5" w:rsidRPr="00AA73E5" w:rsidRDefault="00AA73E5" w:rsidP="00AA73E5">
            <w:pPr>
              <w:spacing w:after="0" w:line="240" w:lineRule="auto"/>
              <w:rPr>
                <w:rFonts w:ascii="Times New Roman" w:hAnsi="Times New Roman"/>
                <w:b/>
                <w:i/>
                <w:sz w:val="24"/>
                <w:szCs w:val="24"/>
                <w:lang w:eastAsia="sk-SK"/>
              </w:rPr>
            </w:pPr>
            <w:r w:rsidRPr="00AA73E5">
              <w:rPr>
                <w:rFonts w:ascii="Times New Roman" w:hAnsi="Times New Roman"/>
                <w:b/>
                <w:i/>
                <w:sz w:val="24"/>
                <w:szCs w:val="24"/>
                <w:lang w:eastAsia="sk-SK"/>
              </w:rPr>
              <w:t>3.3.3 Administratívne náklady</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A73E5" w:rsidRPr="00AA73E5" w:rsidTr="00BE41DD">
        <w:tc>
          <w:tcPr>
            <w:tcW w:w="9212" w:type="dxa"/>
            <w:shd w:val="clear" w:color="auto" w:fill="auto"/>
          </w:tcPr>
          <w:p w:rsidR="00AA73E5" w:rsidRPr="00AA73E5" w:rsidRDefault="00AA73E5" w:rsidP="00F67D71">
            <w:pPr>
              <w:spacing w:after="0" w:line="240" w:lineRule="auto"/>
              <w:jc w:val="both"/>
              <w:rPr>
                <w:rFonts w:ascii="Times New Roman" w:hAnsi="Times New Roman"/>
                <w:sz w:val="24"/>
                <w:szCs w:val="24"/>
                <w:lang w:eastAsia="sk-SK"/>
              </w:rPr>
            </w:pPr>
            <w:r w:rsidRPr="00AA73E5">
              <w:rPr>
                <w:rFonts w:ascii="Times New Roman" w:hAnsi="Times New Roman"/>
                <w:sz w:val="24"/>
                <w:szCs w:val="24"/>
                <w:lang w:eastAsia="sk-SK"/>
              </w:rPr>
              <w:t xml:space="preserve">Predpokladá sa </w:t>
            </w:r>
            <w:r w:rsidR="005E45AF">
              <w:rPr>
                <w:rFonts w:ascii="Times New Roman" w:hAnsi="Times New Roman"/>
                <w:sz w:val="24"/>
                <w:szCs w:val="24"/>
                <w:lang w:eastAsia="sk-SK"/>
              </w:rPr>
              <w:t>zníženie</w:t>
            </w:r>
            <w:r w:rsidRPr="00AA73E5">
              <w:rPr>
                <w:rFonts w:ascii="Times New Roman" w:hAnsi="Times New Roman"/>
                <w:sz w:val="24"/>
                <w:szCs w:val="24"/>
                <w:lang w:eastAsia="sk-SK"/>
              </w:rPr>
              <w:t xml:space="preserve"> administratívnej záťaže</w:t>
            </w:r>
            <w:r w:rsidR="005E45AF">
              <w:rPr>
                <w:rFonts w:ascii="Times New Roman" w:hAnsi="Times New Roman"/>
                <w:sz w:val="24"/>
                <w:szCs w:val="24"/>
                <w:lang w:eastAsia="sk-SK"/>
              </w:rPr>
              <w:t xml:space="preserve"> dotknutých subjektov, nakoľko subjekty</w:t>
            </w:r>
            <w:r w:rsidR="00F67D71">
              <w:rPr>
                <w:rFonts w:ascii="Times New Roman" w:hAnsi="Times New Roman"/>
                <w:sz w:val="24"/>
                <w:szCs w:val="24"/>
                <w:lang w:eastAsia="sk-SK"/>
              </w:rPr>
              <w:t xml:space="preserve"> podnikajúce s tabakovými výrobkami</w:t>
            </w:r>
            <w:r w:rsidR="005E45AF">
              <w:rPr>
                <w:rFonts w:ascii="Times New Roman" w:hAnsi="Times New Roman"/>
                <w:sz w:val="24"/>
                <w:szCs w:val="24"/>
                <w:lang w:eastAsia="sk-SK"/>
              </w:rPr>
              <w:t xml:space="preserve"> nebudú mať povinnosť</w:t>
            </w:r>
            <w:r w:rsidR="005E45AF" w:rsidRPr="005E45AF">
              <w:rPr>
                <w:rFonts w:ascii="Times New Roman" w:hAnsi="Times New Roman"/>
                <w:sz w:val="24"/>
                <w:szCs w:val="24"/>
                <w:lang w:eastAsia="sk-SK"/>
              </w:rPr>
              <w:t xml:space="preserve"> oznámiť správcovi dane </w:t>
            </w:r>
            <w:r w:rsidR="005E45AF" w:rsidRPr="005E45AF">
              <w:rPr>
                <w:rFonts w:ascii="Times New Roman" w:hAnsi="Times New Roman"/>
                <w:sz w:val="24"/>
                <w:szCs w:val="24"/>
                <w:lang w:eastAsia="sk-SK"/>
              </w:rPr>
              <w:lastRenderedPageBreak/>
              <w:t xml:space="preserve">množstvo </w:t>
            </w:r>
            <w:r w:rsidR="005E45AF">
              <w:rPr>
                <w:rFonts w:ascii="Times New Roman" w:hAnsi="Times New Roman"/>
                <w:sz w:val="24"/>
                <w:szCs w:val="24"/>
                <w:lang w:eastAsia="sk-SK"/>
              </w:rPr>
              <w:t>nepredaných spotrebiteľských balení cigariet</w:t>
            </w:r>
            <w:r w:rsidR="005E45AF" w:rsidRPr="005E45AF">
              <w:rPr>
                <w:rFonts w:ascii="Times New Roman" w:hAnsi="Times New Roman"/>
                <w:sz w:val="24"/>
                <w:szCs w:val="24"/>
                <w:lang w:eastAsia="sk-SK"/>
              </w:rPr>
              <w:t xml:space="preserve"> a</w:t>
            </w:r>
            <w:r w:rsidR="005E45AF">
              <w:rPr>
                <w:rFonts w:ascii="Times New Roman" w:hAnsi="Times New Roman"/>
                <w:sz w:val="24"/>
                <w:szCs w:val="24"/>
                <w:lang w:eastAsia="sk-SK"/>
              </w:rPr>
              <w:t> následne nebudú povinní poži</w:t>
            </w:r>
            <w:r w:rsidR="005E45AF" w:rsidRPr="005E45AF">
              <w:rPr>
                <w:rFonts w:ascii="Times New Roman" w:hAnsi="Times New Roman"/>
                <w:sz w:val="24"/>
                <w:szCs w:val="24"/>
                <w:lang w:eastAsia="sk-SK"/>
              </w:rPr>
              <w:t xml:space="preserve">adať </w:t>
            </w:r>
            <w:r w:rsidR="005E45AF">
              <w:rPr>
                <w:rFonts w:ascii="Times New Roman" w:hAnsi="Times New Roman"/>
                <w:sz w:val="24"/>
                <w:szCs w:val="24"/>
                <w:lang w:eastAsia="sk-SK"/>
              </w:rPr>
              <w:t xml:space="preserve">colný úrad </w:t>
            </w:r>
            <w:r w:rsidR="005E45AF" w:rsidRPr="005E45AF">
              <w:rPr>
                <w:rFonts w:ascii="Times New Roman" w:hAnsi="Times New Roman"/>
                <w:sz w:val="24"/>
                <w:szCs w:val="24"/>
                <w:lang w:eastAsia="sk-SK"/>
              </w:rPr>
              <w:t xml:space="preserve">o ich zničenie </w:t>
            </w:r>
            <w:r w:rsidR="005E45AF">
              <w:rPr>
                <w:rFonts w:ascii="Times New Roman" w:hAnsi="Times New Roman"/>
                <w:sz w:val="24"/>
                <w:szCs w:val="24"/>
                <w:lang w:eastAsia="sk-SK"/>
              </w:rPr>
              <w:t xml:space="preserve">na vlastné náklady.  </w:t>
            </w:r>
          </w:p>
        </w:tc>
      </w:tr>
      <w:tr w:rsidR="00AA73E5" w:rsidRPr="00AA73E5" w:rsidTr="00BE41DD">
        <w:trPr>
          <w:trHeight w:val="2318"/>
        </w:trPr>
        <w:tc>
          <w:tcPr>
            <w:tcW w:w="9212" w:type="dxa"/>
            <w:shd w:val="clear" w:color="auto" w:fill="auto"/>
          </w:tcPr>
          <w:p w:rsidR="00AA73E5" w:rsidRPr="00AA73E5" w:rsidRDefault="00AA73E5" w:rsidP="00AA73E5">
            <w:pPr>
              <w:spacing w:after="0" w:line="240" w:lineRule="auto"/>
              <w:rPr>
                <w:rFonts w:ascii="Times New Roman" w:hAnsi="Times New Roman"/>
                <w:i/>
                <w:sz w:val="24"/>
                <w:szCs w:val="24"/>
                <w:lang w:eastAsia="sk-SK"/>
              </w:rPr>
            </w:pPr>
            <w:r w:rsidRPr="00AA73E5">
              <w:rPr>
                <w:rFonts w:ascii="Times New Roman" w:hAnsi="Times New Roman"/>
                <w:b/>
                <w:i/>
                <w:sz w:val="24"/>
                <w:szCs w:val="24"/>
                <w:lang w:eastAsia="sk-SK"/>
              </w:rPr>
              <w:lastRenderedPageBreak/>
              <w:t>3.3.4 Súhrnná tabuľka nákladov regulácie</w:t>
            </w:r>
          </w:p>
          <w:p w:rsidR="00AA73E5" w:rsidRPr="00AA73E5" w:rsidRDefault="00AA73E5" w:rsidP="00AA73E5">
            <w:pPr>
              <w:spacing w:after="0" w:line="240" w:lineRule="auto"/>
              <w:rPr>
                <w:rFonts w:ascii="Times New Roman" w:hAnsi="Times New Roman"/>
                <w:i/>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39"/>
              <w:gridCol w:w="2945"/>
            </w:tblGrid>
            <w:tr w:rsidR="00AA73E5" w:rsidRPr="00AA73E5" w:rsidTr="00BE41DD">
              <w:tc>
                <w:tcPr>
                  <w:tcW w:w="2993"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rPr>
                      <w:rFonts w:ascii="Times New Roman" w:hAnsi="Times New Roman"/>
                      <w:i/>
                      <w:sz w:val="24"/>
                      <w:szCs w:val="24"/>
                      <w:lang w:eastAsia="sk-SK"/>
                    </w:rPr>
                  </w:pP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Náklady na celé podnikateľské prostredie</w:t>
                  </w:r>
                </w:p>
              </w:tc>
            </w:tr>
            <w:tr w:rsidR="00AA73E5" w:rsidRPr="00AA73E5" w:rsidTr="00BE41DD">
              <w:tc>
                <w:tcPr>
                  <w:tcW w:w="2993"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rPr>
                      <w:rFonts w:ascii="Times New Roman" w:hAnsi="Times New Roman"/>
                      <w:i/>
                      <w:sz w:val="24"/>
                      <w:szCs w:val="24"/>
                      <w:lang w:eastAsia="sk-SK"/>
                    </w:rPr>
                  </w:pPr>
                  <w:r w:rsidRPr="00AA73E5">
                    <w:rPr>
                      <w:rFonts w:ascii="Times New Roman" w:hAnsi="Times New Roman"/>
                      <w:i/>
                      <w:sz w:val="24"/>
                      <w:szCs w:val="24"/>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r>
            <w:tr w:rsidR="00AA73E5" w:rsidRPr="00AA73E5" w:rsidTr="00BE41DD">
              <w:tc>
                <w:tcPr>
                  <w:tcW w:w="2993"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rPr>
                      <w:rFonts w:ascii="Times New Roman" w:hAnsi="Times New Roman"/>
                      <w:i/>
                      <w:sz w:val="24"/>
                      <w:szCs w:val="24"/>
                      <w:lang w:eastAsia="sk-SK"/>
                    </w:rPr>
                  </w:pPr>
                  <w:r w:rsidRPr="00AA73E5">
                    <w:rPr>
                      <w:rFonts w:ascii="Times New Roman" w:hAnsi="Times New Roman"/>
                      <w:i/>
                      <w:sz w:val="24"/>
                      <w:szCs w:val="24"/>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r>
            <w:tr w:rsidR="00AA73E5" w:rsidRPr="00AA73E5" w:rsidTr="00BE41DD">
              <w:tc>
                <w:tcPr>
                  <w:tcW w:w="2993"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rPr>
                      <w:rFonts w:ascii="Times New Roman" w:hAnsi="Times New Roman"/>
                      <w:i/>
                      <w:sz w:val="24"/>
                      <w:szCs w:val="24"/>
                      <w:lang w:eastAsia="sk-SK"/>
                    </w:rPr>
                  </w:pPr>
                  <w:r w:rsidRPr="00AA73E5">
                    <w:rPr>
                      <w:rFonts w:ascii="Times New Roman" w:hAnsi="Times New Roman"/>
                      <w:i/>
                      <w:sz w:val="24"/>
                      <w:szCs w:val="24"/>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i/>
                      <w:sz w:val="24"/>
                      <w:szCs w:val="24"/>
                      <w:lang w:eastAsia="sk-SK"/>
                    </w:rPr>
                  </w:pPr>
                  <w:r w:rsidRPr="00AA73E5">
                    <w:rPr>
                      <w:rFonts w:ascii="Times New Roman" w:hAnsi="Times New Roman"/>
                      <w:i/>
                      <w:sz w:val="24"/>
                      <w:szCs w:val="24"/>
                      <w:lang w:eastAsia="sk-SK"/>
                    </w:rPr>
                    <w:t>0</w:t>
                  </w:r>
                </w:p>
              </w:tc>
            </w:tr>
            <w:tr w:rsidR="00AA73E5" w:rsidRPr="00AA73E5" w:rsidTr="00BE41DD">
              <w:tc>
                <w:tcPr>
                  <w:tcW w:w="2993"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rPr>
                      <w:rFonts w:ascii="Times New Roman" w:hAnsi="Times New Roman"/>
                      <w:b/>
                      <w:i/>
                      <w:sz w:val="24"/>
                      <w:szCs w:val="24"/>
                      <w:lang w:eastAsia="sk-SK"/>
                    </w:rPr>
                  </w:pPr>
                  <w:r w:rsidRPr="00AA73E5">
                    <w:rPr>
                      <w:rFonts w:ascii="Times New Roman" w:hAnsi="Times New Roman"/>
                      <w:b/>
                      <w:i/>
                      <w:sz w:val="24"/>
                      <w:szCs w:val="24"/>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b/>
                      <w:i/>
                      <w:sz w:val="24"/>
                      <w:szCs w:val="24"/>
                      <w:lang w:eastAsia="sk-SK"/>
                    </w:rPr>
                  </w:pPr>
                  <w:r w:rsidRPr="00AA73E5">
                    <w:rPr>
                      <w:rFonts w:ascii="Times New Roman" w:hAnsi="Times New Roman"/>
                      <w:b/>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AA73E5" w:rsidRPr="00AA73E5" w:rsidRDefault="00AA73E5" w:rsidP="00AA73E5">
                  <w:pPr>
                    <w:spacing w:after="0" w:line="240" w:lineRule="auto"/>
                    <w:jc w:val="center"/>
                    <w:rPr>
                      <w:rFonts w:ascii="Times New Roman" w:hAnsi="Times New Roman"/>
                      <w:b/>
                      <w:i/>
                      <w:sz w:val="24"/>
                      <w:szCs w:val="24"/>
                      <w:lang w:eastAsia="sk-SK"/>
                    </w:rPr>
                  </w:pPr>
                  <w:r w:rsidRPr="00AA73E5">
                    <w:rPr>
                      <w:rFonts w:ascii="Times New Roman" w:hAnsi="Times New Roman"/>
                      <w:b/>
                      <w:i/>
                      <w:sz w:val="24"/>
                      <w:szCs w:val="24"/>
                      <w:lang w:eastAsia="sk-SK"/>
                    </w:rPr>
                    <w:t>0</w:t>
                  </w:r>
                </w:p>
              </w:tc>
            </w:tr>
          </w:tbl>
          <w:p w:rsidR="00AA73E5" w:rsidRPr="00AA73E5" w:rsidRDefault="00AA73E5" w:rsidP="00AA73E5">
            <w:pPr>
              <w:spacing w:after="0" w:line="240" w:lineRule="auto"/>
              <w:rPr>
                <w:rFonts w:ascii="Times New Roman" w:hAnsi="Times New Roman"/>
                <w:i/>
                <w:sz w:val="24"/>
                <w:szCs w:val="24"/>
                <w:lang w:eastAsia="sk-SK"/>
              </w:rPr>
            </w:pPr>
          </w:p>
        </w:tc>
      </w:tr>
      <w:tr w:rsidR="00AA73E5" w:rsidRPr="00AA73E5" w:rsidTr="00BE41DD">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3.4 Konkurencieschopnosť a správanie sa podnikov na trhu</w:t>
            </w:r>
          </w:p>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b/>
                <w:sz w:val="24"/>
                <w:szCs w:val="24"/>
                <w:lang w:eastAsia="sk-SK"/>
              </w:rPr>
              <w:t xml:space="preserve">       </w:t>
            </w:r>
            <w:r w:rsidRPr="00AA73E5">
              <w:rPr>
                <w:rFonts w:ascii="Times New Roman" w:hAnsi="Times New Roman"/>
                <w:sz w:val="24"/>
                <w:szCs w:val="24"/>
                <w:lang w:eastAsia="sk-SK"/>
              </w:rPr>
              <w:t xml:space="preserve">- </w:t>
            </w:r>
            <w:r w:rsidRPr="00AA73E5">
              <w:rPr>
                <w:rFonts w:ascii="Times New Roman" w:hAnsi="Times New Roman"/>
                <w:b/>
                <w:sz w:val="24"/>
                <w:szCs w:val="24"/>
                <w:lang w:eastAsia="sk-SK"/>
              </w:rPr>
              <w:t>z toho MSP</w:t>
            </w:r>
          </w:p>
        </w:tc>
      </w:tr>
      <w:tr w:rsidR="00AA73E5" w:rsidRPr="00AA73E5" w:rsidTr="00BE41DD">
        <w:tc>
          <w:tcPr>
            <w:tcW w:w="9212" w:type="dxa"/>
            <w:shd w:val="clear" w:color="auto" w:fill="auto"/>
          </w:tcPr>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AA73E5">
              <w:rPr>
                <w:rFonts w:ascii="Times New Roman" w:hAnsi="Times New Roman"/>
                <w:i/>
                <w:sz w:val="24"/>
                <w:szCs w:val="24"/>
                <w:lang w:eastAsia="sk-SK"/>
              </w:rPr>
              <w:t>mikro</w:t>
            </w:r>
            <w:proofErr w:type="spellEnd"/>
            <w:r w:rsidRPr="00AA73E5">
              <w:rPr>
                <w:rFonts w:ascii="Times New Roman" w:hAnsi="Times New Roman"/>
                <w:i/>
                <w:sz w:val="24"/>
                <w:szCs w:val="24"/>
                <w:lang w:eastAsia="sk-SK"/>
              </w:rPr>
              <w:t>, malé a stredné podniky tzv. MSP)? Ak áno, popíšte.</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Ako ovplyvní cenu alebo dostupnosť základných zdrojov (suroviny, mechanizmy, pracovná sila, energie atď.)?</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Ovplyvňuje prístup k financiám? Ak áno, ako?</w:t>
            </w:r>
          </w:p>
        </w:tc>
      </w:tr>
      <w:tr w:rsidR="00AA73E5" w:rsidRPr="00AA73E5" w:rsidTr="00BE41DD">
        <w:trPr>
          <w:trHeight w:val="522"/>
        </w:trPr>
        <w:tc>
          <w:tcPr>
            <w:tcW w:w="9212" w:type="dxa"/>
            <w:shd w:val="clear" w:color="auto" w:fill="auto"/>
          </w:tcPr>
          <w:p w:rsidR="00AA73E5" w:rsidRDefault="00AA73E5" w:rsidP="00D27628">
            <w:pPr>
              <w:spacing w:after="0" w:line="240" w:lineRule="auto"/>
              <w:jc w:val="both"/>
              <w:rPr>
                <w:rFonts w:ascii="Times New Roman" w:hAnsi="Times New Roman"/>
                <w:sz w:val="24"/>
                <w:szCs w:val="24"/>
                <w:lang w:eastAsia="sk-SK"/>
              </w:rPr>
            </w:pPr>
            <w:r w:rsidRPr="00AA73E5">
              <w:rPr>
                <w:rFonts w:ascii="Times New Roman" w:hAnsi="Times New Roman"/>
                <w:sz w:val="24"/>
                <w:szCs w:val="24"/>
                <w:lang w:eastAsia="sk-SK"/>
              </w:rPr>
              <w:t>Nepredpokladá sa vplyv navrhovaných zmien na konkurencieschopnosť a správanie podnikov na trhu</w:t>
            </w:r>
            <w:r w:rsidR="00D27628">
              <w:rPr>
                <w:rFonts w:ascii="Times New Roman" w:hAnsi="Times New Roman"/>
                <w:sz w:val="24"/>
                <w:szCs w:val="24"/>
                <w:lang w:eastAsia="sk-SK"/>
              </w:rPr>
              <w:t>.</w:t>
            </w:r>
          </w:p>
          <w:p w:rsidR="00445C7D" w:rsidRPr="00445C7D" w:rsidRDefault="00445C7D" w:rsidP="00445C7D">
            <w:pPr>
              <w:spacing w:after="0" w:line="240" w:lineRule="auto"/>
              <w:jc w:val="both"/>
              <w:rPr>
                <w:rFonts w:ascii="Times New Roman" w:hAnsi="Times New Roman"/>
                <w:sz w:val="24"/>
                <w:szCs w:val="24"/>
                <w:lang w:eastAsia="sk-SK"/>
              </w:rPr>
            </w:pPr>
            <w:r w:rsidRPr="00445C7D">
              <w:rPr>
                <w:rFonts w:ascii="Times New Roman" w:hAnsi="Times New Roman"/>
                <w:sz w:val="24"/>
                <w:szCs w:val="24"/>
              </w:rPr>
              <w:t xml:space="preserve">Navrhovaným opatrením </w:t>
            </w:r>
            <w:r>
              <w:rPr>
                <w:rFonts w:ascii="Times New Roman" w:hAnsi="Times New Roman"/>
                <w:sz w:val="24"/>
                <w:szCs w:val="24"/>
              </w:rPr>
              <w:t xml:space="preserve">odkladu odvodov </w:t>
            </w:r>
            <w:r w:rsidRPr="00445C7D">
              <w:rPr>
                <w:rFonts w:ascii="Times New Roman" w:hAnsi="Times New Roman"/>
                <w:sz w:val="24"/>
                <w:szCs w:val="24"/>
              </w:rPr>
              <w:t>sa umožní prevádzkovateľom hazardných hier prekonať časový výpadok tržieb odložením ich záväzkov z odvodov z hazardných hier.</w:t>
            </w:r>
          </w:p>
        </w:tc>
      </w:tr>
      <w:tr w:rsidR="00AA73E5" w:rsidRPr="00AA73E5" w:rsidTr="00BE41DD">
        <w:tc>
          <w:tcPr>
            <w:tcW w:w="9212" w:type="dxa"/>
            <w:shd w:val="clear" w:color="auto" w:fill="D9D9D9"/>
          </w:tcPr>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b/>
                <w:sz w:val="24"/>
                <w:szCs w:val="24"/>
                <w:lang w:eastAsia="sk-SK"/>
              </w:rPr>
              <w:t xml:space="preserve">3.5 Inovácie </w:t>
            </w:r>
          </w:p>
          <w:p w:rsidR="00AA73E5" w:rsidRPr="00AA73E5" w:rsidRDefault="00AA73E5" w:rsidP="00AA73E5">
            <w:pPr>
              <w:spacing w:after="0" w:line="240" w:lineRule="auto"/>
              <w:rPr>
                <w:rFonts w:ascii="Times New Roman" w:hAnsi="Times New Roman"/>
                <w:b/>
                <w:sz w:val="24"/>
                <w:szCs w:val="24"/>
                <w:lang w:eastAsia="sk-SK"/>
              </w:rPr>
            </w:pPr>
            <w:r w:rsidRPr="00AA73E5">
              <w:rPr>
                <w:rFonts w:ascii="Times New Roman" w:hAnsi="Times New Roman"/>
                <w:sz w:val="24"/>
                <w:szCs w:val="24"/>
                <w:lang w:eastAsia="sk-SK"/>
              </w:rPr>
              <w:t xml:space="preserve">       - </w:t>
            </w:r>
            <w:r w:rsidRPr="00AA73E5">
              <w:rPr>
                <w:rFonts w:ascii="Times New Roman" w:hAnsi="Times New Roman"/>
                <w:b/>
                <w:sz w:val="24"/>
                <w:szCs w:val="24"/>
                <w:lang w:eastAsia="sk-SK"/>
              </w:rPr>
              <w:t>z toho MSP</w:t>
            </w:r>
          </w:p>
        </w:tc>
      </w:tr>
      <w:tr w:rsidR="00AA73E5" w:rsidRPr="00AA73E5" w:rsidTr="00BE41DD">
        <w:tc>
          <w:tcPr>
            <w:tcW w:w="9212" w:type="dxa"/>
            <w:shd w:val="clear" w:color="auto" w:fill="auto"/>
          </w:tcPr>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Uveďte, ako podporuje navrhovaná zmena inovácie.</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Zjednodušuje uvedenie alebo rozšírenie nových výrobných metód, technológií a výrobkov na trh?</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Uveďte, ako vplýva navrhovaná zmena na jednotlivé práva duševného vlastníctva (napr. patenty, ochranné známky, autorské práva, vlastníctvo know-how).</w:t>
            </w:r>
          </w:p>
          <w:p w:rsidR="00AA73E5" w:rsidRPr="00AA73E5" w:rsidRDefault="00AA73E5" w:rsidP="00AA73E5">
            <w:pPr>
              <w:spacing w:after="0" w:line="240" w:lineRule="auto"/>
              <w:jc w:val="both"/>
              <w:rPr>
                <w:rFonts w:ascii="Times New Roman" w:hAnsi="Times New Roman"/>
                <w:i/>
                <w:sz w:val="24"/>
                <w:szCs w:val="24"/>
                <w:lang w:eastAsia="sk-SK"/>
              </w:rPr>
            </w:pPr>
            <w:r w:rsidRPr="00AA73E5">
              <w:rPr>
                <w:rFonts w:ascii="Times New Roman" w:hAnsi="Times New Roman"/>
                <w:i/>
                <w:sz w:val="24"/>
                <w:szCs w:val="24"/>
                <w:lang w:eastAsia="sk-SK"/>
              </w:rPr>
              <w:t>Podporuje vyššiu efektivitu výroby/využívania zdrojov? Ak áno, ako?</w:t>
            </w:r>
          </w:p>
          <w:p w:rsidR="00AA73E5" w:rsidRPr="00AA73E5" w:rsidRDefault="00AA73E5" w:rsidP="00AA73E5">
            <w:pPr>
              <w:spacing w:after="0" w:line="240" w:lineRule="auto"/>
              <w:jc w:val="both"/>
              <w:rPr>
                <w:rFonts w:ascii="Times New Roman" w:hAnsi="Times New Roman"/>
                <w:sz w:val="24"/>
                <w:szCs w:val="24"/>
                <w:lang w:eastAsia="sk-SK"/>
              </w:rPr>
            </w:pPr>
            <w:r w:rsidRPr="00AA73E5">
              <w:rPr>
                <w:rFonts w:ascii="Times New Roman" w:hAnsi="Times New Roman"/>
                <w:i/>
                <w:sz w:val="24"/>
                <w:szCs w:val="24"/>
                <w:lang w:eastAsia="sk-SK"/>
              </w:rPr>
              <w:t>Vytvorí zmena nové pracovné miesta pre zamestnancov výskumu a vývoja v SR?</w:t>
            </w:r>
          </w:p>
        </w:tc>
      </w:tr>
      <w:tr w:rsidR="00AA73E5" w:rsidRPr="00AA73E5" w:rsidTr="00BE41DD">
        <w:trPr>
          <w:trHeight w:val="418"/>
        </w:trPr>
        <w:tc>
          <w:tcPr>
            <w:tcW w:w="9212" w:type="dxa"/>
            <w:shd w:val="clear" w:color="auto" w:fill="auto"/>
          </w:tcPr>
          <w:p w:rsidR="00AA73E5" w:rsidRPr="00AA73E5" w:rsidRDefault="00AA73E5" w:rsidP="00AA73E5">
            <w:pPr>
              <w:spacing w:after="0" w:line="240" w:lineRule="auto"/>
              <w:rPr>
                <w:rFonts w:ascii="Times New Roman" w:hAnsi="Times New Roman"/>
                <w:sz w:val="24"/>
                <w:szCs w:val="24"/>
                <w:lang w:eastAsia="sk-SK"/>
              </w:rPr>
            </w:pPr>
            <w:r w:rsidRPr="00AA73E5">
              <w:rPr>
                <w:rFonts w:ascii="Times New Roman" w:hAnsi="Times New Roman"/>
                <w:sz w:val="24"/>
                <w:szCs w:val="24"/>
                <w:lang w:eastAsia="sk-SK"/>
              </w:rPr>
              <w:t>Navrhovaná zmena nemá vplyv na inovácie.</w:t>
            </w:r>
          </w:p>
          <w:p w:rsidR="00AA73E5" w:rsidRPr="00AA73E5" w:rsidRDefault="00AA73E5" w:rsidP="00AA73E5">
            <w:pPr>
              <w:spacing w:after="0" w:line="240" w:lineRule="auto"/>
              <w:rPr>
                <w:rFonts w:ascii="Times New Roman" w:hAnsi="Times New Roman"/>
                <w:sz w:val="8"/>
                <w:szCs w:val="8"/>
                <w:lang w:eastAsia="sk-SK"/>
              </w:rPr>
            </w:pPr>
          </w:p>
        </w:tc>
      </w:tr>
    </w:tbl>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pPr>
    </w:p>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pPr>
    </w:p>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pPr>
    </w:p>
    <w:p w:rsidR="00AA73E5" w:rsidRPr="00AA73E5" w:rsidRDefault="00AA73E5" w:rsidP="00AA73E5">
      <w:pPr>
        <w:tabs>
          <w:tab w:val="num" w:pos="1080"/>
        </w:tabs>
        <w:spacing w:after="0" w:line="240" w:lineRule="auto"/>
        <w:ind w:left="-900"/>
        <w:jc w:val="both"/>
        <w:rPr>
          <w:rFonts w:ascii="Times New Roman" w:hAnsi="Times New Roman"/>
          <w:bCs/>
          <w:sz w:val="20"/>
          <w:szCs w:val="20"/>
          <w:lang w:eastAsia="sk-SK"/>
        </w:rPr>
      </w:pPr>
    </w:p>
    <w:p w:rsidR="007D5748" w:rsidRDefault="007D5748"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p w:rsidR="0012376D" w:rsidRDefault="0012376D" w:rsidP="0012376D">
      <w:pPr>
        <w:spacing w:after="0" w:line="240" w:lineRule="auto"/>
        <w:rPr>
          <w:rFonts w:ascii="Times New Roman" w:hAnsi="Times New Roman"/>
          <w:bCs/>
          <w:sz w:val="20"/>
          <w:szCs w:val="20"/>
          <w:lang w:eastAsia="sk-SK"/>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24"/>
        <w:gridCol w:w="3848"/>
      </w:tblGrid>
      <w:tr w:rsidR="001E7734" w:rsidRPr="00CD4982" w:rsidTr="0012376D">
        <w:trPr>
          <w:trHeight w:val="534"/>
          <w:jc w:val="center"/>
        </w:trPr>
        <w:tc>
          <w:tcPr>
            <w:tcW w:w="5000" w:type="pct"/>
            <w:gridSpan w:val="2"/>
            <w:tcBorders>
              <w:bottom w:val="single" w:sz="4" w:space="0" w:color="auto"/>
            </w:tcBorders>
            <w:shd w:val="clear" w:color="auto" w:fill="D9D9D9"/>
          </w:tcPr>
          <w:p w:rsidR="001E7734" w:rsidRPr="00CD4982" w:rsidRDefault="001E7734" w:rsidP="0012376D">
            <w:pPr>
              <w:spacing w:after="0" w:line="240" w:lineRule="auto"/>
              <w:ind w:left="-284" w:firstLine="284"/>
              <w:jc w:val="center"/>
              <w:rPr>
                <w:rFonts w:ascii="Times New Roman" w:eastAsia="Calibri" w:hAnsi="Times New Roman"/>
                <w:b/>
                <w:lang w:eastAsia="sk-SK"/>
              </w:rPr>
            </w:pPr>
            <w:r>
              <w:rPr>
                <w:rFonts w:ascii="Times New Roman" w:eastAsia="Calibri" w:hAnsi="Times New Roman"/>
                <w:b/>
                <w:sz w:val="28"/>
                <w:lang w:eastAsia="sk-SK"/>
              </w:rPr>
              <w:lastRenderedPageBreak/>
              <w:t>Analýza s</w:t>
            </w:r>
            <w:r w:rsidRPr="00CD4982">
              <w:rPr>
                <w:rFonts w:ascii="Times New Roman" w:eastAsia="Calibri" w:hAnsi="Times New Roman"/>
                <w:b/>
                <w:sz w:val="28"/>
                <w:lang w:eastAsia="sk-SK"/>
              </w:rPr>
              <w:t>ociáln</w:t>
            </w:r>
            <w:r>
              <w:rPr>
                <w:rFonts w:ascii="Times New Roman" w:eastAsia="Calibri" w:hAnsi="Times New Roman"/>
                <w:b/>
                <w:sz w:val="28"/>
                <w:lang w:eastAsia="sk-SK"/>
              </w:rPr>
              <w:t>ych</w:t>
            </w:r>
            <w:r w:rsidRPr="00CD4982">
              <w:rPr>
                <w:rFonts w:ascii="Times New Roman" w:eastAsia="Calibri" w:hAnsi="Times New Roman"/>
                <w:b/>
                <w:sz w:val="28"/>
                <w:lang w:eastAsia="sk-SK"/>
              </w:rPr>
              <w:t xml:space="preserve"> vplyv</w:t>
            </w:r>
            <w:r>
              <w:rPr>
                <w:rFonts w:ascii="Times New Roman" w:eastAsia="Calibri" w:hAnsi="Times New Roman"/>
                <w:b/>
                <w:sz w:val="28"/>
                <w:lang w:eastAsia="sk-SK"/>
              </w:rPr>
              <w:t>ov</w:t>
            </w:r>
          </w:p>
          <w:p w:rsidR="001E7734" w:rsidRPr="00CD4982" w:rsidRDefault="001E7734" w:rsidP="0012376D">
            <w:pPr>
              <w:spacing w:after="0" w:line="240" w:lineRule="auto"/>
              <w:jc w:val="center"/>
              <w:rPr>
                <w:rFonts w:ascii="Times New Roman" w:eastAsia="Calibri" w:hAnsi="Times New Roman"/>
                <w:b/>
                <w:lang w:eastAsia="sk-SK"/>
              </w:rPr>
            </w:pPr>
            <w:r w:rsidRPr="00CD4982">
              <w:rPr>
                <w:rFonts w:ascii="Times New Roman" w:eastAsia="Calibri" w:hAnsi="Times New Roman"/>
                <w:b/>
                <w:sz w:val="24"/>
                <w:lang w:eastAsia="sk-SK"/>
              </w:rPr>
              <w:t>Vplyvy na hospodárenie domácností, prístup k zdrojom, právam, tovarom a službám, sociálnu inklúziu, rovnosť príležitostí a rodovú rovnosť a vplyvy na zamestnanosť</w:t>
            </w:r>
          </w:p>
        </w:tc>
      </w:tr>
      <w:tr w:rsidR="001E7734" w:rsidRPr="0040544D" w:rsidTr="0012376D">
        <w:trPr>
          <w:jc w:val="center"/>
        </w:trPr>
        <w:tc>
          <w:tcPr>
            <w:tcW w:w="5000" w:type="pct"/>
            <w:gridSpan w:val="2"/>
            <w:tcBorders>
              <w:bottom w:val="nil"/>
            </w:tcBorders>
            <w:shd w:val="clear" w:color="auto" w:fill="D9D9D9"/>
          </w:tcPr>
          <w:p w:rsidR="001E7734" w:rsidRPr="0040544D" w:rsidRDefault="001E7734" w:rsidP="0012376D">
            <w:pPr>
              <w:spacing w:after="0" w:line="240" w:lineRule="auto"/>
              <w:rPr>
                <w:rFonts w:ascii="Times New Roman" w:eastAsia="Calibri" w:hAnsi="Times New Roman"/>
                <w:b/>
                <w:sz w:val="24"/>
                <w:lang w:eastAsia="sk-SK"/>
              </w:rPr>
            </w:pPr>
            <w:r w:rsidRPr="00CD4982">
              <w:rPr>
                <w:rFonts w:ascii="Times New Roman" w:eastAsia="Calibri" w:hAnsi="Times New Roman"/>
                <w:b/>
                <w:lang w:eastAsia="sk-SK"/>
              </w:rPr>
              <w:t xml:space="preserve">4.1 </w:t>
            </w:r>
            <w:r w:rsidRPr="00CD4982">
              <w:rPr>
                <w:rFonts w:ascii="Times New Roman" w:eastAsia="Calibri" w:hAnsi="Times New Roman"/>
                <w:b/>
                <w:sz w:val="24"/>
                <w:lang w:eastAsia="sk-SK"/>
              </w:rPr>
              <w:t>Identifikujte, popíšte a kvantifikujte vplyv na hospodárenie domácností a špecifikujte ovplyvnené skupiny domácností, ktoré budú pozitívne/negatívne ovplyvnené.</w:t>
            </w:r>
          </w:p>
        </w:tc>
      </w:tr>
      <w:tr w:rsidR="001E7734" w:rsidRPr="00D262FB" w:rsidTr="0012376D">
        <w:trPr>
          <w:trHeight w:val="736"/>
          <w:jc w:val="center"/>
        </w:trPr>
        <w:tc>
          <w:tcPr>
            <w:tcW w:w="5000" w:type="pct"/>
            <w:gridSpan w:val="2"/>
            <w:tcBorders>
              <w:bottom w:val="single" w:sz="4" w:space="0" w:color="auto"/>
            </w:tcBorders>
            <w:shd w:val="clear" w:color="auto" w:fill="F2F2F2"/>
          </w:tcPr>
          <w:p w:rsidR="001E7734" w:rsidRPr="00D262FB" w:rsidRDefault="001E7734" w:rsidP="0012376D">
            <w:pPr>
              <w:shd w:val="clear" w:color="auto" w:fill="F2F2F2"/>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Vedie návrh k zvýšeniu alebo zníženiu príjmov alebo výdavkov domácností? </w:t>
            </w:r>
          </w:p>
          <w:p w:rsidR="001E7734" w:rsidRPr="00D262FB" w:rsidRDefault="001E7734" w:rsidP="0012376D">
            <w:pPr>
              <w:shd w:val="clear" w:color="auto" w:fill="F2F2F2"/>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Ktoré skupiny domácností/obyvateľstva sú takto ovplyvnené a akým spôsobom? </w:t>
            </w:r>
          </w:p>
          <w:p w:rsidR="001E7734" w:rsidRPr="00D262FB" w:rsidRDefault="001E7734" w:rsidP="0012376D">
            <w:pPr>
              <w:shd w:val="clear" w:color="auto" w:fill="F2F2F2"/>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Sú medzi potenciálne ovplyvnenými skupinami skupiny v riziku chudoby alebo sociálneho vylúčenia?</w:t>
            </w:r>
          </w:p>
        </w:tc>
      </w:tr>
      <w:tr w:rsidR="001E7734" w:rsidRPr="00D262FB" w:rsidTr="0012376D">
        <w:trPr>
          <w:trHeight w:val="759"/>
          <w:jc w:val="center"/>
        </w:trPr>
        <w:tc>
          <w:tcPr>
            <w:tcW w:w="2947" w:type="pct"/>
            <w:tcBorders>
              <w:top w:val="nil"/>
              <w:bottom w:val="dotted" w:sz="4" w:space="0" w:color="auto"/>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Popíšte </w:t>
            </w:r>
            <w:r w:rsidRPr="00D262FB">
              <w:rPr>
                <w:rFonts w:ascii="Times New Roman" w:eastAsia="Calibri" w:hAnsi="Times New Roman"/>
                <w:b/>
                <w:i/>
                <w:sz w:val="24"/>
                <w:szCs w:val="24"/>
                <w:lang w:eastAsia="sk-SK"/>
              </w:rPr>
              <w:t>pozitívny</w:t>
            </w:r>
            <w:r w:rsidRPr="00D262FB">
              <w:rPr>
                <w:rFonts w:ascii="Times New Roman" w:eastAsia="Calibri" w:hAnsi="Times New Roman"/>
                <w:i/>
                <w:sz w:val="24"/>
                <w:szCs w:val="24"/>
                <w:lang w:eastAsia="sk-SK"/>
              </w:rPr>
              <w:t xml:space="preserve"> vplyv na hospodárenie domácností s uvedením, či ide o zvýšenie príjmov alebo zníženie výdavkov:</w:t>
            </w:r>
          </w:p>
        </w:tc>
        <w:tc>
          <w:tcPr>
            <w:tcW w:w="2053" w:type="pct"/>
            <w:tcBorders>
              <w:top w:val="nil"/>
              <w:bottom w:val="dotted" w:sz="4" w:space="0" w:color="auto"/>
            </w:tcBorders>
            <w:shd w:val="clear" w:color="auto" w:fill="auto"/>
          </w:tcPr>
          <w:p w:rsidR="001E7734" w:rsidRPr="00F67D71" w:rsidRDefault="001E7734" w:rsidP="00F67D71">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 xml:space="preserve">Návrhom zákona, ktorým sa mení a dopĺňa zákon č. 67/2020 Z. z. o niektorých mimoriadnych opatreniach vo finančnej oblasti v súvislosti so šírením nebezpečnej nákazlivej ľudskej choroby COVID-19 v znení neskorších predpisov sa </w:t>
            </w:r>
            <w:r w:rsidR="0012376D" w:rsidRPr="00F67D71">
              <w:rPr>
                <w:rFonts w:ascii="Times New Roman" w:eastAsia="Calibri" w:hAnsi="Times New Roman"/>
                <w:sz w:val="24"/>
                <w:szCs w:val="24"/>
                <w:lang w:eastAsia="sk-SK"/>
              </w:rPr>
              <w:t xml:space="preserve">okrem iného </w:t>
            </w:r>
            <w:r w:rsidR="00110A98" w:rsidRPr="00F67D71">
              <w:rPr>
                <w:rFonts w:ascii="Times New Roman" w:eastAsia="Calibri" w:hAnsi="Times New Roman"/>
                <w:sz w:val="24"/>
                <w:szCs w:val="24"/>
                <w:lang w:eastAsia="sk-SK"/>
              </w:rPr>
              <w:t>predlžuje zavedenie nulovej sadzby</w:t>
            </w:r>
            <w:r w:rsidRPr="00F67D71">
              <w:rPr>
                <w:rFonts w:ascii="Times New Roman" w:eastAsia="Calibri" w:hAnsi="Times New Roman"/>
                <w:sz w:val="24"/>
                <w:szCs w:val="24"/>
                <w:lang w:eastAsia="sk-SK"/>
              </w:rPr>
              <w:t xml:space="preserve"> dane z pridanej hodnoty na osobné ochranné prostriedky, ktoré patria do skupiny osobných ochranných prostriedkov rizikovej kategórie III podľa osobitného predpisu, ktoré slúžia na zabezpečenie vyššej ochrany dýchacích orgánov a ktoré sú filtračnou tvárovou </w:t>
            </w:r>
            <w:proofErr w:type="spellStart"/>
            <w:r w:rsidRPr="00F67D71">
              <w:rPr>
                <w:rFonts w:ascii="Times New Roman" w:eastAsia="Calibri" w:hAnsi="Times New Roman"/>
                <w:sz w:val="24"/>
                <w:szCs w:val="24"/>
                <w:lang w:eastAsia="sk-SK"/>
              </w:rPr>
              <w:t>polmaskou</w:t>
            </w:r>
            <w:proofErr w:type="spellEnd"/>
            <w:r w:rsidRPr="00F67D71">
              <w:rPr>
                <w:rFonts w:ascii="Times New Roman" w:eastAsia="Calibri" w:hAnsi="Times New Roman"/>
                <w:sz w:val="24"/>
                <w:szCs w:val="24"/>
                <w:lang w:eastAsia="sk-SK"/>
              </w:rPr>
              <w:t xml:space="preserve"> kategórie FFP2 alebo filtračnou tvárovou </w:t>
            </w:r>
            <w:proofErr w:type="spellStart"/>
            <w:r w:rsidRPr="00F67D71">
              <w:rPr>
                <w:rFonts w:ascii="Times New Roman" w:eastAsia="Calibri" w:hAnsi="Times New Roman"/>
                <w:sz w:val="24"/>
                <w:szCs w:val="24"/>
                <w:lang w:eastAsia="sk-SK"/>
              </w:rPr>
              <w:t>polmaskou</w:t>
            </w:r>
            <w:proofErr w:type="spellEnd"/>
            <w:r w:rsidRPr="00F67D71">
              <w:rPr>
                <w:rFonts w:ascii="Times New Roman" w:eastAsia="Calibri" w:hAnsi="Times New Roman"/>
                <w:sz w:val="24"/>
                <w:szCs w:val="24"/>
                <w:lang w:eastAsia="sk-SK"/>
              </w:rPr>
              <w:t xml:space="preserve"> kategórie FFP3. Predpokladáme pozitívny vplyv na hospodárenie domácnosti z dôvodu, že ochranné prostriedky, ktoré sú účinným prostriedkom v boji proti ochoreniu COVID-19 </w:t>
            </w:r>
            <w:r w:rsidR="00110A98" w:rsidRPr="00F67D71">
              <w:rPr>
                <w:rFonts w:ascii="Times New Roman" w:eastAsia="Calibri" w:hAnsi="Times New Roman"/>
                <w:sz w:val="24"/>
                <w:szCs w:val="24"/>
                <w:lang w:eastAsia="sk-SK"/>
              </w:rPr>
              <w:t xml:space="preserve">sú pri uplatňovaní nulovej sadzby DPH </w:t>
            </w:r>
            <w:r w:rsidRPr="00F67D71">
              <w:rPr>
                <w:rFonts w:ascii="Times New Roman" w:eastAsia="Calibri" w:hAnsi="Times New Roman"/>
                <w:sz w:val="24"/>
                <w:szCs w:val="24"/>
                <w:lang w:eastAsia="sk-SK"/>
              </w:rPr>
              <w:t xml:space="preserve">cenovo dostupnejšie. Okrem zamedzenia šírenia pandémia spôsobenej ochorením COVID-19 sa uvedené opatrenie prejaví aj znížením výdavkov domácností.  </w:t>
            </w:r>
          </w:p>
        </w:tc>
      </w:tr>
      <w:tr w:rsidR="001E7734" w:rsidRPr="00D262FB" w:rsidTr="0012376D">
        <w:trPr>
          <w:trHeight w:val="624"/>
          <w:jc w:val="center"/>
        </w:trPr>
        <w:tc>
          <w:tcPr>
            <w:tcW w:w="2947" w:type="pct"/>
            <w:tcBorders>
              <w:top w:val="dotted" w:sz="4" w:space="0" w:color="auto"/>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Špecifikujte </w:t>
            </w:r>
            <w:r w:rsidRPr="00D262FB">
              <w:rPr>
                <w:rFonts w:ascii="Times New Roman" w:eastAsia="Calibri" w:hAnsi="Times New Roman"/>
                <w:b/>
                <w:i/>
                <w:sz w:val="24"/>
                <w:szCs w:val="24"/>
                <w:lang w:eastAsia="sk-SK"/>
              </w:rPr>
              <w:t>pozitívne</w:t>
            </w:r>
            <w:r w:rsidRPr="00D262FB">
              <w:rPr>
                <w:rFonts w:ascii="Times New Roman" w:eastAsia="Calibri" w:hAnsi="Times New Roman"/>
                <w:i/>
                <w:sz w:val="24"/>
                <w:szCs w:val="24"/>
                <w:lang w:eastAsia="sk-SK"/>
              </w:rPr>
              <w:t xml:space="preserve"> ovplyvnené skupiny:</w:t>
            </w:r>
          </w:p>
        </w:tc>
        <w:tc>
          <w:tcPr>
            <w:tcW w:w="2053" w:type="pct"/>
            <w:tcBorders>
              <w:top w:val="dotted" w:sz="4" w:space="0" w:color="auto"/>
            </w:tcBorders>
            <w:shd w:val="clear" w:color="auto" w:fill="auto"/>
          </w:tcPr>
          <w:p w:rsidR="001E7734" w:rsidRPr="00F67D71" w:rsidRDefault="001E7734" w:rsidP="00F67D71">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 xml:space="preserve">Právnické a fyzické osoby, ktoré nakupujú  osobné ochranné prostriedky dýchacích ciest s vyšším stupňom ochrany. </w:t>
            </w:r>
          </w:p>
        </w:tc>
      </w:tr>
      <w:tr w:rsidR="001E7734" w:rsidRPr="00D262FB" w:rsidTr="0012376D">
        <w:trPr>
          <w:trHeight w:val="759"/>
          <w:jc w:val="center"/>
        </w:trPr>
        <w:tc>
          <w:tcPr>
            <w:tcW w:w="2947" w:type="pct"/>
            <w:tcBorders>
              <w:bottom w:val="dotted" w:sz="4" w:space="0" w:color="auto"/>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Popíšte </w:t>
            </w:r>
            <w:r w:rsidRPr="00D262FB">
              <w:rPr>
                <w:rFonts w:ascii="Times New Roman" w:eastAsia="Calibri" w:hAnsi="Times New Roman"/>
                <w:b/>
                <w:i/>
                <w:sz w:val="24"/>
                <w:szCs w:val="24"/>
                <w:lang w:eastAsia="sk-SK"/>
              </w:rPr>
              <w:t xml:space="preserve">negatívny </w:t>
            </w:r>
            <w:r w:rsidRPr="00D262FB">
              <w:rPr>
                <w:rFonts w:ascii="Times New Roman" w:eastAsia="Calibri" w:hAnsi="Times New Roman"/>
                <w:i/>
                <w:sz w:val="24"/>
                <w:szCs w:val="24"/>
                <w:lang w:eastAsia="sk-SK"/>
              </w:rPr>
              <w:t>vplyv na hospodárenie domácností s uvedením, či ide o zníženie príjmov alebo zvýšenie výdavkov:</w:t>
            </w:r>
          </w:p>
        </w:tc>
        <w:tc>
          <w:tcPr>
            <w:tcW w:w="2053" w:type="pct"/>
            <w:tcBorders>
              <w:bottom w:val="dotted" w:sz="4" w:space="0" w:color="auto"/>
            </w:tcBorders>
            <w:shd w:val="clear" w:color="auto" w:fill="auto"/>
          </w:tcPr>
          <w:p w:rsidR="001E7734" w:rsidRPr="00F67D71" w:rsidRDefault="001E7734"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bez vplyvu</w:t>
            </w:r>
          </w:p>
        </w:tc>
      </w:tr>
      <w:tr w:rsidR="001E7734" w:rsidRPr="00D262FB" w:rsidTr="0012376D">
        <w:trPr>
          <w:trHeight w:val="624"/>
          <w:jc w:val="center"/>
        </w:trPr>
        <w:tc>
          <w:tcPr>
            <w:tcW w:w="2947" w:type="pct"/>
            <w:tcBorders>
              <w:top w:val="dotted" w:sz="4" w:space="0" w:color="auto"/>
              <w:bottom w:val="single" w:sz="4" w:space="0" w:color="auto"/>
            </w:tcBorders>
            <w:shd w:val="clear" w:color="auto" w:fill="auto"/>
          </w:tcPr>
          <w:p w:rsidR="001E7734" w:rsidRPr="00F67D71" w:rsidRDefault="001E7734" w:rsidP="0012376D">
            <w:pPr>
              <w:spacing w:after="0" w:line="240" w:lineRule="auto"/>
              <w:rPr>
                <w:rFonts w:ascii="Times New Roman" w:eastAsia="Calibri" w:hAnsi="Times New Roman"/>
                <w:i/>
                <w:sz w:val="24"/>
                <w:szCs w:val="24"/>
                <w:lang w:eastAsia="sk-SK"/>
              </w:rPr>
            </w:pPr>
            <w:r w:rsidRPr="00F67D71">
              <w:rPr>
                <w:rFonts w:ascii="Times New Roman" w:eastAsia="Calibri" w:hAnsi="Times New Roman"/>
                <w:i/>
                <w:sz w:val="24"/>
                <w:szCs w:val="24"/>
                <w:lang w:eastAsia="sk-SK"/>
              </w:rPr>
              <w:t xml:space="preserve">Špecifikujte </w:t>
            </w:r>
            <w:r w:rsidRPr="00F67D71">
              <w:rPr>
                <w:rFonts w:ascii="Times New Roman" w:eastAsia="Calibri" w:hAnsi="Times New Roman"/>
                <w:b/>
                <w:i/>
                <w:sz w:val="24"/>
                <w:szCs w:val="24"/>
                <w:lang w:eastAsia="sk-SK"/>
              </w:rPr>
              <w:t>negatívne</w:t>
            </w:r>
            <w:r w:rsidRPr="00F67D71">
              <w:rPr>
                <w:rFonts w:ascii="Times New Roman" w:eastAsia="Calibri" w:hAnsi="Times New Roman"/>
                <w:i/>
                <w:sz w:val="24"/>
                <w:szCs w:val="24"/>
                <w:lang w:eastAsia="sk-SK"/>
              </w:rPr>
              <w:t xml:space="preserve"> ovplyvnené skupiny:</w:t>
            </w:r>
          </w:p>
        </w:tc>
        <w:tc>
          <w:tcPr>
            <w:tcW w:w="2053" w:type="pct"/>
            <w:tcBorders>
              <w:top w:val="dotted" w:sz="4" w:space="0" w:color="auto"/>
              <w:bottom w:val="single" w:sz="4" w:space="0" w:color="auto"/>
            </w:tcBorders>
            <w:shd w:val="clear" w:color="auto" w:fill="auto"/>
          </w:tcPr>
          <w:p w:rsidR="001E7734" w:rsidRPr="00F67D71" w:rsidRDefault="001E7734"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bez vplyvu</w:t>
            </w:r>
          </w:p>
        </w:tc>
      </w:tr>
      <w:tr w:rsidR="001E7734" w:rsidRPr="00D262FB" w:rsidTr="0012376D">
        <w:trPr>
          <w:trHeight w:val="680"/>
          <w:jc w:val="center"/>
        </w:trPr>
        <w:tc>
          <w:tcPr>
            <w:tcW w:w="2947" w:type="pct"/>
            <w:tcBorders>
              <w:bottom w:val="nil"/>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lastRenderedPageBreak/>
              <w:t xml:space="preserve">Špecifikujte ovplyvnené skupiny </w:t>
            </w:r>
            <w:r w:rsidRPr="00D262FB">
              <w:rPr>
                <w:rFonts w:ascii="Times New Roman" w:eastAsia="Calibri" w:hAnsi="Times New Roman"/>
                <w:b/>
                <w:i/>
                <w:sz w:val="24"/>
                <w:szCs w:val="24"/>
                <w:lang w:eastAsia="sk-SK"/>
              </w:rPr>
              <w:t>v riziku chudoby alebo sociálneho vylúčenia</w:t>
            </w:r>
            <w:r w:rsidRPr="00D262FB">
              <w:rPr>
                <w:rFonts w:ascii="Times New Roman" w:eastAsia="Calibri" w:hAnsi="Times New Roman"/>
                <w:i/>
                <w:sz w:val="24"/>
                <w:szCs w:val="24"/>
                <w:lang w:eastAsia="sk-SK"/>
              </w:rPr>
              <w:t xml:space="preserve"> a popíšte vplyv:</w:t>
            </w:r>
          </w:p>
        </w:tc>
        <w:tc>
          <w:tcPr>
            <w:tcW w:w="2053" w:type="pct"/>
            <w:tcBorders>
              <w:bottom w:val="nil"/>
            </w:tcBorders>
            <w:shd w:val="clear" w:color="auto" w:fill="auto"/>
          </w:tcPr>
          <w:p w:rsidR="001E7734" w:rsidRPr="00D262FB" w:rsidRDefault="001E7734" w:rsidP="0012376D">
            <w:pPr>
              <w:spacing w:after="0" w:line="240" w:lineRule="auto"/>
              <w:rPr>
                <w:rFonts w:ascii="Times New Roman" w:eastAsia="Calibri" w:hAnsi="Times New Roman"/>
                <w:sz w:val="24"/>
                <w:szCs w:val="24"/>
                <w:lang w:eastAsia="sk-SK"/>
              </w:rPr>
            </w:pPr>
            <w:r w:rsidRPr="00D262FB">
              <w:rPr>
                <w:rFonts w:ascii="Times New Roman" w:eastAsia="Calibri" w:hAnsi="Times New Roman"/>
                <w:sz w:val="24"/>
                <w:szCs w:val="24"/>
                <w:lang w:eastAsia="sk-SK"/>
              </w:rPr>
              <w:t>bez vplyvu</w:t>
            </w:r>
          </w:p>
        </w:tc>
      </w:tr>
      <w:tr w:rsidR="001E7734" w:rsidRPr="00D262FB" w:rsidTr="0012376D">
        <w:trPr>
          <w:trHeight w:val="680"/>
          <w:jc w:val="center"/>
        </w:trPr>
        <w:tc>
          <w:tcPr>
            <w:tcW w:w="5000" w:type="pct"/>
            <w:gridSpan w:val="2"/>
            <w:shd w:val="clear" w:color="auto" w:fill="F2F2F2" w:themeFill="background1" w:themeFillShade="F2"/>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Kvantifikujte rast alebo pokles príjmov/výdavkov za jednotlivé ovplyvnené skupiny domácností / skupiny jednotlivcov a počet obyvateľstva/domácností ovplyvnených predkladaným materiálom.</w:t>
            </w:r>
          </w:p>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V prípade vyššieho počtu ovplyvnených skupín doplňte do tabuľky ďalšie riadky.</w:t>
            </w:r>
          </w:p>
          <w:p w:rsidR="001E7734" w:rsidRPr="00D262FB" w:rsidRDefault="001E7734" w:rsidP="0012376D">
            <w:pPr>
              <w:tabs>
                <w:tab w:val="left" w:pos="3505"/>
              </w:tabs>
              <w:spacing w:after="0" w:line="240" w:lineRule="auto"/>
              <w:rPr>
                <w:rFonts w:ascii="Times New Roman" w:eastAsia="Calibri" w:hAnsi="Times New Roman"/>
                <w:sz w:val="24"/>
                <w:szCs w:val="24"/>
                <w:lang w:eastAsia="sk-SK"/>
              </w:rPr>
            </w:pPr>
            <w:r w:rsidRPr="00D262FB">
              <w:rPr>
                <w:rFonts w:ascii="Times New Roman" w:eastAsia="Calibri" w:hAnsi="Times New Roman"/>
                <w:i/>
                <w:sz w:val="24"/>
                <w:szCs w:val="24"/>
                <w:lang w:eastAsia="sk-SK"/>
              </w:rPr>
              <w:t>V prípade, ak neuvádzate kvantifikáciu, uveďte dôvod.</w:t>
            </w:r>
          </w:p>
        </w:tc>
      </w:tr>
      <w:tr w:rsidR="001E7734" w:rsidRPr="00D262FB" w:rsidTr="0012376D">
        <w:trPr>
          <w:trHeight w:val="286"/>
          <w:jc w:val="center"/>
        </w:trPr>
        <w:tc>
          <w:tcPr>
            <w:tcW w:w="5000" w:type="pct"/>
            <w:gridSpan w:val="2"/>
            <w:tcBorders>
              <w:top w:val="nil"/>
            </w:tcBorders>
            <w:shd w:val="clear" w:color="auto" w:fill="auto"/>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b/>
                <w:i/>
                <w:sz w:val="24"/>
                <w:szCs w:val="24"/>
                <w:lang w:eastAsia="sk-SK"/>
              </w:rPr>
              <w:t xml:space="preserve">Ovplyvnená skupina č. 1: </w:t>
            </w:r>
            <w:r w:rsidRPr="00C936D7">
              <w:rPr>
                <w:rFonts w:ascii="Times New Roman" w:eastAsia="Calibri" w:hAnsi="Times New Roman"/>
                <w:sz w:val="24"/>
                <w:szCs w:val="24"/>
                <w:lang w:eastAsia="sk-SK"/>
              </w:rPr>
              <w:t xml:space="preserve">Fyzické osoby a právnické osoby, ktoré nakupujú  </w:t>
            </w:r>
            <w:r w:rsidRPr="000D3B43">
              <w:rPr>
                <w:rFonts w:ascii="Times New Roman" w:eastAsia="Calibri" w:hAnsi="Times New Roman"/>
                <w:sz w:val="24"/>
                <w:szCs w:val="24"/>
                <w:lang w:eastAsia="sk-SK"/>
              </w:rPr>
              <w:t>osobné ochranné prostriedky dýchacích ciest s vyšším stupňom ochrany</w:t>
            </w:r>
            <w:r w:rsidRPr="00C936D7">
              <w:rPr>
                <w:rFonts w:ascii="Times New Roman" w:eastAsia="Calibri" w:hAnsi="Times New Roman"/>
                <w:sz w:val="24"/>
                <w:szCs w:val="24"/>
                <w:lang w:eastAsia="sk-SK"/>
              </w:rPr>
              <w:t>.</w:t>
            </w:r>
          </w:p>
        </w:tc>
      </w:tr>
      <w:tr w:rsidR="001E7734" w:rsidRPr="00D262FB" w:rsidTr="0012376D">
        <w:trPr>
          <w:trHeight w:val="503"/>
          <w:jc w:val="center"/>
        </w:trPr>
        <w:tc>
          <w:tcPr>
            <w:tcW w:w="2947" w:type="pct"/>
            <w:tcBorders>
              <w:bottom w:val="single" w:sz="4" w:space="0" w:color="BFBFBF" w:themeColor="background1" w:themeShade="BF"/>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Pozitívny vplyv - priemerný rast príjmov/ pokles výdavkov v skupine v eurách a/alebo v % / obdobie:</w:t>
            </w:r>
          </w:p>
        </w:tc>
        <w:tc>
          <w:tcPr>
            <w:tcW w:w="2053" w:type="pct"/>
            <w:tcBorders>
              <w:bottom w:val="single" w:sz="4" w:space="0" w:color="BFBFBF" w:themeColor="background1" w:themeShade="BF"/>
            </w:tcBorders>
            <w:shd w:val="clear" w:color="auto" w:fill="auto"/>
          </w:tcPr>
          <w:p w:rsidR="00BF413F" w:rsidRPr="00F67D71" w:rsidRDefault="001E7734"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Ministerstvo financií SR nemá k dispozícii dáta, na základe ktorých by bolo možné presne kvantifikovať pozitívny vplyv na výdavky domácnosti</w:t>
            </w:r>
            <w:r w:rsidR="00110A98" w:rsidRPr="00F67D71">
              <w:rPr>
                <w:rFonts w:ascii="Times New Roman" w:eastAsia="Calibri" w:hAnsi="Times New Roman"/>
                <w:sz w:val="24"/>
                <w:szCs w:val="24"/>
                <w:lang w:eastAsia="sk-SK"/>
              </w:rPr>
              <w:t>.</w:t>
            </w:r>
            <w:r w:rsidRPr="00F67D71">
              <w:rPr>
                <w:rFonts w:ascii="Times New Roman" w:eastAsia="Calibri" w:hAnsi="Times New Roman"/>
                <w:sz w:val="24"/>
                <w:szCs w:val="24"/>
                <w:lang w:eastAsia="sk-SK"/>
              </w:rPr>
              <w:t xml:space="preserve"> V súčasnosti nie je možné presné vyčíslenie dopadov navrhovaných opatrení z dôvodu, že nie je možné odhadnúť mieru šírenia pandémie spôsobenej ochorením COVID-19</w:t>
            </w:r>
            <w:r w:rsidR="00110A98" w:rsidRPr="00F67D71">
              <w:rPr>
                <w:rFonts w:ascii="Times New Roman" w:eastAsia="Calibri" w:hAnsi="Times New Roman"/>
                <w:sz w:val="24"/>
                <w:szCs w:val="24"/>
                <w:lang w:eastAsia="sk-SK"/>
              </w:rPr>
              <w:t xml:space="preserve"> a</w:t>
            </w:r>
            <w:r w:rsidR="0012376D" w:rsidRPr="00F67D71">
              <w:rPr>
                <w:rFonts w:ascii="Times New Roman" w:eastAsia="Calibri" w:hAnsi="Times New Roman"/>
                <w:sz w:val="24"/>
                <w:szCs w:val="24"/>
                <w:lang w:eastAsia="sk-SK"/>
              </w:rPr>
              <w:t xml:space="preserve">ko aj vývoj cien ochranných </w:t>
            </w:r>
            <w:r w:rsidRPr="00F67D71">
              <w:rPr>
                <w:rFonts w:ascii="Times New Roman" w:eastAsia="Calibri" w:hAnsi="Times New Roman"/>
                <w:sz w:val="24"/>
                <w:szCs w:val="24"/>
                <w:lang w:eastAsia="sk-SK"/>
              </w:rPr>
              <w:t>prostriedkov</w:t>
            </w:r>
            <w:r w:rsidR="0012376D" w:rsidRPr="00F67D71">
              <w:rPr>
                <w:rFonts w:ascii="Times New Roman" w:eastAsia="Calibri" w:hAnsi="Times New Roman"/>
                <w:sz w:val="24"/>
                <w:szCs w:val="24"/>
                <w:lang w:eastAsia="sk-SK"/>
              </w:rPr>
              <w:t xml:space="preserve">. </w:t>
            </w:r>
          </w:p>
          <w:p w:rsidR="00BF413F" w:rsidRPr="00F67D71" w:rsidRDefault="0012376D" w:rsidP="0012376D">
            <w:pPr>
              <w:spacing w:after="0" w:line="240" w:lineRule="auto"/>
              <w:jc w:val="both"/>
              <w:rPr>
                <w:rFonts w:ascii="Times New Roman" w:eastAsia="Calibri" w:hAnsi="Times New Roman"/>
                <w:bCs/>
                <w:sz w:val="24"/>
                <w:szCs w:val="24"/>
                <w:lang w:eastAsia="sk-SK"/>
              </w:rPr>
            </w:pPr>
            <w:r w:rsidRPr="00F67D71">
              <w:rPr>
                <w:rFonts w:ascii="Times New Roman" w:eastAsia="Calibri" w:hAnsi="Times New Roman"/>
                <w:bCs/>
                <w:sz w:val="24"/>
                <w:szCs w:val="24"/>
                <w:lang w:eastAsia="sk-SK"/>
              </w:rPr>
              <w:t>Ministerstvo</w:t>
            </w:r>
            <w:r w:rsidR="001E7734" w:rsidRPr="00F67D71">
              <w:rPr>
                <w:rFonts w:ascii="Times New Roman" w:eastAsia="Calibri" w:hAnsi="Times New Roman"/>
                <w:bCs/>
                <w:sz w:val="24"/>
                <w:szCs w:val="24"/>
                <w:lang w:eastAsia="sk-SK"/>
              </w:rPr>
              <w:t xml:space="preserve"> financií SR vypracoval</w:t>
            </w:r>
            <w:r w:rsidR="00110A98" w:rsidRPr="00F67D71">
              <w:rPr>
                <w:rFonts w:ascii="Times New Roman" w:eastAsia="Calibri" w:hAnsi="Times New Roman"/>
                <w:bCs/>
                <w:sz w:val="24"/>
                <w:szCs w:val="24"/>
                <w:lang w:eastAsia="sk-SK"/>
              </w:rPr>
              <w:t>o</w:t>
            </w:r>
            <w:r w:rsidR="001E7734" w:rsidRPr="00F67D71">
              <w:rPr>
                <w:rFonts w:ascii="Times New Roman" w:eastAsia="Calibri" w:hAnsi="Times New Roman"/>
                <w:bCs/>
                <w:sz w:val="24"/>
                <w:szCs w:val="24"/>
                <w:lang w:eastAsia="sk-SK"/>
              </w:rPr>
              <w:t xml:space="preserve"> kvalifikovaný odhad negatívnych dopadov na štátny rozpočet</w:t>
            </w:r>
            <w:r w:rsidR="00110A98" w:rsidRPr="00F67D71">
              <w:rPr>
                <w:rFonts w:ascii="Times New Roman" w:eastAsia="Calibri" w:hAnsi="Times New Roman"/>
                <w:bCs/>
                <w:sz w:val="24"/>
                <w:szCs w:val="24"/>
                <w:lang w:eastAsia="sk-SK"/>
              </w:rPr>
              <w:t xml:space="preserve"> na základe dát o predaji respirátor od zavedenia nulovej sadzby DPH </w:t>
            </w:r>
            <w:r w:rsidR="0081431B">
              <w:rPr>
                <w:rFonts w:ascii="Times New Roman" w:eastAsia="Calibri" w:hAnsi="Times New Roman"/>
                <w:bCs/>
                <w:sz w:val="24"/>
                <w:szCs w:val="24"/>
                <w:lang w:eastAsia="sk-SK"/>
              </w:rPr>
              <w:t>prostredníctvom</w:t>
            </w:r>
            <w:r w:rsidR="00110A98" w:rsidRPr="00F67D71">
              <w:rPr>
                <w:rFonts w:ascii="Times New Roman" w:eastAsia="Calibri" w:hAnsi="Times New Roman"/>
                <w:bCs/>
                <w:sz w:val="24"/>
                <w:szCs w:val="24"/>
                <w:lang w:eastAsia="sk-SK"/>
              </w:rPr>
              <w:t xml:space="preserve"> e</w:t>
            </w:r>
            <w:r w:rsidR="0081431B">
              <w:rPr>
                <w:rFonts w:ascii="Times New Roman" w:eastAsia="Calibri" w:hAnsi="Times New Roman"/>
                <w:bCs/>
                <w:sz w:val="24"/>
                <w:szCs w:val="24"/>
                <w:lang w:eastAsia="sk-SK"/>
              </w:rPr>
              <w:t>-</w:t>
            </w:r>
            <w:r w:rsidR="00110A98" w:rsidRPr="00F67D71">
              <w:rPr>
                <w:rFonts w:ascii="Times New Roman" w:eastAsia="Calibri" w:hAnsi="Times New Roman"/>
                <w:bCs/>
                <w:sz w:val="24"/>
                <w:szCs w:val="24"/>
                <w:lang w:eastAsia="sk-SK"/>
              </w:rPr>
              <w:t>kas</w:t>
            </w:r>
            <w:r w:rsidR="0081431B">
              <w:rPr>
                <w:rFonts w:ascii="Times New Roman" w:eastAsia="Calibri" w:hAnsi="Times New Roman"/>
                <w:bCs/>
                <w:sz w:val="24"/>
                <w:szCs w:val="24"/>
                <w:lang w:eastAsia="sk-SK"/>
              </w:rPr>
              <w:t>a klient</w:t>
            </w:r>
            <w:r w:rsidR="00110A98" w:rsidRPr="00F67D71">
              <w:rPr>
                <w:rFonts w:ascii="Times New Roman" w:eastAsia="Calibri" w:hAnsi="Times New Roman"/>
                <w:bCs/>
                <w:sz w:val="24"/>
                <w:szCs w:val="24"/>
                <w:lang w:eastAsia="sk-SK"/>
              </w:rPr>
              <w:t xml:space="preserve">. </w:t>
            </w:r>
          </w:p>
          <w:p w:rsidR="001E7734" w:rsidRPr="00F67D71" w:rsidRDefault="00110A98"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bCs/>
                <w:sz w:val="24"/>
                <w:szCs w:val="24"/>
                <w:lang w:eastAsia="sk-SK"/>
              </w:rPr>
              <w:t xml:space="preserve">Odhadovaný výpočet </w:t>
            </w:r>
            <w:r w:rsidR="001E7734" w:rsidRPr="00F67D71">
              <w:rPr>
                <w:rFonts w:ascii="Times New Roman" w:eastAsia="Calibri" w:hAnsi="Times New Roman"/>
                <w:bCs/>
                <w:sz w:val="24"/>
                <w:szCs w:val="24"/>
                <w:lang w:eastAsia="sk-SK"/>
              </w:rPr>
              <w:t xml:space="preserve">predpokladá fiškálny vplyv opatrenia v roku 2021 vo výške okolo </w:t>
            </w:r>
            <w:r w:rsidRPr="00F67D71">
              <w:rPr>
                <w:rFonts w:ascii="Times New Roman" w:eastAsia="Calibri" w:hAnsi="Times New Roman"/>
                <w:bCs/>
                <w:sz w:val="24"/>
                <w:szCs w:val="24"/>
                <w:lang w:eastAsia="sk-SK"/>
              </w:rPr>
              <w:t>4,4</w:t>
            </w:r>
            <w:r w:rsidR="001E7734" w:rsidRPr="00F67D71">
              <w:rPr>
                <w:rFonts w:ascii="Times New Roman" w:eastAsia="Calibri" w:hAnsi="Times New Roman"/>
                <w:bCs/>
                <w:sz w:val="24"/>
                <w:szCs w:val="24"/>
                <w:lang w:eastAsia="sk-SK"/>
              </w:rPr>
              <w:t xml:space="preserve"> mil. eur. Na základe toho je možné konštatovať, že tento negatívny vplyv sa premietne v znížených výdavkoch domácnosti.  </w:t>
            </w:r>
            <w:r w:rsidR="001E7734" w:rsidRPr="00F67D71">
              <w:rPr>
                <w:rFonts w:ascii="Times New Roman" w:eastAsia="Calibri" w:hAnsi="Times New Roman"/>
                <w:sz w:val="24"/>
                <w:szCs w:val="24"/>
                <w:lang w:eastAsia="sk-SK"/>
              </w:rPr>
              <w:t xml:space="preserve">   </w:t>
            </w:r>
          </w:p>
        </w:tc>
      </w:tr>
      <w:tr w:rsidR="001E7734" w:rsidRPr="00D262FB" w:rsidTr="0012376D">
        <w:trPr>
          <w:trHeight w:val="497"/>
          <w:jc w:val="center"/>
        </w:trPr>
        <w:tc>
          <w:tcPr>
            <w:tcW w:w="2947" w:type="pct"/>
            <w:tcBorders>
              <w:top w:val="single" w:sz="4" w:space="0" w:color="BFBFBF" w:themeColor="background1" w:themeShade="BF"/>
              <w:bottom w:val="single" w:sz="4" w:space="0" w:color="BFBFBF" w:themeColor="background1" w:themeShade="BF"/>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Negatívny vplyv - priemerný pokles príjmov/ rast výdavkov v skupine v eurách a/alebo v % / obdobie: </w:t>
            </w:r>
          </w:p>
        </w:tc>
        <w:tc>
          <w:tcPr>
            <w:tcW w:w="2053" w:type="pct"/>
            <w:tcBorders>
              <w:top w:val="single" w:sz="4" w:space="0" w:color="BFBFBF" w:themeColor="background1" w:themeShade="BF"/>
              <w:bottom w:val="single" w:sz="4" w:space="0" w:color="BFBFBF" w:themeColor="background1" w:themeShade="BF"/>
            </w:tcBorders>
            <w:shd w:val="clear" w:color="auto" w:fill="auto"/>
          </w:tcPr>
          <w:p w:rsidR="001E7734" w:rsidRPr="00F67D71" w:rsidRDefault="001E7734"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bez vplyvu</w:t>
            </w:r>
          </w:p>
        </w:tc>
      </w:tr>
      <w:tr w:rsidR="001E7734" w:rsidRPr="00D262FB" w:rsidTr="0012376D">
        <w:trPr>
          <w:trHeight w:val="363"/>
          <w:jc w:val="center"/>
        </w:trPr>
        <w:tc>
          <w:tcPr>
            <w:tcW w:w="2947" w:type="pct"/>
            <w:tcBorders>
              <w:top w:val="single" w:sz="4" w:space="0" w:color="BFBFBF" w:themeColor="background1" w:themeShade="BF"/>
              <w:bottom w:val="single" w:sz="4" w:space="0" w:color="auto"/>
            </w:tcBorders>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Veľkosť skupiny (počet obyvateľov):</w:t>
            </w:r>
          </w:p>
        </w:tc>
        <w:tc>
          <w:tcPr>
            <w:tcW w:w="2053" w:type="pct"/>
            <w:tcBorders>
              <w:top w:val="single" w:sz="4" w:space="0" w:color="BFBFBF" w:themeColor="background1" w:themeShade="BF"/>
              <w:bottom w:val="single" w:sz="4" w:space="0" w:color="auto"/>
            </w:tcBorders>
            <w:shd w:val="clear" w:color="auto" w:fill="auto"/>
          </w:tcPr>
          <w:p w:rsidR="001E7734" w:rsidRPr="00F67D71" w:rsidRDefault="001E7734" w:rsidP="0012376D">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 xml:space="preserve">3,6 milióna </w:t>
            </w:r>
          </w:p>
        </w:tc>
      </w:tr>
      <w:tr w:rsidR="001E7734" w:rsidRPr="00D262FB" w:rsidTr="0012376D">
        <w:trPr>
          <w:trHeight w:val="363"/>
          <w:jc w:val="center"/>
        </w:trPr>
        <w:tc>
          <w:tcPr>
            <w:tcW w:w="2947" w:type="pct"/>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Dôvod chýbajúcej kvantifikácie:</w:t>
            </w:r>
          </w:p>
        </w:tc>
        <w:tc>
          <w:tcPr>
            <w:tcW w:w="2053" w:type="pct"/>
            <w:shd w:val="clear" w:color="auto" w:fill="auto"/>
          </w:tcPr>
          <w:p w:rsidR="001E7734" w:rsidRPr="00F67D71" w:rsidRDefault="001E7734" w:rsidP="0012376D">
            <w:pPr>
              <w:spacing w:after="0" w:line="240" w:lineRule="auto"/>
              <w:jc w:val="both"/>
              <w:rPr>
                <w:rFonts w:ascii="Times New Roman" w:eastAsia="Calibri" w:hAnsi="Times New Roman"/>
                <w:sz w:val="24"/>
                <w:szCs w:val="24"/>
                <w:lang w:eastAsia="sk-SK"/>
              </w:rPr>
            </w:pPr>
          </w:p>
        </w:tc>
      </w:tr>
      <w:tr w:rsidR="001E7734" w:rsidRPr="00D262FB" w:rsidTr="0012376D">
        <w:trPr>
          <w:trHeight w:val="670"/>
          <w:jc w:val="center"/>
        </w:trPr>
        <w:tc>
          <w:tcPr>
            <w:tcW w:w="2947" w:type="pct"/>
            <w:shd w:val="clear" w:color="auto" w:fill="auto"/>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053" w:type="pct"/>
            <w:shd w:val="clear" w:color="auto" w:fill="auto"/>
          </w:tcPr>
          <w:p w:rsidR="001E7734" w:rsidRPr="00D262FB" w:rsidRDefault="001E7734" w:rsidP="0012376D">
            <w:pPr>
              <w:spacing w:after="0" w:line="240" w:lineRule="auto"/>
              <w:jc w:val="both"/>
              <w:rPr>
                <w:rFonts w:ascii="Times New Roman" w:eastAsia="Calibri" w:hAnsi="Times New Roman"/>
                <w:sz w:val="24"/>
                <w:szCs w:val="24"/>
                <w:lang w:eastAsia="sk-SK"/>
              </w:rPr>
            </w:pPr>
            <w:r w:rsidRPr="00D262FB">
              <w:rPr>
                <w:rFonts w:ascii="Times New Roman" w:eastAsia="Calibri" w:hAnsi="Times New Roman"/>
                <w:sz w:val="24"/>
                <w:szCs w:val="24"/>
                <w:lang w:eastAsia="sk-SK"/>
              </w:rPr>
              <w:t xml:space="preserve">bez vplyvu </w:t>
            </w:r>
          </w:p>
        </w:tc>
      </w:tr>
      <w:tr w:rsidR="001E7734" w:rsidRPr="00D262FB" w:rsidTr="0012376D">
        <w:trPr>
          <w:trHeight w:val="339"/>
          <w:jc w:val="center"/>
        </w:trPr>
        <w:tc>
          <w:tcPr>
            <w:tcW w:w="5000" w:type="pct"/>
            <w:gridSpan w:val="2"/>
            <w:tcBorders>
              <w:bottom w:val="single" w:sz="4" w:space="0" w:color="auto"/>
            </w:tcBorders>
            <w:shd w:val="clear" w:color="auto" w:fill="D9D9D9"/>
          </w:tcPr>
          <w:p w:rsidR="001E7734" w:rsidRPr="00D262FB" w:rsidRDefault="001E7734" w:rsidP="0012376D">
            <w:pPr>
              <w:spacing w:after="0" w:line="240" w:lineRule="auto"/>
              <w:rPr>
                <w:rFonts w:ascii="Times New Roman" w:eastAsia="Calibri" w:hAnsi="Times New Roman"/>
                <w:b/>
                <w:sz w:val="24"/>
                <w:szCs w:val="24"/>
                <w:lang w:eastAsia="sk-SK"/>
              </w:rPr>
            </w:pPr>
            <w:r w:rsidRPr="00D262FB">
              <w:rPr>
                <w:rFonts w:ascii="Times New Roman" w:eastAsia="Calibri"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1E7734" w:rsidRPr="00D262FB" w:rsidTr="0012376D">
        <w:trPr>
          <w:trHeight w:val="290"/>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Má návrh vplyv na prístup k zdrojom, právam, tovarom a službám? </w:t>
            </w:r>
          </w:p>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lastRenderedPageBreak/>
              <w:t>Špecifikujete ovplyvnené skupiny obyvateľstva a charakter zmeny v prístupnosti s ohľadom na dostupnosť finančnú, geografickú, kvalitu, organizovanie a pod. Uveďte veľkosť jednotlivých ovplyvnených skupín.</w:t>
            </w:r>
          </w:p>
        </w:tc>
      </w:tr>
      <w:tr w:rsidR="001E7734" w:rsidRPr="00D262FB" w:rsidTr="0012376D">
        <w:tblPrEx>
          <w:tblBorders>
            <w:top w:val="none" w:sz="0" w:space="0" w:color="auto"/>
            <w:bottom w:val="none" w:sz="0" w:space="0" w:color="auto"/>
          </w:tblBorders>
        </w:tblPrEx>
        <w:trPr>
          <w:trHeight w:val="557"/>
          <w:jc w:val="center"/>
        </w:trPr>
        <w:tc>
          <w:tcPr>
            <w:tcW w:w="2947" w:type="pct"/>
            <w:shd w:val="clear" w:color="auto" w:fill="auto"/>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lastRenderedPageBreak/>
              <w:t>Rozumie sa najmä na prístup k:</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sociálnej ochrane, sociálno-právnej ochrane, sociálnym službám (vrátane služieb starostlivosti o deti, starších ľudí a ľudí so zdravotným postihnutím), </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kvalitnej práci, ochrane zdravia, dôstojnosti a bezpečnosti pri práci pre zamestnancov a existujúcim zamestnaneckým právam,</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pomoci pri úhrade výdavkov súvisiacich so zdravotným postihnutím, </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zamestnaniu, na trh práce (napr. uľahčenie zosúladenia rodinných a pracovných povinností, služby zamestnanosti), k školeniam, odbornému vzdelávaniu a príprave na trh práce,</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zdravotnej starostlivosti vrátane cenovo dostupných pomôcok pre občanov so zdravotným postihnutím, </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k formálnemu i neformálnemu vzdelávaniu a celo</w:t>
            </w:r>
            <w:r w:rsidRPr="00D262FB">
              <w:rPr>
                <w:rFonts w:ascii="Times New Roman" w:eastAsia="Calibri" w:hAnsi="Times New Roman"/>
                <w:i/>
                <w:sz w:val="24"/>
                <w:szCs w:val="24"/>
                <w:lang w:eastAsia="sk-SK"/>
              </w:rPr>
              <w:softHyphen/>
              <w:t xml:space="preserve">životnému vzdelávaniu, </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bývaniu a súvisiacim základným komunálnym službám,</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doprave,</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ďalším službám najmä službám všeobecného záujmu a tovarom,</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spravodlivosti, právnej ochrane, právnym službám,</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informáciám</w:t>
            </w:r>
          </w:p>
          <w:p w:rsidR="001E7734" w:rsidRPr="00D262FB" w:rsidRDefault="001E7734" w:rsidP="001E7734">
            <w:pPr>
              <w:numPr>
                <w:ilvl w:val="0"/>
                <w:numId w:val="35"/>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k iným právam (napr. politickým).</w:t>
            </w:r>
          </w:p>
        </w:tc>
        <w:tc>
          <w:tcPr>
            <w:tcW w:w="2053" w:type="pct"/>
            <w:shd w:val="clear" w:color="auto" w:fill="auto"/>
          </w:tcPr>
          <w:p w:rsidR="001E7734" w:rsidRPr="00D262FB" w:rsidRDefault="00110A98" w:rsidP="00F67D71">
            <w:pPr>
              <w:spacing w:after="0" w:line="240" w:lineRule="auto"/>
              <w:jc w:val="both"/>
              <w:rPr>
                <w:rFonts w:ascii="Times New Roman" w:eastAsia="Calibri" w:hAnsi="Times New Roman"/>
                <w:sz w:val="24"/>
                <w:szCs w:val="24"/>
                <w:lang w:eastAsia="sk-SK"/>
              </w:rPr>
            </w:pPr>
            <w:r w:rsidRPr="00F67D71">
              <w:rPr>
                <w:rFonts w:ascii="Times New Roman" w:eastAsia="Calibri" w:hAnsi="Times New Roman"/>
                <w:sz w:val="24"/>
                <w:szCs w:val="24"/>
                <w:lang w:eastAsia="sk-SK"/>
              </w:rPr>
              <w:t>Predĺžením zavedenia</w:t>
            </w:r>
            <w:r w:rsidR="001E7734" w:rsidRPr="00F67D71">
              <w:rPr>
                <w:rFonts w:ascii="Times New Roman" w:eastAsia="Calibri" w:hAnsi="Times New Roman"/>
                <w:sz w:val="24"/>
                <w:szCs w:val="24"/>
                <w:lang w:eastAsia="sk-SK"/>
              </w:rPr>
              <w:t xml:space="preserve"> nulovej sadzby DPH na osobné ochranné prostriedky dýchacích ciest s vyšším stupňom ochrany sa tieto ochranné prostriedky stávajú pre občanov </w:t>
            </w:r>
            <w:r w:rsidRPr="00F67D71">
              <w:rPr>
                <w:rFonts w:ascii="Times New Roman" w:eastAsia="Calibri" w:hAnsi="Times New Roman"/>
                <w:sz w:val="24"/>
                <w:szCs w:val="24"/>
                <w:lang w:eastAsia="sk-SK"/>
              </w:rPr>
              <w:t xml:space="preserve">cenovo </w:t>
            </w:r>
            <w:r w:rsidR="001E7734" w:rsidRPr="00F67D71">
              <w:rPr>
                <w:rFonts w:ascii="Times New Roman" w:eastAsia="Calibri" w:hAnsi="Times New Roman"/>
                <w:sz w:val="24"/>
                <w:szCs w:val="24"/>
                <w:lang w:eastAsia="sk-SK"/>
              </w:rPr>
              <w:t xml:space="preserve">dostupnejšie. </w:t>
            </w:r>
          </w:p>
        </w:tc>
      </w:tr>
      <w:tr w:rsidR="001E7734" w:rsidRPr="00D262FB" w:rsidTr="0012376D">
        <w:trPr>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Má návrh významný vplyv na niektorú zo zraniteľných skupín obyvateľstva alebo skupín v riziku chudoby alebo sociálneho vylúčenia? </w:t>
            </w:r>
          </w:p>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Špecifikujte ovplyvnené skupiny v riziku chudoby a sociálneho vylúčenia a popíšte vplyv na </w:t>
            </w:r>
            <w:proofErr w:type="spellStart"/>
            <w:r w:rsidRPr="00D262FB">
              <w:rPr>
                <w:rFonts w:ascii="Times New Roman" w:eastAsia="Calibri" w:hAnsi="Times New Roman"/>
                <w:i/>
                <w:sz w:val="24"/>
                <w:szCs w:val="24"/>
                <w:lang w:eastAsia="sk-SK"/>
              </w:rPr>
              <w:t>ne</w:t>
            </w:r>
            <w:proofErr w:type="spellEnd"/>
            <w:r w:rsidRPr="00D262FB">
              <w:rPr>
                <w:rFonts w:ascii="Times New Roman" w:eastAsia="Calibri" w:hAnsi="Times New Roman"/>
                <w:i/>
                <w:sz w:val="24"/>
                <w:szCs w:val="24"/>
                <w:lang w:eastAsia="sk-SK"/>
              </w:rPr>
              <w:t>. Je tento vplyv väčší ako vplyv na iné skupiny či subjekty? Uveďte veľkosť jednotlivých ovplyvnených skupín.</w:t>
            </w:r>
          </w:p>
        </w:tc>
      </w:tr>
      <w:tr w:rsidR="001E7734" w:rsidRPr="00D262FB" w:rsidTr="0012376D">
        <w:tblPrEx>
          <w:tblBorders>
            <w:top w:val="none" w:sz="0" w:space="0" w:color="auto"/>
          </w:tblBorders>
        </w:tblPrEx>
        <w:trPr>
          <w:trHeight w:val="677"/>
          <w:jc w:val="center"/>
        </w:trPr>
        <w:tc>
          <w:tcPr>
            <w:tcW w:w="2947" w:type="pct"/>
            <w:shd w:val="clear" w:color="auto" w:fill="auto"/>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Zraniteľné skupiny alebo skupiny v riziku chudoby alebo sociálneho vylúčenia sú napr.:</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nezamestnaní, najmä dlhodobo nezamestnaní, mladí nezamestnaní a nezamestnaní nad 50 rokov,</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deti (0 – 17),</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mladí ľudia (18 – 25 rokov),</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starší ľudia, napr. ľudia vo veku nad 65 rokov alebo dôchodcovia,</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ľudia so zdravotným postihnutím,</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marginalizované rómske komunity </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lastRenderedPageBreak/>
              <w:t>domácnosti s 3 a viac deťmi,</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jednorodičovské domácnosti s deťmi (neúplné rodiny, ktoré tvoria najmä osamelé matky s deťmi),</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príslušníci tretích krajín, azylanti, žiadatelia o azyl,</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iné zraniteľné skupiny, ako sú napr. bezdomovci, ľudia opúšťajúci detské domovy alebo iné inštitucionálne zariadenia</w:t>
            </w:r>
          </w:p>
        </w:tc>
        <w:tc>
          <w:tcPr>
            <w:tcW w:w="2053" w:type="pct"/>
            <w:shd w:val="clear" w:color="auto" w:fill="auto"/>
          </w:tcPr>
          <w:p w:rsidR="001E7734" w:rsidRPr="00D262FB" w:rsidRDefault="001E7734" w:rsidP="0012376D">
            <w:pPr>
              <w:spacing w:after="0" w:line="240" w:lineRule="auto"/>
              <w:rPr>
                <w:rFonts w:ascii="Times New Roman" w:eastAsia="Calibri" w:hAnsi="Times New Roman"/>
                <w:sz w:val="24"/>
                <w:szCs w:val="24"/>
                <w:lang w:eastAsia="sk-SK"/>
              </w:rPr>
            </w:pPr>
            <w:r w:rsidRPr="00D262FB">
              <w:rPr>
                <w:rFonts w:ascii="Times New Roman" w:eastAsia="Calibri" w:hAnsi="Times New Roman"/>
                <w:sz w:val="24"/>
                <w:szCs w:val="24"/>
                <w:lang w:eastAsia="sk-SK"/>
              </w:rPr>
              <w:lastRenderedPageBreak/>
              <w:t>bez vplyvu</w:t>
            </w:r>
          </w:p>
        </w:tc>
      </w:tr>
      <w:tr w:rsidR="001E7734" w:rsidRPr="00D262FB" w:rsidTr="0012376D">
        <w:trPr>
          <w:jc w:val="center"/>
        </w:trPr>
        <w:tc>
          <w:tcPr>
            <w:tcW w:w="5000" w:type="pct"/>
            <w:gridSpan w:val="2"/>
            <w:shd w:val="clear" w:color="auto" w:fill="D9D9D9"/>
          </w:tcPr>
          <w:p w:rsidR="001E7734" w:rsidRPr="00D262FB" w:rsidRDefault="001E7734" w:rsidP="0012376D">
            <w:pPr>
              <w:spacing w:after="0" w:line="240" w:lineRule="auto"/>
              <w:rPr>
                <w:rFonts w:ascii="Times New Roman" w:eastAsia="Calibri" w:hAnsi="Times New Roman"/>
                <w:b/>
                <w:sz w:val="24"/>
                <w:szCs w:val="24"/>
                <w:lang w:eastAsia="sk-SK"/>
              </w:rPr>
            </w:pPr>
            <w:r w:rsidRPr="00D262FB">
              <w:rPr>
                <w:rFonts w:ascii="Times New Roman" w:eastAsia="Calibri" w:hAnsi="Times New Roman"/>
                <w:b/>
                <w:sz w:val="24"/>
                <w:szCs w:val="24"/>
                <w:lang w:eastAsia="sk-SK"/>
              </w:rPr>
              <w:t>4.3 Identifikujte a popíšte vplyv na rovnosť príležitostí.</w:t>
            </w:r>
          </w:p>
          <w:p w:rsidR="001E7734" w:rsidRPr="00D262FB" w:rsidRDefault="001E7734" w:rsidP="0012376D">
            <w:pPr>
              <w:spacing w:after="0" w:line="240" w:lineRule="auto"/>
              <w:ind w:left="340"/>
              <w:jc w:val="both"/>
              <w:rPr>
                <w:rFonts w:ascii="Times New Roman" w:eastAsia="Calibri" w:hAnsi="Times New Roman"/>
                <w:sz w:val="24"/>
                <w:szCs w:val="24"/>
                <w:lang w:eastAsia="sk-SK"/>
              </w:rPr>
            </w:pPr>
            <w:r w:rsidRPr="00D262FB">
              <w:rPr>
                <w:rFonts w:ascii="Times New Roman" w:eastAsia="Calibri" w:hAnsi="Times New Roman"/>
                <w:b/>
                <w:sz w:val="24"/>
                <w:szCs w:val="24"/>
                <w:lang w:eastAsia="sk-SK"/>
              </w:rPr>
              <w:t>Identifikujte, popíšte a kvantifikujte vplyv na rodovú rovnosť.</w:t>
            </w:r>
          </w:p>
        </w:tc>
      </w:tr>
      <w:tr w:rsidR="001E7734" w:rsidRPr="00D262FB" w:rsidTr="0012376D">
        <w:trPr>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1E7734" w:rsidRPr="00D262FB" w:rsidTr="0012376D">
        <w:trPr>
          <w:trHeight w:val="928"/>
          <w:jc w:val="center"/>
        </w:trPr>
        <w:tc>
          <w:tcPr>
            <w:tcW w:w="5000" w:type="pct"/>
            <w:gridSpan w:val="2"/>
            <w:tcBorders>
              <w:top w:val="nil"/>
              <w:bottom w:val="nil"/>
            </w:tcBorders>
            <w:shd w:val="clear" w:color="auto" w:fill="auto"/>
          </w:tcPr>
          <w:p w:rsidR="001E7734" w:rsidRPr="00D262FB" w:rsidRDefault="001E7734" w:rsidP="0012376D">
            <w:pPr>
              <w:spacing w:after="0" w:line="240" w:lineRule="auto"/>
              <w:rPr>
                <w:rFonts w:ascii="Times New Roman" w:eastAsia="Calibri" w:hAnsi="Times New Roman"/>
                <w:sz w:val="24"/>
                <w:szCs w:val="24"/>
                <w:lang w:eastAsia="sk-SK"/>
              </w:rPr>
            </w:pPr>
            <w:r w:rsidRPr="00D262FB">
              <w:rPr>
                <w:rFonts w:ascii="Times New Roman" w:eastAsia="Calibri" w:hAnsi="Times New Roman"/>
                <w:sz w:val="24"/>
                <w:szCs w:val="24"/>
                <w:lang w:eastAsia="sk-SK"/>
              </w:rPr>
              <w:t>Návrh dodržuje povinnosť rovnakého zaobchádzania so skupinami alebo jednotlivcami na základe pohlavia, rasy, etnicity, náboženstva alebo viery, zdravotného znevýhodnenia, veku a sexuálnej orientácie. Nevedie k nepriamej diskriminácie niektorých skupín obyvateľstva.</w:t>
            </w:r>
          </w:p>
          <w:p w:rsidR="001E7734" w:rsidRPr="00D262FB" w:rsidRDefault="001E7734" w:rsidP="0012376D">
            <w:pPr>
              <w:spacing w:after="0" w:line="240" w:lineRule="auto"/>
              <w:rPr>
                <w:rFonts w:ascii="Times New Roman" w:eastAsia="Calibri" w:hAnsi="Times New Roman"/>
                <w:i/>
                <w:sz w:val="24"/>
                <w:szCs w:val="24"/>
                <w:lang w:eastAsia="sk-SK"/>
              </w:rPr>
            </w:pPr>
          </w:p>
        </w:tc>
      </w:tr>
      <w:tr w:rsidR="001E7734" w:rsidRPr="00D262FB" w:rsidTr="0012376D">
        <w:trPr>
          <w:trHeight w:val="345"/>
          <w:jc w:val="center"/>
        </w:trPr>
        <w:tc>
          <w:tcPr>
            <w:tcW w:w="5000" w:type="pct"/>
            <w:gridSpan w:val="2"/>
            <w:tcBorders>
              <w:bottom w:val="single" w:sz="4" w:space="0" w:color="auto"/>
            </w:tcBorders>
            <w:shd w:val="clear" w:color="auto" w:fill="F2F2F2"/>
            <w:vAlign w:val="center"/>
          </w:tcPr>
          <w:p w:rsidR="001E7734" w:rsidRPr="00D262FB" w:rsidRDefault="001E7734" w:rsidP="0012376D">
            <w:pPr>
              <w:spacing w:after="0" w:line="240" w:lineRule="auto"/>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Môže mať návrh odlišný vplyv na ženy a mužov? Podporuje návrh rovnosť medzi ženami a mužmi alebo naopak bude viesť k zväčšovaniu rodových nerovností? Popíšte vplyvy.</w:t>
            </w:r>
          </w:p>
        </w:tc>
      </w:tr>
      <w:tr w:rsidR="001E7734" w:rsidRPr="00D262FB" w:rsidTr="0012376D">
        <w:tblPrEx>
          <w:tblBorders>
            <w:top w:val="none" w:sz="0" w:space="0" w:color="auto"/>
            <w:bottom w:val="none" w:sz="0" w:space="0" w:color="auto"/>
          </w:tblBorders>
        </w:tblPrEx>
        <w:trPr>
          <w:trHeight w:val="1235"/>
          <w:jc w:val="center"/>
        </w:trPr>
        <w:tc>
          <w:tcPr>
            <w:tcW w:w="2947" w:type="pct"/>
            <w:shd w:val="clear" w:color="auto" w:fill="auto"/>
          </w:tcPr>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podpora vyrovnávania ekonomickej nezávislosti, </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zosúladenie pracovného, súkromného a rodinného života, </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podpora rovnej participácie na rozhodovaní, </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boj proti rodovo podmienenému násiliu a obchodovaniu s ľuďmi, </w:t>
            </w:r>
          </w:p>
          <w:p w:rsidR="001E7734" w:rsidRPr="00D262FB" w:rsidRDefault="001E7734" w:rsidP="001E7734">
            <w:pPr>
              <w:numPr>
                <w:ilvl w:val="0"/>
                <w:numId w:val="36"/>
              </w:num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eliminácia rodových stereotypov.</w:t>
            </w:r>
          </w:p>
        </w:tc>
        <w:tc>
          <w:tcPr>
            <w:tcW w:w="2053" w:type="pct"/>
            <w:shd w:val="clear" w:color="auto" w:fill="auto"/>
          </w:tcPr>
          <w:p w:rsidR="001E7734" w:rsidRPr="00D262FB" w:rsidRDefault="001E7734" w:rsidP="0012376D">
            <w:pPr>
              <w:spacing w:after="0" w:line="240" w:lineRule="auto"/>
              <w:rPr>
                <w:rFonts w:ascii="Times New Roman" w:eastAsia="Calibri" w:hAnsi="Times New Roman"/>
                <w:sz w:val="24"/>
                <w:szCs w:val="24"/>
                <w:lang w:eastAsia="sk-SK"/>
              </w:rPr>
            </w:pPr>
            <w:r w:rsidRPr="00D262FB">
              <w:rPr>
                <w:rFonts w:ascii="Times New Roman" w:eastAsia="Calibri" w:hAnsi="Times New Roman"/>
                <w:sz w:val="24"/>
                <w:szCs w:val="24"/>
                <w:lang w:eastAsia="sk-SK"/>
              </w:rPr>
              <w:t>bez vplyvu</w:t>
            </w:r>
          </w:p>
          <w:p w:rsidR="001E7734" w:rsidRPr="00D262FB" w:rsidRDefault="001E7734" w:rsidP="0012376D">
            <w:pPr>
              <w:spacing w:after="0" w:line="240" w:lineRule="auto"/>
              <w:rPr>
                <w:rFonts w:ascii="Times New Roman" w:eastAsia="Calibri" w:hAnsi="Times New Roman"/>
                <w:sz w:val="24"/>
                <w:szCs w:val="24"/>
                <w:lang w:eastAsia="sk-SK"/>
              </w:rPr>
            </w:pPr>
          </w:p>
          <w:p w:rsidR="001E7734" w:rsidRPr="00D262FB" w:rsidRDefault="001E7734" w:rsidP="0012376D">
            <w:pPr>
              <w:spacing w:after="0" w:line="240" w:lineRule="auto"/>
              <w:rPr>
                <w:rFonts w:ascii="Times New Roman" w:eastAsia="Calibri" w:hAnsi="Times New Roman"/>
                <w:sz w:val="24"/>
                <w:szCs w:val="24"/>
                <w:lang w:eastAsia="sk-SK"/>
              </w:rPr>
            </w:pPr>
          </w:p>
          <w:p w:rsidR="001E7734" w:rsidRPr="00D262FB" w:rsidRDefault="001E7734" w:rsidP="0012376D">
            <w:pPr>
              <w:spacing w:after="0" w:line="240" w:lineRule="auto"/>
              <w:rPr>
                <w:rFonts w:ascii="Times New Roman" w:eastAsia="Calibri" w:hAnsi="Times New Roman"/>
                <w:sz w:val="24"/>
                <w:szCs w:val="24"/>
                <w:lang w:eastAsia="sk-SK"/>
              </w:rPr>
            </w:pPr>
          </w:p>
        </w:tc>
      </w:tr>
      <w:tr w:rsidR="001E7734" w:rsidRPr="00D262FB" w:rsidTr="0012376D">
        <w:trPr>
          <w:jc w:val="center"/>
        </w:trPr>
        <w:tc>
          <w:tcPr>
            <w:tcW w:w="5000" w:type="pct"/>
            <w:gridSpan w:val="2"/>
            <w:shd w:val="clear" w:color="auto" w:fill="D9D9D9"/>
          </w:tcPr>
          <w:p w:rsidR="001E7734" w:rsidRPr="00D262FB" w:rsidRDefault="001E7734" w:rsidP="0012376D">
            <w:pPr>
              <w:spacing w:after="0" w:line="240" w:lineRule="auto"/>
              <w:rPr>
                <w:rFonts w:ascii="Times New Roman" w:eastAsia="Calibri" w:hAnsi="Times New Roman"/>
                <w:b/>
                <w:sz w:val="24"/>
                <w:szCs w:val="24"/>
                <w:lang w:eastAsia="sk-SK"/>
              </w:rPr>
            </w:pPr>
            <w:r w:rsidRPr="00D262FB">
              <w:rPr>
                <w:rFonts w:ascii="Times New Roman" w:eastAsia="Calibri" w:hAnsi="Times New Roman"/>
                <w:b/>
                <w:sz w:val="24"/>
                <w:szCs w:val="24"/>
                <w:lang w:eastAsia="sk-SK"/>
              </w:rPr>
              <w:t>4.4 Identifikujte, popíšte a kvantifikujte vplyvy na zamestnanosť a na trh práce.</w:t>
            </w:r>
          </w:p>
          <w:p w:rsidR="001E7734" w:rsidRPr="00D262FB" w:rsidRDefault="001E7734" w:rsidP="0012376D">
            <w:pPr>
              <w:spacing w:after="0" w:line="240" w:lineRule="auto"/>
              <w:jc w:val="both"/>
              <w:rPr>
                <w:rFonts w:ascii="Times New Roman" w:eastAsia="Calibri" w:hAnsi="Times New Roman"/>
                <w:i/>
                <w:sz w:val="24"/>
                <w:szCs w:val="24"/>
                <w:lang w:eastAsia="sk-SK"/>
              </w:rPr>
            </w:pPr>
            <w:r w:rsidRPr="00D262FB">
              <w:rPr>
                <w:rFonts w:ascii="Times New Roman" w:eastAsia="Calibri" w:hAnsi="Times New Roman"/>
                <w:i/>
                <w:sz w:val="24"/>
                <w:szCs w:val="24"/>
                <w:lang w:eastAsia="sk-SK"/>
              </w:rPr>
              <w:t xml:space="preserve">V prípade kladnej odpovede pripojte </w:t>
            </w:r>
            <w:r w:rsidRPr="00D262FB">
              <w:rPr>
                <w:rFonts w:ascii="Times New Roman" w:eastAsia="Calibri" w:hAnsi="Times New Roman"/>
                <w:b/>
                <w:i/>
                <w:sz w:val="24"/>
                <w:szCs w:val="24"/>
                <w:lang w:eastAsia="sk-SK"/>
              </w:rPr>
              <w:t>odôvodnenie</w:t>
            </w:r>
            <w:r w:rsidRPr="00D262FB">
              <w:rPr>
                <w:rFonts w:ascii="Times New Roman" w:eastAsia="Calibri" w:hAnsi="Times New Roman"/>
                <w:i/>
                <w:sz w:val="24"/>
                <w:szCs w:val="24"/>
                <w:lang w:eastAsia="sk-SK"/>
              </w:rPr>
              <w:t xml:space="preserve"> v súlade s Metodickým postupom pre analýzu sociálnych vplyvov.</w:t>
            </w:r>
          </w:p>
        </w:tc>
      </w:tr>
      <w:tr w:rsidR="001E7734" w:rsidRPr="00D262FB" w:rsidTr="0012376D">
        <w:trPr>
          <w:trHeight w:val="287"/>
          <w:jc w:val="center"/>
        </w:trPr>
        <w:tc>
          <w:tcPr>
            <w:tcW w:w="5000" w:type="pct"/>
            <w:gridSpan w:val="2"/>
            <w:tcBorders>
              <w:top w:val="nil"/>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Uľahčuje návrh vznik nových pracovných miest? Ak áno, ako? Ak je to možné, doplňte kvantifikáciu.</w:t>
            </w:r>
          </w:p>
        </w:tc>
      </w:tr>
      <w:tr w:rsidR="001E7734" w:rsidRPr="00D262FB" w:rsidTr="0012376D">
        <w:trPr>
          <w:trHeight w:val="567"/>
          <w:jc w:val="center"/>
        </w:trPr>
        <w:tc>
          <w:tcPr>
            <w:tcW w:w="2947" w:type="pct"/>
            <w:tcBorders>
              <w:top w:val="nil"/>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 xml:space="preserve">Identifikujte, v ktorých sektoroch a odvetviach ekonomiky, v ktorých regiónoch, pre aké skupiny zamestnancov, o aké typy zamestnania /pracovných úväzkov pôjde a pod. </w:t>
            </w:r>
          </w:p>
        </w:tc>
        <w:tc>
          <w:tcPr>
            <w:tcW w:w="2053" w:type="pct"/>
            <w:tcBorders>
              <w:top w:val="nil"/>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t>bez vplyvu</w:t>
            </w:r>
          </w:p>
        </w:tc>
      </w:tr>
      <w:tr w:rsidR="001E7734" w:rsidRPr="00D262FB" w:rsidTr="0012376D">
        <w:trPr>
          <w:trHeight w:val="270"/>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Vedie návrh k zániku pracovných miest?</w:t>
            </w:r>
            <w:r w:rsidRPr="00D262FB">
              <w:rPr>
                <w:rFonts w:ascii="Times New Roman" w:eastAsia="Calibri" w:hAnsi="Times New Roman"/>
                <w:sz w:val="24"/>
                <w:szCs w:val="24"/>
              </w:rPr>
              <w:t xml:space="preserve"> </w:t>
            </w:r>
            <w:r w:rsidRPr="00D262FB">
              <w:rPr>
                <w:rFonts w:ascii="Times New Roman" w:eastAsia="Calibri" w:hAnsi="Times New Roman"/>
                <w:i/>
                <w:sz w:val="24"/>
                <w:szCs w:val="24"/>
              </w:rPr>
              <w:t>Ak áno, ako a akých? Ak je to možné, doplňte kvantifikáciu.</w:t>
            </w:r>
          </w:p>
        </w:tc>
      </w:tr>
      <w:tr w:rsidR="001E7734" w:rsidRPr="00D262FB" w:rsidTr="0012376D">
        <w:trPr>
          <w:trHeight w:val="454"/>
          <w:jc w:val="center"/>
        </w:trPr>
        <w:tc>
          <w:tcPr>
            <w:tcW w:w="2947"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 xml:space="preserve">Identifikujte, v ktorých sektoroch a odvetviach ekonomiky, v ktorých regiónoch, o aké typy zamestnania /pracovných úväzkov pôjde a pod. </w:t>
            </w:r>
            <w:r w:rsidRPr="00D262FB">
              <w:rPr>
                <w:rFonts w:ascii="Times New Roman" w:eastAsia="Calibri" w:hAnsi="Times New Roman"/>
                <w:i/>
                <w:sz w:val="24"/>
                <w:szCs w:val="24"/>
              </w:rPr>
              <w:lastRenderedPageBreak/>
              <w:t>Identifikujte možné dôsledky, skupiny zamestnancov, ktoré budú viac ovplyvnené a rozsah vplyvu.</w:t>
            </w:r>
          </w:p>
        </w:tc>
        <w:tc>
          <w:tcPr>
            <w:tcW w:w="2053"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lastRenderedPageBreak/>
              <w:t>bez vplyvu</w:t>
            </w:r>
          </w:p>
        </w:tc>
      </w:tr>
      <w:tr w:rsidR="001E7734" w:rsidRPr="00D262FB" w:rsidTr="0012376D">
        <w:trPr>
          <w:trHeight w:val="248"/>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i/>
                <w:sz w:val="24"/>
                <w:szCs w:val="24"/>
              </w:rPr>
              <w:t>Ovplyvňuje návrh dopyt po práci?</w:t>
            </w:r>
            <w:r w:rsidRPr="00D262FB">
              <w:rPr>
                <w:rFonts w:ascii="Times New Roman" w:eastAsia="Calibri" w:hAnsi="Times New Roman"/>
                <w:sz w:val="24"/>
                <w:szCs w:val="24"/>
              </w:rPr>
              <w:t xml:space="preserve"> </w:t>
            </w:r>
            <w:r w:rsidRPr="00D262FB">
              <w:rPr>
                <w:rFonts w:ascii="Times New Roman" w:eastAsia="Calibri" w:hAnsi="Times New Roman"/>
                <w:i/>
                <w:sz w:val="24"/>
                <w:szCs w:val="24"/>
              </w:rPr>
              <w:t>Ak áno, ako?</w:t>
            </w:r>
          </w:p>
        </w:tc>
      </w:tr>
      <w:tr w:rsidR="001E7734" w:rsidRPr="00D262FB" w:rsidTr="0012376D">
        <w:trPr>
          <w:trHeight w:val="209"/>
          <w:jc w:val="center"/>
        </w:trPr>
        <w:tc>
          <w:tcPr>
            <w:tcW w:w="2947"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Dopyt po práci závisí na jednej strane na produkcii tovarov a služieb v ekonomike a na druhej strane na cene práce.</w:t>
            </w:r>
          </w:p>
        </w:tc>
        <w:tc>
          <w:tcPr>
            <w:tcW w:w="2053"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t>bez vplyvu</w:t>
            </w:r>
          </w:p>
        </w:tc>
      </w:tr>
      <w:tr w:rsidR="001E7734" w:rsidRPr="00D262FB" w:rsidTr="0012376D">
        <w:trPr>
          <w:trHeight w:val="208"/>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i/>
                <w:sz w:val="24"/>
                <w:szCs w:val="24"/>
              </w:rPr>
              <w:t>Má návrh dosah na fungovanie trhu práce?</w:t>
            </w:r>
            <w:r w:rsidRPr="00D262FB">
              <w:rPr>
                <w:rFonts w:ascii="Times New Roman" w:eastAsia="Calibri" w:hAnsi="Times New Roman"/>
                <w:sz w:val="24"/>
                <w:szCs w:val="24"/>
              </w:rPr>
              <w:t xml:space="preserve"> </w:t>
            </w:r>
            <w:r w:rsidRPr="00D262FB">
              <w:rPr>
                <w:rFonts w:ascii="Times New Roman" w:eastAsia="Calibri" w:hAnsi="Times New Roman"/>
                <w:i/>
                <w:sz w:val="24"/>
                <w:szCs w:val="24"/>
              </w:rPr>
              <w:t>Ak áno, aký?</w:t>
            </w:r>
          </w:p>
        </w:tc>
      </w:tr>
      <w:tr w:rsidR="001E7734" w:rsidRPr="00D262FB" w:rsidTr="0012376D">
        <w:trPr>
          <w:trHeight w:val="794"/>
          <w:jc w:val="center"/>
        </w:trPr>
        <w:tc>
          <w:tcPr>
            <w:tcW w:w="2947"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Týka sa makroekonomických dosahov ako je napr. participácia na trhu práce, dlhodobá nezamestnanosť, regionálne rozdiely v mierach zamestnanosti.</w:t>
            </w:r>
            <w:r w:rsidRPr="00D262FB">
              <w:rPr>
                <w:rFonts w:ascii="Times New Roman" w:eastAsia="Calibri" w:hAnsi="Times New Roman"/>
                <w:sz w:val="24"/>
                <w:szCs w:val="24"/>
              </w:rPr>
              <w:t xml:space="preserve"> </w:t>
            </w:r>
            <w:r w:rsidRPr="00D262FB">
              <w:rPr>
                <w:rFonts w:ascii="Times New Roman" w:eastAsia="Calibri" w:hAnsi="Times New Roman"/>
                <w:i/>
                <w:sz w:val="24"/>
                <w:szCs w:val="24"/>
              </w:rPr>
              <w:t>Ponuka práce môže byť ovplyvnená rôznymi premennými napr. úrovňou miezd, inštitucionálnym nastavením (napr.  zosúladenie pracovného a súkromného života alebo uľahčovanie rôznych foriem mobility).</w:t>
            </w:r>
          </w:p>
        </w:tc>
        <w:tc>
          <w:tcPr>
            <w:tcW w:w="2053"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t>bez vplyvu</w:t>
            </w:r>
          </w:p>
        </w:tc>
      </w:tr>
      <w:tr w:rsidR="001E7734" w:rsidRPr="00D262FB" w:rsidTr="0012376D">
        <w:trPr>
          <w:trHeight w:val="324"/>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i/>
                <w:sz w:val="24"/>
                <w:szCs w:val="24"/>
              </w:rPr>
              <w:t>Má návrh špecifické negatívne dôsledky pre isté skupiny profesií, skupín zamestnancov či živnostníkov?</w:t>
            </w:r>
            <w:r w:rsidRPr="00D262FB">
              <w:rPr>
                <w:rFonts w:ascii="Times New Roman" w:eastAsia="Calibri" w:hAnsi="Times New Roman"/>
                <w:sz w:val="24"/>
                <w:szCs w:val="24"/>
              </w:rPr>
              <w:t xml:space="preserve"> </w:t>
            </w:r>
            <w:r w:rsidRPr="00D262FB">
              <w:rPr>
                <w:rFonts w:ascii="Times New Roman" w:eastAsia="Calibri" w:hAnsi="Times New Roman"/>
                <w:i/>
                <w:sz w:val="24"/>
                <w:szCs w:val="24"/>
              </w:rPr>
              <w:t>Ak áno, aké a pre ktoré skupiny?</w:t>
            </w:r>
          </w:p>
        </w:tc>
      </w:tr>
      <w:tr w:rsidR="001E7734" w:rsidRPr="00D262FB" w:rsidTr="0012376D">
        <w:trPr>
          <w:trHeight w:val="216"/>
          <w:jc w:val="center"/>
        </w:trPr>
        <w:tc>
          <w:tcPr>
            <w:tcW w:w="2947"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Návrh môže ohrozovať napr. pracovníkov istých profesií favorizovaním špecifických aktivít či technológií.</w:t>
            </w:r>
          </w:p>
        </w:tc>
        <w:tc>
          <w:tcPr>
            <w:tcW w:w="2053"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t>bez vplyvu</w:t>
            </w:r>
          </w:p>
        </w:tc>
      </w:tr>
      <w:tr w:rsidR="001E7734" w:rsidRPr="00D262FB" w:rsidTr="0012376D">
        <w:trPr>
          <w:trHeight w:val="219"/>
          <w:jc w:val="center"/>
        </w:trPr>
        <w:tc>
          <w:tcPr>
            <w:tcW w:w="5000" w:type="pct"/>
            <w:gridSpan w:val="2"/>
            <w:tcBorders>
              <w:bottom w:val="single" w:sz="4" w:space="0" w:color="auto"/>
            </w:tcBorders>
            <w:shd w:val="clear" w:color="auto" w:fill="F2F2F2"/>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i/>
                <w:sz w:val="24"/>
                <w:szCs w:val="24"/>
              </w:rPr>
              <w:t>Ovplyvňuje návrh špecifické vekové skupiny zamestnancov? Ak áno, aké? Akým spôsobom?</w:t>
            </w:r>
          </w:p>
        </w:tc>
      </w:tr>
      <w:tr w:rsidR="001E7734" w:rsidRPr="00D262FB" w:rsidTr="0012376D">
        <w:trPr>
          <w:trHeight w:val="497"/>
          <w:jc w:val="center"/>
        </w:trPr>
        <w:tc>
          <w:tcPr>
            <w:tcW w:w="2947"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i/>
                <w:sz w:val="24"/>
                <w:szCs w:val="24"/>
              </w:rPr>
            </w:pPr>
            <w:r w:rsidRPr="00D262FB">
              <w:rPr>
                <w:rFonts w:ascii="Times New Roman" w:eastAsia="Calibri" w:hAnsi="Times New Roman"/>
                <w:i/>
                <w:sz w:val="24"/>
                <w:szCs w:val="24"/>
              </w:rPr>
              <w:t>Identifikujte, či návrh môže ovplyvniť rozhodnutia zamestnancov alebo zamestnávateľov a môže byť zdrojom neskoršieho vstupu na trh práce alebo predčasného odchodu z trhu práce jednotlivcov.“</w:t>
            </w:r>
          </w:p>
        </w:tc>
        <w:tc>
          <w:tcPr>
            <w:tcW w:w="2053" w:type="pct"/>
            <w:tcBorders>
              <w:bottom w:val="single" w:sz="4" w:space="0" w:color="auto"/>
            </w:tcBorders>
            <w:shd w:val="clear" w:color="auto" w:fill="FFFFFF"/>
          </w:tcPr>
          <w:p w:rsidR="001E7734" w:rsidRPr="00D262FB" w:rsidRDefault="001E7734" w:rsidP="0012376D">
            <w:pPr>
              <w:spacing w:after="0" w:line="240" w:lineRule="auto"/>
              <w:rPr>
                <w:rFonts w:ascii="Times New Roman" w:eastAsia="Calibri" w:hAnsi="Times New Roman"/>
                <w:sz w:val="24"/>
                <w:szCs w:val="24"/>
              </w:rPr>
            </w:pPr>
            <w:r w:rsidRPr="00D262FB">
              <w:rPr>
                <w:rFonts w:ascii="Times New Roman" w:eastAsia="Calibri" w:hAnsi="Times New Roman"/>
                <w:sz w:val="24"/>
                <w:szCs w:val="24"/>
                <w:lang w:eastAsia="sk-SK"/>
              </w:rPr>
              <w:t>bez vplyvu</w:t>
            </w:r>
          </w:p>
        </w:tc>
      </w:tr>
    </w:tbl>
    <w:p w:rsidR="001E7734" w:rsidRDefault="001E7734"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Default="0026017C" w:rsidP="00AA73E5"/>
    <w:p w:rsidR="0026017C" w:rsidRPr="00441680" w:rsidRDefault="0026017C" w:rsidP="0026017C">
      <w:pPr>
        <w:spacing w:after="0" w:line="240" w:lineRule="auto"/>
        <w:jc w:val="center"/>
        <w:rPr>
          <w:rFonts w:ascii="Times New Roman" w:hAnsi="Times New Roman"/>
          <w:b/>
          <w:bCs/>
          <w:color w:val="000000"/>
          <w:sz w:val="24"/>
          <w:szCs w:val="24"/>
          <w:lang w:eastAsia="sk-SK"/>
        </w:rPr>
      </w:pPr>
      <w:r w:rsidRPr="00441680">
        <w:rPr>
          <w:rFonts w:ascii="Times New Roman" w:hAnsi="Times New Roman"/>
          <w:b/>
          <w:bCs/>
          <w:color w:val="000000"/>
          <w:sz w:val="24"/>
          <w:szCs w:val="24"/>
          <w:lang w:eastAsia="sk-SK"/>
        </w:rPr>
        <w:lastRenderedPageBreak/>
        <w:t>DOLOŽKA ZLUČITEĽNOSTI</w:t>
      </w:r>
    </w:p>
    <w:p w:rsidR="0026017C" w:rsidRPr="00441680" w:rsidRDefault="0026017C" w:rsidP="0026017C">
      <w:pPr>
        <w:pBdr>
          <w:bottom w:val="single" w:sz="12" w:space="1" w:color="auto"/>
        </w:pBdr>
        <w:spacing w:after="0" w:line="240" w:lineRule="auto"/>
        <w:jc w:val="center"/>
        <w:rPr>
          <w:rFonts w:ascii="Times New Roman" w:hAnsi="Times New Roman"/>
          <w:b/>
          <w:bCs/>
          <w:color w:val="000000"/>
          <w:sz w:val="24"/>
          <w:szCs w:val="24"/>
          <w:lang w:eastAsia="sk-SK"/>
        </w:rPr>
      </w:pPr>
      <w:r w:rsidRPr="00441680">
        <w:rPr>
          <w:rFonts w:ascii="Times New Roman" w:hAnsi="Times New Roman"/>
          <w:b/>
          <w:bCs/>
          <w:color w:val="000000"/>
          <w:sz w:val="24"/>
          <w:szCs w:val="24"/>
          <w:lang w:eastAsia="sk-SK"/>
        </w:rPr>
        <w:t>návrhu zákona</w:t>
      </w:r>
      <w:r>
        <w:rPr>
          <w:rFonts w:ascii="Times New Roman" w:hAnsi="Times New Roman"/>
          <w:b/>
          <w:color w:val="000000"/>
          <w:sz w:val="24"/>
          <w:szCs w:val="24"/>
          <w:lang w:eastAsia="sk-SK"/>
        </w:rPr>
        <w:t xml:space="preserve"> </w:t>
      </w:r>
      <w:r w:rsidRPr="00441680">
        <w:rPr>
          <w:rFonts w:ascii="Times New Roman" w:hAnsi="Times New Roman"/>
          <w:b/>
          <w:bCs/>
          <w:color w:val="000000"/>
          <w:sz w:val="24"/>
          <w:szCs w:val="24"/>
          <w:lang w:eastAsia="sk-SK"/>
        </w:rPr>
        <w:t>s právom Európskej únie</w:t>
      </w:r>
    </w:p>
    <w:p w:rsidR="0026017C" w:rsidRPr="00441680" w:rsidRDefault="0026017C" w:rsidP="0026017C">
      <w:pPr>
        <w:spacing w:after="0" w:line="240" w:lineRule="auto"/>
        <w:jc w:val="center"/>
        <w:rPr>
          <w:rFonts w:ascii="Times New Roman" w:hAnsi="Times New Roman"/>
          <w:b/>
          <w:bCs/>
          <w:color w:val="000000"/>
          <w:sz w:val="24"/>
          <w:szCs w:val="24"/>
          <w:lang w:eastAsia="sk-SK"/>
        </w:rPr>
      </w:pPr>
    </w:p>
    <w:p w:rsidR="0026017C" w:rsidRPr="00441680" w:rsidRDefault="0026017C" w:rsidP="0026017C">
      <w:pPr>
        <w:spacing w:after="0" w:line="240" w:lineRule="auto"/>
        <w:jc w:val="center"/>
        <w:rPr>
          <w:rFonts w:ascii="Times New Roman" w:hAnsi="Times New Roman"/>
          <w:color w:val="000000"/>
          <w:sz w:val="24"/>
          <w:szCs w:val="24"/>
          <w:lang w:eastAsia="sk-SK"/>
        </w:rPr>
      </w:pPr>
    </w:p>
    <w:p w:rsidR="0026017C" w:rsidRPr="00441680" w:rsidRDefault="0026017C" w:rsidP="0026017C">
      <w:pPr>
        <w:spacing w:after="0" w:line="240" w:lineRule="auto"/>
        <w:rPr>
          <w:rFonts w:ascii="Times New Roman" w:hAnsi="Times New Roman"/>
          <w:color w:val="000000"/>
          <w:sz w:val="24"/>
          <w:szCs w:val="24"/>
          <w:lang w:eastAsia="sk-SK"/>
        </w:rPr>
      </w:pPr>
      <w:r w:rsidRPr="00441680">
        <w:rPr>
          <w:rFonts w:ascii="Times New Roman" w:hAnsi="Times New Roman"/>
          <w:b/>
          <w:bCs/>
          <w:color w:val="000000"/>
          <w:sz w:val="24"/>
          <w:szCs w:val="24"/>
          <w:lang w:eastAsia="sk-SK"/>
        </w:rPr>
        <w:t>1. Navrhovateľ zákona:</w:t>
      </w:r>
    </w:p>
    <w:p w:rsidR="0026017C" w:rsidRPr="00441680" w:rsidRDefault="0026017C" w:rsidP="0026017C">
      <w:pPr>
        <w:spacing w:after="0" w:line="240" w:lineRule="auto"/>
        <w:rPr>
          <w:rFonts w:ascii="Times New Roman" w:hAnsi="Times New Roman"/>
          <w:color w:val="000000"/>
          <w:sz w:val="24"/>
          <w:szCs w:val="24"/>
          <w:lang w:eastAsia="sk-SK"/>
        </w:rPr>
      </w:pPr>
      <w:r w:rsidRPr="00441680">
        <w:rPr>
          <w:rFonts w:ascii="Times New Roman" w:hAnsi="Times New Roman"/>
          <w:color w:val="000000"/>
          <w:sz w:val="24"/>
          <w:szCs w:val="24"/>
          <w:lang w:eastAsia="sk-SK"/>
        </w:rPr>
        <w:t>Vláda Slovenskej republiky.</w:t>
      </w:r>
    </w:p>
    <w:p w:rsidR="0026017C" w:rsidRPr="00441680" w:rsidRDefault="0026017C" w:rsidP="0026017C">
      <w:pPr>
        <w:spacing w:after="0" w:line="240" w:lineRule="auto"/>
        <w:rPr>
          <w:rFonts w:ascii="Times New Roman" w:hAnsi="Times New Roman"/>
          <w:b/>
          <w:bCs/>
          <w:color w:val="000000"/>
          <w:sz w:val="24"/>
          <w:szCs w:val="24"/>
          <w:lang w:eastAsia="sk-SK"/>
        </w:rPr>
      </w:pPr>
    </w:p>
    <w:p w:rsidR="0026017C" w:rsidRPr="00441680" w:rsidRDefault="0026017C" w:rsidP="0026017C">
      <w:pPr>
        <w:spacing w:after="0" w:line="240" w:lineRule="auto"/>
        <w:rPr>
          <w:rFonts w:ascii="Times New Roman" w:hAnsi="Times New Roman"/>
          <w:color w:val="000000"/>
          <w:sz w:val="24"/>
          <w:szCs w:val="24"/>
          <w:lang w:eastAsia="sk-SK"/>
        </w:rPr>
      </w:pPr>
      <w:r w:rsidRPr="00441680">
        <w:rPr>
          <w:rFonts w:ascii="Times New Roman" w:hAnsi="Times New Roman"/>
          <w:b/>
          <w:bCs/>
          <w:color w:val="000000"/>
          <w:sz w:val="24"/>
          <w:szCs w:val="24"/>
          <w:lang w:eastAsia="sk-SK"/>
        </w:rPr>
        <w:t>2. Názov návrhu zákona:</w:t>
      </w:r>
    </w:p>
    <w:p w:rsidR="0026017C" w:rsidRPr="00786DE6" w:rsidRDefault="0026017C" w:rsidP="0026017C">
      <w:pPr>
        <w:pStyle w:val="Zkladntext0"/>
        <w:jc w:val="both"/>
        <w:rPr>
          <w:color w:val="auto"/>
        </w:rPr>
      </w:pPr>
      <w:r w:rsidRPr="00D809AB">
        <w:rPr>
          <w:color w:val="auto"/>
        </w:rPr>
        <w:t xml:space="preserve">Návrh zákona, ktorým sa mení a dopĺňa zákon </w:t>
      </w:r>
      <w:r w:rsidRPr="00D809AB">
        <w:rPr>
          <w:rStyle w:val="awspan1"/>
          <w:color w:val="auto"/>
        </w:rPr>
        <w:t xml:space="preserve">č. 67/2020 Z. z. o niektorých </w:t>
      </w:r>
      <w:r>
        <w:rPr>
          <w:rStyle w:val="awspan1"/>
        </w:rPr>
        <w:t>mimoriadnych opatreniach vo finančnej oblasti v súvislosti so šírením nebezpečnej nákazlivej ľudskej choroby COVID-19 v znení neskorších predpisov</w:t>
      </w:r>
      <w:r w:rsidRPr="00441680">
        <w:t>.</w:t>
      </w:r>
    </w:p>
    <w:p w:rsidR="0026017C" w:rsidRPr="00441680" w:rsidRDefault="0026017C" w:rsidP="0026017C">
      <w:pPr>
        <w:spacing w:after="0" w:line="240" w:lineRule="auto"/>
        <w:rPr>
          <w:rFonts w:ascii="Times New Roman" w:hAnsi="Times New Roman"/>
          <w:b/>
          <w:bCs/>
          <w:color w:val="000000"/>
          <w:sz w:val="24"/>
          <w:szCs w:val="24"/>
          <w:lang w:eastAsia="sk-SK"/>
        </w:rPr>
      </w:pPr>
    </w:p>
    <w:p w:rsidR="0026017C" w:rsidRPr="00441680" w:rsidRDefault="0026017C" w:rsidP="0026017C">
      <w:pPr>
        <w:spacing w:after="0" w:line="240" w:lineRule="auto"/>
        <w:rPr>
          <w:rFonts w:ascii="Times New Roman" w:hAnsi="Times New Roman"/>
          <w:color w:val="000000"/>
          <w:sz w:val="24"/>
          <w:szCs w:val="24"/>
          <w:lang w:eastAsia="sk-SK"/>
        </w:rPr>
      </w:pPr>
      <w:r w:rsidRPr="00441680">
        <w:rPr>
          <w:rFonts w:ascii="Times New Roman" w:hAnsi="Times New Roman"/>
          <w:b/>
          <w:bCs/>
          <w:color w:val="000000"/>
          <w:sz w:val="24"/>
          <w:szCs w:val="24"/>
          <w:lang w:eastAsia="sk-SK"/>
        </w:rPr>
        <w:t>3. Predmet návrhu zákona je upravený v práve Európskej únie</w:t>
      </w:r>
      <w:r w:rsidRPr="00441680">
        <w:rPr>
          <w:rFonts w:ascii="Times New Roman" w:hAnsi="Times New Roman"/>
          <w:color w:val="000000"/>
          <w:sz w:val="24"/>
          <w:szCs w:val="24"/>
          <w:lang w:eastAsia="sk-SK"/>
        </w:rPr>
        <w:t>:</w:t>
      </w:r>
    </w:p>
    <w:p w:rsidR="0026017C" w:rsidRPr="00441680" w:rsidRDefault="0026017C" w:rsidP="0026017C">
      <w:pPr>
        <w:spacing w:after="0" w:line="240" w:lineRule="auto"/>
        <w:rPr>
          <w:rFonts w:ascii="Times New Roman" w:hAnsi="Times New Roman"/>
          <w:color w:val="000000"/>
          <w:sz w:val="24"/>
          <w:szCs w:val="24"/>
          <w:lang w:eastAsia="sk-SK"/>
        </w:rPr>
      </w:pPr>
    </w:p>
    <w:p w:rsidR="0026017C" w:rsidRPr="00217CA8" w:rsidRDefault="0026017C" w:rsidP="0026017C">
      <w:pPr>
        <w:pStyle w:val="Zkladntext1"/>
        <w:numPr>
          <w:ilvl w:val="0"/>
          <w:numId w:val="33"/>
        </w:numPr>
        <w:spacing w:after="120"/>
        <w:rPr>
          <w:b/>
          <w:color w:val="auto"/>
          <w:sz w:val="24"/>
          <w:szCs w:val="24"/>
        </w:rPr>
      </w:pPr>
      <w:r w:rsidRPr="00217CA8">
        <w:rPr>
          <w:b/>
          <w:color w:val="auto"/>
          <w:sz w:val="24"/>
          <w:szCs w:val="24"/>
        </w:rPr>
        <w:t>Primárne právo:</w:t>
      </w:r>
    </w:p>
    <w:p w:rsidR="0026017C" w:rsidRPr="00217CA8" w:rsidRDefault="0026017C" w:rsidP="0026017C">
      <w:pPr>
        <w:pStyle w:val="Zkladntext1"/>
        <w:numPr>
          <w:ilvl w:val="0"/>
          <w:numId w:val="30"/>
        </w:numPr>
        <w:spacing w:after="120"/>
        <w:ind w:left="658" w:hanging="357"/>
        <w:jc w:val="both"/>
        <w:rPr>
          <w:color w:val="auto"/>
          <w:sz w:val="24"/>
          <w:szCs w:val="24"/>
        </w:rPr>
      </w:pPr>
      <w:r w:rsidRPr="00217CA8">
        <w:rPr>
          <w:color w:val="auto"/>
          <w:sz w:val="24"/>
          <w:szCs w:val="24"/>
        </w:rPr>
        <w:t xml:space="preserve">čl. 106, </w:t>
      </w:r>
      <w:r w:rsidRPr="00D809AB">
        <w:rPr>
          <w:color w:val="auto"/>
          <w:sz w:val="24"/>
          <w:szCs w:val="24"/>
        </w:rPr>
        <w:t>110 až 114 a čl. 355</w:t>
      </w:r>
      <w:r w:rsidRPr="00217CA8">
        <w:rPr>
          <w:color w:val="auto"/>
          <w:sz w:val="24"/>
          <w:szCs w:val="24"/>
        </w:rPr>
        <w:t xml:space="preserve"> Zmluvy o fungovaní Európskej únie (</w:t>
      </w:r>
      <w:r w:rsidRPr="00217CA8">
        <w:rPr>
          <w:rStyle w:val="awspan1"/>
          <w:color w:val="auto"/>
        </w:rPr>
        <w:t>Ú. v. EÚ C 202, 7.6.2016) v platnom znení</w:t>
      </w:r>
      <w:r w:rsidRPr="00217CA8">
        <w:rPr>
          <w:color w:val="auto"/>
          <w:sz w:val="24"/>
          <w:szCs w:val="24"/>
        </w:rPr>
        <w:t xml:space="preserve">, </w:t>
      </w:r>
    </w:p>
    <w:p w:rsidR="0026017C" w:rsidRDefault="0026017C" w:rsidP="0026017C">
      <w:pPr>
        <w:pStyle w:val="Zkladntext1"/>
        <w:numPr>
          <w:ilvl w:val="0"/>
          <w:numId w:val="30"/>
        </w:numPr>
        <w:spacing w:after="120"/>
        <w:rPr>
          <w:color w:val="auto"/>
          <w:sz w:val="24"/>
          <w:szCs w:val="24"/>
        </w:rPr>
      </w:pPr>
      <w:r w:rsidRPr="00217CA8">
        <w:rPr>
          <w:color w:val="auto"/>
          <w:sz w:val="24"/>
          <w:szCs w:val="24"/>
        </w:rPr>
        <w:t>čl. 52 Zmluvy o Európskej únii (</w:t>
      </w:r>
      <w:r w:rsidRPr="00217CA8">
        <w:rPr>
          <w:rStyle w:val="awspan1"/>
          <w:color w:val="auto"/>
        </w:rPr>
        <w:t>Ú. v. EÚ C 202, 7.6.2016) v platnom znení</w:t>
      </w:r>
      <w:r>
        <w:rPr>
          <w:rStyle w:val="awspan1"/>
          <w:color w:val="auto"/>
        </w:rPr>
        <w:t>.</w:t>
      </w:r>
    </w:p>
    <w:p w:rsidR="0026017C" w:rsidRPr="00217CA8" w:rsidRDefault="0026017C" w:rsidP="0026017C">
      <w:pPr>
        <w:pStyle w:val="Zarkazkladnhotextu"/>
        <w:numPr>
          <w:ilvl w:val="0"/>
          <w:numId w:val="33"/>
        </w:numPr>
        <w:jc w:val="both"/>
      </w:pPr>
      <w:r w:rsidRPr="00217CA8">
        <w:rPr>
          <w:b/>
          <w:bCs/>
          <w:iCs/>
        </w:rPr>
        <w:t>Sekundárne právo:</w:t>
      </w:r>
    </w:p>
    <w:p w:rsidR="0026017C" w:rsidRPr="00D809AB" w:rsidRDefault="0026017C" w:rsidP="0026017C">
      <w:pPr>
        <w:pStyle w:val="Default"/>
        <w:numPr>
          <w:ilvl w:val="0"/>
          <w:numId w:val="30"/>
        </w:numPr>
        <w:jc w:val="both"/>
        <w:rPr>
          <w:rStyle w:val="Zvraznenie"/>
          <w:iCs w:val="0"/>
          <w:color w:val="auto"/>
        </w:rPr>
      </w:pPr>
      <w:r w:rsidRPr="00D809AB">
        <w:rPr>
          <w:rFonts w:ascii="Times New Roman" w:hAnsi="Times New Roman" w:cs="Times New Roman"/>
          <w:color w:val="auto"/>
          <w:shd w:val="clear" w:color="auto" w:fill="FFFFFF"/>
        </w:rPr>
        <w:t xml:space="preserve">nariadenie Európskeho parlamentu a Rady (EÚ) </w:t>
      </w:r>
      <w:r w:rsidRPr="00D809AB">
        <w:rPr>
          <w:rFonts w:ascii="Times New Roman" w:hAnsi="Times New Roman" w:cs="Times New Roman"/>
          <w:color w:val="auto"/>
          <w:u w:val="single"/>
          <w:shd w:val="clear" w:color="auto" w:fill="FFFFFF"/>
        </w:rPr>
        <w:t>2016/425</w:t>
      </w:r>
      <w:r w:rsidRPr="00D809AB">
        <w:rPr>
          <w:rFonts w:ascii="Times New Roman" w:hAnsi="Times New Roman" w:cs="Times New Roman"/>
          <w:color w:val="auto"/>
          <w:shd w:val="clear" w:color="auto" w:fill="FFFFFF"/>
        </w:rPr>
        <w:t xml:space="preserve"> z 9. marca 2016 o osobných ochranných prostriedkoch a o zrušení smernice Rady 89/686/EHS (</w:t>
      </w:r>
      <w:r w:rsidRPr="00D809AB">
        <w:rPr>
          <w:rStyle w:val="Zvraznenie"/>
          <w:color w:val="auto"/>
          <w:shd w:val="clear" w:color="auto" w:fill="FFFFFF"/>
        </w:rPr>
        <w:t xml:space="preserve">Ú. v. EÚ L 81, 31.3.2016), gestor: </w:t>
      </w:r>
      <w:r w:rsidRPr="00D809AB">
        <w:rPr>
          <w:rFonts w:ascii="Times New Roman" w:hAnsi="Times New Roman" w:cs="Times New Roman"/>
          <w:color w:val="auto"/>
          <w:bdr w:val="none" w:sz="0" w:space="0" w:color="auto" w:frame="1"/>
          <w:shd w:val="clear" w:color="auto" w:fill="FFFFFF"/>
        </w:rPr>
        <w:t>MPSVR SR, ÚNMS SR, MH SR,</w:t>
      </w:r>
    </w:p>
    <w:p w:rsidR="0026017C" w:rsidRDefault="0026017C" w:rsidP="0026017C">
      <w:pPr>
        <w:numPr>
          <w:ilvl w:val="0"/>
          <w:numId w:val="30"/>
        </w:numPr>
        <w:spacing w:before="120" w:after="120" w:line="240" w:lineRule="auto"/>
        <w:jc w:val="both"/>
        <w:rPr>
          <w:rStyle w:val="Zvraznenie"/>
          <w:i w:val="0"/>
          <w:iCs w:val="0"/>
          <w:sz w:val="24"/>
          <w:szCs w:val="24"/>
        </w:rPr>
      </w:pPr>
      <w:r w:rsidRPr="00217CA8">
        <w:rPr>
          <w:rStyle w:val="Zvraznenie"/>
          <w:sz w:val="24"/>
          <w:szCs w:val="24"/>
        </w:rPr>
        <w:t xml:space="preserve">smernica Rady (EÚ) </w:t>
      </w:r>
      <w:r w:rsidRPr="00217CA8">
        <w:rPr>
          <w:rStyle w:val="Zvraznenie"/>
          <w:sz w:val="24"/>
          <w:szCs w:val="24"/>
          <w:u w:val="single"/>
        </w:rPr>
        <w:t>2020/262</w:t>
      </w:r>
      <w:r w:rsidRPr="00217CA8">
        <w:rPr>
          <w:rStyle w:val="Zvraznenie"/>
          <w:sz w:val="24"/>
          <w:szCs w:val="24"/>
        </w:rPr>
        <w:t xml:space="preserve"> z 19. decembra 2019, ktorou sa ustanovuje všeobecný systém spotrebných daní (prepracované znenie) (</w:t>
      </w:r>
      <w:r w:rsidRPr="00217CA8">
        <w:rPr>
          <w:rFonts w:ascii="Times New Roman" w:hAnsi="Times New Roman"/>
          <w:iCs/>
          <w:sz w:val="24"/>
          <w:szCs w:val="24"/>
          <w:shd w:val="clear" w:color="auto" w:fill="FFFFFF"/>
        </w:rPr>
        <w:t>Ú. v. EÚ L 58, 27.2.2020)</w:t>
      </w:r>
      <w:r w:rsidRPr="00217CA8">
        <w:rPr>
          <w:rStyle w:val="Zvraznenie"/>
          <w:sz w:val="24"/>
          <w:szCs w:val="24"/>
        </w:rPr>
        <w:t>, gestor:</w:t>
      </w:r>
      <w:r>
        <w:rPr>
          <w:rStyle w:val="Zvraznenie"/>
          <w:sz w:val="24"/>
          <w:szCs w:val="24"/>
        </w:rPr>
        <w:t xml:space="preserve"> MF SR.</w:t>
      </w:r>
    </w:p>
    <w:p w:rsidR="0026017C" w:rsidRPr="007E53A8" w:rsidRDefault="0026017C" w:rsidP="0026017C">
      <w:pPr>
        <w:pStyle w:val="Zarkazkladnhotextu"/>
        <w:numPr>
          <w:ilvl w:val="0"/>
          <w:numId w:val="37"/>
        </w:numPr>
        <w:tabs>
          <w:tab w:val="clear" w:pos="757"/>
          <w:tab w:val="num" w:pos="709"/>
        </w:tabs>
        <w:spacing w:before="120" w:after="0"/>
        <w:ind w:hanging="473"/>
        <w:jc w:val="both"/>
        <w:rPr>
          <w:b/>
        </w:rPr>
      </w:pPr>
      <w:r w:rsidRPr="007E53A8">
        <w:rPr>
          <w:b/>
        </w:rPr>
        <w:t>Nie je obsiahnutý v judikatúre Súdneho dvora Európskej únie.</w:t>
      </w:r>
    </w:p>
    <w:p w:rsidR="0026017C" w:rsidRPr="00441680" w:rsidRDefault="0026017C" w:rsidP="0026017C">
      <w:pPr>
        <w:spacing w:after="0" w:line="240" w:lineRule="auto"/>
        <w:rPr>
          <w:rFonts w:ascii="Times New Roman" w:hAnsi="Times New Roman"/>
          <w:b/>
          <w:bCs/>
          <w:color w:val="000000"/>
          <w:sz w:val="24"/>
          <w:szCs w:val="24"/>
          <w:lang w:eastAsia="sk-SK"/>
        </w:rPr>
      </w:pPr>
    </w:p>
    <w:p w:rsidR="0026017C" w:rsidRPr="00066610" w:rsidRDefault="0026017C" w:rsidP="0026017C">
      <w:pPr>
        <w:numPr>
          <w:ilvl w:val="0"/>
          <w:numId w:val="39"/>
        </w:numPr>
        <w:spacing w:after="120" w:line="240" w:lineRule="auto"/>
        <w:jc w:val="both"/>
        <w:rPr>
          <w:rFonts w:ascii="Times New Roman" w:hAnsi="Times New Roman"/>
          <w:b/>
          <w:bCs/>
          <w:sz w:val="24"/>
          <w:szCs w:val="24"/>
        </w:rPr>
      </w:pPr>
      <w:r w:rsidRPr="00066610">
        <w:rPr>
          <w:rFonts w:ascii="Times New Roman" w:hAnsi="Times New Roman"/>
          <w:b/>
          <w:bCs/>
          <w:sz w:val="24"/>
          <w:szCs w:val="24"/>
        </w:rPr>
        <w:t>Záväzky Slovenskej republiky vo vzťahu k Európskej únii:</w:t>
      </w:r>
    </w:p>
    <w:p w:rsidR="0026017C" w:rsidRPr="00066610" w:rsidRDefault="0026017C" w:rsidP="0026017C">
      <w:pPr>
        <w:numPr>
          <w:ilvl w:val="0"/>
          <w:numId w:val="38"/>
        </w:numPr>
        <w:spacing w:after="120" w:line="240" w:lineRule="auto"/>
        <w:ind w:left="709" w:hanging="283"/>
        <w:jc w:val="both"/>
        <w:rPr>
          <w:rFonts w:ascii="Times New Roman" w:hAnsi="Times New Roman"/>
          <w:sz w:val="24"/>
          <w:szCs w:val="24"/>
          <w:lang w:eastAsia="cs-CZ"/>
        </w:rPr>
      </w:pPr>
      <w:r>
        <w:rPr>
          <w:rFonts w:ascii="Times New Roman" w:hAnsi="Times New Roman"/>
          <w:sz w:val="24"/>
          <w:szCs w:val="24"/>
          <w:lang w:eastAsia="cs-CZ"/>
        </w:rPr>
        <w:t>Bezpredmetné.</w:t>
      </w:r>
    </w:p>
    <w:p w:rsidR="0026017C" w:rsidRPr="00D809AB" w:rsidRDefault="0026017C" w:rsidP="0026017C">
      <w:pPr>
        <w:pStyle w:val="Odsekzoznamu"/>
        <w:numPr>
          <w:ilvl w:val="0"/>
          <w:numId w:val="38"/>
        </w:numPr>
        <w:spacing w:after="120" w:line="240" w:lineRule="auto"/>
        <w:ind w:hanging="283"/>
        <w:jc w:val="both"/>
        <w:rPr>
          <w:rFonts w:ascii="Times New Roman" w:hAnsi="Times New Roman"/>
          <w:sz w:val="24"/>
          <w:szCs w:val="24"/>
        </w:rPr>
      </w:pPr>
      <w:r w:rsidRPr="00D809AB">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26017C" w:rsidRPr="00F22A38" w:rsidRDefault="0026017C" w:rsidP="0026017C">
      <w:pPr>
        <w:numPr>
          <w:ilvl w:val="0"/>
          <w:numId w:val="38"/>
        </w:numPr>
        <w:spacing w:after="120" w:line="240" w:lineRule="auto"/>
        <w:ind w:left="709" w:hanging="283"/>
        <w:jc w:val="both"/>
        <w:rPr>
          <w:rFonts w:ascii="Times New Roman" w:hAnsi="Times New Roman"/>
          <w:sz w:val="24"/>
          <w:szCs w:val="24"/>
        </w:rPr>
      </w:pPr>
      <w:r>
        <w:rPr>
          <w:rFonts w:ascii="Times New Roman" w:hAnsi="Times New Roman"/>
          <w:sz w:val="24"/>
          <w:szCs w:val="24"/>
        </w:rPr>
        <w:t>Bezpredmetné.</w:t>
      </w:r>
      <w:r w:rsidRPr="00F22A38">
        <w:rPr>
          <w:rFonts w:ascii="Times New Roman" w:hAnsi="Times New Roman"/>
          <w:sz w:val="24"/>
          <w:szCs w:val="24"/>
        </w:rPr>
        <w:t xml:space="preserve"> </w:t>
      </w:r>
    </w:p>
    <w:p w:rsidR="0026017C" w:rsidRPr="00F22A38" w:rsidRDefault="0026017C" w:rsidP="0026017C">
      <w:pPr>
        <w:pStyle w:val="Default"/>
        <w:ind w:left="709"/>
        <w:jc w:val="both"/>
        <w:rPr>
          <w:rStyle w:val="Zstupntext"/>
        </w:rPr>
      </w:pPr>
    </w:p>
    <w:p w:rsidR="0026017C" w:rsidRPr="00646C37" w:rsidRDefault="0026017C" w:rsidP="0026017C">
      <w:pPr>
        <w:numPr>
          <w:ilvl w:val="0"/>
          <w:numId w:val="39"/>
        </w:numPr>
        <w:tabs>
          <w:tab w:val="num" w:pos="0"/>
          <w:tab w:val="num" w:pos="426"/>
          <w:tab w:val="num" w:pos="709"/>
        </w:tabs>
        <w:spacing w:after="120" w:line="240" w:lineRule="auto"/>
        <w:jc w:val="both"/>
        <w:rPr>
          <w:rFonts w:ascii="Times New Roman" w:hAnsi="Times New Roman"/>
          <w:b/>
          <w:bCs/>
          <w:sz w:val="24"/>
          <w:szCs w:val="24"/>
        </w:rPr>
      </w:pPr>
      <w:r>
        <w:rPr>
          <w:rFonts w:ascii="Times New Roman" w:hAnsi="Times New Roman"/>
          <w:b/>
          <w:bCs/>
          <w:sz w:val="24"/>
          <w:szCs w:val="24"/>
        </w:rPr>
        <w:t>Návrh zákona je zlučiteľný</w:t>
      </w:r>
      <w:r w:rsidRPr="00646C37">
        <w:rPr>
          <w:rFonts w:ascii="Times New Roman" w:hAnsi="Times New Roman"/>
          <w:b/>
          <w:bCs/>
          <w:sz w:val="24"/>
          <w:szCs w:val="24"/>
        </w:rPr>
        <w:t xml:space="preserve"> s právom Európskej únie:</w:t>
      </w:r>
    </w:p>
    <w:p w:rsidR="0026017C" w:rsidRPr="00646C37" w:rsidRDefault="0026017C" w:rsidP="0026017C">
      <w:pPr>
        <w:spacing w:after="120"/>
        <w:ind w:left="360"/>
        <w:jc w:val="both"/>
        <w:rPr>
          <w:rFonts w:ascii="Times New Roman" w:hAnsi="Times New Roman"/>
          <w:sz w:val="24"/>
          <w:szCs w:val="24"/>
        </w:rPr>
      </w:pPr>
      <w:r w:rsidRPr="00646C37">
        <w:rPr>
          <w:rFonts w:ascii="Times New Roman" w:hAnsi="Times New Roman"/>
          <w:sz w:val="24"/>
          <w:szCs w:val="24"/>
        </w:rPr>
        <w:t xml:space="preserve"> Úpln</w:t>
      </w:r>
      <w:r>
        <w:rPr>
          <w:rFonts w:ascii="Times New Roman" w:hAnsi="Times New Roman"/>
          <w:sz w:val="24"/>
          <w:szCs w:val="24"/>
        </w:rPr>
        <w:t>e</w:t>
      </w:r>
      <w:r w:rsidRPr="00646C37">
        <w:rPr>
          <w:rFonts w:ascii="Times New Roman" w:hAnsi="Times New Roman"/>
          <w:sz w:val="24"/>
          <w:szCs w:val="24"/>
        </w:rPr>
        <w:t>.</w:t>
      </w:r>
    </w:p>
    <w:p w:rsidR="0026017C" w:rsidRPr="00441680" w:rsidRDefault="0026017C" w:rsidP="0026017C">
      <w:pPr>
        <w:rPr>
          <w:rFonts w:ascii="Times New Roman" w:hAnsi="Times New Roman"/>
          <w:sz w:val="24"/>
          <w:szCs w:val="24"/>
        </w:rPr>
      </w:pPr>
    </w:p>
    <w:p w:rsidR="0026017C" w:rsidRDefault="0026017C" w:rsidP="00AA73E5"/>
    <w:p w:rsidR="0026017C" w:rsidRDefault="0026017C" w:rsidP="00AA73E5"/>
    <w:p w:rsidR="0026017C" w:rsidRDefault="0026017C" w:rsidP="00AA73E5"/>
    <w:p w:rsidR="0026017C" w:rsidRDefault="0026017C" w:rsidP="00AA73E5"/>
    <w:p w:rsidR="0026017C" w:rsidRPr="0026017C" w:rsidRDefault="0026017C" w:rsidP="0026017C">
      <w:pPr>
        <w:spacing w:after="0" w:line="240" w:lineRule="auto"/>
        <w:jc w:val="both"/>
        <w:rPr>
          <w:rFonts w:ascii="Times New Roman" w:hAnsi="Times New Roman"/>
          <w:b/>
          <w:color w:val="000000"/>
          <w:sz w:val="24"/>
          <w:szCs w:val="24"/>
          <w:lang w:eastAsia="sk-SK"/>
        </w:rPr>
      </w:pPr>
      <w:r w:rsidRPr="0026017C">
        <w:rPr>
          <w:rFonts w:ascii="Times New Roman" w:hAnsi="Times New Roman"/>
          <w:b/>
          <w:color w:val="000000"/>
          <w:sz w:val="24"/>
          <w:szCs w:val="24"/>
          <w:lang w:eastAsia="sk-SK"/>
        </w:rPr>
        <w:lastRenderedPageBreak/>
        <w:t>B. Osobitná časť</w:t>
      </w:r>
    </w:p>
    <w:p w:rsidR="0026017C" w:rsidRPr="0026017C" w:rsidRDefault="0026017C" w:rsidP="0026017C">
      <w:pPr>
        <w:spacing w:after="0" w:line="240" w:lineRule="auto"/>
        <w:jc w:val="both"/>
        <w:rPr>
          <w:rFonts w:ascii="Times New Roman" w:hAnsi="Times New Roman"/>
          <w:bCs/>
          <w:sz w:val="24"/>
          <w:szCs w:val="24"/>
          <w:lang w:eastAsia="sk-SK"/>
        </w:rPr>
      </w:pPr>
    </w:p>
    <w:p w:rsidR="0026017C" w:rsidRPr="0026017C" w:rsidRDefault="0026017C" w:rsidP="0026017C">
      <w:pPr>
        <w:spacing w:after="0" w:line="240" w:lineRule="auto"/>
        <w:jc w:val="both"/>
        <w:rPr>
          <w:rFonts w:ascii="Times New Roman" w:hAnsi="Times New Roman"/>
          <w:bCs/>
          <w:sz w:val="24"/>
          <w:szCs w:val="24"/>
          <w:lang w:eastAsia="sk-SK"/>
        </w:rPr>
      </w:pPr>
    </w:p>
    <w:p w:rsidR="0026017C" w:rsidRPr="0026017C" w:rsidRDefault="0026017C" w:rsidP="0026017C">
      <w:pPr>
        <w:spacing w:after="0" w:line="240" w:lineRule="auto"/>
        <w:jc w:val="both"/>
        <w:rPr>
          <w:rFonts w:ascii="Times New Roman" w:hAnsi="Times New Roman"/>
          <w:b/>
          <w:bCs/>
          <w:sz w:val="24"/>
          <w:szCs w:val="24"/>
          <w:lang w:eastAsia="sk-SK"/>
        </w:rPr>
      </w:pPr>
      <w:r w:rsidRPr="0026017C">
        <w:rPr>
          <w:rFonts w:ascii="Times New Roman" w:hAnsi="Times New Roman"/>
          <w:b/>
          <w:bCs/>
          <w:sz w:val="24"/>
          <w:szCs w:val="24"/>
          <w:lang w:eastAsia="sk-SK"/>
        </w:rPr>
        <w:t>K článku I</w:t>
      </w:r>
    </w:p>
    <w:p w:rsidR="0026017C" w:rsidRPr="0026017C" w:rsidRDefault="0026017C" w:rsidP="0026017C">
      <w:pPr>
        <w:spacing w:after="0" w:line="240" w:lineRule="auto"/>
        <w:jc w:val="both"/>
        <w:rPr>
          <w:rFonts w:ascii="Times New Roman" w:hAnsi="Times New Roman"/>
          <w:b/>
          <w:bCs/>
          <w:sz w:val="24"/>
          <w:szCs w:val="24"/>
          <w:lang w:eastAsia="sk-SK"/>
        </w:rPr>
      </w:pPr>
    </w:p>
    <w:p w:rsidR="0026017C" w:rsidRPr="0026017C" w:rsidRDefault="0026017C" w:rsidP="0026017C">
      <w:pPr>
        <w:spacing w:after="0" w:line="240" w:lineRule="auto"/>
        <w:jc w:val="both"/>
        <w:rPr>
          <w:rFonts w:ascii="Times New Roman" w:hAnsi="Times New Roman"/>
          <w:b/>
          <w:bCs/>
          <w:sz w:val="24"/>
          <w:szCs w:val="24"/>
          <w:lang w:eastAsia="sk-SK"/>
        </w:rPr>
      </w:pPr>
      <w:r w:rsidRPr="0026017C">
        <w:rPr>
          <w:rFonts w:ascii="Times New Roman" w:hAnsi="Times New Roman"/>
          <w:b/>
          <w:bCs/>
          <w:sz w:val="24"/>
          <w:szCs w:val="24"/>
          <w:lang w:eastAsia="sk-SK"/>
        </w:rPr>
        <w:t>K bodu 1 (§ 3a)</w:t>
      </w:r>
    </w:p>
    <w:p w:rsidR="0026017C" w:rsidRPr="0026017C" w:rsidRDefault="0026017C" w:rsidP="0026017C">
      <w:pPr>
        <w:spacing w:after="0" w:line="240" w:lineRule="auto"/>
        <w:ind w:firstLine="708"/>
        <w:jc w:val="both"/>
        <w:rPr>
          <w:rFonts w:ascii="Times New Roman" w:hAnsi="Times New Roman"/>
          <w:bCs/>
          <w:sz w:val="24"/>
          <w:szCs w:val="24"/>
          <w:lang w:eastAsia="sk-SK"/>
        </w:rPr>
      </w:pPr>
      <w:r w:rsidRPr="0026017C">
        <w:rPr>
          <w:rFonts w:ascii="Times New Roman" w:hAnsi="Times New Roman"/>
          <w:bCs/>
          <w:sz w:val="24"/>
          <w:szCs w:val="24"/>
          <w:lang w:eastAsia="sk-SK"/>
        </w:rPr>
        <w:t>Daňový subjekt, ktorý nie je povinný komunikovať s finančnou správou elektronickými prostriedkami (cez portál FS alebo UPVS), môže oznámenie o  predlžení lehoty na podanie daňového priznania, podať aj iným elektronickým spôsobom, a to e-mailom. Takéto podanie sa bude považovať za doručené a  nie je potrebné doručiť ho do piatich dní aj v listinnej podobe. Daňový subjekt môže takéto oznámenie vytlačiť, podpísať a následne naskenované alebo odfotené zaslať ako prílohu prostredníctvom e-mailovej komunikácie. Finančná správa potvrdí doručenie oznámenia.</w:t>
      </w:r>
    </w:p>
    <w:p w:rsidR="0026017C" w:rsidRPr="0026017C" w:rsidRDefault="0026017C" w:rsidP="0026017C">
      <w:pPr>
        <w:spacing w:after="0" w:line="240" w:lineRule="auto"/>
        <w:jc w:val="both"/>
        <w:rPr>
          <w:rFonts w:ascii="Times New Roman" w:hAnsi="Times New Roman"/>
          <w:b/>
          <w:bCs/>
          <w:sz w:val="24"/>
          <w:szCs w:val="24"/>
          <w:lang w:eastAsia="sk-SK"/>
        </w:rPr>
      </w:pPr>
    </w:p>
    <w:p w:rsidR="0026017C" w:rsidRPr="0026017C" w:rsidRDefault="0026017C" w:rsidP="0026017C">
      <w:pPr>
        <w:spacing w:after="0" w:line="240" w:lineRule="auto"/>
        <w:jc w:val="both"/>
        <w:rPr>
          <w:rFonts w:ascii="Times New Roman" w:hAnsi="Times New Roman"/>
          <w:b/>
          <w:bCs/>
          <w:sz w:val="24"/>
          <w:szCs w:val="24"/>
          <w:lang w:eastAsia="sk-SK"/>
        </w:rPr>
      </w:pPr>
      <w:r w:rsidRPr="0026017C">
        <w:rPr>
          <w:rFonts w:ascii="Times New Roman" w:hAnsi="Times New Roman"/>
          <w:b/>
          <w:bCs/>
          <w:sz w:val="24"/>
          <w:szCs w:val="24"/>
          <w:lang w:eastAsia="sk-SK"/>
        </w:rPr>
        <w:t>K bodu 2 (§ 24ja)</w:t>
      </w:r>
    </w:p>
    <w:p w:rsidR="0026017C" w:rsidRPr="0026017C" w:rsidRDefault="0026017C" w:rsidP="0026017C">
      <w:pPr>
        <w:spacing w:after="0" w:line="240" w:lineRule="auto"/>
        <w:ind w:firstLine="708"/>
        <w:jc w:val="both"/>
        <w:rPr>
          <w:rFonts w:ascii="Times New Roman" w:hAnsi="Times New Roman"/>
          <w:bCs/>
          <w:sz w:val="24"/>
          <w:szCs w:val="24"/>
          <w:lang w:eastAsia="sk-SK"/>
        </w:rPr>
      </w:pPr>
      <w:r w:rsidRPr="0026017C">
        <w:rPr>
          <w:rFonts w:ascii="Times New Roman" w:hAnsi="Times New Roman"/>
          <w:bCs/>
          <w:sz w:val="24"/>
          <w:szCs w:val="24"/>
          <w:lang w:eastAsia="sk-SK"/>
        </w:rPr>
        <w:t xml:space="preserve">Navrhuje sa predĺženie uplatňovania nulovej sadzby dane z pridanej hodnoty na </w:t>
      </w:r>
      <w:r w:rsidRPr="0026017C">
        <w:rPr>
          <w:rFonts w:ascii="Times New Roman" w:hAnsi="Times New Roman"/>
          <w:color w:val="000000"/>
          <w:sz w:val="24"/>
          <w:szCs w:val="24"/>
          <w:lang w:eastAsia="sk-SK"/>
        </w:rPr>
        <w:t xml:space="preserve">vybrané ochranné prostriedky, ktorými sú filtračné tvárové </w:t>
      </w:r>
      <w:proofErr w:type="spellStart"/>
      <w:r w:rsidRPr="0026017C">
        <w:rPr>
          <w:rFonts w:ascii="Times New Roman" w:hAnsi="Times New Roman"/>
          <w:color w:val="000000"/>
          <w:sz w:val="24"/>
          <w:szCs w:val="24"/>
          <w:lang w:eastAsia="sk-SK"/>
        </w:rPr>
        <w:t>polmasky</w:t>
      </w:r>
      <w:proofErr w:type="spellEnd"/>
      <w:r w:rsidRPr="0026017C">
        <w:rPr>
          <w:rFonts w:ascii="Times New Roman" w:hAnsi="Times New Roman"/>
          <w:color w:val="000000"/>
          <w:sz w:val="24"/>
          <w:szCs w:val="24"/>
          <w:lang w:eastAsia="sk-SK"/>
        </w:rPr>
        <w:t xml:space="preserve"> typu FFP2 alebo FFP3 (tzv. respirátory) spĺňajúce podmienky podľa osobitných predpisov, do 30. júna 2021</w:t>
      </w:r>
    </w:p>
    <w:p w:rsidR="0026017C" w:rsidRPr="0026017C" w:rsidRDefault="0026017C" w:rsidP="0026017C">
      <w:pPr>
        <w:spacing w:after="0" w:line="240" w:lineRule="auto"/>
        <w:jc w:val="both"/>
        <w:rPr>
          <w:rFonts w:ascii="Times New Roman" w:hAnsi="Times New Roman"/>
          <w:b/>
          <w:bCs/>
          <w:sz w:val="24"/>
          <w:szCs w:val="24"/>
          <w:lang w:eastAsia="sk-SK"/>
        </w:rPr>
      </w:pPr>
    </w:p>
    <w:p w:rsidR="0026017C" w:rsidRPr="0026017C" w:rsidRDefault="0026017C" w:rsidP="0026017C">
      <w:pPr>
        <w:autoSpaceDE w:val="0"/>
        <w:autoSpaceDN w:val="0"/>
        <w:adjustRightInd w:val="0"/>
        <w:spacing w:after="0" w:line="240" w:lineRule="auto"/>
        <w:jc w:val="both"/>
        <w:rPr>
          <w:rFonts w:ascii="Times New Roman" w:hAnsi="Times New Roman"/>
          <w:b/>
          <w:bCs/>
          <w:color w:val="000000"/>
          <w:sz w:val="24"/>
          <w:szCs w:val="24"/>
          <w:lang w:eastAsia="sk-SK"/>
        </w:rPr>
      </w:pPr>
      <w:r w:rsidRPr="0026017C">
        <w:rPr>
          <w:rFonts w:ascii="Times New Roman" w:hAnsi="Times New Roman"/>
          <w:b/>
          <w:bCs/>
          <w:color w:val="000000"/>
          <w:sz w:val="24"/>
          <w:szCs w:val="24"/>
          <w:lang w:eastAsia="sk-SK"/>
        </w:rPr>
        <w:t>K bodu 3 (§24ma)</w:t>
      </w:r>
    </w:p>
    <w:p w:rsidR="0026017C" w:rsidRPr="0026017C" w:rsidRDefault="0026017C" w:rsidP="0026017C">
      <w:pPr>
        <w:autoSpaceDE w:val="0"/>
        <w:autoSpaceDN w:val="0"/>
        <w:adjustRightInd w:val="0"/>
        <w:spacing w:after="0" w:line="240" w:lineRule="auto"/>
        <w:jc w:val="both"/>
        <w:rPr>
          <w:rFonts w:ascii="Times New Roman" w:hAnsi="Times New Roman"/>
          <w:sz w:val="24"/>
          <w:szCs w:val="24"/>
          <w:lang w:eastAsia="sk-SK"/>
        </w:rPr>
      </w:pPr>
      <w:r w:rsidRPr="0026017C">
        <w:rPr>
          <w:rFonts w:ascii="Times New Roman" w:hAnsi="Times New Roman"/>
          <w:bCs/>
          <w:color w:val="000000"/>
          <w:sz w:val="24"/>
          <w:szCs w:val="24"/>
          <w:lang w:eastAsia="sk-SK"/>
        </w:rPr>
        <w:tab/>
      </w:r>
      <w:r w:rsidRPr="0026017C">
        <w:rPr>
          <w:rFonts w:ascii="Times New Roman" w:hAnsi="Times New Roman"/>
          <w:sz w:val="24"/>
          <w:szCs w:val="24"/>
          <w:lang w:eastAsia="sk-SK"/>
        </w:rPr>
        <w:t xml:space="preserve">Návrhom ustanovenia sa sleduje najmä nastavenie dopredaja cigariet, ktoré boli zdanené sadzbou spotrebnej dane platnou do 31. januára 2021, do vypredania zásob. Podľa účinnej právnej úpravy je možné tieto cigarety predávať, ponúkať na predaj alebo skladovať najneskôr do 31. marca 2021. </w:t>
      </w:r>
    </w:p>
    <w:p w:rsidR="0026017C" w:rsidRPr="0026017C" w:rsidRDefault="0026017C" w:rsidP="0026017C">
      <w:pPr>
        <w:autoSpaceDE w:val="0"/>
        <w:autoSpaceDN w:val="0"/>
        <w:adjustRightInd w:val="0"/>
        <w:spacing w:after="0" w:line="240" w:lineRule="auto"/>
        <w:ind w:firstLine="708"/>
        <w:jc w:val="both"/>
        <w:rPr>
          <w:rFonts w:ascii="Times New Roman" w:hAnsi="Times New Roman"/>
          <w:sz w:val="24"/>
          <w:szCs w:val="24"/>
          <w:lang w:eastAsia="sk-SK"/>
        </w:rPr>
      </w:pPr>
      <w:r w:rsidRPr="0026017C">
        <w:rPr>
          <w:rFonts w:ascii="Times New Roman" w:hAnsi="Times New Roman"/>
          <w:sz w:val="24"/>
          <w:szCs w:val="24"/>
          <w:lang w:eastAsia="sk-SK"/>
        </w:rPr>
        <w:t>Opatrenie je zamerané na odbúranie prípadných negatívnych finančných nákladov súvisiacich so zničením nepredaných zásob cigariet pre tie podnikateľské subjekty, ktoré zabezpečujú predaj týchto cigariet v daňovom voľnom obehu a nemohli prípadne nestihli predať svoje zásoby cigariet v dôsledku opatrení súvisiacich s prebiehajúcou epidemiologickou situáciou.</w:t>
      </w:r>
    </w:p>
    <w:p w:rsidR="0026017C" w:rsidRPr="0026017C" w:rsidRDefault="0026017C" w:rsidP="0026017C">
      <w:pPr>
        <w:autoSpaceDE w:val="0"/>
        <w:autoSpaceDN w:val="0"/>
        <w:adjustRightInd w:val="0"/>
        <w:spacing w:after="0" w:line="240" w:lineRule="auto"/>
        <w:jc w:val="both"/>
        <w:rPr>
          <w:rFonts w:ascii="Times New Roman" w:hAnsi="Times New Roman"/>
          <w:sz w:val="24"/>
          <w:szCs w:val="24"/>
          <w:lang w:eastAsia="sk-SK"/>
        </w:rPr>
      </w:pPr>
    </w:p>
    <w:p w:rsidR="0026017C" w:rsidRPr="0026017C" w:rsidRDefault="0026017C" w:rsidP="0026017C">
      <w:pPr>
        <w:autoSpaceDE w:val="0"/>
        <w:autoSpaceDN w:val="0"/>
        <w:adjustRightInd w:val="0"/>
        <w:spacing w:after="0" w:line="240" w:lineRule="auto"/>
        <w:jc w:val="both"/>
        <w:rPr>
          <w:rFonts w:ascii="Times New Roman" w:hAnsi="Times New Roman"/>
          <w:b/>
          <w:sz w:val="24"/>
          <w:szCs w:val="24"/>
          <w:lang w:eastAsia="sk-SK"/>
        </w:rPr>
      </w:pPr>
      <w:r w:rsidRPr="0026017C">
        <w:rPr>
          <w:rFonts w:ascii="Times New Roman" w:hAnsi="Times New Roman"/>
          <w:b/>
          <w:sz w:val="24"/>
          <w:szCs w:val="24"/>
          <w:lang w:eastAsia="sk-SK"/>
        </w:rPr>
        <w:t>K bodu 4 (§ 30oa)</w:t>
      </w:r>
    </w:p>
    <w:p w:rsidR="0026017C" w:rsidRPr="0026017C" w:rsidRDefault="0026017C" w:rsidP="0026017C">
      <w:pPr>
        <w:autoSpaceDE w:val="0"/>
        <w:autoSpaceDN w:val="0"/>
        <w:adjustRightInd w:val="0"/>
        <w:spacing w:after="0" w:line="240" w:lineRule="auto"/>
        <w:ind w:firstLine="708"/>
        <w:jc w:val="both"/>
        <w:rPr>
          <w:rFonts w:ascii="Times New Roman" w:hAnsi="Times New Roman"/>
          <w:kern w:val="22"/>
          <w:sz w:val="24"/>
          <w:szCs w:val="24"/>
          <w:lang w:eastAsia="sk-SK"/>
        </w:rPr>
      </w:pPr>
      <w:r w:rsidRPr="0026017C">
        <w:rPr>
          <w:rFonts w:ascii="Times New Roman" w:hAnsi="Times New Roman"/>
          <w:sz w:val="24"/>
          <w:szCs w:val="24"/>
          <w:lang w:eastAsia="sk-SK"/>
        </w:rPr>
        <w:t xml:space="preserve">Navrhuje sa upraviť odklad platenia odvodov z hazardných hier počas roku 2021 tak, ako je to podrobne popísané vo všeobecnej časti dôvodovej správy. Z navrhovanej dikcie ustanovenia § 30oa ods. 1 je zrejmé, že počas odkladu úhrady odvodu nebude prevádzkovateľ hazardnej hry musieť platiť úrok z omeškania podľa zákona o hazardných hrách (pretože </w:t>
      </w:r>
      <w:r w:rsidRPr="0026017C">
        <w:rPr>
          <w:rFonts w:ascii="Times New Roman" w:hAnsi="Times New Roman"/>
          <w:i/>
          <w:sz w:val="24"/>
          <w:szCs w:val="24"/>
          <w:lang w:eastAsia="sk-SK"/>
        </w:rPr>
        <w:t xml:space="preserve">ex </w:t>
      </w:r>
      <w:proofErr w:type="spellStart"/>
      <w:r w:rsidRPr="0026017C">
        <w:rPr>
          <w:rFonts w:ascii="Times New Roman" w:hAnsi="Times New Roman"/>
          <w:i/>
          <w:sz w:val="24"/>
          <w:szCs w:val="24"/>
          <w:lang w:eastAsia="sk-SK"/>
        </w:rPr>
        <w:t>lege</w:t>
      </w:r>
      <w:proofErr w:type="spellEnd"/>
      <w:r w:rsidRPr="0026017C">
        <w:rPr>
          <w:rFonts w:ascii="Times New Roman" w:hAnsi="Times New Roman"/>
          <w:sz w:val="24"/>
          <w:szCs w:val="24"/>
          <w:lang w:eastAsia="sk-SK"/>
        </w:rPr>
        <w:t xml:space="preserve"> nebude v omeškaní), za obdobie odkladu však bude povinný zaplatiť úrok podľa </w:t>
      </w:r>
      <w:r w:rsidRPr="0026017C">
        <w:rPr>
          <w:rFonts w:ascii="Times New Roman" w:hAnsi="Times New Roman"/>
          <w:kern w:val="22"/>
          <w:sz w:val="24"/>
          <w:szCs w:val="24"/>
          <w:lang w:eastAsia="sk-SK"/>
        </w:rPr>
        <w:t xml:space="preserve">Oznámenia Komisie o revízii spôsobu stanovenia referenčných a diskontných sadzieb. </w:t>
      </w:r>
    </w:p>
    <w:p w:rsidR="0026017C" w:rsidRPr="0026017C" w:rsidRDefault="0026017C" w:rsidP="0026017C">
      <w:pPr>
        <w:autoSpaceDE w:val="0"/>
        <w:autoSpaceDN w:val="0"/>
        <w:adjustRightInd w:val="0"/>
        <w:spacing w:after="0" w:line="240" w:lineRule="auto"/>
        <w:ind w:firstLine="708"/>
        <w:jc w:val="both"/>
        <w:rPr>
          <w:rFonts w:ascii="Times New Roman" w:hAnsi="Times New Roman"/>
          <w:sz w:val="24"/>
          <w:szCs w:val="24"/>
          <w:lang w:eastAsia="sk-SK"/>
        </w:rPr>
      </w:pPr>
      <w:r w:rsidRPr="0026017C">
        <w:rPr>
          <w:rFonts w:ascii="Times New Roman" w:hAnsi="Times New Roman"/>
          <w:kern w:val="22"/>
          <w:sz w:val="24"/>
          <w:szCs w:val="24"/>
          <w:lang w:eastAsia="sk-SK"/>
        </w:rPr>
        <w:t>Ustanovením odseku 2 sa zároveň zabezpečí, že doba presahujúca jeden mesiac, počas ktorej je prevádzkovateľ hazardnej hry v omeškaní s úhradou odvodu, a po uplynutí ktorej mu Úrad pre reguláciu hazardných hier môže siahnuť na finančnú zábezpeku podľa § 67 ods. 5 písm. f) prvého bodu zákona o hazardných hrách, sa začne počítať až od uplynutia lehoty na odklad úhrady odvodu podľa tohto zákona, to znamená až od 1. januára 2022.</w:t>
      </w:r>
    </w:p>
    <w:p w:rsidR="0026017C" w:rsidRPr="0026017C" w:rsidRDefault="0026017C" w:rsidP="0026017C">
      <w:pPr>
        <w:autoSpaceDE w:val="0"/>
        <w:autoSpaceDN w:val="0"/>
        <w:adjustRightInd w:val="0"/>
        <w:spacing w:after="0" w:line="240" w:lineRule="auto"/>
        <w:jc w:val="both"/>
        <w:rPr>
          <w:rFonts w:ascii="Times New Roman" w:hAnsi="Times New Roman"/>
          <w:sz w:val="24"/>
          <w:szCs w:val="24"/>
          <w:lang w:eastAsia="sk-SK"/>
        </w:rPr>
      </w:pPr>
    </w:p>
    <w:p w:rsidR="0026017C" w:rsidRPr="0026017C" w:rsidRDefault="0026017C" w:rsidP="0026017C">
      <w:pPr>
        <w:autoSpaceDE w:val="0"/>
        <w:autoSpaceDN w:val="0"/>
        <w:adjustRightInd w:val="0"/>
        <w:spacing w:after="0" w:line="240" w:lineRule="auto"/>
        <w:jc w:val="both"/>
        <w:rPr>
          <w:rFonts w:ascii="Times New Roman" w:hAnsi="Times New Roman"/>
          <w:sz w:val="24"/>
          <w:szCs w:val="24"/>
          <w:lang w:eastAsia="sk-SK"/>
        </w:rPr>
      </w:pPr>
      <w:r w:rsidRPr="0026017C">
        <w:rPr>
          <w:rFonts w:ascii="Times New Roman" w:hAnsi="Times New Roman"/>
          <w:b/>
          <w:bCs/>
          <w:color w:val="000000"/>
          <w:sz w:val="24"/>
          <w:szCs w:val="24"/>
          <w:lang w:eastAsia="sk-SK"/>
        </w:rPr>
        <w:t xml:space="preserve">K bodu 5 </w:t>
      </w:r>
    </w:p>
    <w:p w:rsidR="0026017C" w:rsidRPr="0026017C" w:rsidRDefault="0026017C" w:rsidP="0026017C">
      <w:pPr>
        <w:spacing w:after="0" w:line="259" w:lineRule="auto"/>
        <w:jc w:val="both"/>
        <w:rPr>
          <w:rFonts w:ascii="Times New Roman" w:eastAsiaTheme="minorHAnsi" w:hAnsi="Times New Roman"/>
        </w:rPr>
      </w:pPr>
    </w:p>
    <w:p w:rsidR="0026017C" w:rsidRPr="0026017C" w:rsidRDefault="0026017C" w:rsidP="0026017C">
      <w:pPr>
        <w:spacing w:after="0" w:line="259" w:lineRule="auto"/>
        <w:jc w:val="both"/>
        <w:rPr>
          <w:rFonts w:ascii="Times New Roman" w:eastAsiaTheme="minorHAnsi" w:hAnsi="Times New Roman"/>
          <w:sz w:val="24"/>
          <w:szCs w:val="24"/>
        </w:rPr>
      </w:pPr>
      <w:r w:rsidRPr="0026017C">
        <w:rPr>
          <w:rFonts w:ascii="Times New Roman" w:eastAsiaTheme="minorHAnsi" w:hAnsi="Times New Roman"/>
          <w:sz w:val="24"/>
          <w:szCs w:val="24"/>
        </w:rPr>
        <w:t>K § 36e</w:t>
      </w: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 xml:space="preserve">V súvislosti s vyhlásením núdzového stavu, zákazom vychádzania a iných dlhotrvajúcich obmedzení v dôsledku šírenia pandémie COVID-19 aj v roku 2021 sa spoločenstvá a správcovia dostávajú do časovej tiesne pri plnení zákonnej povinnosti predložiť ročné vyúčtovanie a správu o činnosti za rok 2020. Situácia je problematická aj preto, že osoby </w:t>
      </w:r>
      <w:r w:rsidRPr="0026017C">
        <w:rPr>
          <w:rFonts w:ascii="Times New Roman" w:eastAsiaTheme="minorHAnsi" w:hAnsi="Times New Roman"/>
          <w:sz w:val="24"/>
          <w:szCs w:val="24"/>
        </w:rPr>
        <w:lastRenderedPageBreak/>
        <w:t>reálne vykonávajúce správu bytových domov a nebytových budov sú takisto zasiahnuté ochorením COVID-19, čo komplikuje napr. zabezpečenie odpočtu meradiel spotreby energii a vody. Ani vykonanie odpočtu meradiel samotnými vlastníkmi bytov a nebytových priestorov prakticky nerieši dĺžku času nevyhnutného na predloženie ročného vyúčtovania a správy o činnosti, pretože vyvoláva potrebu manuálneho spracovania údajov, teda spracovanie vyúčtovania si vyžiada dlhší čas, ako obvykle.</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 xml:space="preserve">Zákon NR SR č. 182/1993 </w:t>
      </w:r>
      <w:proofErr w:type="spellStart"/>
      <w:r w:rsidRPr="0026017C">
        <w:rPr>
          <w:rFonts w:ascii="Times New Roman" w:eastAsiaTheme="minorHAnsi" w:hAnsi="Times New Roman"/>
          <w:sz w:val="24"/>
          <w:szCs w:val="24"/>
        </w:rPr>
        <w:t>Z.z</w:t>
      </w:r>
      <w:proofErr w:type="spellEnd"/>
      <w:r w:rsidRPr="0026017C">
        <w:rPr>
          <w:rFonts w:ascii="Times New Roman" w:eastAsiaTheme="minorHAnsi" w:hAnsi="Times New Roman"/>
          <w:sz w:val="24"/>
          <w:szCs w:val="24"/>
        </w:rPr>
        <w:t>. o vlastníctve bytov a nebytových priestorov v znení neskorších predpisov ukladá spoločenstvám a správcom povinnosť najneskôr do 31. mája nasledujúceho roka predložiť vlastníkom bytov a nebytových priestorov v dome správu o svojej činnosti a zároveň vykonať vyúčtovanie použitia fondu prevádzky, údržby a opráv, úhrad za plnenia rozúčtované na jednotlivé byty a nebytové priestory v dome. Za nesplnenie tejto povinnosti zákon umožňuje vlastníkom bytov a nebytových priestorov v dome sankcionovať správcu neuhradením poplatku za správu. Nesplnenie tejto povinnosti sa považuje takisto za porušenie spotrebiteľskej zmluvy, za ktorú sa pokladá aj zmluva o výkone správy. V súčasnej situácii je možné predpokladanú stratu nároku za platbu považovať za diskriminačné, správcami nezavinené nesplnenie povinnosti spôsobené okolnosťami, ktoré nemôžu ovplyvniť.</w:t>
      </w:r>
    </w:p>
    <w:p w:rsidR="0026017C" w:rsidRPr="0026017C" w:rsidRDefault="0026017C" w:rsidP="0026017C">
      <w:pPr>
        <w:spacing w:after="0" w:line="259" w:lineRule="auto"/>
        <w:ind w:firstLine="708"/>
        <w:rPr>
          <w:rFonts w:ascii="Times New Roman" w:eastAsiaTheme="minorHAnsi" w:hAnsi="Times New Roman"/>
          <w:sz w:val="24"/>
          <w:szCs w:val="24"/>
        </w:rPr>
      </w:pP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Navrhované „posunutie“ termínu predloženia správy a vyúčtovania nemá žiadny vplyv na povinnosť vlastníkov zaplatiť nedoplatok z vyúčtovania, resp. na povinnosť správcov a spoločenstiev vrátiť preplatok, prípadne na reklamáciu vyúčtovania.</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spacing w:after="0" w:line="259" w:lineRule="auto"/>
        <w:jc w:val="both"/>
        <w:rPr>
          <w:rFonts w:ascii="Times New Roman" w:eastAsiaTheme="minorHAnsi" w:hAnsi="Times New Roman"/>
          <w:sz w:val="24"/>
          <w:szCs w:val="24"/>
        </w:rPr>
      </w:pPr>
      <w:r w:rsidRPr="0026017C">
        <w:rPr>
          <w:rFonts w:ascii="Times New Roman" w:eastAsiaTheme="minorHAnsi" w:hAnsi="Times New Roman"/>
          <w:sz w:val="24"/>
          <w:szCs w:val="24"/>
        </w:rPr>
        <w:t>K § 36f</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 xml:space="preserve">Súčasné znenie zákona NR SR č. 182/1993 </w:t>
      </w:r>
      <w:proofErr w:type="spellStart"/>
      <w:r w:rsidRPr="0026017C">
        <w:rPr>
          <w:rFonts w:ascii="Times New Roman" w:eastAsiaTheme="minorHAnsi" w:hAnsi="Times New Roman"/>
          <w:sz w:val="24"/>
          <w:szCs w:val="24"/>
        </w:rPr>
        <w:t>Z.z</w:t>
      </w:r>
      <w:proofErr w:type="spellEnd"/>
      <w:r w:rsidRPr="0026017C">
        <w:rPr>
          <w:rFonts w:ascii="Times New Roman" w:eastAsiaTheme="minorHAnsi" w:hAnsi="Times New Roman"/>
          <w:sz w:val="24"/>
          <w:szCs w:val="24"/>
        </w:rPr>
        <w:t>. o vlastníctve bytov a nebytových priestorov v znení neskorších predpisov umožňuje vlastníkom bytov a nebytových priestorov v dome zúčastňovať sa na správe domu osobnou účasťou na schôdzi vlastníkov alebo na písomnom hlasovaní, ak vlastník nesplnomocnil inú osobu, aby ho zastupovala. Vzhľadom na skutočnosť, že účasť vlastníkov na schôdzach a na písomnom hlasovaní je z dôvodu pandémie problematická, navrhuje sa umožniť vlastníkom okrem priamej účasti na schôdzi vlastníkov alebo na písomnom hlasovaní aj hlasovanie prostredníctvom elektronických prostriedkov.</w:t>
      </w:r>
    </w:p>
    <w:p w:rsidR="0026017C" w:rsidRPr="0026017C" w:rsidRDefault="0026017C" w:rsidP="0026017C">
      <w:pPr>
        <w:spacing w:after="0" w:line="259" w:lineRule="auto"/>
        <w:jc w:val="both"/>
        <w:rPr>
          <w:rFonts w:ascii="Times New Roman" w:eastAsiaTheme="minorHAnsi" w:hAnsi="Times New Roman"/>
          <w:sz w:val="24"/>
          <w:szCs w:val="24"/>
        </w:rPr>
      </w:pPr>
      <w:r w:rsidRPr="0026017C">
        <w:rPr>
          <w:rFonts w:ascii="Times New Roman" w:eastAsiaTheme="minorHAnsi" w:hAnsi="Times New Roman"/>
          <w:sz w:val="24"/>
          <w:szCs w:val="24"/>
        </w:rPr>
        <w:t xml:space="preserve"> </w:t>
      </w: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Použitie elektronických prostriedkov nepredstavuje nový osobitný typ hlasovania (novú formu účasti a hlasovania). Ide len o možnosť uľahčiť vlastníkom počas pandémie výkon ich vlastníckych práv aj iným spôsobom, než osobnou účasťou.</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Za elektronické prostriedky možno považovať také technické prostriedky na prenos obrazu a zvuku zo schôdze vlastníkov v reálnom čase, ktoré umožňujú obojsmernú komunikáciu, ako aj iné prostriedky informačnej a komunikačnej technológie, umožňujúce individualizovaný prejav vôle, napríklad elektronická pošta alebo iný komunikačný program, ktorý identifikuje vlastníka nezameniteľným spôsobom, napríklad pridelením identifikátora správcom alebo spoločenstvom.</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t>Z dôvodu zachovania právnej istoty je potrebné v zákone aspoň rámcovo ustanoviť podmienky, ktoré musí elektronický prostriedok spĺňať a umožniť, napr. overenie totožnosti a účasti vlastníka (autenticita), špecifikáciu prejavu vôle (hlasu), ochranu hlasovania a jeho výsledkov pred zneužitím.</w:t>
      </w:r>
    </w:p>
    <w:p w:rsidR="0026017C" w:rsidRPr="0026017C" w:rsidRDefault="0026017C" w:rsidP="0026017C">
      <w:pPr>
        <w:spacing w:after="0" w:line="259" w:lineRule="auto"/>
        <w:ind w:firstLine="708"/>
        <w:jc w:val="both"/>
        <w:rPr>
          <w:rFonts w:ascii="Times New Roman" w:eastAsiaTheme="minorHAnsi" w:hAnsi="Times New Roman"/>
          <w:sz w:val="24"/>
          <w:szCs w:val="24"/>
        </w:rPr>
      </w:pPr>
      <w:r w:rsidRPr="0026017C">
        <w:rPr>
          <w:rFonts w:ascii="Times New Roman" w:eastAsiaTheme="minorHAnsi" w:hAnsi="Times New Roman"/>
          <w:sz w:val="24"/>
          <w:szCs w:val="24"/>
        </w:rPr>
        <w:lastRenderedPageBreak/>
        <w:t xml:space="preserve">Vzhľadom na individuálny prístup k technickým prostriedkom pri elektronickom hlasovaní nebude možné zabezpečiť zastupovanie vlastníka bytu alebo nebytového priestoru. Elektronické hlasovanie má umožniť priamy prejav vôle vlastníka, pretože z dôvodu </w:t>
      </w:r>
      <w:proofErr w:type="spellStart"/>
      <w:r w:rsidRPr="0026017C">
        <w:rPr>
          <w:rFonts w:ascii="Times New Roman" w:eastAsiaTheme="minorHAnsi" w:hAnsi="Times New Roman"/>
          <w:sz w:val="24"/>
          <w:szCs w:val="24"/>
        </w:rPr>
        <w:t>protiepidemických</w:t>
      </w:r>
      <w:proofErr w:type="spellEnd"/>
      <w:r w:rsidRPr="0026017C">
        <w:rPr>
          <w:rFonts w:ascii="Times New Roman" w:eastAsiaTheme="minorHAnsi" w:hAnsi="Times New Roman"/>
          <w:sz w:val="24"/>
          <w:szCs w:val="24"/>
        </w:rPr>
        <w:t xml:space="preserve"> opatrení nie je vhodné združovanie občanov na schôdzi vlastníkov alebo na písomnom hlasovaní.</w:t>
      </w:r>
    </w:p>
    <w:p w:rsidR="0026017C" w:rsidRPr="0026017C" w:rsidRDefault="0026017C" w:rsidP="0026017C">
      <w:pPr>
        <w:spacing w:after="0" w:line="259" w:lineRule="auto"/>
        <w:jc w:val="both"/>
        <w:rPr>
          <w:rFonts w:ascii="Times New Roman" w:eastAsiaTheme="minorHAnsi" w:hAnsi="Times New Roman"/>
          <w:sz w:val="24"/>
          <w:szCs w:val="24"/>
        </w:rPr>
      </w:pPr>
    </w:p>
    <w:p w:rsidR="0026017C" w:rsidRPr="0026017C" w:rsidRDefault="0026017C" w:rsidP="0026017C">
      <w:pPr>
        <w:autoSpaceDE w:val="0"/>
        <w:autoSpaceDN w:val="0"/>
        <w:adjustRightInd w:val="0"/>
        <w:spacing w:after="0" w:line="240" w:lineRule="auto"/>
        <w:ind w:firstLine="708"/>
        <w:jc w:val="both"/>
        <w:rPr>
          <w:rFonts w:ascii="Times New Roman" w:hAnsi="Times New Roman"/>
          <w:sz w:val="24"/>
          <w:szCs w:val="24"/>
          <w:lang w:eastAsia="sk-SK"/>
        </w:rPr>
      </w:pPr>
      <w:r w:rsidRPr="0026017C">
        <w:rPr>
          <w:rFonts w:ascii="Times New Roman" w:eastAsiaTheme="minorHAnsi" w:hAnsi="Times New Roman"/>
          <w:sz w:val="24"/>
          <w:szCs w:val="24"/>
        </w:rPr>
        <w:t>Za riadny a nerušený priebeh elektronického hlasovania zodpovedá spoločenstvo, správca alebo vlastníci bytov a nebytových priestorov v dome, ktorí zvolali schôdzu vlastníkov alebo vyhlásili písomné hlasovanie.</w:t>
      </w:r>
      <w:r w:rsidRPr="0026017C">
        <w:rPr>
          <w:rFonts w:asciiTheme="minorHAnsi" w:eastAsiaTheme="minorHAnsi" w:hAnsiTheme="minorHAnsi" w:cstheme="minorBidi"/>
          <w:sz w:val="24"/>
          <w:szCs w:val="24"/>
        </w:rPr>
        <w:t xml:space="preserve"> </w:t>
      </w:r>
      <w:r w:rsidRPr="0026017C">
        <w:rPr>
          <w:rFonts w:ascii="Times New Roman" w:eastAsiaTheme="minorHAnsi" w:hAnsi="Times New Roman"/>
          <w:sz w:val="24"/>
          <w:szCs w:val="24"/>
        </w:rPr>
        <w:t>V zápisnici zo schôdze vlastníkov alebo z písomného hlasovania musia byť osobitne uvedení vlastníci, ktorí hlasovali elektronicky, aby bolo zrejmé, ktorí vlastníci uplatnili svoj hlas elektronicky nielen z dôvodu kontroly priebehu hlasovania zo strany vlastníkov, ale aj z dôvodu prípadného uplatnenia práva prehlasovaného vlastníka na súde.</w:t>
      </w:r>
    </w:p>
    <w:p w:rsidR="0026017C" w:rsidRPr="0026017C" w:rsidRDefault="0026017C" w:rsidP="0026017C">
      <w:pPr>
        <w:autoSpaceDE w:val="0"/>
        <w:autoSpaceDN w:val="0"/>
        <w:adjustRightInd w:val="0"/>
        <w:spacing w:after="0" w:line="240" w:lineRule="auto"/>
        <w:jc w:val="both"/>
        <w:rPr>
          <w:rFonts w:ascii="Times New Roman" w:hAnsi="Times New Roman"/>
          <w:b/>
          <w:bCs/>
          <w:color w:val="000000"/>
          <w:sz w:val="24"/>
          <w:szCs w:val="24"/>
          <w:lang w:eastAsia="sk-SK"/>
        </w:rPr>
      </w:pPr>
    </w:p>
    <w:p w:rsidR="0026017C" w:rsidRPr="0026017C" w:rsidRDefault="0026017C" w:rsidP="0026017C">
      <w:pPr>
        <w:autoSpaceDE w:val="0"/>
        <w:autoSpaceDN w:val="0"/>
        <w:adjustRightInd w:val="0"/>
        <w:spacing w:after="0" w:line="240" w:lineRule="auto"/>
        <w:jc w:val="both"/>
        <w:rPr>
          <w:rFonts w:ascii="Times New Roman" w:hAnsi="Times New Roman"/>
          <w:b/>
          <w:sz w:val="24"/>
          <w:szCs w:val="24"/>
          <w:lang w:eastAsia="sk-SK"/>
        </w:rPr>
      </w:pPr>
      <w:r w:rsidRPr="0026017C">
        <w:rPr>
          <w:rFonts w:ascii="Times New Roman" w:hAnsi="Times New Roman"/>
          <w:b/>
          <w:sz w:val="24"/>
          <w:szCs w:val="24"/>
          <w:lang w:eastAsia="sk-SK"/>
        </w:rPr>
        <w:t>K článku II</w:t>
      </w:r>
    </w:p>
    <w:p w:rsidR="0026017C" w:rsidRPr="0026017C" w:rsidRDefault="0026017C" w:rsidP="0026017C">
      <w:pPr>
        <w:autoSpaceDE w:val="0"/>
        <w:autoSpaceDN w:val="0"/>
        <w:adjustRightInd w:val="0"/>
        <w:spacing w:after="0" w:line="240" w:lineRule="auto"/>
        <w:jc w:val="both"/>
        <w:rPr>
          <w:rFonts w:ascii="Times New Roman" w:hAnsi="Times New Roman"/>
          <w:b/>
          <w:sz w:val="24"/>
          <w:szCs w:val="24"/>
          <w:lang w:eastAsia="sk-SK"/>
        </w:rPr>
      </w:pPr>
    </w:p>
    <w:p w:rsidR="0026017C" w:rsidRDefault="0026017C" w:rsidP="007359A3">
      <w:pPr>
        <w:autoSpaceDE w:val="0"/>
        <w:autoSpaceDN w:val="0"/>
        <w:adjustRightInd w:val="0"/>
        <w:spacing w:after="0" w:line="240" w:lineRule="auto"/>
        <w:jc w:val="both"/>
        <w:rPr>
          <w:rFonts w:ascii="Times New Roman" w:hAnsi="Times New Roman"/>
          <w:sz w:val="24"/>
          <w:szCs w:val="24"/>
          <w:lang w:eastAsia="sk-SK"/>
        </w:rPr>
      </w:pPr>
      <w:r w:rsidRPr="0026017C">
        <w:rPr>
          <w:rFonts w:ascii="Times New Roman" w:hAnsi="Times New Roman"/>
          <w:sz w:val="24"/>
          <w:szCs w:val="24"/>
          <w:lang w:eastAsia="sk-SK"/>
        </w:rPr>
        <w:t>Navrhuje sa ustanoviť účinnosť zákona dňom vyhlásenia.</w:t>
      </w:r>
    </w:p>
    <w:p w:rsidR="007359A3" w:rsidRDefault="007359A3" w:rsidP="0026017C">
      <w:pPr>
        <w:autoSpaceDE w:val="0"/>
        <w:autoSpaceDN w:val="0"/>
        <w:adjustRightInd w:val="0"/>
        <w:spacing w:after="0" w:line="240" w:lineRule="auto"/>
        <w:ind w:firstLine="708"/>
        <w:jc w:val="both"/>
        <w:rPr>
          <w:rFonts w:ascii="Times New Roman" w:hAnsi="Times New Roman"/>
          <w:sz w:val="24"/>
          <w:szCs w:val="24"/>
          <w:lang w:eastAsia="sk-SK"/>
        </w:rPr>
      </w:pPr>
    </w:p>
    <w:p w:rsidR="007359A3" w:rsidRPr="0026017C" w:rsidRDefault="007359A3" w:rsidP="007359A3">
      <w:pPr>
        <w:autoSpaceDE w:val="0"/>
        <w:autoSpaceDN w:val="0"/>
        <w:adjustRightInd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Bratislava 17. marca 2021</w:t>
      </w:r>
    </w:p>
    <w:p w:rsidR="0026017C" w:rsidRDefault="0026017C" w:rsidP="00AA73E5"/>
    <w:p w:rsidR="0026017C" w:rsidRDefault="0026017C" w:rsidP="00AA73E5"/>
    <w:p w:rsidR="0026017C" w:rsidRPr="00114AE9" w:rsidRDefault="0026017C" w:rsidP="0026017C">
      <w:pPr>
        <w:spacing w:after="0" w:line="240" w:lineRule="auto"/>
        <w:jc w:val="both"/>
        <w:rPr>
          <w:rFonts w:ascii="Times New Roman" w:hAnsi="Times New Roman"/>
          <w:sz w:val="24"/>
          <w:szCs w:val="24"/>
        </w:rPr>
      </w:pPr>
    </w:p>
    <w:p w:rsidR="0026017C" w:rsidRPr="00114AE9" w:rsidRDefault="0026017C" w:rsidP="0026017C">
      <w:pPr>
        <w:spacing w:after="0" w:line="240" w:lineRule="auto"/>
        <w:jc w:val="center"/>
        <w:rPr>
          <w:rFonts w:ascii="Times New Roman" w:hAnsi="Times New Roman"/>
          <w:b/>
          <w:sz w:val="24"/>
          <w:szCs w:val="24"/>
        </w:rPr>
      </w:pPr>
      <w:r>
        <w:rPr>
          <w:rFonts w:ascii="Times New Roman" w:hAnsi="Times New Roman"/>
          <w:b/>
          <w:sz w:val="24"/>
          <w:szCs w:val="24"/>
        </w:rPr>
        <w:t>Igor Matovič</w:t>
      </w:r>
      <w:r w:rsidR="0051581D">
        <w:rPr>
          <w:rFonts w:ascii="Times New Roman" w:hAnsi="Times New Roman"/>
          <w:b/>
          <w:sz w:val="24"/>
          <w:szCs w:val="24"/>
        </w:rPr>
        <w:t>, v. r.</w:t>
      </w:r>
    </w:p>
    <w:p w:rsidR="0026017C" w:rsidRPr="00114AE9" w:rsidRDefault="0026017C" w:rsidP="0026017C">
      <w:pPr>
        <w:spacing w:after="0" w:line="240" w:lineRule="auto"/>
        <w:jc w:val="center"/>
        <w:rPr>
          <w:rFonts w:ascii="Times New Roman" w:hAnsi="Times New Roman"/>
          <w:sz w:val="24"/>
          <w:szCs w:val="24"/>
        </w:rPr>
      </w:pPr>
      <w:r w:rsidRPr="00114AE9">
        <w:rPr>
          <w:rFonts w:ascii="Times New Roman" w:hAnsi="Times New Roman"/>
          <w:sz w:val="24"/>
          <w:szCs w:val="24"/>
        </w:rPr>
        <w:t>predseda vlády Slovenskej republiky</w:t>
      </w:r>
    </w:p>
    <w:p w:rsidR="0026017C" w:rsidRPr="00114AE9" w:rsidRDefault="0026017C" w:rsidP="0026017C">
      <w:pPr>
        <w:spacing w:after="0" w:line="240" w:lineRule="auto"/>
        <w:jc w:val="center"/>
        <w:rPr>
          <w:rFonts w:ascii="Times New Roman" w:hAnsi="Times New Roman"/>
          <w:sz w:val="24"/>
          <w:szCs w:val="24"/>
        </w:rPr>
      </w:pPr>
    </w:p>
    <w:p w:rsidR="0026017C" w:rsidRDefault="0026017C" w:rsidP="0026017C">
      <w:pPr>
        <w:spacing w:after="0" w:line="240" w:lineRule="auto"/>
        <w:jc w:val="center"/>
        <w:rPr>
          <w:rFonts w:ascii="Times New Roman" w:hAnsi="Times New Roman"/>
          <w:sz w:val="24"/>
          <w:szCs w:val="24"/>
        </w:rPr>
      </w:pPr>
    </w:p>
    <w:p w:rsidR="0026017C" w:rsidRDefault="0026017C" w:rsidP="0026017C">
      <w:pPr>
        <w:spacing w:after="0" w:line="240" w:lineRule="auto"/>
        <w:jc w:val="center"/>
        <w:rPr>
          <w:rFonts w:ascii="Times New Roman" w:hAnsi="Times New Roman"/>
          <w:sz w:val="24"/>
          <w:szCs w:val="24"/>
        </w:rPr>
      </w:pPr>
    </w:p>
    <w:p w:rsidR="0026017C" w:rsidRPr="00114AE9" w:rsidRDefault="0026017C" w:rsidP="0026017C">
      <w:pPr>
        <w:spacing w:after="0" w:line="240" w:lineRule="auto"/>
        <w:jc w:val="center"/>
        <w:rPr>
          <w:rFonts w:ascii="Times New Roman" w:hAnsi="Times New Roman"/>
          <w:sz w:val="24"/>
          <w:szCs w:val="24"/>
        </w:rPr>
      </w:pPr>
    </w:p>
    <w:p w:rsidR="0026017C" w:rsidRPr="00114AE9" w:rsidRDefault="0026017C" w:rsidP="0026017C">
      <w:pPr>
        <w:spacing w:after="0" w:line="240" w:lineRule="auto"/>
        <w:jc w:val="center"/>
        <w:rPr>
          <w:rFonts w:ascii="Times New Roman" w:hAnsi="Times New Roman"/>
          <w:sz w:val="24"/>
          <w:szCs w:val="24"/>
        </w:rPr>
      </w:pPr>
    </w:p>
    <w:p w:rsidR="0026017C" w:rsidRPr="00114AE9" w:rsidRDefault="0026017C" w:rsidP="0026017C">
      <w:pPr>
        <w:spacing w:after="0" w:line="240" w:lineRule="auto"/>
        <w:jc w:val="center"/>
        <w:rPr>
          <w:rFonts w:ascii="Times New Roman" w:hAnsi="Times New Roman"/>
          <w:sz w:val="24"/>
          <w:szCs w:val="24"/>
        </w:rPr>
      </w:pPr>
    </w:p>
    <w:p w:rsidR="0026017C" w:rsidRPr="00114AE9" w:rsidRDefault="0026017C" w:rsidP="0026017C">
      <w:pPr>
        <w:spacing w:after="0" w:line="240" w:lineRule="auto"/>
        <w:jc w:val="center"/>
        <w:rPr>
          <w:rFonts w:ascii="Times New Roman" w:hAnsi="Times New Roman"/>
          <w:b/>
          <w:sz w:val="24"/>
          <w:szCs w:val="24"/>
        </w:rPr>
      </w:pPr>
      <w:r>
        <w:rPr>
          <w:rFonts w:ascii="Times New Roman" w:hAnsi="Times New Roman"/>
          <w:b/>
          <w:sz w:val="24"/>
          <w:szCs w:val="24"/>
        </w:rPr>
        <w:t xml:space="preserve">Eduard </w:t>
      </w:r>
      <w:proofErr w:type="spellStart"/>
      <w:r>
        <w:rPr>
          <w:rFonts w:ascii="Times New Roman" w:hAnsi="Times New Roman"/>
          <w:b/>
          <w:sz w:val="24"/>
          <w:szCs w:val="24"/>
        </w:rPr>
        <w:t>Heger</w:t>
      </w:r>
      <w:proofErr w:type="spellEnd"/>
      <w:r w:rsidR="0051581D">
        <w:rPr>
          <w:rFonts w:ascii="Times New Roman" w:hAnsi="Times New Roman"/>
          <w:b/>
          <w:sz w:val="24"/>
          <w:szCs w:val="24"/>
        </w:rPr>
        <w:t>, v. r.</w:t>
      </w:r>
      <w:bookmarkStart w:id="1" w:name="_GoBack"/>
      <w:bookmarkEnd w:id="1"/>
    </w:p>
    <w:p w:rsidR="0026017C" w:rsidRPr="00522F4F" w:rsidRDefault="0026017C" w:rsidP="0026017C">
      <w:pPr>
        <w:spacing w:after="0" w:line="240" w:lineRule="auto"/>
        <w:jc w:val="center"/>
        <w:rPr>
          <w:rFonts w:ascii="Times New Roman" w:hAnsi="Times New Roman"/>
          <w:color w:val="000000"/>
          <w:sz w:val="24"/>
          <w:szCs w:val="24"/>
        </w:rPr>
      </w:pPr>
      <w:r w:rsidRPr="00114AE9">
        <w:rPr>
          <w:rFonts w:ascii="Times New Roman" w:hAnsi="Times New Roman"/>
          <w:sz w:val="24"/>
          <w:szCs w:val="24"/>
        </w:rPr>
        <w:t>podpredseda vlády a minister financií Slovenskej republiky</w:t>
      </w:r>
    </w:p>
    <w:p w:rsidR="0026017C" w:rsidRPr="00AA73E5" w:rsidRDefault="0026017C" w:rsidP="00AA73E5"/>
    <w:sectPr w:rsidR="0026017C" w:rsidRPr="00AA73E5" w:rsidSect="009F6AB9">
      <w:headerReference w:type="even"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F34" w:rsidRDefault="00E71F34">
      <w:pPr>
        <w:spacing w:after="0" w:line="240" w:lineRule="auto"/>
      </w:pPr>
      <w:r>
        <w:separator/>
      </w:r>
    </w:p>
  </w:endnote>
  <w:endnote w:type="continuationSeparator" w:id="0">
    <w:p w:rsidR="00E71F34" w:rsidRDefault="00E7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71F34" w:rsidRDefault="00E71F3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jc w:val="right"/>
    </w:pPr>
    <w:r>
      <w:fldChar w:fldCharType="begin"/>
    </w:r>
    <w:r>
      <w:instrText>PAGE   \* MERGEFORMAT</w:instrText>
    </w:r>
    <w:r>
      <w:fldChar w:fldCharType="separate"/>
    </w:r>
    <w:r w:rsidR="0051581D">
      <w:rPr>
        <w:noProof/>
      </w:rPr>
      <w:t>10</w:t>
    </w:r>
    <w:r>
      <w:fldChar w:fldCharType="end"/>
    </w:r>
  </w:p>
  <w:p w:rsidR="00E71F34" w:rsidRDefault="00E71F3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jc w:val="right"/>
    </w:pPr>
    <w:r>
      <w:fldChar w:fldCharType="begin"/>
    </w:r>
    <w:r>
      <w:instrText>PAGE   \* MERGEFORMAT</w:instrText>
    </w:r>
    <w:r>
      <w:fldChar w:fldCharType="separate"/>
    </w:r>
    <w:r>
      <w:rPr>
        <w:noProof/>
      </w:rPr>
      <w:t>0</w:t>
    </w:r>
    <w:r>
      <w:fldChar w:fldCharType="end"/>
    </w:r>
  </w:p>
  <w:p w:rsidR="00E71F34" w:rsidRDefault="00E71F34">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71F34" w:rsidRDefault="00E71F34">
    <w:pPr>
      <w:pStyle w:val="Pt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jc w:val="right"/>
    </w:pPr>
    <w:r>
      <w:fldChar w:fldCharType="begin"/>
    </w:r>
    <w:r>
      <w:instrText>PAGE   \* MERGEFORMAT</w:instrText>
    </w:r>
    <w:r>
      <w:fldChar w:fldCharType="separate"/>
    </w:r>
    <w:r w:rsidR="0051581D">
      <w:rPr>
        <w:noProof/>
      </w:rPr>
      <w:t>20</w:t>
    </w:r>
    <w:r>
      <w:fldChar w:fldCharType="end"/>
    </w:r>
  </w:p>
  <w:p w:rsidR="00E71F34" w:rsidRDefault="00E71F34">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pPr>
      <w:pStyle w:val="Pta"/>
      <w:jc w:val="right"/>
    </w:pPr>
    <w:r>
      <w:fldChar w:fldCharType="begin"/>
    </w:r>
    <w:r>
      <w:instrText>PAGE   \* MERGEFORMAT</w:instrText>
    </w:r>
    <w:r>
      <w:fldChar w:fldCharType="separate"/>
    </w:r>
    <w:r>
      <w:rPr>
        <w:noProof/>
      </w:rPr>
      <w:t>0</w:t>
    </w:r>
    <w:r>
      <w:fldChar w:fldCharType="end"/>
    </w:r>
  </w:p>
  <w:p w:rsidR="00E71F34" w:rsidRDefault="00E71F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F34" w:rsidRDefault="00E71F34">
      <w:pPr>
        <w:spacing w:after="0" w:line="240" w:lineRule="auto"/>
      </w:pPr>
      <w:r>
        <w:separator/>
      </w:r>
    </w:p>
  </w:footnote>
  <w:footnote w:type="continuationSeparator" w:id="0">
    <w:p w:rsidR="00E71F34" w:rsidRDefault="00E71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rsidP="00BE41DD">
    <w:pPr>
      <w:pStyle w:val="Hlavika"/>
      <w:jc w:val="right"/>
      <w:rPr>
        <w:sz w:val="24"/>
        <w:szCs w:val="24"/>
      </w:rPr>
    </w:pPr>
    <w:r>
      <w:rPr>
        <w:sz w:val="24"/>
        <w:szCs w:val="24"/>
      </w:rPr>
      <w:t>Príloha č. 2</w:t>
    </w:r>
  </w:p>
  <w:p w:rsidR="00E71F34" w:rsidRPr="00EB59C8" w:rsidRDefault="00E71F34" w:rsidP="00BE41DD">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Pr="000A15AE" w:rsidRDefault="00E71F34" w:rsidP="00BE41DD">
    <w:pPr>
      <w:pStyle w:val="Hlavika"/>
      <w:jc w:val="right"/>
      <w:rPr>
        <w:sz w:val="24"/>
        <w:szCs w:val="24"/>
      </w:rPr>
    </w:pPr>
    <w:r>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Default="00E71F34" w:rsidP="00EB59C8">
    <w:pPr>
      <w:pStyle w:val="Hlavika"/>
      <w:jc w:val="right"/>
      <w:rPr>
        <w:sz w:val="24"/>
        <w:szCs w:val="24"/>
      </w:rPr>
    </w:pPr>
    <w:r>
      <w:rPr>
        <w:sz w:val="24"/>
        <w:szCs w:val="24"/>
      </w:rPr>
      <w:t>Príloha č. 2</w:t>
    </w:r>
  </w:p>
  <w:p w:rsidR="00E71F34" w:rsidRPr="00EB59C8" w:rsidRDefault="00E71F34" w:rsidP="00EB59C8">
    <w:pPr>
      <w:pStyle w:val="Hlavika"/>
      <w:jc w:val="right"/>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F34" w:rsidRPr="000A15AE" w:rsidRDefault="00E71F34" w:rsidP="000A15A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DE2882A"/>
    <w:lvl w:ilvl="0">
      <w:start w:val="1"/>
      <w:numFmt w:val="decimal"/>
      <w:pStyle w:val="Nadpis1"/>
      <w:lvlText w:val="%1."/>
      <w:lvlJc w:val="left"/>
      <w:pPr>
        <w:tabs>
          <w:tab w:val="num" w:pos="0"/>
        </w:tabs>
        <w:ind w:left="720" w:hanging="720"/>
      </w:pPr>
      <w:rPr>
        <w:rFonts w:ascii="Times New Roman" w:hAnsi="Times New Roman" w:cs="Times New Roman" w:hint="default"/>
        <w:b w:val="0"/>
        <w:bCs w:val="0"/>
        <w:i w:val="0"/>
        <w:color w:val="auto"/>
        <w:sz w:val="22"/>
      </w:rPr>
    </w:lvl>
    <w:lvl w:ilvl="1">
      <w:start w:val="1"/>
      <w:numFmt w:val="decimal"/>
      <w:pStyle w:val="Nadpis2"/>
      <w:lvlText w:val="%1.%2"/>
      <w:lvlJc w:val="left"/>
      <w:pPr>
        <w:tabs>
          <w:tab w:val="num" w:pos="0"/>
        </w:tabs>
        <w:ind w:left="720" w:hanging="720"/>
      </w:pPr>
      <w:rPr>
        <w:rFonts w:ascii="Times New Roman" w:hAnsi="Times New Roman" w:cs="Times New Roman" w:hint="default"/>
        <w:b w:val="0"/>
        <w:i w:val="0"/>
        <w:color w:val="auto"/>
        <w:sz w:val="22"/>
      </w:rPr>
    </w:lvl>
    <w:lvl w:ilvl="2">
      <w:start w:val="1"/>
      <w:numFmt w:val="decimal"/>
      <w:pStyle w:val="Nadpis3"/>
      <w:lvlText w:val="%1.%2.%3"/>
      <w:lvlJc w:val="left"/>
      <w:pPr>
        <w:tabs>
          <w:tab w:val="num" w:pos="0"/>
        </w:tabs>
        <w:ind w:left="720" w:hanging="720"/>
      </w:pPr>
      <w:rPr>
        <w:rFonts w:ascii="Times New Roman" w:hAnsi="Times New Roman" w:cs="Times New Roman" w:hint="default"/>
        <w:b w:val="0"/>
        <w:i w:val="0"/>
        <w:color w:val="auto"/>
        <w:sz w:val="22"/>
      </w:rPr>
    </w:lvl>
    <w:lvl w:ilvl="3">
      <w:start w:val="1"/>
      <w:numFmt w:val="decimal"/>
      <w:pStyle w:val="Nadpis4"/>
      <w:lvlText w:val="%1.%2.%3.%4"/>
      <w:lvlJc w:val="left"/>
      <w:pPr>
        <w:tabs>
          <w:tab w:val="num" w:pos="0"/>
        </w:tabs>
        <w:ind w:left="720" w:hanging="720"/>
      </w:pPr>
      <w:rPr>
        <w:rFonts w:ascii="Times New Roman" w:hAnsi="Times New Roman" w:cs="Times New Roman" w:hint="default"/>
        <w:b w:val="0"/>
        <w:i w:val="0"/>
        <w:color w:val="auto"/>
        <w:sz w:val="22"/>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01D90A40"/>
    <w:multiLevelType w:val="hybridMultilevel"/>
    <w:tmpl w:val="0802A020"/>
    <w:lvl w:ilvl="0" w:tplc="B5AC1F10">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C32B79"/>
    <w:multiLevelType w:val="hybridMultilevel"/>
    <w:tmpl w:val="EA1CC516"/>
    <w:lvl w:ilvl="0" w:tplc="4EA685C2">
      <w:start w:val="1"/>
      <w:numFmt w:val="decimal"/>
      <w:lvlText w:val="(%1)"/>
      <w:lvlJc w:val="left"/>
      <w:pPr>
        <w:ind w:left="1050" w:hanging="360"/>
      </w:pPr>
      <w:rPr>
        <w:rFonts w:cs="Times New Roman" w:hint="default"/>
      </w:rPr>
    </w:lvl>
    <w:lvl w:ilvl="1" w:tplc="041B0019" w:tentative="1">
      <w:start w:val="1"/>
      <w:numFmt w:val="lowerLetter"/>
      <w:lvlText w:val="%2."/>
      <w:lvlJc w:val="left"/>
      <w:pPr>
        <w:ind w:left="1770" w:hanging="360"/>
      </w:pPr>
      <w:rPr>
        <w:rFonts w:cs="Times New Roman"/>
      </w:rPr>
    </w:lvl>
    <w:lvl w:ilvl="2" w:tplc="041B001B" w:tentative="1">
      <w:start w:val="1"/>
      <w:numFmt w:val="lowerRoman"/>
      <w:lvlText w:val="%3."/>
      <w:lvlJc w:val="right"/>
      <w:pPr>
        <w:ind w:left="2490" w:hanging="180"/>
      </w:pPr>
      <w:rPr>
        <w:rFonts w:cs="Times New Roman"/>
      </w:rPr>
    </w:lvl>
    <w:lvl w:ilvl="3" w:tplc="041B000F" w:tentative="1">
      <w:start w:val="1"/>
      <w:numFmt w:val="decimal"/>
      <w:lvlText w:val="%4."/>
      <w:lvlJc w:val="left"/>
      <w:pPr>
        <w:ind w:left="3210" w:hanging="360"/>
      </w:pPr>
      <w:rPr>
        <w:rFonts w:cs="Times New Roman"/>
      </w:rPr>
    </w:lvl>
    <w:lvl w:ilvl="4" w:tplc="041B0019" w:tentative="1">
      <w:start w:val="1"/>
      <w:numFmt w:val="lowerLetter"/>
      <w:lvlText w:val="%5."/>
      <w:lvlJc w:val="left"/>
      <w:pPr>
        <w:ind w:left="3930" w:hanging="360"/>
      </w:pPr>
      <w:rPr>
        <w:rFonts w:cs="Times New Roman"/>
      </w:rPr>
    </w:lvl>
    <w:lvl w:ilvl="5" w:tplc="041B001B" w:tentative="1">
      <w:start w:val="1"/>
      <w:numFmt w:val="lowerRoman"/>
      <w:lvlText w:val="%6."/>
      <w:lvlJc w:val="right"/>
      <w:pPr>
        <w:ind w:left="4650" w:hanging="180"/>
      </w:pPr>
      <w:rPr>
        <w:rFonts w:cs="Times New Roman"/>
      </w:rPr>
    </w:lvl>
    <w:lvl w:ilvl="6" w:tplc="041B000F" w:tentative="1">
      <w:start w:val="1"/>
      <w:numFmt w:val="decimal"/>
      <w:lvlText w:val="%7."/>
      <w:lvlJc w:val="left"/>
      <w:pPr>
        <w:ind w:left="5370" w:hanging="360"/>
      </w:pPr>
      <w:rPr>
        <w:rFonts w:cs="Times New Roman"/>
      </w:rPr>
    </w:lvl>
    <w:lvl w:ilvl="7" w:tplc="041B0019" w:tentative="1">
      <w:start w:val="1"/>
      <w:numFmt w:val="lowerLetter"/>
      <w:lvlText w:val="%8."/>
      <w:lvlJc w:val="left"/>
      <w:pPr>
        <w:ind w:left="6090" w:hanging="360"/>
      </w:pPr>
      <w:rPr>
        <w:rFonts w:cs="Times New Roman"/>
      </w:rPr>
    </w:lvl>
    <w:lvl w:ilvl="8" w:tplc="041B001B" w:tentative="1">
      <w:start w:val="1"/>
      <w:numFmt w:val="lowerRoman"/>
      <w:lvlText w:val="%9."/>
      <w:lvlJc w:val="right"/>
      <w:pPr>
        <w:ind w:left="6810" w:hanging="180"/>
      </w:pPr>
      <w:rPr>
        <w:rFonts w:cs="Times New Roman"/>
      </w:rPr>
    </w:lvl>
  </w:abstractNum>
  <w:abstractNum w:abstractNumId="3" w15:restartNumberingAfterBreak="0">
    <w:nsid w:val="0B562028"/>
    <w:multiLevelType w:val="hybridMultilevel"/>
    <w:tmpl w:val="B3FA1F1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63D9"/>
    <w:multiLevelType w:val="hybridMultilevel"/>
    <w:tmpl w:val="2134313A"/>
    <w:lvl w:ilvl="0" w:tplc="E840912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6544280"/>
    <w:multiLevelType w:val="hybridMultilevel"/>
    <w:tmpl w:val="F1F6F1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AB321B"/>
    <w:multiLevelType w:val="hybridMultilevel"/>
    <w:tmpl w:val="947602C2"/>
    <w:lvl w:ilvl="0" w:tplc="FDC2AAEC">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0C541E"/>
    <w:multiLevelType w:val="hybridMultilevel"/>
    <w:tmpl w:val="2FDA4C24"/>
    <w:lvl w:ilvl="0" w:tplc="F31C388E">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7A5810"/>
    <w:multiLevelType w:val="hybridMultilevel"/>
    <w:tmpl w:val="4E2C730E"/>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794E85"/>
    <w:multiLevelType w:val="multilevel"/>
    <w:tmpl w:val="5094C2C2"/>
    <w:lvl w:ilvl="0">
      <w:start w:val="4"/>
      <w:numFmt w:val="decimal"/>
      <w:lvlText w:val="%1."/>
      <w:lvlJc w:val="left"/>
      <w:pPr>
        <w:ind w:left="425" w:hanging="425"/>
      </w:pPr>
      <w:rPr>
        <w:rFonts w:cs="Times New Roman" w:hint="default"/>
        <w:b/>
        <w:bCs/>
      </w:rPr>
    </w:lvl>
    <w:lvl w:ilvl="1">
      <w:start w:val="1"/>
      <w:numFmt w:val="lowerLetter"/>
      <w:lvlText w:val="%2)"/>
      <w:lvlJc w:val="left"/>
      <w:pPr>
        <w:ind w:left="850" w:hanging="425"/>
      </w:pPr>
      <w:rPr>
        <w:rFonts w:ascii="Times New Roman" w:eastAsia="Times New Roman" w:hAnsi="Times New Roman" w:cs="Times New Roman" w:hint="default"/>
        <w:b w:val="0"/>
        <w:sz w:val="24"/>
        <w:szCs w:val="24"/>
      </w:rPr>
    </w:lvl>
    <w:lvl w:ilvl="2">
      <w:start w:val="1"/>
      <w:numFmt w:val="decimal"/>
      <w:lvlText w:val="%3.)"/>
      <w:lvlJc w:val="left"/>
      <w:pPr>
        <w:ind w:left="1275" w:hanging="425"/>
      </w:pPr>
      <w:rPr>
        <w:rFonts w:cs="Times New Roman" w:hint="default"/>
      </w:rPr>
    </w:lvl>
    <w:lvl w:ilvl="3">
      <w:start w:val="1"/>
      <w:numFmt w:val="lowerLetter"/>
      <w:lvlText w:val="%4)"/>
      <w:lvlJc w:val="left"/>
      <w:pPr>
        <w:ind w:left="1983" w:hanging="708"/>
      </w:pPr>
      <w:rPr>
        <w:rFonts w:cs="Times New Roman" w:hint="default"/>
      </w:rPr>
    </w:lvl>
    <w:lvl w:ilvl="4">
      <w:start w:val="1"/>
      <w:numFmt w:val="decimal"/>
      <w:lvlText w:val="(%5)"/>
      <w:lvlJc w:val="left"/>
      <w:pPr>
        <w:ind w:left="2691" w:hanging="708"/>
      </w:pPr>
      <w:rPr>
        <w:rFonts w:cs="Times New Roman" w:hint="default"/>
      </w:rPr>
    </w:lvl>
    <w:lvl w:ilvl="5">
      <w:start w:val="1"/>
      <w:numFmt w:val="lowerLetter"/>
      <w:lvlText w:val="(%6)"/>
      <w:lvlJc w:val="left"/>
      <w:pPr>
        <w:ind w:left="3399" w:hanging="708"/>
      </w:pPr>
      <w:rPr>
        <w:rFonts w:cs="Times New Roman" w:hint="default"/>
      </w:rPr>
    </w:lvl>
    <w:lvl w:ilvl="6">
      <w:start w:val="1"/>
      <w:numFmt w:val="lowerRoman"/>
      <w:lvlText w:val="(%7)"/>
      <w:lvlJc w:val="left"/>
      <w:pPr>
        <w:ind w:left="4107" w:hanging="708"/>
      </w:pPr>
      <w:rPr>
        <w:rFonts w:cs="Times New Roman" w:hint="default"/>
      </w:rPr>
    </w:lvl>
    <w:lvl w:ilvl="7">
      <w:start w:val="1"/>
      <w:numFmt w:val="lowerLetter"/>
      <w:lvlText w:val="(%8)"/>
      <w:lvlJc w:val="left"/>
      <w:pPr>
        <w:ind w:left="4815" w:hanging="708"/>
      </w:pPr>
      <w:rPr>
        <w:rFonts w:cs="Times New Roman" w:hint="default"/>
      </w:rPr>
    </w:lvl>
    <w:lvl w:ilvl="8">
      <w:start w:val="1"/>
      <w:numFmt w:val="lowerRoman"/>
      <w:lvlText w:val="(%9)"/>
      <w:lvlJc w:val="left"/>
      <w:pPr>
        <w:ind w:left="5523" w:hanging="708"/>
      </w:pPr>
      <w:rPr>
        <w:rFonts w:cs="Times New Roman" w:hint="default"/>
      </w:rPr>
    </w:lvl>
  </w:abstractNum>
  <w:abstractNum w:abstractNumId="1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7DF61D3"/>
    <w:multiLevelType w:val="hybridMultilevel"/>
    <w:tmpl w:val="AFCCC618"/>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914F7"/>
    <w:multiLevelType w:val="hybridMultilevel"/>
    <w:tmpl w:val="572CC074"/>
    <w:lvl w:ilvl="0" w:tplc="654ECC9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8F1604"/>
    <w:multiLevelType w:val="hybridMultilevel"/>
    <w:tmpl w:val="8160D0CC"/>
    <w:lvl w:ilvl="0" w:tplc="EC285C2C">
      <w:numFmt w:val="bullet"/>
      <w:lvlText w:val="–"/>
      <w:lvlJc w:val="left"/>
      <w:pPr>
        <w:ind w:left="927" w:hanging="360"/>
      </w:pPr>
      <w:rPr>
        <w:rFonts w:ascii="Times New Roman" w:eastAsia="Times New Roman" w:hAnsi="Times New Roman" w:hint="default"/>
        <w:color w:val="auto"/>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39EC5582"/>
    <w:multiLevelType w:val="hybridMultilevel"/>
    <w:tmpl w:val="8E387646"/>
    <w:lvl w:ilvl="0" w:tplc="1EF4D4EA">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26213A"/>
    <w:multiLevelType w:val="hybridMultilevel"/>
    <w:tmpl w:val="BE14BFD4"/>
    <w:lvl w:ilvl="0" w:tplc="3BFA3EE2">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0BB08A6"/>
    <w:multiLevelType w:val="hybridMultilevel"/>
    <w:tmpl w:val="9A7024FA"/>
    <w:lvl w:ilvl="0" w:tplc="CCCEB200">
      <w:start w:val="6"/>
      <w:numFmt w:val="bullet"/>
      <w:lvlText w:val="-"/>
      <w:lvlJc w:val="left"/>
      <w:pPr>
        <w:tabs>
          <w:tab w:val="num" w:pos="900"/>
        </w:tabs>
        <w:ind w:left="900" w:hanging="360"/>
      </w:pPr>
      <w:rPr>
        <w:rFonts w:ascii="Times New Roman" w:eastAsia="Times New Roman" w:hAnsi="Times New Roman" w:cs="Times New Roman" w:hint="default"/>
      </w:rPr>
    </w:lvl>
    <w:lvl w:ilvl="1" w:tplc="FDEA91CA">
      <w:start w:val="1"/>
      <w:numFmt w:val="lowerLetter"/>
      <w:lvlText w:val="%2)"/>
      <w:lvlJc w:val="left"/>
      <w:pPr>
        <w:tabs>
          <w:tab w:val="num" w:pos="417"/>
        </w:tabs>
        <w:ind w:left="720" w:hanging="360"/>
      </w:pPr>
      <w:rPr>
        <w:rFonts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07B5577"/>
    <w:multiLevelType w:val="hybridMultilevel"/>
    <w:tmpl w:val="7C2E8B80"/>
    <w:lvl w:ilvl="0" w:tplc="654ECC9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13627F"/>
    <w:multiLevelType w:val="hybridMultilevel"/>
    <w:tmpl w:val="CE2E7A3C"/>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58462C"/>
    <w:multiLevelType w:val="hybridMultilevel"/>
    <w:tmpl w:val="8C807316"/>
    <w:lvl w:ilvl="0" w:tplc="3B664C54">
      <w:start w:val="4"/>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914168F"/>
    <w:multiLevelType w:val="hybridMultilevel"/>
    <w:tmpl w:val="DD2A12F2"/>
    <w:lvl w:ilvl="0" w:tplc="DFD21DC2">
      <w:numFmt w:val="bullet"/>
      <w:lvlText w:val="-"/>
      <w:lvlJc w:val="left"/>
      <w:pPr>
        <w:ind w:left="405" w:hanging="360"/>
      </w:pPr>
      <w:rPr>
        <w:rFonts w:ascii="Calibri" w:eastAsia="Times New Roman" w:hAnsi="Calibri" w:hint="default"/>
      </w:rPr>
    </w:lvl>
    <w:lvl w:ilvl="1" w:tplc="041B0003">
      <w:start w:val="1"/>
      <w:numFmt w:val="bullet"/>
      <w:lvlText w:val="o"/>
      <w:lvlJc w:val="left"/>
      <w:pPr>
        <w:ind w:left="1125" w:hanging="360"/>
      </w:pPr>
      <w:rPr>
        <w:rFonts w:ascii="Courier New" w:hAnsi="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hint="default"/>
      </w:rPr>
    </w:lvl>
    <w:lvl w:ilvl="8" w:tplc="041B0005">
      <w:start w:val="1"/>
      <w:numFmt w:val="bullet"/>
      <w:lvlText w:val=""/>
      <w:lvlJc w:val="left"/>
      <w:pPr>
        <w:ind w:left="6165" w:hanging="360"/>
      </w:pPr>
      <w:rPr>
        <w:rFonts w:ascii="Wingdings" w:hAnsi="Wingdings" w:hint="default"/>
      </w:rPr>
    </w:lvl>
  </w:abstractNum>
  <w:abstractNum w:abstractNumId="26" w15:restartNumberingAfterBreak="0">
    <w:nsid w:val="5B3C57DF"/>
    <w:multiLevelType w:val="hybridMultilevel"/>
    <w:tmpl w:val="8D3EFD26"/>
    <w:lvl w:ilvl="0" w:tplc="22DE1A78">
      <w:numFmt w:val="bullet"/>
      <w:lvlText w:val="–"/>
      <w:lvlJc w:val="center"/>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1B042D"/>
    <w:multiLevelType w:val="hybridMultilevel"/>
    <w:tmpl w:val="4C501246"/>
    <w:lvl w:ilvl="0" w:tplc="267E25B0">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6481C"/>
    <w:multiLevelType w:val="hybridMultilevel"/>
    <w:tmpl w:val="1BFE2034"/>
    <w:lvl w:ilvl="0" w:tplc="E228DB96">
      <w:start w:val="3"/>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360485"/>
    <w:multiLevelType w:val="hybridMultilevel"/>
    <w:tmpl w:val="0364869A"/>
    <w:lvl w:ilvl="0" w:tplc="22DE1A78">
      <w:numFmt w:val="bullet"/>
      <w:lvlText w:val="–"/>
      <w:lvlJc w:val="center"/>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32" w15:restartNumberingAfterBreak="0">
    <w:nsid w:val="6B625AE5"/>
    <w:multiLevelType w:val="singleLevel"/>
    <w:tmpl w:val="0405000F"/>
    <w:lvl w:ilvl="0">
      <w:start w:val="2"/>
      <w:numFmt w:val="decimal"/>
      <w:lvlText w:val="%1."/>
      <w:lvlJc w:val="left"/>
      <w:pPr>
        <w:tabs>
          <w:tab w:val="num" w:pos="360"/>
        </w:tabs>
        <w:ind w:left="360" w:hanging="360"/>
      </w:pPr>
      <w:rPr>
        <w:rFonts w:hint="default"/>
      </w:rPr>
    </w:lvl>
  </w:abstractNum>
  <w:abstractNum w:abstractNumId="33" w15:restartNumberingAfterBreak="0">
    <w:nsid w:val="6E022141"/>
    <w:multiLevelType w:val="hybridMultilevel"/>
    <w:tmpl w:val="0A6AD7D6"/>
    <w:lvl w:ilvl="0" w:tplc="22DE1A78">
      <w:numFmt w:val="bullet"/>
      <w:lvlText w:val="–"/>
      <w:lvlJc w:val="center"/>
      <w:pPr>
        <w:ind w:left="1026" w:hanging="360"/>
      </w:pPr>
      <w:rPr>
        <w:rFonts w:ascii="Times New Roman" w:eastAsia="Times New Roman" w:hAnsi="Times New Roman" w:hint="default"/>
        <w:color w:val="auto"/>
      </w:rPr>
    </w:lvl>
    <w:lvl w:ilvl="1" w:tplc="041B0003" w:tentative="1">
      <w:start w:val="1"/>
      <w:numFmt w:val="bullet"/>
      <w:lvlText w:val="o"/>
      <w:lvlJc w:val="left"/>
      <w:pPr>
        <w:ind w:left="1746" w:hanging="360"/>
      </w:pPr>
      <w:rPr>
        <w:rFonts w:ascii="Courier New" w:hAnsi="Courier New" w:hint="default"/>
      </w:rPr>
    </w:lvl>
    <w:lvl w:ilvl="2" w:tplc="041B0005" w:tentative="1">
      <w:start w:val="1"/>
      <w:numFmt w:val="bullet"/>
      <w:lvlText w:val=""/>
      <w:lvlJc w:val="left"/>
      <w:pPr>
        <w:ind w:left="2466" w:hanging="360"/>
      </w:pPr>
      <w:rPr>
        <w:rFonts w:ascii="Wingdings" w:hAnsi="Wingdings" w:hint="default"/>
      </w:rPr>
    </w:lvl>
    <w:lvl w:ilvl="3" w:tplc="041B0001" w:tentative="1">
      <w:start w:val="1"/>
      <w:numFmt w:val="bullet"/>
      <w:lvlText w:val=""/>
      <w:lvlJc w:val="left"/>
      <w:pPr>
        <w:ind w:left="3186" w:hanging="360"/>
      </w:pPr>
      <w:rPr>
        <w:rFonts w:ascii="Symbol" w:hAnsi="Symbol" w:hint="default"/>
      </w:rPr>
    </w:lvl>
    <w:lvl w:ilvl="4" w:tplc="041B0003" w:tentative="1">
      <w:start w:val="1"/>
      <w:numFmt w:val="bullet"/>
      <w:lvlText w:val="o"/>
      <w:lvlJc w:val="left"/>
      <w:pPr>
        <w:ind w:left="3906" w:hanging="360"/>
      </w:pPr>
      <w:rPr>
        <w:rFonts w:ascii="Courier New" w:hAnsi="Courier New" w:hint="default"/>
      </w:rPr>
    </w:lvl>
    <w:lvl w:ilvl="5" w:tplc="041B0005" w:tentative="1">
      <w:start w:val="1"/>
      <w:numFmt w:val="bullet"/>
      <w:lvlText w:val=""/>
      <w:lvlJc w:val="left"/>
      <w:pPr>
        <w:ind w:left="4626" w:hanging="360"/>
      </w:pPr>
      <w:rPr>
        <w:rFonts w:ascii="Wingdings" w:hAnsi="Wingdings" w:hint="default"/>
      </w:rPr>
    </w:lvl>
    <w:lvl w:ilvl="6" w:tplc="041B0001" w:tentative="1">
      <w:start w:val="1"/>
      <w:numFmt w:val="bullet"/>
      <w:lvlText w:val=""/>
      <w:lvlJc w:val="left"/>
      <w:pPr>
        <w:ind w:left="5346" w:hanging="360"/>
      </w:pPr>
      <w:rPr>
        <w:rFonts w:ascii="Symbol" w:hAnsi="Symbol" w:hint="default"/>
      </w:rPr>
    </w:lvl>
    <w:lvl w:ilvl="7" w:tplc="041B0003" w:tentative="1">
      <w:start w:val="1"/>
      <w:numFmt w:val="bullet"/>
      <w:lvlText w:val="o"/>
      <w:lvlJc w:val="left"/>
      <w:pPr>
        <w:ind w:left="6066" w:hanging="360"/>
      </w:pPr>
      <w:rPr>
        <w:rFonts w:ascii="Courier New" w:hAnsi="Courier New" w:hint="default"/>
      </w:rPr>
    </w:lvl>
    <w:lvl w:ilvl="8" w:tplc="041B0005" w:tentative="1">
      <w:start w:val="1"/>
      <w:numFmt w:val="bullet"/>
      <w:lvlText w:val=""/>
      <w:lvlJc w:val="left"/>
      <w:pPr>
        <w:ind w:left="6786" w:hanging="360"/>
      </w:pPr>
      <w:rPr>
        <w:rFonts w:ascii="Wingdings" w:hAnsi="Wingdings" w:hint="default"/>
      </w:rPr>
    </w:lvl>
  </w:abstractNum>
  <w:abstractNum w:abstractNumId="34" w15:restartNumberingAfterBreak="0">
    <w:nsid w:val="6F3C24B4"/>
    <w:multiLevelType w:val="hybridMultilevel"/>
    <w:tmpl w:val="3162F5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DC7C8E"/>
    <w:multiLevelType w:val="hybridMultilevel"/>
    <w:tmpl w:val="A14ECBF8"/>
    <w:lvl w:ilvl="0" w:tplc="48F406FE">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1"/>
  </w:num>
  <w:num w:numId="2">
    <w:abstractNumId w:val="14"/>
  </w:num>
  <w:num w:numId="3">
    <w:abstractNumId w:val="4"/>
  </w:num>
  <w:num w:numId="4">
    <w:abstractNumId w:val="13"/>
  </w:num>
  <w:num w:numId="5">
    <w:abstractNumId w:val="36"/>
  </w:num>
  <w:num w:numId="6">
    <w:abstractNumId w:val="0"/>
  </w:num>
  <w:num w:numId="7">
    <w:abstractNumId w:val="3"/>
  </w:num>
  <w:num w:numId="8">
    <w:abstractNumId w:val="35"/>
  </w:num>
  <w:num w:numId="9">
    <w:abstractNumId w:val="18"/>
  </w:num>
  <w:num w:numId="10">
    <w:abstractNumId w:val="17"/>
  </w:num>
  <w:num w:numId="11">
    <w:abstractNumId w:val="2"/>
  </w:num>
  <w:num w:numId="12">
    <w:abstractNumId w:val="15"/>
  </w:num>
  <w:num w:numId="13">
    <w:abstractNumId w:val="34"/>
  </w:num>
  <w:num w:numId="14">
    <w:abstractNumId w:val="22"/>
  </w:num>
  <w:num w:numId="15">
    <w:abstractNumId w:val="9"/>
  </w:num>
  <w:num w:numId="16">
    <w:abstractNumId w:val="6"/>
  </w:num>
  <w:num w:numId="17">
    <w:abstractNumId w:val="21"/>
  </w:num>
  <w:num w:numId="18">
    <w:abstractNumId w:val="25"/>
  </w:num>
  <w:num w:numId="19">
    <w:abstractNumId w:val="23"/>
  </w:num>
  <w:num w:numId="20">
    <w:abstractNumId w:val="8"/>
  </w:num>
  <w:num w:numId="21">
    <w:abstractNumId w:val="28"/>
  </w:num>
  <w:num w:numId="22">
    <w:abstractNumId w:val="1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30"/>
  </w:num>
  <w:num w:numId="27">
    <w:abstractNumId w:val="33"/>
  </w:num>
  <w:num w:numId="28">
    <w:abstractNumId w:val="26"/>
  </w:num>
  <w:num w:numId="29">
    <w:abstractNumId w:val="25"/>
  </w:num>
  <w:num w:numId="30">
    <w:abstractNumId w:val="31"/>
  </w:num>
  <w:num w:numId="31">
    <w:abstractNumId w:val="32"/>
  </w:num>
  <w:num w:numId="32">
    <w:abstractNumId w:val="19"/>
  </w:num>
  <w:num w:numId="33">
    <w:abstractNumId w:val="5"/>
  </w:num>
  <w:num w:numId="34">
    <w:abstractNumId w:val="29"/>
  </w:num>
  <w:num w:numId="35">
    <w:abstractNumId w:val="20"/>
  </w:num>
  <w:num w:numId="36">
    <w:abstractNumId w:val="12"/>
  </w:num>
  <w:num w:numId="37">
    <w:abstractNumId w:val="24"/>
  </w:num>
  <w:num w:numId="38">
    <w:abstractNumId w:val="2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15EB"/>
    <w:rsid w:val="00003A01"/>
    <w:rsid w:val="00007388"/>
    <w:rsid w:val="000074E9"/>
    <w:rsid w:val="00013C48"/>
    <w:rsid w:val="00030CF9"/>
    <w:rsid w:val="00035EB6"/>
    <w:rsid w:val="00043F7C"/>
    <w:rsid w:val="0005270C"/>
    <w:rsid w:val="00055FDB"/>
    <w:rsid w:val="00057135"/>
    <w:rsid w:val="00057636"/>
    <w:rsid w:val="000720C7"/>
    <w:rsid w:val="00077034"/>
    <w:rsid w:val="00082C65"/>
    <w:rsid w:val="000A15AE"/>
    <w:rsid w:val="000A1806"/>
    <w:rsid w:val="000A52A1"/>
    <w:rsid w:val="000A7702"/>
    <w:rsid w:val="000B2D63"/>
    <w:rsid w:val="000B71C7"/>
    <w:rsid w:val="000C4EB3"/>
    <w:rsid w:val="000C55CE"/>
    <w:rsid w:val="000C627B"/>
    <w:rsid w:val="000C7A77"/>
    <w:rsid w:val="000D2846"/>
    <w:rsid w:val="000D7741"/>
    <w:rsid w:val="000E09D2"/>
    <w:rsid w:val="000E4C2B"/>
    <w:rsid w:val="000F5537"/>
    <w:rsid w:val="00104A3D"/>
    <w:rsid w:val="00110A98"/>
    <w:rsid w:val="00111A01"/>
    <w:rsid w:val="001127A8"/>
    <w:rsid w:val="00120ACB"/>
    <w:rsid w:val="0012376D"/>
    <w:rsid w:val="00130357"/>
    <w:rsid w:val="0014321D"/>
    <w:rsid w:val="00144A11"/>
    <w:rsid w:val="00150247"/>
    <w:rsid w:val="0015491C"/>
    <w:rsid w:val="00157A54"/>
    <w:rsid w:val="00163193"/>
    <w:rsid w:val="00164337"/>
    <w:rsid w:val="00165860"/>
    <w:rsid w:val="00165BB0"/>
    <w:rsid w:val="00170D2B"/>
    <w:rsid w:val="00170DE4"/>
    <w:rsid w:val="001807EA"/>
    <w:rsid w:val="00186A66"/>
    <w:rsid w:val="001953A3"/>
    <w:rsid w:val="00195E98"/>
    <w:rsid w:val="00195F78"/>
    <w:rsid w:val="001A77BE"/>
    <w:rsid w:val="001B08C8"/>
    <w:rsid w:val="001B6627"/>
    <w:rsid w:val="001B737C"/>
    <w:rsid w:val="001C46C1"/>
    <w:rsid w:val="001D130C"/>
    <w:rsid w:val="001E157F"/>
    <w:rsid w:val="001E19AB"/>
    <w:rsid w:val="001E7734"/>
    <w:rsid w:val="001F7000"/>
    <w:rsid w:val="001F7EF2"/>
    <w:rsid w:val="00200898"/>
    <w:rsid w:val="00210B20"/>
    <w:rsid w:val="00212894"/>
    <w:rsid w:val="0021562B"/>
    <w:rsid w:val="00221A37"/>
    <w:rsid w:val="00225A70"/>
    <w:rsid w:val="0022765A"/>
    <w:rsid w:val="002340AA"/>
    <w:rsid w:val="002344FF"/>
    <w:rsid w:val="0023597C"/>
    <w:rsid w:val="00235FDD"/>
    <w:rsid w:val="0024067A"/>
    <w:rsid w:val="002536FD"/>
    <w:rsid w:val="0025640D"/>
    <w:rsid w:val="0026017C"/>
    <w:rsid w:val="002617F0"/>
    <w:rsid w:val="002657C2"/>
    <w:rsid w:val="002869D7"/>
    <w:rsid w:val="00286CA5"/>
    <w:rsid w:val="00294307"/>
    <w:rsid w:val="002A1C03"/>
    <w:rsid w:val="002A64FE"/>
    <w:rsid w:val="002B4119"/>
    <w:rsid w:val="002B53DF"/>
    <w:rsid w:val="002B6ACE"/>
    <w:rsid w:val="002C3BD3"/>
    <w:rsid w:val="002D4F70"/>
    <w:rsid w:val="00302965"/>
    <w:rsid w:val="00315606"/>
    <w:rsid w:val="00315A84"/>
    <w:rsid w:val="00317B90"/>
    <w:rsid w:val="00334207"/>
    <w:rsid w:val="00334CEB"/>
    <w:rsid w:val="003443CD"/>
    <w:rsid w:val="0036468C"/>
    <w:rsid w:val="00373215"/>
    <w:rsid w:val="003840E7"/>
    <w:rsid w:val="00384E06"/>
    <w:rsid w:val="00386842"/>
    <w:rsid w:val="00393741"/>
    <w:rsid w:val="003A06DD"/>
    <w:rsid w:val="003A3CAB"/>
    <w:rsid w:val="003B103D"/>
    <w:rsid w:val="003B28C8"/>
    <w:rsid w:val="003B3F32"/>
    <w:rsid w:val="003C289B"/>
    <w:rsid w:val="003C2D01"/>
    <w:rsid w:val="003C4322"/>
    <w:rsid w:val="003C54A1"/>
    <w:rsid w:val="003D78D7"/>
    <w:rsid w:val="003E3B2A"/>
    <w:rsid w:val="003F5F03"/>
    <w:rsid w:val="00401CAC"/>
    <w:rsid w:val="004038E5"/>
    <w:rsid w:val="00404703"/>
    <w:rsid w:val="004054E2"/>
    <w:rsid w:val="00410B0A"/>
    <w:rsid w:val="00434E7C"/>
    <w:rsid w:val="004406AC"/>
    <w:rsid w:val="00445C7D"/>
    <w:rsid w:val="004504F1"/>
    <w:rsid w:val="00450CF1"/>
    <w:rsid w:val="00453013"/>
    <w:rsid w:val="004709BB"/>
    <w:rsid w:val="00484F33"/>
    <w:rsid w:val="00487203"/>
    <w:rsid w:val="00487A0D"/>
    <w:rsid w:val="00495E4D"/>
    <w:rsid w:val="00496352"/>
    <w:rsid w:val="004B23CB"/>
    <w:rsid w:val="004B4BF6"/>
    <w:rsid w:val="004C37C5"/>
    <w:rsid w:val="004C76B7"/>
    <w:rsid w:val="004D06BD"/>
    <w:rsid w:val="004D1763"/>
    <w:rsid w:val="004F69A3"/>
    <w:rsid w:val="005005EC"/>
    <w:rsid w:val="00503BFE"/>
    <w:rsid w:val="00504404"/>
    <w:rsid w:val="0050584E"/>
    <w:rsid w:val="00511B36"/>
    <w:rsid w:val="0051581D"/>
    <w:rsid w:val="005178DB"/>
    <w:rsid w:val="00525035"/>
    <w:rsid w:val="00536472"/>
    <w:rsid w:val="00537CDD"/>
    <w:rsid w:val="00557D9C"/>
    <w:rsid w:val="00563BC3"/>
    <w:rsid w:val="00570629"/>
    <w:rsid w:val="005724B9"/>
    <w:rsid w:val="00573A6B"/>
    <w:rsid w:val="00573A8E"/>
    <w:rsid w:val="00575777"/>
    <w:rsid w:val="00592E5F"/>
    <w:rsid w:val="005A4A85"/>
    <w:rsid w:val="005B368D"/>
    <w:rsid w:val="005C4B9C"/>
    <w:rsid w:val="005C753C"/>
    <w:rsid w:val="005C7AD8"/>
    <w:rsid w:val="005E45AF"/>
    <w:rsid w:val="005F6203"/>
    <w:rsid w:val="006109A7"/>
    <w:rsid w:val="006307ED"/>
    <w:rsid w:val="00635987"/>
    <w:rsid w:val="00643CAA"/>
    <w:rsid w:val="00656553"/>
    <w:rsid w:val="00672981"/>
    <w:rsid w:val="00682A55"/>
    <w:rsid w:val="006950E0"/>
    <w:rsid w:val="0069726B"/>
    <w:rsid w:val="006A15E1"/>
    <w:rsid w:val="006B0E48"/>
    <w:rsid w:val="006B449A"/>
    <w:rsid w:val="006B78D2"/>
    <w:rsid w:val="006C1310"/>
    <w:rsid w:val="006D594B"/>
    <w:rsid w:val="006E1AD8"/>
    <w:rsid w:val="006E7E04"/>
    <w:rsid w:val="006F6A6F"/>
    <w:rsid w:val="00701B26"/>
    <w:rsid w:val="00703CD9"/>
    <w:rsid w:val="00705DC0"/>
    <w:rsid w:val="00707AEB"/>
    <w:rsid w:val="00714FCC"/>
    <w:rsid w:val="007156FF"/>
    <w:rsid w:val="007246BD"/>
    <w:rsid w:val="007359A3"/>
    <w:rsid w:val="00744047"/>
    <w:rsid w:val="007475F9"/>
    <w:rsid w:val="00752B40"/>
    <w:rsid w:val="00753215"/>
    <w:rsid w:val="0076540B"/>
    <w:rsid w:val="00774C2B"/>
    <w:rsid w:val="007941E0"/>
    <w:rsid w:val="0079602A"/>
    <w:rsid w:val="00796471"/>
    <w:rsid w:val="007A0093"/>
    <w:rsid w:val="007A35ED"/>
    <w:rsid w:val="007B29A1"/>
    <w:rsid w:val="007B71A4"/>
    <w:rsid w:val="007C09E6"/>
    <w:rsid w:val="007C1F4F"/>
    <w:rsid w:val="007C31FF"/>
    <w:rsid w:val="007C6B09"/>
    <w:rsid w:val="007D2D9D"/>
    <w:rsid w:val="007D5748"/>
    <w:rsid w:val="007E23A5"/>
    <w:rsid w:val="007E32DA"/>
    <w:rsid w:val="007E4DEA"/>
    <w:rsid w:val="007F3AD9"/>
    <w:rsid w:val="007F3D9E"/>
    <w:rsid w:val="007F70F8"/>
    <w:rsid w:val="0081399F"/>
    <w:rsid w:val="00814162"/>
    <w:rsid w:val="0081431B"/>
    <w:rsid w:val="008250AB"/>
    <w:rsid w:val="00826E52"/>
    <w:rsid w:val="00837073"/>
    <w:rsid w:val="0084650D"/>
    <w:rsid w:val="00846A61"/>
    <w:rsid w:val="00846C92"/>
    <w:rsid w:val="00854499"/>
    <w:rsid w:val="0085719C"/>
    <w:rsid w:val="00892B48"/>
    <w:rsid w:val="00892E8E"/>
    <w:rsid w:val="00894ADE"/>
    <w:rsid w:val="008A25D0"/>
    <w:rsid w:val="008A412A"/>
    <w:rsid w:val="008B3B94"/>
    <w:rsid w:val="008C3315"/>
    <w:rsid w:val="008C39ED"/>
    <w:rsid w:val="008D06F2"/>
    <w:rsid w:val="008D1BF6"/>
    <w:rsid w:val="008D339D"/>
    <w:rsid w:val="008E2736"/>
    <w:rsid w:val="008F220F"/>
    <w:rsid w:val="008F375D"/>
    <w:rsid w:val="008F5E0B"/>
    <w:rsid w:val="00900D22"/>
    <w:rsid w:val="00905E9D"/>
    <w:rsid w:val="00923C46"/>
    <w:rsid w:val="00924C24"/>
    <w:rsid w:val="00932CF3"/>
    <w:rsid w:val="00935154"/>
    <w:rsid w:val="00944E9D"/>
    <w:rsid w:val="009518D5"/>
    <w:rsid w:val="009543AF"/>
    <w:rsid w:val="009548FF"/>
    <w:rsid w:val="009565C7"/>
    <w:rsid w:val="00963CF2"/>
    <w:rsid w:val="00965EEA"/>
    <w:rsid w:val="00967E5E"/>
    <w:rsid w:val="009706B7"/>
    <w:rsid w:val="009749ED"/>
    <w:rsid w:val="0098339F"/>
    <w:rsid w:val="009A4F10"/>
    <w:rsid w:val="009B0F8E"/>
    <w:rsid w:val="009B3E96"/>
    <w:rsid w:val="009B7690"/>
    <w:rsid w:val="009B7E6E"/>
    <w:rsid w:val="009C0821"/>
    <w:rsid w:val="009C2C34"/>
    <w:rsid w:val="009D2904"/>
    <w:rsid w:val="009D3056"/>
    <w:rsid w:val="009E39CB"/>
    <w:rsid w:val="009F2E67"/>
    <w:rsid w:val="009F60C3"/>
    <w:rsid w:val="009F6702"/>
    <w:rsid w:val="009F6AB9"/>
    <w:rsid w:val="00A03BBB"/>
    <w:rsid w:val="00A04BF1"/>
    <w:rsid w:val="00A21B34"/>
    <w:rsid w:val="00A23B46"/>
    <w:rsid w:val="00A251A7"/>
    <w:rsid w:val="00A35A0A"/>
    <w:rsid w:val="00A4285A"/>
    <w:rsid w:val="00A4294A"/>
    <w:rsid w:val="00A42D04"/>
    <w:rsid w:val="00A43C47"/>
    <w:rsid w:val="00A45CD9"/>
    <w:rsid w:val="00A73E95"/>
    <w:rsid w:val="00AA5910"/>
    <w:rsid w:val="00AA73E5"/>
    <w:rsid w:val="00AB33D4"/>
    <w:rsid w:val="00AB52A4"/>
    <w:rsid w:val="00AC1F90"/>
    <w:rsid w:val="00AC284E"/>
    <w:rsid w:val="00AD4B41"/>
    <w:rsid w:val="00AE0EA7"/>
    <w:rsid w:val="00AE3DF5"/>
    <w:rsid w:val="00AE5F5E"/>
    <w:rsid w:val="00AF0D32"/>
    <w:rsid w:val="00AF55B2"/>
    <w:rsid w:val="00B11E2C"/>
    <w:rsid w:val="00B15752"/>
    <w:rsid w:val="00B22B84"/>
    <w:rsid w:val="00B3465C"/>
    <w:rsid w:val="00B473A7"/>
    <w:rsid w:val="00B50755"/>
    <w:rsid w:val="00B52429"/>
    <w:rsid w:val="00B5535C"/>
    <w:rsid w:val="00B57B46"/>
    <w:rsid w:val="00B64C93"/>
    <w:rsid w:val="00B711A5"/>
    <w:rsid w:val="00B71481"/>
    <w:rsid w:val="00B85F73"/>
    <w:rsid w:val="00B87F4A"/>
    <w:rsid w:val="00BA5E00"/>
    <w:rsid w:val="00BB0CDE"/>
    <w:rsid w:val="00BB2010"/>
    <w:rsid w:val="00BD2F4D"/>
    <w:rsid w:val="00BD48FE"/>
    <w:rsid w:val="00BE41DD"/>
    <w:rsid w:val="00BE4C75"/>
    <w:rsid w:val="00BF0BF4"/>
    <w:rsid w:val="00BF413F"/>
    <w:rsid w:val="00BF60B2"/>
    <w:rsid w:val="00C01B8E"/>
    <w:rsid w:val="00C056FF"/>
    <w:rsid w:val="00C119C5"/>
    <w:rsid w:val="00C13F01"/>
    <w:rsid w:val="00C15212"/>
    <w:rsid w:val="00C23039"/>
    <w:rsid w:val="00C241E4"/>
    <w:rsid w:val="00C2757C"/>
    <w:rsid w:val="00C3384B"/>
    <w:rsid w:val="00C35B5F"/>
    <w:rsid w:val="00C35DFA"/>
    <w:rsid w:val="00C36847"/>
    <w:rsid w:val="00C51FD4"/>
    <w:rsid w:val="00C525F4"/>
    <w:rsid w:val="00C61DF6"/>
    <w:rsid w:val="00C76382"/>
    <w:rsid w:val="00C865A7"/>
    <w:rsid w:val="00C94F9F"/>
    <w:rsid w:val="00CA1CC8"/>
    <w:rsid w:val="00CB3623"/>
    <w:rsid w:val="00CC0D89"/>
    <w:rsid w:val="00CD4F4D"/>
    <w:rsid w:val="00CE04FE"/>
    <w:rsid w:val="00CE299A"/>
    <w:rsid w:val="00CE6D1B"/>
    <w:rsid w:val="00CE6E06"/>
    <w:rsid w:val="00CF367B"/>
    <w:rsid w:val="00CF6AA2"/>
    <w:rsid w:val="00D04F4D"/>
    <w:rsid w:val="00D07AEE"/>
    <w:rsid w:val="00D101C0"/>
    <w:rsid w:val="00D27628"/>
    <w:rsid w:val="00D3116B"/>
    <w:rsid w:val="00D3299E"/>
    <w:rsid w:val="00D35364"/>
    <w:rsid w:val="00D41128"/>
    <w:rsid w:val="00D44C08"/>
    <w:rsid w:val="00D50892"/>
    <w:rsid w:val="00D56B63"/>
    <w:rsid w:val="00D57A01"/>
    <w:rsid w:val="00D61FD3"/>
    <w:rsid w:val="00D71C83"/>
    <w:rsid w:val="00D828CF"/>
    <w:rsid w:val="00D86BDA"/>
    <w:rsid w:val="00D92FC3"/>
    <w:rsid w:val="00DA0033"/>
    <w:rsid w:val="00DA4E97"/>
    <w:rsid w:val="00DB4219"/>
    <w:rsid w:val="00DE5BF1"/>
    <w:rsid w:val="00DF4733"/>
    <w:rsid w:val="00E01FF2"/>
    <w:rsid w:val="00E062C9"/>
    <w:rsid w:val="00E07CE9"/>
    <w:rsid w:val="00E144C3"/>
    <w:rsid w:val="00E14610"/>
    <w:rsid w:val="00E30BF9"/>
    <w:rsid w:val="00E3399C"/>
    <w:rsid w:val="00E372B4"/>
    <w:rsid w:val="00E450DC"/>
    <w:rsid w:val="00E46E1F"/>
    <w:rsid w:val="00E53ED1"/>
    <w:rsid w:val="00E56261"/>
    <w:rsid w:val="00E64183"/>
    <w:rsid w:val="00E65BFB"/>
    <w:rsid w:val="00E71F34"/>
    <w:rsid w:val="00E752E5"/>
    <w:rsid w:val="00E816B4"/>
    <w:rsid w:val="00E83B8B"/>
    <w:rsid w:val="00E90E30"/>
    <w:rsid w:val="00E963A3"/>
    <w:rsid w:val="00E96CA0"/>
    <w:rsid w:val="00E9740A"/>
    <w:rsid w:val="00EA1976"/>
    <w:rsid w:val="00EA1E90"/>
    <w:rsid w:val="00EB59C8"/>
    <w:rsid w:val="00ED2F29"/>
    <w:rsid w:val="00EE6994"/>
    <w:rsid w:val="00EF106B"/>
    <w:rsid w:val="00EF2157"/>
    <w:rsid w:val="00EF3080"/>
    <w:rsid w:val="00EF61A4"/>
    <w:rsid w:val="00F00A99"/>
    <w:rsid w:val="00F17CEC"/>
    <w:rsid w:val="00F40136"/>
    <w:rsid w:val="00F4128C"/>
    <w:rsid w:val="00F4239C"/>
    <w:rsid w:val="00F504FD"/>
    <w:rsid w:val="00F53783"/>
    <w:rsid w:val="00F611DC"/>
    <w:rsid w:val="00F67D71"/>
    <w:rsid w:val="00F80140"/>
    <w:rsid w:val="00FA4B2E"/>
    <w:rsid w:val="00FC123C"/>
    <w:rsid w:val="00FD389E"/>
    <w:rsid w:val="00FE010A"/>
    <w:rsid w:val="00FE0B99"/>
    <w:rsid w:val="00FE6FB3"/>
    <w:rsid w:val="00FF2F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D59E34-5423-4664-AA2F-3FFAAC44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3C289B"/>
    <w:pPr>
      <w:numPr>
        <w:numId w:val="6"/>
      </w:numPr>
      <w:overflowPunct w:val="0"/>
      <w:autoSpaceDE w:val="0"/>
      <w:autoSpaceDN w:val="0"/>
      <w:adjustRightInd w:val="0"/>
      <w:spacing w:after="0" w:line="288" w:lineRule="auto"/>
      <w:jc w:val="both"/>
      <w:textAlignment w:val="baseline"/>
      <w:outlineLvl w:val="0"/>
    </w:pPr>
    <w:rPr>
      <w:rFonts w:ascii="Times New Roman" w:hAnsi="Times New Roman"/>
      <w:kern w:val="28"/>
      <w:lang w:val="nl-BE" w:eastAsia="sk-SK"/>
    </w:rPr>
  </w:style>
  <w:style w:type="paragraph" w:styleId="Nadpis2">
    <w:name w:val="heading 2"/>
    <w:basedOn w:val="Normlny"/>
    <w:next w:val="Normlny"/>
    <w:link w:val="Nadpis2Char"/>
    <w:uiPriority w:val="9"/>
    <w:qFormat/>
    <w:rsid w:val="003C289B"/>
    <w:pPr>
      <w:numPr>
        <w:ilvl w:val="1"/>
        <w:numId w:val="6"/>
      </w:numPr>
      <w:overflowPunct w:val="0"/>
      <w:autoSpaceDE w:val="0"/>
      <w:autoSpaceDN w:val="0"/>
      <w:adjustRightInd w:val="0"/>
      <w:spacing w:after="0" w:line="288" w:lineRule="auto"/>
      <w:jc w:val="both"/>
      <w:textAlignment w:val="baseline"/>
      <w:outlineLvl w:val="1"/>
    </w:pPr>
    <w:rPr>
      <w:rFonts w:ascii="Times New Roman" w:hAnsi="Times New Roman"/>
      <w:lang w:val="nl-BE" w:eastAsia="sk-SK"/>
    </w:rPr>
  </w:style>
  <w:style w:type="paragraph" w:styleId="Nadpis3">
    <w:name w:val="heading 3"/>
    <w:basedOn w:val="Normlny"/>
    <w:next w:val="Normlny"/>
    <w:link w:val="Nadpis3Char"/>
    <w:uiPriority w:val="9"/>
    <w:qFormat/>
    <w:rsid w:val="003C289B"/>
    <w:pPr>
      <w:numPr>
        <w:ilvl w:val="2"/>
        <w:numId w:val="6"/>
      </w:numPr>
      <w:overflowPunct w:val="0"/>
      <w:autoSpaceDE w:val="0"/>
      <w:autoSpaceDN w:val="0"/>
      <w:adjustRightInd w:val="0"/>
      <w:spacing w:after="0" w:line="288" w:lineRule="auto"/>
      <w:jc w:val="both"/>
      <w:textAlignment w:val="baseline"/>
      <w:outlineLvl w:val="2"/>
    </w:pPr>
    <w:rPr>
      <w:rFonts w:ascii="Times New Roman" w:hAnsi="Times New Roman"/>
      <w:lang w:val="nl-BE" w:eastAsia="sk-SK"/>
    </w:rPr>
  </w:style>
  <w:style w:type="paragraph" w:styleId="Nadpis4">
    <w:name w:val="heading 4"/>
    <w:basedOn w:val="Normlny"/>
    <w:next w:val="Normlny"/>
    <w:link w:val="Nadpis4Char"/>
    <w:uiPriority w:val="9"/>
    <w:qFormat/>
    <w:rsid w:val="003C289B"/>
    <w:pPr>
      <w:numPr>
        <w:ilvl w:val="3"/>
        <w:numId w:val="6"/>
      </w:numPr>
      <w:overflowPunct w:val="0"/>
      <w:autoSpaceDE w:val="0"/>
      <w:autoSpaceDN w:val="0"/>
      <w:adjustRightInd w:val="0"/>
      <w:spacing w:after="0" w:line="288" w:lineRule="auto"/>
      <w:jc w:val="both"/>
      <w:textAlignment w:val="baseline"/>
      <w:outlineLvl w:val="3"/>
    </w:pPr>
    <w:rPr>
      <w:rFonts w:ascii="Times New Roman" w:hAnsi="Times New Roman"/>
      <w:lang w:val="nl-BE" w:eastAsia="sk-SK"/>
    </w:rPr>
  </w:style>
  <w:style w:type="paragraph" w:styleId="Nadpis5">
    <w:name w:val="heading 5"/>
    <w:basedOn w:val="Normlny"/>
    <w:next w:val="Normlny"/>
    <w:link w:val="Nadpis5Char"/>
    <w:uiPriority w:val="9"/>
    <w:qFormat/>
    <w:rsid w:val="003C289B"/>
    <w:pPr>
      <w:numPr>
        <w:ilvl w:val="4"/>
        <w:numId w:val="6"/>
      </w:numPr>
      <w:overflowPunct w:val="0"/>
      <w:autoSpaceDE w:val="0"/>
      <w:autoSpaceDN w:val="0"/>
      <w:adjustRightInd w:val="0"/>
      <w:spacing w:after="0" w:line="288" w:lineRule="auto"/>
      <w:jc w:val="both"/>
      <w:textAlignment w:val="baseline"/>
      <w:outlineLvl w:val="4"/>
    </w:pPr>
    <w:rPr>
      <w:rFonts w:ascii="Times New Roman" w:hAnsi="Times New Roman"/>
      <w:lang w:val="nl-BE" w:eastAsia="sk-SK"/>
    </w:rPr>
  </w:style>
  <w:style w:type="paragraph" w:styleId="Nadpis6">
    <w:name w:val="heading 6"/>
    <w:basedOn w:val="Normlny"/>
    <w:next w:val="Normlny"/>
    <w:link w:val="Nadpis6Char"/>
    <w:uiPriority w:val="9"/>
    <w:qFormat/>
    <w:rsid w:val="003C289B"/>
    <w:pPr>
      <w:numPr>
        <w:ilvl w:val="5"/>
        <w:numId w:val="6"/>
      </w:numPr>
      <w:overflowPunct w:val="0"/>
      <w:autoSpaceDE w:val="0"/>
      <w:autoSpaceDN w:val="0"/>
      <w:adjustRightInd w:val="0"/>
      <w:spacing w:after="0" w:line="288" w:lineRule="auto"/>
      <w:jc w:val="both"/>
      <w:textAlignment w:val="baseline"/>
      <w:outlineLvl w:val="5"/>
    </w:pPr>
    <w:rPr>
      <w:rFonts w:ascii="Times New Roman" w:hAnsi="Times New Roman"/>
      <w:lang w:val="nl-BE" w:eastAsia="sk-SK"/>
    </w:rPr>
  </w:style>
  <w:style w:type="paragraph" w:styleId="Nadpis7">
    <w:name w:val="heading 7"/>
    <w:basedOn w:val="Normlny"/>
    <w:next w:val="Normlny"/>
    <w:link w:val="Nadpis7Char"/>
    <w:uiPriority w:val="9"/>
    <w:qFormat/>
    <w:rsid w:val="003C289B"/>
    <w:pPr>
      <w:numPr>
        <w:ilvl w:val="6"/>
        <w:numId w:val="6"/>
      </w:numPr>
      <w:overflowPunct w:val="0"/>
      <w:autoSpaceDE w:val="0"/>
      <w:autoSpaceDN w:val="0"/>
      <w:adjustRightInd w:val="0"/>
      <w:spacing w:after="0" w:line="288" w:lineRule="auto"/>
      <w:jc w:val="both"/>
      <w:textAlignment w:val="baseline"/>
      <w:outlineLvl w:val="6"/>
    </w:pPr>
    <w:rPr>
      <w:rFonts w:ascii="Times New Roman" w:hAnsi="Times New Roman"/>
      <w:lang w:val="nl-BE" w:eastAsia="sk-SK"/>
    </w:rPr>
  </w:style>
  <w:style w:type="paragraph" w:styleId="Nadpis8">
    <w:name w:val="heading 8"/>
    <w:basedOn w:val="Normlny"/>
    <w:next w:val="Normlny"/>
    <w:link w:val="Nadpis8Char"/>
    <w:uiPriority w:val="9"/>
    <w:qFormat/>
    <w:rsid w:val="003C289B"/>
    <w:pPr>
      <w:numPr>
        <w:ilvl w:val="7"/>
        <w:numId w:val="6"/>
      </w:numPr>
      <w:overflowPunct w:val="0"/>
      <w:autoSpaceDE w:val="0"/>
      <w:autoSpaceDN w:val="0"/>
      <w:adjustRightInd w:val="0"/>
      <w:spacing w:after="0" w:line="288" w:lineRule="auto"/>
      <w:jc w:val="both"/>
      <w:textAlignment w:val="baseline"/>
      <w:outlineLvl w:val="7"/>
    </w:pPr>
    <w:rPr>
      <w:rFonts w:ascii="Times New Roman" w:hAnsi="Times New Roman"/>
      <w:lang w:val="nl-BE" w:eastAsia="sk-SK"/>
    </w:rPr>
  </w:style>
  <w:style w:type="paragraph" w:styleId="Nadpis9">
    <w:name w:val="heading 9"/>
    <w:basedOn w:val="Normlny"/>
    <w:next w:val="Normlny"/>
    <w:link w:val="Nadpis9Char"/>
    <w:uiPriority w:val="9"/>
    <w:qFormat/>
    <w:rsid w:val="003C289B"/>
    <w:pPr>
      <w:numPr>
        <w:ilvl w:val="8"/>
        <w:numId w:val="6"/>
      </w:numPr>
      <w:overflowPunct w:val="0"/>
      <w:autoSpaceDE w:val="0"/>
      <w:autoSpaceDN w:val="0"/>
      <w:adjustRightInd w:val="0"/>
      <w:spacing w:after="0" w:line="288" w:lineRule="auto"/>
      <w:jc w:val="both"/>
      <w:textAlignment w:val="baseline"/>
      <w:outlineLvl w:val="8"/>
    </w:pPr>
    <w:rPr>
      <w:rFonts w:ascii="Times New Roman" w:hAnsi="Times New Roman"/>
      <w:lang w:val="nl-B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C289B"/>
    <w:rPr>
      <w:rFonts w:ascii="Times New Roman" w:hAnsi="Times New Roman" w:cs="Times New Roman"/>
      <w:kern w:val="28"/>
      <w:lang w:val="nl-BE" w:eastAsia="sk-SK"/>
    </w:rPr>
  </w:style>
  <w:style w:type="character" w:customStyle="1" w:styleId="Nadpis2Char">
    <w:name w:val="Nadpis 2 Char"/>
    <w:link w:val="Nadpis2"/>
    <w:uiPriority w:val="9"/>
    <w:locked/>
    <w:rsid w:val="003C289B"/>
    <w:rPr>
      <w:rFonts w:ascii="Times New Roman" w:hAnsi="Times New Roman" w:cs="Times New Roman"/>
      <w:lang w:val="nl-BE" w:eastAsia="sk-SK"/>
    </w:rPr>
  </w:style>
  <w:style w:type="character" w:customStyle="1" w:styleId="Nadpis3Char">
    <w:name w:val="Nadpis 3 Char"/>
    <w:link w:val="Nadpis3"/>
    <w:uiPriority w:val="9"/>
    <w:locked/>
    <w:rsid w:val="003C289B"/>
    <w:rPr>
      <w:rFonts w:ascii="Times New Roman" w:hAnsi="Times New Roman" w:cs="Times New Roman"/>
      <w:lang w:val="nl-BE" w:eastAsia="sk-SK"/>
    </w:rPr>
  </w:style>
  <w:style w:type="character" w:customStyle="1" w:styleId="Nadpis4Char">
    <w:name w:val="Nadpis 4 Char"/>
    <w:link w:val="Nadpis4"/>
    <w:uiPriority w:val="9"/>
    <w:locked/>
    <w:rsid w:val="003C289B"/>
    <w:rPr>
      <w:rFonts w:ascii="Times New Roman" w:hAnsi="Times New Roman" w:cs="Times New Roman"/>
      <w:lang w:val="nl-BE" w:eastAsia="sk-SK"/>
    </w:rPr>
  </w:style>
  <w:style w:type="character" w:customStyle="1" w:styleId="Nadpis5Char">
    <w:name w:val="Nadpis 5 Char"/>
    <w:link w:val="Nadpis5"/>
    <w:uiPriority w:val="9"/>
    <w:locked/>
    <w:rsid w:val="003C289B"/>
    <w:rPr>
      <w:rFonts w:ascii="Times New Roman" w:hAnsi="Times New Roman" w:cs="Times New Roman"/>
      <w:lang w:val="nl-BE" w:eastAsia="sk-SK"/>
    </w:rPr>
  </w:style>
  <w:style w:type="character" w:customStyle="1" w:styleId="Nadpis6Char">
    <w:name w:val="Nadpis 6 Char"/>
    <w:link w:val="Nadpis6"/>
    <w:uiPriority w:val="9"/>
    <w:locked/>
    <w:rsid w:val="003C289B"/>
    <w:rPr>
      <w:rFonts w:ascii="Times New Roman" w:hAnsi="Times New Roman" w:cs="Times New Roman"/>
      <w:lang w:val="nl-BE" w:eastAsia="sk-SK"/>
    </w:rPr>
  </w:style>
  <w:style w:type="character" w:customStyle="1" w:styleId="Nadpis7Char">
    <w:name w:val="Nadpis 7 Char"/>
    <w:link w:val="Nadpis7"/>
    <w:uiPriority w:val="9"/>
    <w:locked/>
    <w:rsid w:val="003C289B"/>
    <w:rPr>
      <w:rFonts w:ascii="Times New Roman" w:hAnsi="Times New Roman" w:cs="Times New Roman"/>
      <w:lang w:val="nl-BE" w:eastAsia="sk-SK"/>
    </w:rPr>
  </w:style>
  <w:style w:type="character" w:customStyle="1" w:styleId="Nadpis8Char">
    <w:name w:val="Nadpis 8 Char"/>
    <w:link w:val="Nadpis8"/>
    <w:uiPriority w:val="9"/>
    <w:locked/>
    <w:rsid w:val="003C289B"/>
    <w:rPr>
      <w:rFonts w:ascii="Times New Roman" w:hAnsi="Times New Roman" w:cs="Times New Roman"/>
      <w:lang w:val="nl-BE" w:eastAsia="sk-SK"/>
    </w:rPr>
  </w:style>
  <w:style w:type="character" w:customStyle="1" w:styleId="Nadpis9Char">
    <w:name w:val="Nadpis 9 Char"/>
    <w:link w:val="Nadpis9"/>
    <w:uiPriority w:val="9"/>
    <w:locked/>
    <w:rsid w:val="003C289B"/>
    <w:rPr>
      <w:rFonts w:ascii="Times New Roman" w:hAnsi="Times New Roman" w:cs="Times New Roman"/>
      <w:lang w:val="nl-BE" w:eastAsia="sk-SK"/>
    </w:rPr>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link w:val="Hlavika"/>
    <w:uiPriority w:val="99"/>
    <w:locked/>
    <w:rsid w:val="007D5748"/>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link w:val="Pta"/>
    <w:uiPriority w:val="99"/>
    <w:locked/>
    <w:rsid w:val="007D5748"/>
    <w:rPr>
      <w:rFonts w:ascii="Times New Roman" w:hAnsi="Times New Roman" w:cs="Times New Roman"/>
      <w:sz w:val="20"/>
      <w:szCs w:val="20"/>
      <w:lang w:val="x-none" w:eastAsia="sk-SK"/>
    </w:rPr>
  </w:style>
  <w:style w:type="character" w:styleId="slostrany">
    <w:name w:val="page number"/>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17B90"/>
    <w:rPr>
      <w:rFonts w:ascii="Tahoma" w:hAnsi="Tahoma" w:cs="Tahoma"/>
      <w:sz w:val="16"/>
      <w:szCs w:val="16"/>
    </w:rPr>
  </w:style>
  <w:style w:type="table" w:styleId="Mriekatabuky">
    <w:name w:val="Table Grid"/>
    <w:basedOn w:val="Normlnatabuka"/>
    <w:uiPriority w:val="99"/>
    <w:rsid w:val="003C28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unhideWhenUsed/>
    <w:rsid w:val="003C289B"/>
    <w:pPr>
      <w:spacing w:after="0" w:line="240" w:lineRule="auto"/>
    </w:pPr>
    <w:rPr>
      <w:szCs w:val="21"/>
    </w:rPr>
  </w:style>
  <w:style w:type="character" w:customStyle="1" w:styleId="ObyajntextChar">
    <w:name w:val="Obyčajný text Char"/>
    <w:link w:val="Obyajntext"/>
    <w:uiPriority w:val="99"/>
    <w:locked/>
    <w:rsid w:val="003C289B"/>
    <w:rPr>
      <w:rFonts w:ascii="Calibri" w:hAnsi="Calibri" w:cs="Times New Roman"/>
      <w:sz w:val="21"/>
      <w:szCs w:val="21"/>
    </w:rPr>
  </w:style>
  <w:style w:type="paragraph" w:styleId="Odsekzoznamu">
    <w:name w:val="List Paragraph"/>
    <w:basedOn w:val="Normlny"/>
    <w:link w:val="OdsekzoznamuChar"/>
    <w:uiPriority w:val="34"/>
    <w:qFormat/>
    <w:rsid w:val="003C289B"/>
    <w:pPr>
      <w:ind w:left="720"/>
      <w:contextualSpacing/>
    </w:pPr>
  </w:style>
  <w:style w:type="character" w:styleId="Zstupntext">
    <w:name w:val="Placeholder Text"/>
    <w:uiPriority w:val="99"/>
    <w:semiHidden/>
    <w:rsid w:val="003C289B"/>
    <w:rPr>
      <w:rFonts w:ascii="Times New Roman" w:hAnsi="Times New Roman" w:cs="Times New Roman"/>
      <w:color w:val="808080"/>
    </w:rPr>
  </w:style>
  <w:style w:type="paragraph" w:styleId="Bezriadkovania">
    <w:name w:val="No Spacing"/>
    <w:uiPriority w:val="1"/>
    <w:qFormat/>
    <w:rsid w:val="007475F9"/>
    <w:rPr>
      <w:rFonts w:cs="Times New Roman"/>
      <w:sz w:val="22"/>
      <w:szCs w:val="22"/>
      <w:lang w:eastAsia="en-US"/>
    </w:rPr>
  </w:style>
  <w:style w:type="character" w:styleId="Odkaznakomentr">
    <w:name w:val="annotation reference"/>
    <w:uiPriority w:val="99"/>
    <w:rsid w:val="00AB33D4"/>
    <w:rPr>
      <w:rFonts w:cs="Times New Roman"/>
      <w:sz w:val="16"/>
      <w:szCs w:val="16"/>
    </w:rPr>
  </w:style>
  <w:style w:type="paragraph" w:styleId="Textkomentra">
    <w:name w:val="annotation text"/>
    <w:basedOn w:val="Normlny"/>
    <w:link w:val="TextkomentraChar"/>
    <w:uiPriority w:val="99"/>
    <w:rsid w:val="00AB33D4"/>
    <w:pPr>
      <w:spacing w:line="240" w:lineRule="auto"/>
    </w:pPr>
    <w:rPr>
      <w:sz w:val="20"/>
      <w:szCs w:val="20"/>
    </w:rPr>
  </w:style>
  <w:style w:type="character" w:customStyle="1" w:styleId="TextkomentraChar">
    <w:name w:val="Text komentára Char"/>
    <w:link w:val="Textkomentra"/>
    <w:uiPriority w:val="99"/>
    <w:locked/>
    <w:rsid w:val="00AB33D4"/>
    <w:rPr>
      <w:rFonts w:cs="Times New Roman"/>
      <w:sz w:val="20"/>
      <w:szCs w:val="20"/>
    </w:rPr>
  </w:style>
  <w:style w:type="paragraph" w:styleId="Predmetkomentra">
    <w:name w:val="annotation subject"/>
    <w:basedOn w:val="Textkomentra"/>
    <w:next w:val="Textkomentra"/>
    <w:link w:val="PredmetkomentraChar"/>
    <w:uiPriority w:val="99"/>
    <w:rsid w:val="00AB33D4"/>
    <w:rPr>
      <w:b/>
      <w:bCs/>
    </w:rPr>
  </w:style>
  <w:style w:type="character" w:customStyle="1" w:styleId="PredmetkomentraChar">
    <w:name w:val="Predmet komentára Char"/>
    <w:link w:val="Predmetkomentra"/>
    <w:uiPriority w:val="99"/>
    <w:locked/>
    <w:rsid w:val="00AB33D4"/>
    <w:rPr>
      <w:rFonts w:cs="Times New Roman"/>
      <w:b/>
      <w:bCs/>
      <w:sz w:val="20"/>
      <w:szCs w:val="20"/>
    </w:rPr>
  </w:style>
  <w:style w:type="paragraph" w:styleId="Zkladntext">
    <w:name w:val="Body Text"/>
    <w:basedOn w:val="Normlny"/>
    <w:link w:val="ZkladntextChar"/>
    <w:uiPriority w:val="99"/>
    <w:rsid w:val="00030CF9"/>
    <w:pPr>
      <w:suppressAutoHyphens/>
      <w:spacing w:after="120" w:line="100" w:lineRule="atLeast"/>
    </w:pPr>
    <w:rPr>
      <w:rFonts w:ascii="Times New Roman" w:hAnsi="Times New Roman"/>
      <w:sz w:val="20"/>
      <w:szCs w:val="20"/>
      <w:lang w:val="cs-CZ" w:eastAsia="ar-SA"/>
    </w:rPr>
  </w:style>
  <w:style w:type="character" w:customStyle="1" w:styleId="ZkladntextChar">
    <w:name w:val="Základný text Char"/>
    <w:link w:val="Zkladntext"/>
    <w:uiPriority w:val="99"/>
    <w:locked/>
    <w:rsid w:val="00030CF9"/>
    <w:rPr>
      <w:rFonts w:ascii="Times New Roman" w:hAnsi="Times New Roman" w:cs="Times New Roman"/>
      <w:sz w:val="20"/>
      <w:szCs w:val="20"/>
      <w:lang w:val="cs-CZ" w:eastAsia="ar-SA" w:bidi="ar-SA"/>
    </w:rPr>
  </w:style>
  <w:style w:type="paragraph" w:customStyle="1" w:styleId="Zkladntext0">
    <w:name w:val="Základní text"/>
    <w:aliases w:val="Základný text Char Char"/>
    <w:rsid w:val="00CD4F4D"/>
    <w:pPr>
      <w:widowControl w:val="0"/>
      <w:autoSpaceDE w:val="0"/>
      <w:autoSpaceDN w:val="0"/>
    </w:pPr>
    <w:rPr>
      <w:rFonts w:ascii="Arial Narrow" w:hAnsi="Arial Narrow" w:cs="Arial Narrow"/>
      <w:color w:val="000000"/>
      <w:sz w:val="24"/>
      <w:szCs w:val="24"/>
    </w:rPr>
  </w:style>
  <w:style w:type="numbering" w:customStyle="1" w:styleId="Bezzoznamu1">
    <w:name w:val="Bez zoznamu1"/>
    <w:next w:val="Bezzoznamu"/>
    <w:uiPriority w:val="99"/>
    <w:semiHidden/>
    <w:unhideWhenUsed/>
    <w:rsid w:val="00AA73E5"/>
  </w:style>
  <w:style w:type="paragraph" w:styleId="Zkladntext2">
    <w:name w:val="Body Text 2"/>
    <w:basedOn w:val="Normlny"/>
    <w:link w:val="Zkladntext2Char"/>
    <w:uiPriority w:val="99"/>
    <w:rsid w:val="00AA73E5"/>
    <w:pPr>
      <w:spacing w:after="0" w:line="240" w:lineRule="auto"/>
      <w:jc w:val="both"/>
    </w:pPr>
    <w:rPr>
      <w:rFonts w:ascii="Times New Roman" w:hAnsi="Times New Roman"/>
      <w:sz w:val="24"/>
      <w:szCs w:val="24"/>
      <w:lang w:eastAsia="sk-SK"/>
    </w:rPr>
  </w:style>
  <w:style w:type="character" w:customStyle="1" w:styleId="Zkladntext2Char">
    <w:name w:val="Základný text 2 Char"/>
    <w:basedOn w:val="Predvolenpsmoodseku"/>
    <w:link w:val="Zkladntext2"/>
    <w:uiPriority w:val="99"/>
    <w:rsid w:val="00AA73E5"/>
    <w:rPr>
      <w:rFonts w:ascii="Times New Roman" w:hAnsi="Times New Roman" w:cs="Times New Roman"/>
      <w:sz w:val="24"/>
      <w:szCs w:val="24"/>
    </w:rPr>
  </w:style>
  <w:style w:type="paragraph" w:customStyle="1" w:styleId="CM19">
    <w:name w:val="CM1+9"/>
    <w:basedOn w:val="Normlny"/>
    <w:next w:val="Normlny"/>
    <w:uiPriority w:val="99"/>
    <w:rsid w:val="00AA73E5"/>
    <w:pPr>
      <w:autoSpaceDE w:val="0"/>
      <w:autoSpaceDN w:val="0"/>
      <w:adjustRightInd w:val="0"/>
      <w:spacing w:after="0" w:line="240" w:lineRule="auto"/>
    </w:pPr>
    <w:rPr>
      <w:rFonts w:ascii="EUAlbertina" w:hAnsi="EUAlbertina"/>
      <w:sz w:val="24"/>
      <w:szCs w:val="24"/>
      <w:lang w:eastAsia="sk-SK"/>
    </w:rPr>
  </w:style>
  <w:style w:type="paragraph" w:customStyle="1" w:styleId="Default">
    <w:name w:val="Default"/>
    <w:rsid w:val="00AA73E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A73E5"/>
    <w:rPr>
      <w:rFonts w:cs="Times New Roman"/>
      <w:color w:val="auto"/>
    </w:rPr>
  </w:style>
  <w:style w:type="paragraph" w:customStyle="1" w:styleId="CM3">
    <w:name w:val="CM3"/>
    <w:basedOn w:val="Default"/>
    <w:next w:val="Default"/>
    <w:uiPriority w:val="99"/>
    <w:rsid w:val="00AA73E5"/>
    <w:rPr>
      <w:rFonts w:cs="Times New Roman"/>
      <w:color w:val="auto"/>
    </w:rPr>
  </w:style>
  <w:style w:type="paragraph" w:styleId="Zarkazkladnhotextu">
    <w:name w:val="Body Text Indent"/>
    <w:basedOn w:val="Normlny"/>
    <w:link w:val="ZarkazkladnhotextuChar"/>
    <w:uiPriority w:val="99"/>
    <w:rsid w:val="00AA73E5"/>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AA73E5"/>
    <w:rPr>
      <w:rFonts w:ascii="Times New Roman" w:hAnsi="Times New Roman" w:cs="Times New Roman"/>
      <w:sz w:val="24"/>
      <w:szCs w:val="24"/>
    </w:rPr>
  </w:style>
  <w:style w:type="paragraph" w:customStyle="1" w:styleId="Zkladntext1">
    <w:name w:val="Zkladn text"/>
    <w:rsid w:val="00AA73E5"/>
    <w:pPr>
      <w:widowControl w:val="0"/>
      <w:autoSpaceDE w:val="0"/>
      <w:autoSpaceDN w:val="0"/>
    </w:pPr>
    <w:rPr>
      <w:rFonts w:ascii="Times New Roman" w:hAnsi="Times New Roman" w:cs="Times New Roman"/>
      <w:color w:val="000000"/>
    </w:rPr>
  </w:style>
  <w:style w:type="paragraph" w:customStyle="1" w:styleId="dka">
    <w:name w:val="dka"/>
    <w:rsid w:val="00AA73E5"/>
    <w:pPr>
      <w:widowControl w:val="0"/>
      <w:autoSpaceDE w:val="0"/>
      <w:autoSpaceDN w:val="0"/>
    </w:pPr>
    <w:rPr>
      <w:rFonts w:ascii="Times New Roman" w:hAnsi="Times New Roman" w:cs="Times New Roman"/>
      <w:color w:val="000000"/>
    </w:rPr>
  </w:style>
  <w:style w:type="paragraph" w:styleId="Nzov">
    <w:name w:val="Title"/>
    <w:basedOn w:val="Normlny"/>
    <w:link w:val="NzovChar"/>
    <w:qFormat/>
    <w:rsid w:val="00AA73E5"/>
    <w:pPr>
      <w:autoSpaceDE w:val="0"/>
      <w:autoSpaceDN w:val="0"/>
      <w:spacing w:after="0" w:line="240" w:lineRule="auto"/>
      <w:jc w:val="center"/>
    </w:pPr>
    <w:rPr>
      <w:rFonts w:ascii="Times New Roman" w:hAnsi="Times New Roman"/>
      <w:b/>
      <w:bCs/>
      <w:sz w:val="24"/>
      <w:szCs w:val="24"/>
      <w:lang w:eastAsia="sk-SK"/>
    </w:rPr>
  </w:style>
  <w:style w:type="character" w:customStyle="1" w:styleId="NzovChar">
    <w:name w:val="Názov Char"/>
    <w:basedOn w:val="Predvolenpsmoodseku"/>
    <w:link w:val="Nzov"/>
    <w:rsid w:val="00AA73E5"/>
    <w:rPr>
      <w:rFonts w:ascii="Times New Roman" w:hAnsi="Times New Roman" w:cs="Times New Roman"/>
      <w:b/>
      <w:bCs/>
      <w:sz w:val="24"/>
      <w:szCs w:val="24"/>
    </w:rPr>
  </w:style>
  <w:style w:type="character" w:styleId="Zvraznenie">
    <w:name w:val="Emphasis"/>
    <w:uiPriority w:val="20"/>
    <w:qFormat/>
    <w:rsid w:val="00AA73E5"/>
    <w:rPr>
      <w:i/>
      <w:iCs/>
    </w:rPr>
  </w:style>
  <w:style w:type="character" w:styleId="Siln">
    <w:name w:val="Strong"/>
    <w:uiPriority w:val="22"/>
    <w:qFormat/>
    <w:rsid w:val="00AA73E5"/>
    <w:rPr>
      <w:b/>
      <w:bCs/>
    </w:rPr>
  </w:style>
  <w:style w:type="character" w:customStyle="1" w:styleId="awspan1">
    <w:name w:val="awspan1"/>
    <w:rsid w:val="00AA73E5"/>
    <w:rPr>
      <w:rFonts w:cs="Times New Roman"/>
      <w:color w:val="000000"/>
      <w:sz w:val="24"/>
      <w:szCs w:val="24"/>
    </w:rPr>
  </w:style>
  <w:style w:type="paragraph" w:customStyle="1" w:styleId="c08dispositif">
    <w:name w:val="c08dispositif"/>
    <w:basedOn w:val="Normlny"/>
    <w:rsid w:val="00AA73E5"/>
    <w:pPr>
      <w:spacing w:before="100" w:beforeAutospacing="1" w:after="100" w:afterAutospacing="1" w:line="240" w:lineRule="auto"/>
    </w:pPr>
    <w:rPr>
      <w:rFonts w:ascii="Times New Roman" w:hAnsi="Times New Roman"/>
      <w:sz w:val="24"/>
      <w:szCs w:val="24"/>
      <w:lang w:eastAsia="sk-SK"/>
    </w:rPr>
  </w:style>
  <w:style w:type="paragraph" w:customStyle="1" w:styleId="c31dispositiftiretlong">
    <w:name w:val="c31dispositiftiretlong"/>
    <w:basedOn w:val="Normlny"/>
    <w:rsid w:val="00AA73E5"/>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link w:val="Odsekzoznamu"/>
    <w:uiPriority w:val="34"/>
    <w:locked/>
    <w:rsid w:val="0026017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500">
      <w:marLeft w:val="0"/>
      <w:marRight w:val="0"/>
      <w:marTop w:val="0"/>
      <w:marBottom w:val="0"/>
      <w:divBdr>
        <w:top w:val="none" w:sz="0" w:space="0" w:color="auto"/>
        <w:left w:val="none" w:sz="0" w:space="0" w:color="auto"/>
        <w:bottom w:val="none" w:sz="0" w:space="0" w:color="auto"/>
        <w:right w:val="none" w:sz="0" w:space="0" w:color="auto"/>
      </w:divBdr>
    </w:div>
    <w:div w:id="304553501">
      <w:marLeft w:val="0"/>
      <w:marRight w:val="0"/>
      <w:marTop w:val="0"/>
      <w:marBottom w:val="0"/>
      <w:divBdr>
        <w:top w:val="none" w:sz="0" w:space="0" w:color="auto"/>
        <w:left w:val="none" w:sz="0" w:space="0" w:color="auto"/>
        <w:bottom w:val="none" w:sz="0" w:space="0" w:color="auto"/>
        <w:right w:val="none" w:sz="0" w:space="0" w:color="auto"/>
      </w:divBdr>
    </w:div>
    <w:div w:id="304553502">
      <w:marLeft w:val="0"/>
      <w:marRight w:val="0"/>
      <w:marTop w:val="0"/>
      <w:marBottom w:val="0"/>
      <w:divBdr>
        <w:top w:val="none" w:sz="0" w:space="0" w:color="auto"/>
        <w:left w:val="none" w:sz="0" w:space="0" w:color="auto"/>
        <w:bottom w:val="none" w:sz="0" w:space="0" w:color="auto"/>
        <w:right w:val="none" w:sz="0" w:space="0" w:color="auto"/>
      </w:divBdr>
    </w:div>
    <w:div w:id="3392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68C259-F26B-4E00-951B-05A9B62ADD1C}">
  <ds:schemaRefs>
    <ds:schemaRef ds:uri="http://schemas.microsoft.com/office/2006/documentManagement/type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8C1A9-6959-49CB-9998-358108CF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6112</Words>
  <Characters>34841</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40872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Ivanicova Eva</cp:lastModifiedBy>
  <cp:revision>11</cp:revision>
  <cp:lastPrinted>2021-03-17T12:52:00Z</cp:lastPrinted>
  <dcterms:created xsi:type="dcterms:W3CDTF">2021-03-16T18:23:00Z</dcterms:created>
  <dcterms:modified xsi:type="dcterms:W3CDTF">2021-03-17T13:07:00Z</dcterms:modified>
</cp:coreProperties>
</file>